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0D9" w:rsidRDefault="00F921E6" w:rsidP="007E5623">
      <w:pPr>
        <w:autoSpaceDE w:val="0"/>
        <w:autoSpaceDN w:val="0"/>
        <w:adjustRightInd w:val="0"/>
        <w:spacing w:line="360" w:lineRule="auto"/>
        <w:jc w:val="center"/>
        <w:rPr>
          <w:noProof/>
          <w:lang w:val="it-IT"/>
        </w:rPr>
      </w:pPr>
      <w:r>
        <w:rPr>
          <w:noProof/>
          <w:lang w:val="it-IT"/>
        </w:rPr>
        <w:drawing>
          <wp:inline distT="0" distB="0" distL="0" distR="0">
            <wp:extent cx="2990850" cy="1514475"/>
            <wp:effectExtent l="19050" t="0" r="0" b="0"/>
            <wp:docPr id="1" name="Immagine 1" descr="Descrizione: Logo_AIFA_Col_documen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Logo_AIFA_Col_document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1FD" w:rsidRPr="00A4394D" w:rsidRDefault="007271FD" w:rsidP="00A4394D">
      <w:pPr>
        <w:autoSpaceDE w:val="0"/>
        <w:autoSpaceDN w:val="0"/>
        <w:adjustRightInd w:val="0"/>
        <w:jc w:val="center"/>
        <w:rPr>
          <w:rFonts w:ascii="Calibri" w:hAnsi="Calibri" w:cs="Calibri"/>
          <w:b/>
          <w:lang w:val="it-IT"/>
        </w:rPr>
      </w:pPr>
    </w:p>
    <w:p w:rsidR="00D840D9" w:rsidRPr="00827BD9" w:rsidRDefault="00D840D9" w:rsidP="00A4394D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8"/>
          <w:szCs w:val="28"/>
          <w:lang w:val="it-IT"/>
        </w:rPr>
      </w:pPr>
      <w:r w:rsidRPr="00827BD9">
        <w:rPr>
          <w:rFonts w:ascii="Calibri" w:hAnsi="Calibri" w:cs="Calibri"/>
          <w:b/>
          <w:sz w:val="28"/>
          <w:szCs w:val="28"/>
          <w:lang w:val="it-IT"/>
        </w:rPr>
        <w:t xml:space="preserve">ANALISI REGIONALE </w:t>
      </w:r>
      <w:r w:rsidR="002008E4" w:rsidRPr="00827BD9">
        <w:rPr>
          <w:rFonts w:ascii="Calibri" w:hAnsi="Calibri" w:cs="Calibri"/>
          <w:b/>
          <w:sz w:val="28"/>
          <w:szCs w:val="28"/>
          <w:lang w:val="it-IT"/>
        </w:rPr>
        <w:t xml:space="preserve">DEL CONSUMO </w:t>
      </w:r>
      <w:r w:rsidR="002008E4">
        <w:rPr>
          <w:rFonts w:ascii="Calibri" w:hAnsi="Calibri" w:cs="Calibri"/>
          <w:b/>
          <w:sz w:val="28"/>
          <w:szCs w:val="28"/>
          <w:lang w:val="it-IT"/>
        </w:rPr>
        <w:t xml:space="preserve">E </w:t>
      </w:r>
      <w:r w:rsidRPr="00827BD9">
        <w:rPr>
          <w:rFonts w:ascii="Calibri" w:hAnsi="Calibri" w:cs="Calibri"/>
          <w:b/>
          <w:sz w:val="28"/>
          <w:szCs w:val="28"/>
          <w:lang w:val="it-IT"/>
        </w:rPr>
        <w:t>DELLA SPESA DI FARMACI</w:t>
      </w:r>
    </w:p>
    <w:p w:rsidR="007271FD" w:rsidRPr="00AB65DC" w:rsidRDefault="007271FD" w:rsidP="00A4394D">
      <w:pPr>
        <w:autoSpaceDE w:val="0"/>
        <w:autoSpaceDN w:val="0"/>
        <w:adjustRightInd w:val="0"/>
        <w:jc w:val="center"/>
        <w:rPr>
          <w:rFonts w:ascii="Calibri" w:hAnsi="Calibri" w:cs="Calibri"/>
          <w:b/>
          <w:lang w:val="it-IT"/>
        </w:rPr>
      </w:pPr>
    </w:p>
    <w:p w:rsidR="00C273FB" w:rsidRDefault="00C273FB" w:rsidP="00A4394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i/>
          <w:lang w:val="it-IT"/>
        </w:rPr>
      </w:pPr>
      <w:r w:rsidRPr="006252E0">
        <w:rPr>
          <w:rFonts w:ascii="Calibri" w:hAnsi="Calibri" w:cs="Calibri"/>
          <w:i/>
          <w:lang w:val="it-IT"/>
        </w:rPr>
        <w:t>8.</w:t>
      </w:r>
      <w:r w:rsidR="006252E0" w:rsidRPr="006252E0">
        <w:rPr>
          <w:rFonts w:ascii="Calibri" w:hAnsi="Calibri" w:cs="Calibri"/>
          <w:i/>
          <w:lang w:val="it-IT"/>
        </w:rPr>
        <w:t>598</w:t>
      </w:r>
      <w:r w:rsidRPr="006252E0">
        <w:rPr>
          <w:rFonts w:ascii="Calibri" w:hAnsi="Calibri" w:cs="Calibri"/>
          <w:i/>
          <w:lang w:val="it-IT"/>
        </w:rPr>
        <w:t xml:space="preserve"> milioni di euro la spesa farmaceutica pubblica regionale erogata in regime di assisten</w:t>
      </w:r>
      <w:r w:rsidR="006252E0" w:rsidRPr="006252E0">
        <w:rPr>
          <w:rFonts w:ascii="Calibri" w:hAnsi="Calibri" w:cs="Calibri"/>
          <w:i/>
          <w:lang w:val="it-IT"/>
        </w:rPr>
        <w:t>za convenzionata</w:t>
      </w:r>
      <w:r w:rsidR="00A4394D">
        <w:rPr>
          <w:rFonts w:ascii="Calibri" w:hAnsi="Calibri" w:cs="Calibri"/>
          <w:i/>
          <w:lang w:val="it-IT"/>
        </w:rPr>
        <w:t>,</w:t>
      </w:r>
      <w:r w:rsidR="006252E0" w:rsidRPr="006252E0">
        <w:rPr>
          <w:rFonts w:ascii="Calibri" w:hAnsi="Calibri" w:cs="Calibri"/>
          <w:i/>
          <w:lang w:val="it-IT"/>
        </w:rPr>
        <w:t xml:space="preserve"> a fronte di 609</w:t>
      </w:r>
      <w:r w:rsidRPr="006252E0">
        <w:rPr>
          <w:rFonts w:ascii="Calibri" w:hAnsi="Calibri" w:cs="Calibri"/>
          <w:i/>
          <w:lang w:val="it-IT"/>
        </w:rPr>
        <w:t xml:space="preserve"> milioni di ricette emesse e 1,1 miliardi di confezioni di farmaci dispensati.</w:t>
      </w:r>
    </w:p>
    <w:p w:rsidR="00A4394D" w:rsidRPr="006252E0" w:rsidRDefault="00A4394D" w:rsidP="00A4394D">
      <w:pPr>
        <w:autoSpaceDE w:val="0"/>
        <w:autoSpaceDN w:val="0"/>
        <w:adjustRightInd w:val="0"/>
        <w:ind w:left="502"/>
        <w:jc w:val="both"/>
        <w:rPr>
          <w:rFonts w:ascii="Calibri" w:hAnsi="Calibri" w:cs="Calibri"/>
          <w:i/>
          <w:lang w:val="it-IT"/>
        </w:rPr>
      </w:pPr>
    </w:p>
    <w:p w:rsidR="002008E4" w:rsidRDefault="002008E4" w:rsidP="00A4394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i/>
          <w:lang w:val="it-IT"/>
        </w:rPr>
      </w:pPr>
      <w:r w:rsidRPr="00B72834">
        <w:rPr>
          <w:rFonts w:ascii="Calibri" w:hAnsi="Calibri" w:cs="Calibri"/>
          <w:i/>
          <w:lang w:val="it-IT"/>
        </w:rPr>
        <w:t xml:space="preserve">Per i farmaci in regime di assistenza convenzionata di Classe A-SSN, </w:t>
      </w:r>
      <w:r w:rsidR="00B72834" w:rsidRPr="00B72834">
        <w:rPr>
          <w:rFonts w:ascii="Calibri" w:hAnsi="Calibri" w:cs="Calibri"/>
          <w:i/>
          <w:lang w:val="it-IT"/>
        </w:rPr>
        <w:t>la Calabria</w:t>
      </w:r>
      <w:r w:rsidR="007271FD" w:rsidRPr="00B72834">
        <w:rPr>
          <w:rFonts w:ascii="Calibri" w:hAnsi="Calibri" w:cs="Calibri"/>
          <w:i/>
          <w:lang w:val="it-IT"/>
        </w:rPr>
        <w:t xml:space="preserve"> </w:t>
      </w:r>
      <w:r w:rsidRPr="00B72834">
        <w:rPr>
          <w:rFonts w:ascii="Calibri" w:hAnsi="Calibri" w:cs="Calibri"/>
          <w:i/>
          <w:lang w:val="it-IT"/>
        </w:rPr>
        <w:t xml:space="preserve">è la </w:t>
      </w:r>
      <w:r w:rsidR="00326D9B" w:rsidRPr="00B72834">
        <w:rPr>
          <w:rFonts w:ascii="Calibri" w:hAnsi="Calibri" w:cs="Calibri"/>
          <w:i/>
          <w:lang w:val="it-IT"/>
        </w:rPr>
        <w:t>R</w:t>
      </w:r>
      <w:r w:rsidR="007271FD" w:rsidRPr="00B72834">
        <w:rPr>
          <w:rFonts w:ascii="Calibri" w:hAnsi="Calibri" w:cs="Calibri"/>
          <w:i/>
          <w:lang w:val="it-IT"/>
        </w:rPr>
        <w:t xml:space="preserve">egione </w:t>
      </w:r>
      <w:r w:rsidR="00C446A2" w:rsidRPr="00B72834">
        <w:rPr>
          <w:rFonts w:ascii="Calibri" w:hAnsi="Calibri" w:cs="Calibri"/>
          <w:i/>
          <w:lang w:val="it-IT"/>
        </w:rPr>
        <w:t>con</w:t>
      </w:r>
      <w:r w:rsidR="00A4394D">
        <w:rPr>
          <w:rFonts w:ascii="Calibri" w:hAnsi="Calibri" w:cs="Calibri"/>
          <w:i/>
          <w:lang w:val="it-IT"/>
        </w:rPr>
        <w:t xml:space="preserve"> la</w:t>
      </w:r>
      <w:r w:rsidR="00B25027" w:rsidRPr="00B72834">
        <w:rPr>
          <w:rFonts w:ascii="Calibri" w:hAnsi="Calibri" w:cs="Calibri"/>
          <w:i/>
          <w:lang w:val="it-IT"/>
        </w:rPr>
        <w:t xml:space="preserve"> quantità massima di consumi (</w:t>
      </w:r>
      <w:r w:rsidR="00B72834" w:rsidRPr="00B72834">
        <w:rPr>
          <w:rFonts w:ascii="Calibri" w:hAnsi="Calibri" w:cs="Tahoma"/>
          <w:i/>
          <w:lang w:val="it-IT"/>
        </w:rPr>
        <w:t xml:space="preserve">1.192,4 </w:t>
      </w:r>
      <w:r w:rsidRPr="00B72834">
        <w:rPr>
          <w:rFonts w:ascii="Calibri" w:hAnsi="Calibri" w:cs="Calibri"/>
          <w:i/>
          <w:lang w:val="it-IT"/>
        </w:rPr>
        <w:t>DDD/1000 ab. die</w:t>
      </w:r>
      <w:r w:rsidR="00B25027" w:rsidRPr="00B72834">
        <w:rPr>
          <w:rFonts w:ascii="Calibri" w:hAnsi="Calibri" w:cs="Calibri"/>
          <w:i/>
          <w:lang w:val="it-IT"/>
        </w:rPr>
        <w:t>)</w:t>
      </w:r>
      <w:r w:rsidRPr="00B72834">
        <w:rPr>
          <w:rFonts w:ascii="Calibri" w:hAnsi="Calibri" w:cs="Calibri"/>
          <w:i/>
          <w:lang w:val="it-IT"/>
        </w:rPr>
        <w:t xml:space="preserve">, seguita da </w:t>
      </w:r>
      <w:r w:rsidR="00B72834" w:rsidRPr="00B72834">
        <w:rPr>
          <w:rFonts w:ascii="Calibri" w:hAnsi="Calibri" w:cs="Calibri"/>
          <w:i/>
          <w:lang w:val="it-IT"/>
        </w:rPr>
        <w:t>Lazio</w:t>
      </w:r>
      <w:r w:rsidRPr="00B72834">
        <w:rPr>
          <w:rFonts w:ascii="Calibri" w:hAnsi="Calibri" w:cs="Calibri"/>
          <w:i/>
          <w:lang w:val="it-IT"/>
        </w:rPr>
        <w:t xml:space="preserve"> (</w:t>
      </w:r>
      <w:r w:rsidR="00B72834" w:rsidRPr="00B72834">
        <w:rPr>
          <w:rFonts w:ascii="Calibri" w:hAnsi="Calibri" w:cs="Arial"/>
          <w:i/>
          <w:lang w:val="it-IT"/>
        </w:rPr>
        <w:t xml:space="preserve">1.187,6 </w:t>
      </w:r>
      <w:r w:rsidRPr="00B72834">
        <w:rPr>
          <w:rFonts w:ascii="Calibri" w:hAnsi="Calibri" w:cs="Calibri"/>
          <w:i/>
          <w:lang w:val="it-IT"/>
        </w:rPr>
        <w:t xml:space="preserve"> DDD/1000 ab. die) e </w:t>
      </w:r>
      <w:r w:rsidR="00B72834" w:rsidRPr="00B72834">
        <w:rPr>
          <w:rFonts w:ascii="Calibri" w:hAnsi="Calibri" w:cs="Calibri"/>
          <w:i/>
          <w:lang w:val="it-IT"/>
        </w:rPr>
        <w:t>Puglia</w:t>
      </w:r>
      <w:r w:rsidRPr="00B72834">
        <w:rPr>
          <w:rFonts w:ascii="Calibri" w:hAnsi="Calibri" w:cs="Calibri"/>
          <w:i/>
          <w:lang w:val="it-IT"/>
        </w:rPr>
        <w:t xml:space="preserve"> (</w:t>
      </w:r>
      <w:r w:rsidR="00B72834" w:rsidRPr="00B72834">
        <w:rPr>
          <w:rFonts w:ascii="Calibri" w:hAnsi="Calibri" w:cs="Arial"/>
          <w:i/>
          <w:lang w:val="it-IT"/>
        </w:rPr>
        <w:t xml:space="preserve">1.160,4 </w:t>
      </w:r>
      <w:r w:rsidRPr="00B72834">
        <w:rPr>
          <w:rFonts w:ascii="Calibri" w:hAnsi="Calibri" w:cs="Calibri"/>
          <w:i/>
          <w:lang w:val="it-IT"/>
        </w:rPr>
        <w:t xml:space="preserve">DDD/1000 ab. die). La spesa lorda pro capite maggiore </w:t>
      </w:r>
      <w:r w:rsidR="00A4394D">
        <w:rPr>
          <w:rFonts w:ascii="Calibri" w:hAnsi="Calibri" w:cs="Calibri"/>
          <w:i/>
          <w:lang w:val="it-IT"/>
        </w:rPr>
        <w:t xml:space="preserve">in </w:t>
      </w:r>
      <w:r w:rsidR="00B72834" w:rsidRPr="00B72834">
        <w:rPr>
          <w:rFonts w:ascii="Calibri" w:hAnsi="Calibri" w:cs="Calibri"/>
          <w:i/>
          <w:lang w:val="it-IT"/>
        </w:rPr>
        <w:t>Campania</w:t>
      </w:r>
      <w:r w:rsidRPr="00B72834">
        <w:rPr>
          <w:rFonts w:ascii="Calibri" w:hAnsi="Calibri" w:cs="Calibri"/>
          <w:i/>
          <w:lang w:val="it-IT"/>
        </w:rPr>
        <w:t xml:space="preserve"> (</w:t>
      </w:r>
      <w:r w:rsidR="00B72834" w:rsidRPr="00B72834">
        <w:rPr>
          <w:rFonts w:ascii="Calibri" w:hAnsi="Calibri" w:cs="Tahoma"/>
          <w:i/>
          <w:lang w:val="it-IT"/>
        </w:rPr>
        <w:t>224</w:t>
      </w:r>
      <w:r w:rsidR="005F1951">
        <w:rPr>
          <w:rFonts w:ascii="Calibri" w:hAnsi="Calibri" w:cs="Tahoma"/>
          <w:i/>
          <w:lang w:val="it-IT"/>
        </w:rPr>
        <w:t>,0</w:t>
      </w:r>
      <w:r w:rsidR="00A4394D">
        <w:rPr>
          <w:rFonts w:ascii="Calibri" w:hAnsi="Calibri" w:cs="Calibri"/>
          <w:i/>
          <w:lang w:val="it-IT"/>
        </w:rPr>
        <w:t xml:space="preserve"> euro pro capite), seguita da</w:t>
      </w:r>
      <w:r w:rsidRPr="00B72834">
        <w:rPr>
          <w:rFonts w:ascii="Calibri" w:hAnsi="Calibri" w:cs="Calibri"/>
          <w:i/>
          <w:lang w:val="it-IT"/>
        </w:rPr>
        <w:t xml:space="preserve"> </w:t>
      </w:r>
      <w:r w:rsidR="00B72834" w:rsidRPr="00B72834">
        <w:rPr>
          <w:rFonts w:ascii="Calibri" w:hAnsi="Calibri" w:cs="Calibri"/>
          <w:i/>
          <w:lang w:val="it-IT"/>
        </w:rPr>
        <w:t>Puglia</w:t>
      </w:r>
      <w:r w:rsidRPr="00B72834">
        <w:rPr>
          <w:rFonts w:ascii="Calibri" w:hAnsi="Calibri" w:cs="Calibri"/>
          <w:i/>
          <w:lang w:val="it-IT"/>
        </w:rPr>
        <w:t xml:space="preserve"> (</w:t>
      </w:r>
      <w:r w:rsidR="00B72834" w:rsidRPr="00B72834">
        <w:rPr>
          <w:rFonts w:ascii="Calibri" w:hAnsi="Calibri" w:cs="Tahoma"/>
          <w:i/>
          <w:lang w:val="it-IT"/>
        </w:rPr>
        <w:t>218</w:t>
      </w:r>
      <w:r w:rsidR="005F1951">
        <w:rPr>
          <w:rFonts w:ascii="Calibri" w:hAnsi="Calibri" w:cs="Tahoma"/>
          <w:i/>
          <w:lang w:val="it-IT"/>
        </w:rPr>
        <w:t>,0</w:t>
      </w:r>
      <w:r w:rsidR="00B72834" w:rsidRPr="00B72834">
        <w:rPr>
          <w:rFonts w:ascii="Calibri" w:hAnsi="Calibri" w:cs="Tahoma"/>
          <w:i/>
          <w:lang w:val="it-IT"/>
        </w:rPr>
        <w:t xml:space="preserve"> </w:t>
      </w:r>
      <w:r w:rsidR="00A4394D">
        <w:rPr>
          <w:rFonts w:ascii="Calibri" w:hAnsi="Calibri" w:cs="Calibri"/>
          <w:i/>
          <w:lang w:val="it-IT"/>
        </w:rPr>
        <w:t>euro pro capite) e</w:t>
      </w:r>
      <w:r w:rsidRPr="00B72834">
        <w:rPr>
          <w:rFonts w:ascii="Calibri" w:hAnsi="Calibri" w:cs="Calibri"/>
          <w:i/>
          <w:lang w:val="it-IT"/>
        </w:rPr>
        <w:t xml:space="preserve"> </w:t>
      </w:r>
      <w:r w:rsidR="00B72834" w:rsidRPr="00B72834">
        <w:rPr>
          <w:rFonts w:ascii="Calibri" w:hAnsi="Calibri" w:cs="Calibri"/>
          <w:i/>
          <w:lang w:val="it-IT"/>
        </w:rPr>
        <w:t>Calabria</w:t>
      </w:r>
      <w:r w:rsidRPr="00B72834">
        <w:rPr>
          <w:rFonts w:ascii="Calibri" w:hAnsi="Calibri" w:cs="Calibri"/>
          <w:i/>
          <w:lang w:val="it-IT"/>
        </w:rPr>
        <w:t xml:space="preserve"> (</w:t>
      </w:r>
      <w:r w:rsidR="00B72834" w:rsidRPr="00B72834">
        <w:rPr>
          <w:rFonts w:ascii="Calibri" w:hAnsi="Calibri" w:cs="Arial"/>
          <w:i/>
          <w:lang w:val="it-IT"/>
        </w:rPr>
        <w:t xml:space="preserve">213,3 </w:t>
      </w:r>
      <w:r w:rsidRPr="00B72834">
        <w:rPr>
          <w:rFonts w:ascii="Calibri" w:hAnsi="Calibri" w:cs="Calibri"/>
          <w:i/>
          <w:lang w:val="it-IT"/>
        </w:rPr>
        <w:t>euro pro capite).</w:t>
      </w:r>
    </w:p>
    <w:p w:rsidR="00A4394D" w:rsidRPr="00B72834" w:rsidRDefault="00A4394D" w:rsidP="00A4394D">
      <w:pPr>
        <w:autoSpaceDE w:val="0"/>
        <w:autoSpaceDN w:val="0"/>
        <w:adjustRightInd w:val="0"/>
        <w:ind w:left="502"/>
        <w:jc w:val="both"/>
        <w:rPr>
          <w:rFonts w:ascii="Calibri" w:hAnsi="Calibri" w:cs="Calibri"/>
          <w:i/>
          <w:lang w:val="it-IT"/>
        </w:rPr>
      </w:pPr>
    </w:p>
    <w:p w:rsidR="007271FD" w:rsidRDefault="00A4394D" w:rsidP="00A4394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i/>
          <w:lang w:val="it-IT"/>
        </w:rPr>
      </w:pPr>
      <w:r>
        <w:rPr>
          <w:rFonts w:ascii="Calibri" w:hAnsi="Calibri" w:cs="Calibri"/>
          <w:i/>
          <w:lang w:val="it-IT"/>
        </w:rPr>
        <w:t>La Provincia a</w:t>
      </w:r>
      <w:r w:rsidR="007271FD" w:rsidRPr="00B72834">
        <w:rPr>
          <w:rFonts w:ascii="Calibri" w:hAnsi="Calibri" w:cs="Calibri"/>
          <w:i/>
          <w:lang w:val="it-IT"/>
        </w:rPr>
        <w:t>utonoma di Bolzano</w:t>
      </w:r>
      <w:r w:rsidR="00C446A2" w:rsidRPr="00B72834">
        <w:rPr>
          <w:rFonts w:ascii="Calibri" w:hAnsi="Calibri" w:cs="Calibri"/>
          <w:i/>
          <w:lang w:val="it-IT"/>
        </w:rPr>
        <w:t xml:space="preserve"> più virtuosa </w:t>
      </w:r>
      <w:r w:rsidR="007271FD" w:rsidRPr="00B72834">
        <w:rPr>
          <w:rFonts w:ascii="Calibri" w:hAnsi="Calibri" w:cs="Calibri"/>
          <w:i/>
          <w:lang w:val="it-IT"/>
        </w:rPr>
        <w:t xml:space="preserve">con </w:t>
      </w:r>
      <w:r w:rsidR="00B72834" w:rsidRPr="00B72834">
        <w:rPr>
          <w:rFonts w:ascii="Calibri" w:hAnsi="Calibri" w:cs="Tahoma"/>
          <w:i/>
          <w:lang w:val="it-IT"/>
        </w:rPr>
        <w:t xml:space="preserve">129,8 </w:t>
      </w:r>
      <w:r w:rsidR="007271FD" w:rsidRPr="00B72834">
        <w:rPr>
          <w:rFonts w:ascii="Calibri" w:hAnsi="Calibri" w:cs="Calibri"/>
          <w:i/>
          <w:lang w:val="it-IT"/>
        </w:rPr>
        <w:t xml:space="preserve">euro di spesa pro capite e </w:t>
      </w:r>
      <w:r w:rsidR="00B72834" w:rsidRPr="00B72834">
        <w:rPr>
          <w:rFonts w:ascii="Calibri" w:hAnsi="Calibri" w:cs="Tahoma"/>
          <w:i/>
          <w:lang w:val="it-IT"/>
        </w:rPr>
        <w:t xml:space="preserve">765,2 </w:t>
      </w:r>
      <w:r w:rsidR="007271FD" w:rsidRPr="00B72834">
        <w:rPr>
          <w:rFonts w:ascii="Calibri" w:hAnsi="Calibri" w:cs="Calibri"/>
          <w:i/>
          <w:lang w:val="it-IT"/>
        </w:rPr>
        <w:t>DDD/1000 ab. die.</w:t>
      </w:r>
    </w:p>
    <w:p w:rsidR="00A4394D" w:rsidRPr="00B72834" w:rsidRDefault="00A4394D" w:rsidP="00A4394D">
      <w:pPr>
        <w:autoSpaceDE w:val="0"/>
        <w:autoSpaceDN w:val="0"/>
        <w:adjustRightInd w:val="0"/>
        <w:ind w:left="502"/>
        <w:jc w:val="both"/>
        <w:rPr>
          <w:rFonts w:ascii="Calibri" w:hAnsi="Calibri" w:cs="Calibri"/>
          <w:i/>
          <w:lang w:val="it-IT"/>
        </w:rPr>
      </w:pPr>
    </w:p>
    <w:p w:rsidR="00B25027" w:rsidRDefault="00D840D9" w:rsidP="00A4394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i/>
          <w:lang w:val="it-IT"/>
        </w:rPr>
      </w:pPr>
      <w:r w:rsidRPr="00DA35AD">
        <w:rPr>
          <w:rFonts w:ascii="Calibri" w:hAnsi="Calibri" w:cs="Calibri"/>
          <w:i/>
          <w:lang w:val="it-IT"/>
        </w:rPr>
        <w:t>Spesa convenzionata</w:t>
      </w:r>
      <w:r w:rsidR="00C446A2" w:rsidRPr="00DA35AD">
        <w:rPr>
          <w:rFonts w:ascii="Calibri" w:hAnsi="Calibri" w:cs="Calibri"/>
          <w:i/>
          <w:lang w:val="it-IT"/>
        </w:rPr>
        <w:t>:</w:t>
      </w:r>
      <w:r w:rsidRPr="00DA35AD">
        <w:rPr>
          <w:rFonts w:ascii="Calibri" w:hAnsi="Calibri" w:cs="Calibri"/>
          <w:i/>
          <w:lang w:val="it-IT"/>
        </w:rPr>
        <w:t xml:space="preserve"> </w:t>
      </w:r>
      <w:r w:rsidR="00A4394D">
        <w:rPr>
          <w:rFonts w:ascii="Calibri" w:hAnsi="Calibri" w:cs="Calibri"/>
          <w:i/>
          <w:lang w:val="it-IT"/>
        </w:rPr>
        <w:t xml:space="preserve">le </w:t>
      </w:r>
      <w:r w:rsidR="00D561E1" w:rsidRPr="00DA35AD">
        <w:rPr>
          <w:rFonts w:ascii="Calibri" w:hAnsi="Calibri" w:cs="Calibri"/>
          <w:i/>
          <w:lang w:val="it-IT"/>
        </w:rPr>
        <w:t>R</w:t>
      </w:r>
      <w:r w:rsidRPr="00DA35AD">
        <w:rPr>
          <w:rFonts w:ascii="Calibri" w:hAnsi="Calibri" w:cs="Calibri"/>
          <w:i/>
          <w:lang w:val="it-IT"/>
        </w:rPr>
        <w:t xml:space="preserve">egioni del </w:t>
      </w:r>
      <w:r w:rsidR="00EE6E98" w:rsidRPr="00DA35AD">
        <w:rPr>
          <w:rFonts w:ascii="Calibri" w:hAnsi="Calibri" w:cs="Calibri"/>
          <w:i/>
          <w:lang w:val="it-IT"/>
        </w:rPr>
        <w:t xml:space="preserve">Nord </w:t>
      </w:r>
      <w:r w:rsidRPr="00DA35AD">
        <w:rPr>
          <w:rFonts w:ascii="Calibri" w:hAnsi="Calibri" w:cs="Calibri"/>
          <w:i/>
          <w:lang w:val="it-IT"/>
        </w:rPr>
        <w:t xml:space="preserve">registrano </w:t>
      </w:r>
      <w:r w:rsidR="00F642A3" w:rsidRPr="00DA35AD">
        <w:rPr>
          <w:rFonts w:ascii="Calibri" w:hAnsi="Calibri" w:cs="Calibri"/>
          <w:i/>
          <w:lang w:val="it-IT"/>
        </w:rPr>
        <w:t xml:space="preserve">livelli </w:t>
      </w:r>
      <w:r w:rsidRPr="00DA35AD">
        <w:rPr>
          <w:rFonts w:ascii="Calibri" w:hAnsi="Calibri" w:cs="Calibri"/>
          <w:i/>
          <w:lang w:val="it-IT"/>
        </w:rPr>
        <w:t>inferiori a</w:t>
      </w:r>
      <w:r w:rsidR="00F642A3" w:rsidRPr="00DA35AD">
        <w:rPr>
          <w:rFonts w:ascii="Calibri" w:hAnsi="Calibri" w:cs="Calibri"/>
          <w:i/>
          <w:lang w:val="it-IT"/>
        </w:rPr>
        <w:t>lla</w:t>
      </w:r>
      <w:r w:rsidRPr="00DA35AD">
        <w:rPr>
          <w:rFonts w:ascii="Calibri" w:hAnsi="Calibri" w:cs="Calibri"/>
          <w:i/>
          <w:lang w:val="it-IT"/>
        </w:rPr>
        <w:t xml:space="preserve"> media nazionale, </w:t>
      </w:r>
      <w:r w:rsidR="00A4394D">
        <w:rPr>
          <w:rFonts w:ascii="Calibri" w:hAnsi="Calibri" w:cs="Calibri"/>
          <w:i/>
          <w:lang w:val="it-IT"/>
        </w:rPr>
        <w:t xml:space="preserve">le </w:t>
      </w:r>
      <w:r w:rsidR="00D561E1" w:rsidRPr="00DA35AD">
        <w:rPr>
          <w:rFonts w:ascii="Calibri" w:hAnsi="Calibri" w:cs="Calibri"/>
          <w:i/>
          <w:lang w:val="it-IT"/>
        </w:rPr>
        <w:t>R</w:t>
      </w:r>
      <w:r w:rsidRPr="00DA35AD">
        <w:rPr>
          <w:rFonts w:ascii="Calibri" w:hAnsi="Calibri" w:cs="Calibri"/>
          <w:i/>
          <w:lang w:val="it-IT"/>
        </w:rPr>
        <w:t xml:space="preserve">egioni del centro, del </w:t>
      </w:r>
      <w:r w:rsidR="00EE6E98" w:rsidRPr="00DA35AD">
        <w:rPr>
          <w:rFonts w:ascii="Calibri" w:hAnsi="Calibri" w:cs="Calibri"/>
          <w:i/>
          <w:lang w:val="it-IT"/>
        </w:rPr>
        <w:t xml:space="preserve">Sud </w:t>
      </w:r>
      <w:r w:rsidRPr="00DA35AD">
        <w:rPr>
          <w:rFonts w:ascii="Calibri" w:hAnsi="Calibri" w:cs="Calibri"/>
          <w:i/>
          <w:lang w:val="it-IT"/>
        </w:rPr>
        <w:t xml:space="preserve">e delle </w:t>
      </w:r>
      <w:r w:rsidR="00EE6E98" w:rsidRPr="00DA35AD">
        <w:rPr>
          <w:rFonts w:ascii="Calibri" w:hAnsi="Calibri" w:cs="Calibri"/>
          <w:i/>
          <w:lang w:val="it-IT"/>
        </w:rPr>
        <w:t xml:space="preserve">Isole </w:t>
      </w:r>
      <w:r w:rsidRPr="00DA35AD">
        <w:rPr>
          <w:rFonts w:ascii="Calibri" w:hAnsi="Calibri" w:cs="Calibri"/>
          <w:i/>
          <w:lang w:val="it-IT"/>
        </w:rPr>
        <w:t xml:space="preserve">mostrano valori </w:t>
      </w:r>
      <w:r w:rsidR="00F642A3" w:rsidRPr="00DA35AD">
        <w:rPr>
          <w:rFonts w:ascii="Calibri" w:hAnsi="Calibri" w:cs="Calibri"/>
          <w:i/>
          <w:lang w:val="it-IT"/>
        </w:rPr>
        <w:t xml:space="preserve">di spesa </w:t>
      </w:r>
      <w:r w:rsidRPr="00DA35AD">
        <w:rPr>
          <w:rFonts w:ascii="Calibri" w:hAnsi="Calibri" w:cs="Calibri"/>
          <w:i/>
          <w:lang w:val="it-IT"/>
        </w:rPr>
        <w:t>superiori.</w:t>
      </w:r>
    </w:p>
    <w:p w:rsidR="00A4394D" w:rsidRPr="00DA35AD" w:rsidRDefault="00A4394D" w:rsidP="00A4394D">
      <w:pPr>
        <w:autoSpaceDE w:val="0"/>
        <w:autoSpaceDN w:val="0"/>
        <w:adjustRightInd w:val="0"/>
        <w:ind w:left="502"/>
        <w:jc w:val="both"/>
        <w:rPr>
          <w:rFonts w:ascii="Calibri" w:hAnsi="Calibri" w:cs="Calibri"/>
          <w:i/>
          <w:lang w:val="it-IT"/>
        </w:rPr>
      </w:pPr>
    </w:p>
    <w:p w:rsidR="006B5674" w:rsidRPr="00A83D83" w:rsidRDefault="002008E4" w:rsidP="00A4394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b/>
          <w:i/>
          <w:lang w:val="it-IT"/>
        </w:rPr>
      </w:pPr>
      <w:r w:rsidRPr="00A83D83">
        <w:rPr>
          <w:rFonts w:ascii="Calibri" w:hAnsi="Calibri" w:cs="Calibri"/>
          <w:i/>
          <w:lang w:val="it-IT"/>
        </w:rPr>
        <w:t>Si confermano</w:t>
      </w:r>
      <w:r w:rsidR="00D840D9" w:rsidRPr="00A83D83">
        <w:rPr>
          <w:rFonts w:ascii="Calibri" w:hAnsi="Calibri" w:cs="Calibri"/>
          <w:i/>
          <w:lang w:val="it-IT"/>
        </w:rPr>
        <w:t xml:space="preserve"> significative differenze regionali di </w:t>
      </w:r>
      <w:r w:rsidR="00D90952" w:rsidRPr="00A83D83">
        <w:rPr>
          <w:rFonts w:ascii="Calibri" w:hAnsi="Calibri" w:cs="Calibri"/>
          <w:i/>
          <w:lang w:val="it-IT"/>
        </w:rPr>
        <w:t>consumo e spesa</w:t>
      </w:r>
      <w:r w:rsidR="00D840D9" w:rsidRPr="00A83D83">
        <w:rPr>
          <w:rFonts w:ascii="Calibri" w:hAnsi="Calibri" w:cs="Calibri"/>
          <w:i/>
          <w:lang w:val="it-IT"/>
        </w:rPr>
        <w:t xml:space="preserve"> per categoria terapeutica.</w:t>
      </w:r>
    </w:p>
    <w:p w:rsidR="008E0A5E" w:rsidRPr="00FE3223" w:rsidRDefault="008E0A5E" w:rsidP="000321DC">
      <w:pPr>
        <w:autoSpaceDE w:val="0"/>
        <w:autoSpaceDN w:val="0"/>
        <w:adjustRightInd w:val="0"/>
        <w:spacing w:line="360" w:lineRule="auto"/>
        <w:rPr>
          <w:rFonts w:ascii="Calibri" w:hAnsi="Calibri" w:cs="Calibri"/>
          <w:color w:val="1F497D"/>
          <w:lang w:val="it-IT"/>
        </w:rPr>
      </w:pPr>
    </w:p>
    <w:p w:rsidR="00192314" w:rsidRPr="00AA57F8" w:rsidRDefault="00A4394D" w:rsidP="00A4394D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lang w:val="it-IT"/>
        </w:rPr>
      </w:pPr>
      <w:r>
        <w:rPr>
          <w:rFonts w:ascii="Calibri" w:hAnsi="Calibri" w:cs="Calibri"/>
          <w:b/>
          <w:lang w:val="it-IT"/>
        </w:rPr>
        <w:t>C</w:t>
      </w:r>
      <w:r w:rsidRPr="00AA57F8">
        <w:rPr>
          <w:rFonts w:ascii="Calibri" w:hAnsi="Calibri" w:cs="Calibri"/>
          <w:b/>
          <w:lang w:val="it-IT"/>
        </w:rPr>
        <w:t xml:space="preserve">onsumi e spesa di farmaci di classe </w:t>
      </w:r>
      <w:r>
        <w:rPr>
          <w:rFonts w:ascii="Calibri" w:hAnsi="Calibri" w:cs="Calibri"/>
          <w:b/>
          <w:lang w:val="it-IT"/>
        </w:rPr>
        <w:t>A-SSN</w:t>
      </w:r>
      <w:r w:rsidRPr="00AA57F8">
        <w:rPr>
          <w:rFonts w:ascii="Calibri" w:hAnsi="Calibri" w:cs="Calibri"/>
          <w:b/>
          <w:lang w:val="it-IT"/>
        </w:rPr>
        <w:t xml:space="preserve"> in regime di assistenza convenzionata</w:t>
      </w:r>
    </w:p>
    <w:p w:rsidR="00192314" w:rsidRPr="00AA57F8" w:rsidRDefault="00192314" w:rsidP="00A4394D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AA57F8">
        <w:rPr>
          <w:rFonts w:ascii="Calibri" w:hAnsi="Calibri" w:cs="Calibri"/>
          <w:lang w:val="it-IT"/>
        </w:rPr>
        <w:t xml:space="preserve">Per quanto concerne il consumo di farmaci in regime di assistenza convenzionata, </w:t>
      </w:r>
      <w:r w:rsidR="006252E0" w:rsidRPr="00AA57F8">
        <w:rPr>
          <w:rFonts w:ascii="Calibri" w:hAnsi="Calibri" w:cs="Tahoma"/>
          <w:lang w:val="it-IT"/>
        </w:rPr>
        <w:t xml:space="preserve">la Regione che evidenzia i livelli più elevati è la Calabria con 1.192,4 </w:t>
      </w:r>
      <w:r w:rsidR="006252E0" w:rsidRPr="00AA57F8">
        <w:rPr>
          <w:rFonts w:ascii="Calibri" w:hAnsi="Calibri" w:cs="Calibri"/>
          <w:lang w:val="it-IT"/>
        </w:rPr>
        <w:t>dosi giornaliere ogni 1</w:t>
      </w:r>
      <w:r w:rsidR="00A4394D">
        <w:rPr>
          <w:rFonts w:ascii="Calibri" w:hAnsi="Calibri" w:cs="Calibri"/>
          <w:lang w:val="it-IT"/>
        </w:rPr>
        <w:t>000 abitanti (DDD/1000 ab. die)</w:t>
      </w:r>
      <w:r w:rsidR="006252E0" w:rsidRPr="00AA57F8">
        <w:rPr>
          <w:rFonts w:ascii="Calibri" w:hAnsi="Calibri" w:cs="Calibri"/>
          <w:lang w:val="it-IT"/>
        </w:rPr>
        <w:t xml:space="preserve"> seguita da</w:t>
      </w:r>
      <w:r w:rsidR="00787AE1" w:rsidRPr="00AA57F8">
        <w:rPr>
          <w:rFonts w:ascii="Calibri" w:hAnsi="Calibri" w:cs="Calibri"/>
          <w:lang w:val="it-IT"/>
        </w:rPr>
        <w:t>l Lazio</w:t>
      </w:r>
      <w:r w:rsidR="006252E0" w:rsidRPr="00AA57F8">
        <w:rPr>
          <w:rFonts w:ascii="Calibri" w:hAnsi="Calibri" w:cs="Calibri"/>
          <w:lang w:val="it-IT"/>
        </w:rPr>
        <w:t xml:space="preserve"> (</w:t>
      </w:r>
      <w:r w:rsidR="006252E0" w:rsidRPr="00AA57F8">
        <w:rPr>
          <w:rFonts w:ascii="Calibri" w:hAnsi="Calibri" w:cs="Arial"/>
          <w:lang w:val="it-IT"/>
        </w:rPr>
        <w:t xml:space="preserve">1.187,6 </w:t>
      </w:r>
      <w:r w:rsidR="006252E0" w:rsidRPr="00AA57F8">
        <w:rPr>
          <w:rFonts w:ascii="Calibri" w:hAnsi="Calibri" w:cs="Calibri"/>
          <w:lang w:val="it-IT"/>
        </w:rPr>
        <w:t>DDD/1000 ab. die) e dalla Puglia (</w:t>
      </w:r>
      <w:r w:rsidR="006252E0" w:rsidRPr="00AA57F8">
        <w:rPr>
          <w:rFonts w:ascii="Calibri" w:hAnsi="Calibri" w:cs="Arial"/>
          <w:lang w:val="it-IT"/>
        </w:rPr>
        <w:t xml:space="preserve">1.160,4  </w:t>
      </w:r>
      <w:r w:rsidR="006252E0" w:rsidRPr="00AA57F8">
        <w:rPr>
          <w:rFonts w:ascii="Calibri" w:hAnsi="Calibri" w:cs="Calibri"/>
          <w:lang w:val="it-IT"/>
        </w:rPr>
        <w:t>DDD/1000 ab. die)</w:t>
      </w:r>
      <w:r w:rsidRPr="00AA57F8">
        <w:rPr>
          <w:rFonts w:ascii="Calibri" w:hAnsi="Calibri" w:cs="Calibri"/>
          <w:lang w:val="it-IT"/>
        </w:rPr>
        <w:t>.</w:t>
      </w:r>
      <w:r w:rsidR="00FA6FB0" w:rsidRPr="00AA57F8">
        <w:rPr>
          <w:rFonts w:ascii="Calibri" w:hAnsi="Calibri" w:cs="Calibri"/>
          <w:lang w:val="it-IT"/>
        </w:rPr>
        <w:t xml:space="preserve"> </w:t>
      </w:r>
      <w:r w:rsidR="00787AE1" w:rsidRPr="00AA57F8">
        <w:rPr>
          <w:rFonts w:ascii="Calibri" w:hAnsi="Calibri" w:cs="Calibri"/>
          <w:lang w:val="it-IT"/>
        </w:rPr>
        <w:t>Con il</w:t>
      </w:r>
      <w:r w:rsidRPr="00AA57F8">
        <w:rPr>
          <w:rFonts w:ascii="Calibri" w:hAnsi="Calibri" w:cs="Calibri"/>
          <w:lang w:val="it-IT"/>
        </w:rPr>
        <w:t xml:space="preserve"> valore di consumi più basso </w:t>
      </w:r>
      <w:r w:rsidR="00787AE1" w:rsidRPr="00AA57F8">
        <w:rPr>
          <w:rFonts w:ascii="Calibri" w:hAnsi="Calibri" w:cs="Calibri"/>
          <w:lang w:val="it-IT"/>
        </w:rPr>
        <w:t>si conferma la</w:t>
      </w:r>
      <w:r w:rsidRPr="00AA57F8">
        <w:rPr>
          <w:rFonts w:ascii="Calibri" w:hAnsi="Calibri" w:cs="Calibri"/>
          <w:lang w:val="it-IT"/>
        </w:rPr>
        <w:t xml:space="preserve"> </w:t>
      </w:r>
      <w:r w:rsidR="00A4394D">
        <w:rPr>
          <w:rFonts w:ascii="Calibri" w:hAnsi="Calibri" w:cs="Tahoma"/>
          <w:lang w:val="it-IT"/>
        </w:rPr>
        <w:t>Provincia a</w:t>
      </w:r>
      <w:r w:rsidR="00AA57F8" w:rsidRPr="00AA57F8">
        <w:rPr>
          <w:rFonts w:ascii="Calibri" w:hAnsi="Calibri" w:cs="Tahoma"/>
          <w:lang w:val="it-IT"/>
        </w:rPr>
        <w:t>utonoma di Bolzano (765,2 DDD ogni 1000 ab die)</w:t>
      </w:r>
      <w:r w:rsidRPr="00AA57F8">
        <w:rPr>
          <w:rFonts w:ascii="Calibri" w:hAnsi="Calibri" w:cs="Calibri"/>
          <w:lang w:val="it-IT"/>
        </w:rPr>
        <w:t xml:space="preserve"> seguita </w:t>
      </w:r>
      <w:r w:rsidR="00787AE1" w:rsidRPr="00AA57F8">
        <w:rPr>
          <w:rFonts w:ascii="Calibri" w:hAnsi="Calibri" w:cs="Calibri"/>
          <w:lang w:val="it-IT"/>
        </w:rPr>
        <w:t>dalla Liguria (</w:t>
      </w:r>
      <w:r w:rsidR="00AA57F8" w:rsidRPr="00AA57F8">
        <w:rPr>
          <w:rFonts w:ascii="Calibri" w:hAnsi="Calibri" w:cs="Arial"/>
          <w:lang w:val="it-IT"/>
        </w:rPr>
        <w:t>879,4</w:t>
      </w:r>
      <w:r w:rsidR="00787AE1" w:rsidRPr="00AA57F8">
        <w:rPr>
          <w:rFonts w:ascii="Calibri" w:hAnsi="Calibri" w:cs="Calibri"/>
          <w:lang w:val="it-IT"/>
        </w:rPr>
        <w:t xml:space="preserve"> DDD/1000 ab. die), </w:t>
      </w:r>
      <w:r w:rsidR="00CF34F6" w:rsidRPr="00AA57F8">
        <w:rPr>
          <w:rFonts w:ascii="Calibri" w:hAnsi="Calibri" w:cs="Calibri"/>
          <w:lang w:val="it-IT"/>
        </w:rPr>
        <w:t>dal</w:t>
      </w:r>
      <w:r w:rsidR="00AA57F8" w:rsidRPr="00AA57F8">
        <w:rPr>
          <w:rFonts w:ascii="Calibri" w:hAnsi="Calibri" w:cs="Calibri"/>
          <w:lang w:val="it-IT"/>
        </w:rPr>
        <w:t xml:space="preserve"> </w:t>
      </w:r>
      <w:r w:rsidR="00AA57F8" w:rsidRPr="00AA57F8">
        <w:rPr>
          <w:rFonts w:ascii="Calibri" w:hAnsi="Calibri" w:cs="Arial"/>
          <w:lang w:val="it-IT"/>
        </w:rPr>
        <w:t xml:space="preserve">Veneto </w:t>
      </w:r>
      <w:r w:rsidR="00CF34F6" w:rsidRPr="00AA57F8">
        <w:rPr>
          <w:rFonts w:ascii="Calibri" w:hAnsi="Calibri" w:cs="Calibri"/>
          <w:lang w:val="it-IT"/>
        </w:rPr>
        <w:t>(</w:t>
      </w:r>
      <w:r w:rsidR="00AA57F8" w:rsidRPr="00AA57F8">
        <w:rPr>
          <w:rFonts w:ascii="Calibri" w:hAnsi="Calibri" w:cs="Arial"/>
          <w:lang w:val="it-IT"/>
        </w:rPr>
        <w:t xml:space="preserve">947,7 </w:t>
      </w:r>
      <w:r w:rsidR="00CF34F6" w:rsidRPr="00AA57F8">
        <w:rPr>
          <w:rFonts w:ascii="Calibri" w:hAnsi="Calibri" w:cs="Calibri"/>
          <w:lang w:val="it-IT"/>
        </w:rPr>
        <w:t xml:space="preserve">DDD/1000 ab. die) </w:t>
      </w:r>
      <w:r w:rsidR="00CF34F6" w:rsidRPr="00B72834">
        <w:rPr>
          <w:rFonts w:ascii="Calibri" w:hAnsi="Calibri" w:cs="Calibri"/>
          <w:lang w:val="it-IT"/>
        </w:rPr>
        <w:t xml:space="preserve">e </w:t>
      </w:r>
      <w:r w:rsidRPr="00B72834">
        <w:rPr>
          <w:rFonts w:ascii="Calibri" w:hAnsi="Calibri" w:cs="Calibri"/>
          <w:lang w:val="it-IT"/>
        </w:rPr>
        <w:t xml:space="preserve">dalla </w:t>
      </w:r>
      <w:r w:rsidR="00AA57F8" w:rsidRPr="00B72834">
        <w:rPr>
          <w:rFonts w:ascii="Calibri" w:hAnsi="Calibri" w:cs="Calibri"/>
          <w:lang w:val="it-IT"/>
        </w:rPr>
        <w:t>Valle D'Aosta</w:t>
      </w:r>
      <w:r w:rsidRPr="00B72834">
        <w:rPr>
          <w:rFonts w:ascii="Calibri" w:hAnsi="Calibri" w:cs="Calibri"/>
          <w:lang w:val="it-IT"/>
        </w:rPr>
        <w:t xml:space="preserve"> (</w:t>
      </w:r>
      <w:r w:rsidR="00AA57F8" w:rsidRPr="00B72834">
        <w:rPr>
          <w:rFonts w:ascii="Calibri" w:hAnsi="Calibri" w:cs="Arial"/>
          <w:lang w:val="it-IT"/>
        </w:rPr>
        <w:t>966,3</w:t>
      </w:r>
      <w:r w:rsidR="00FA6FB0" w:rsidRPr="00B72834">
        <w:rPr>
          <w:rFonts w:ascii="Calibri" w:hAnsi="Calibri" w:cs="Calibri"/>
          <w:lang w:val="it-IT"/>
        </w:rPr>
        <w:t xml:space="preserve"> DDD/1000 ab. die). </w:t>
      </w:r>
      <w:r w:rsidR="00A4394D">
        <w:rPr>
          <w:rFonts w:ascii="Calibri" w:hAnsi="Calibri" w:cs="Calibri"/>
          <w:lang w:val="it-IT"/>
        </w:rPr>
        <w:t xml:space="preserve">In termini di spesa lorda pro </w:t>
      </w:r>
      <w:r w:rsidR="00B72834" w:rsidRPr="00B72834">
        <w:rPr>
          <w:rFonts w:ascii="Calibri" w:hAnsi="Calibri" w:cs="Calibri"/>
          <w:lang w:val="it-IT"/>
        </w:rPr>
        <w:t>capite</w:t>
      </w:r>
      <w:r w:rsidR="00B72834" w:rsidRPr="00B72834">
        <w:rPr>
          <w:rFonts w:ascii="Calibri" w:hAnsi="Calibri" w:cs="Tahoma"/>
          <w:lang w:val="it-IT"/>
        </w:rPr>
        <w:t xml:space="preserve"> per i farmaci di classe A-SSN</w:t>
      </w:r>
      <w:r w:rsidR="00B72834" w:rsidRPr="00B72834">
        <w:rPr>
          <w:rFonts w:ascii="Calibri" w:hAnsi="Calibri" w:cs="Calibri"/>
          <w:lang w:val="it-IT"/>
        </w:rPr>
        <w:t xml:space="preserve">, </w:t>
      </w:r>
      <w:r w:rsidR="00B72834" w:rsidRPr="00B72834">
        <w:rPr>
          <w:rFonts w:ascii="Calibri" w:hAnsi="Calibri" w:cs="Tahoma"/>
          <w:lang w:val="it-IT"/>
        </w:rPr>
        <w:t>la Regione con il valor</w:t>
      </w:r>
      <w:r w:rsidR="00A4394D">
        <w:rPr>
          <w:rFonts w:ascii="Calibri" w:hAnsi="Calibri" w:cs="Tahoma"/>
          <w:lang w:val="it-IT"/>
        </w:rPr>
        <w:t>e più elevato è la Campania (</w:t>
      </w:r>
      <w:r w:rsidR="00B72834" w:rsidRPr="00B72834">
        <w:rPr>
          <w:rFonts w:ascii="Calibri" w:hAnsi="Calibri" w:cs="Tahoma"/>
          <w:lang w:val="it-IT"/>
        </w:rPr>
        <w:t>224</w:t>
      </w:r>
      <w:r w:rsidR="005F1951">
        <w:rPr>
          <w:rFonts w:ascii="Calibri" w:hAnsi="Calibri" w:cs="Tahoma"/>
          <w:lang w:val="it-IT"/>
        </w:rPr>
        <w:t>,0</w:t>
      </w:r>
      <w:r w:rsidR="00A4394D">
        <w:rPr>
          <w:rFonts w:ascii="Calibri" w:hAnsi="Calibri" w:cs="Tahoma"/>
          <w:lang w:val="it-IT"/>
        </w:rPr>
        <w:t xml:space="preserve"> euro)</w:t>
      </w:r>
      <w:r w:rsidR="00B72834" w:rsidRPr="00B72834">
        <w:rPr>
          <w:rFonts w:ascii="Calibri" w:hAnsi="Calibri" w:cs="Tahoma"/>
          <w:lang w:val="it-IT"/>
        </w:rPr>
        <w:t xml:space="preserve"> seguita dalla Puglia (218</w:t>
      </w:r>
      <w:r w:rsidR="005F1951">
        <w:rPr>
          <w:rFonts w:ascii="Calibri" w:hAnsi="Calibri" w:cs="Tahoma"/>
          <w:lang w:val="it-IT"/>
        </w:rPr>
        <w:t>,0</w:t>
      </w:r>
      <w:r w:rsidR="00B72834" w:rsidRPr="00B72834">
        <w:rPr>
          <w:rFonts w:ascii="Calibri" w:hAnsi="Calibri" w:cs="Tahoma"/>
          <w:lang w:val="it-IT"/>
        </w:rPr>
        <w:t xml:space="preserve"> euro) e dalla Calabria (</w:t>
      </w:r>
      <w:r w:rsidR="00B72834" w:rsidRPr="00B72834">
        <w:rPr>
          <w:rFonts w:ascii="Calibri" w:hAnsi="Calibri" w:cs="Arial"/>
          <w:lang w:val="it-IT"/>
        </w:rPr>
        <w:t>213,3 euro</w:t>
      </w:r>
      <w:r w:rsidR="00A4394D">
        <w:rPr>
          <w:rFonts w:ascii="Calibri" w:hAnsi="Calibri" w:cs="Arial"/>
          <w:lang w:val="it-IT"/>
        </w:rPr>
        <w:t>)</w:t>
      </w:r>
      <w:r w:rsidR="00B72834" w:rsidRPr="00B72834">
        <w:rPr>
          <w:rFonts w:ascii="Calibri" w:hAnsi="Calibri" w:cs="Arial"/>
          <w:lang w:val="it-IT"/>
        </w:rPr>
        <w:t xml:space="preserve"> </w:t>
      </w:r>
      <w:r w:rsidR="00B72834" w:rsidRPr="00B72834">
        <w:rPr>
          <w:rFonts w:ascii="Calibri" w:hAnsi="Calibri" w:cs="Tahoma"/>
          <w:lang w:val="it-IT"/>
        </w:rPr>
        <w:t>mentre il valore più bas</w:t>
      </w:r>
      <w:r w:rsidR="00A4394D">
        <w:rPr>
          <w:rFonts w:ascii="Calibri" w:hAnsi="Calibri" w:cs="Tahoma"/>
          <w:lang w:val="it-IT"/>
        </w:rPr>
        <w:t>so si registra nella Provincia a</w:t>
      </w:r>
      <w:r w:rsidR="00B72834" w:rsidRPr="00B72834">
        <w:rPr>
          <w:rFonts w:ascii="Calibri" w:hAnsi="Calibri" w:cs="Tahoma"/>
          <w:lang w:val="it-IT"/>
        </w:rPr>
        <w:t>utonoma di Bol</w:t>
      </w:r>
      <w:r w:rsidR="00A4394D">
        <w:rPr>
          <w:rFonts w:ascii="Calibri" w:hAnsi="Calibri" w:cs="Tahoma"/>
          <w:lang w:val="it-IT"/>
        </w:rPr>
        <w:t xml:space="preserve">zano (129,8 euro) </w:t>
      </w:r>
      <w:r w:rsidR="00B72834" w:rsidRPr="00B72834">
        <w:rPr>
          <w:rFonts w:ascii="Calibri" w:hAnsi="Calibri" w:cs="Tahoma"/>
          <w:lang w:val="it-IT"/>
        </w:rPr>
        <w:t xml:space="preserve">in </w:t>
      </w:r>
      <w:r w:rsidR="005F1951">
        <w:rPr>
          <w:rFonts w:ascii="Calibri" w:hAnsi="Calibri" w:cs="Tahoma"/>
          <w:lang w:val="it-IT"/>
        </w:rPr>
        <w:t>Emilia Romagna (139,2 euro</w:t>
      </w:r>
      <w:r w:rsidR="00A4394D">
        <w:rPr>
          <w:rFonts w:ascii="Calibri" w:hAnsi="Calibri" w:cs="Tahoma"/>
          <w:lang w:val="it-IT"/>
        </w:rPr>
        <w:t>)</w:t>
      </w:r>
      <w:r w:rsidR="005F1951">
        <w:rPr>
          <w:rFonts w:ascii="Calibri" w:hAnsi="Calibri" w:cs="Tahoma"/>
          <w:lang w:val="it-IT"/>
        </w:rPr>
        <w:t xml:space="preserve"> e </w:t>
      </w:r>
      <w:r w:rsidR="00B72834" w:rsidRPr="00B72834">
        <w:rPr>
          <w:rFonts w:ascii="Calibri" w:hAnsi="Calibri" w:cs="Tahoma"/>
          <w:lang w:val="it-IT"/>
        </w:rPr>
        <w:t>Toscana (</w:t>
      </w:r>
      <w:r w:rsidR="00B72834" w:rsidRPr="00B72834">
        <w:rPr>
          <w:rFonts w:ascii="Calibri" w:hAnsi="Calibri" w:cs="Arial"/>
          <w:lang w:val="it-IT"/>
        </w:rPr>
        <w:t>143,7 euro).</w:t>
      </w:r>
      <w:r w:rsidR="00B72834" w:rsidRPr="00B72834">
        <w:rPr>
          <w:rFonts w:ascii="Calibri" w:hAnsi="Calibri" w:cs="Calibri"/>
          <w:lang w:val="it-IT"/>
        </w:rPr>
        <w:t xml:space="preserve">  </w:t>
      </w:r>
    </w:p>
    <w:p w:rsidR="00121154" w:rsidRPr="00121154" w:rsidRDefault="00121154" w:rsidP="00A4394D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121154">
        <w:rPr>
          <w:rFonts w:ascii="Calibri" w:hAnsi="Calibri" w:cs="Calibri"/>
          <w:lang w:val="it-IT"/>
        </w:rPr>
        <w:t>La spesa convenzionata nel 2014 ha fatto registrare a livello nazionale una riduzione del -2,1%, essenzialmente determinata da una riduzione dei prezzi de</w:t>
      </w:r>
      <w:r w:rsidR="00A4394D">
        <w:rPr>
          <w:rFonts w:ascii="Calibri" w:hAnsi="Calibri" w:cs="Calibri"/>
          <w:lang w:val="it-IT"/>
        </w:rPr>
        <w:t>l -3,3% (in prevalenza collegata</w:t>
      </w:r>
      <w:r w:rsidRPr="00121154">
        <w:rPr>
          <w:rFonts w:ascii="Calibri" w:hAnsi="Calibri" w:cs="Calibri"/>
          <w:lang w:val="it-IT"/>
        </w:rPr>
        <w:t xml:space="preserve"> alle </w:t>
      </w:r>
      <w:r w:rsidRPr="00121154">
        <w:rPr>
          <w:rFonts w:ascii="Calibri" w:hAnsi="Calibri" w:cs="Calibri"/>
          <w:lang w:val="it-IT"/>
        </w:rPr>
        <w:lastRenderedPageBreak/>
        <w:t>scadenze brevettuali in corso d’anno) e da un lieve spostamento dei consumi verso prodotti a minor prezzo (effetto mix -1,0%). L’effetto prezzi e l’effetto mix sono stati in parte controbilanciati da un incremento dei consumi che è stato, a livello nazionale, pari al +2,5%. Rispetto a questi riferimenti medi nazionali, la variabilità regionale risulta molto ampia: la variazione dei consumi rispetto all’anno precedente oscilla tra il +6,3% della Regione Molise e -1,0% della Liguria; l’effetto mix varia tra il +5,0% della P</w:t>
      </w:r>
      <w:r w:rsidR="00FE2889">
        <w:rPr>
          <w:rFonts w:ascii="Calibri" w:hAnsi="Calibri" w:cs="Calibri"/>
          <w:lang w:val="it-IT"/>
        </w:rPr>
        <w:t>rovincia autonoma</w:t>
      </w:r>
      <w:r w:rsidRPr="00121154">
        <w:rPr>
          <w:rFonts w:ascii="Calibri" w:hAnsi="Calibri" w:cs="Calibri"/>
          <w:lang w:val="it-IT"/>
        </w:rPr>
        <w:t xml:space="preserve"> di Bolzano e il -6,8% della Sicilia.</w:t>
      </w:r>
    </w:p>
    <w:p w:rsidR="00FA6FB0" w:rsidRPr="005F1951" w:rsidRDefault="00FA6FB0" w:rsidP="00A4394D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5F1951">
        <w:rPr>
          <w:rFonts w:ascii="Calibri" w:hAnsi="Calibri" w:cs="Calibri"/>
          <w:lang w:val="it-IT"/>
        </w:rPr>
        <w:t>È importante sottolineare che in questa analisi non si tiene conto dell’effetto della distribuzione diretta e per conto (la distribuzione diretta è intesa come la dispensazione, per il tramite delle strutture sanitarie, di medicinali ad assistiti in dimissione da ricovero ospedaliero o a seguito di visite specialistiche; questa distribuzione può avvenire anche attraverso specifici accordi con le farmacie territoriali, pubbliche e private e in tal caso si tratta di distribuzione per conto).</w:t>
      </w:r>
    </w:p>
    <w:p w:rsidR="00326D9B" w:rsidRPr="00FE3223" w:rsidRDefault="00326D9B" w:rsidP="00A4394D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1F497D"/>
          <w:lang w:val="it-IT"/>
        </w:rPr>
      </w:pPr>
    </w:p>
    <w:p w:rsidR="00D561E1" w:rsidRPr="00DA35AD" w:rsidRDefault="00E44B03" w:rsidP="00A4394D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/>
          <w:lang w:val="it-IT"/>
        </w:rPr>
      </w:pPr>
      <w:r>
        <w:rPr>
          <w:rFonts w:ascii="Calibri" w:hAnsi="Calibri" w:cs="Calibri"/>
          <w:b/>
          <w:lang w:val="it-IT"/>
        </w:rPr>
        <w:t>C</w:t>
      </w:r>
      <w:r w:rsidRPr="00DA35AD">
        <w:rPr>
          <w:rFonts w:ascii="Calibri" w:hAnsi="Calibri" w:cs="Calibri"/>
          <w:b/>
          <w:lang w:val="it-IT"/>
        </w:rPr>
        <w:t>omposizione della spesa farmaceutica pubblica e privata</w:t>
      </w:r>
    </w:p>
    <w:p w:rsidR="00D561E1" w:rsidRDefault="0064497F" w:rsidP="00A4394D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DA35AD">
        <w:rPr>
          <w:rFonts w:ascii="Calibri" w:hAnsi="Calibri" w:cs="Calibri"/>
          <w:lang w:val="it-IT"/>
        </w:rPr>
        <w:t xml:space="preserve">La spesa erogata dalle Regioni in regime di assistenza convenzionata incide per il 41% della spesa totale a </w:t>
      </w:r>
      <w:r w:rsidR="002B2609">
        <w:rPr>
          <w:rFonts w:ascii="Calibri" w:hAnsi="Calibri" w:cs="Calibri"/>
          <w:lang w:val="it-IT"/>
        </w:rPr>
        <w:t>livello nazionale. R</w:t>
      </w:r>
      <w:r w:rsidRPr="00DA35AD">
        <w:rPr>
          <w:rFonts w:ascii="Calibri" w:hAnsi="Calibri" w:cs="Calibri"/>
          <w:lang w:val="it-IT"/>
        </w:rPr>
        <w:t>ispetto a questa percentuale l’Italia appare</w:t>
      </w:r>
      <w:r w:rsidR="002B2609">
        <w:rPr>
          <w:rFonts w:ascii="Calibri" w:hAnsi="Calibri" w:cs="Calibri"/>
          <w:lang w:val="it-IT"/>
        </w:rPr>
        <w:t xml:space="preserve"> divisa in due: le Regioni del N</w:t>
      </w:r>
      <w:r w:rsidRPr="00DA35AD">
        <w:rPr>
          <w:rFonts w:ascii="Calibri" w:hAnsi="Calibri" w:cs="Calibri"/>
          <w:lang w:val="it-IT"/>
        </w:rPr>
        <w:t>ord</w:t>
      </w:r>
      <w:r w:rsidR="002B2609">
        <w:rPr>
          <w:rFonts w:ascii="Calibri" w:hAnsi="Calibri" w:cs="Calibri"/>
          <w:lang w:val="it-IT"/>
        </w:rPr>
        <w:t xml:space="preserve"> con</w:t>
      </w:r>
      <w:r w:rsidRPr="00DA35AD">
        <w:rPr>
          <w:rFonts w:ascii="Calibri" w:hAnsi="Calibri" w:cs="Calibri"/>
          <w:lang w:val="it-IT"/>
        </w:rPr>
        <w:t xml:space="preserve"> incidenze inferiori alla media nazionale e le Regioni del Centro e del Sud - comprese le Isole - con valori superiori. Relativamente alla spesa privata sostenuta direttamente dal cittadino, emerge la situazione opposta, per cui le Regioni del Nord mostrano un’incidenza della spesa maggiore rispetto alla media nazionale e le Regioni del Sud incidenze minori. La spesa sostenuta per l’acquisto di medicinali da parte delle strutture sanitarie pubbliche</w:t>
      </w:r>
      <w:r w:rsidR="003B13C3">
        <w:rPr>
          <w:rFonts w:ascii="Calibri" w:hAnsi="Calibri" w:cs="Calibri"/>
          <w:lang w:val="it-IT"/>
        </w:rPr>
        <w:t>, comprensiva della distribuzione diretta e per conto,</w:t>
      </w:r>
      <w:r w:rsidRPr="00DA35AD">
        <w:rPr>
          <w:rFonts w:ascii="Calibri" w:hAnsi="Calibri" w:cs="Calibri"/>
          <w:lang w:val="it-IT"/>
        </w:rPr>
        <w:t xml:space="preserve"> incide per il 34% della spesa tot</w:t>
      </w:r>
      <w:r w:rsidR="002B2609">
        <w:rPr>
          <w:rFonts w:ascii="Calibri" w:hAnsi="Calibri" w:cs="Calibri"/>
          <w:lang w:val="it-IT"/>
        </w:rPr>
        <w:t xml:space="preserve">ale a livello nazionale, con </w:t>
      </w:r>
      <w:r w:rsidRPr="00DA35AD">
        <w:rPr>
          <w:rFonts w:ascii="Calibri" w:hAnsi="Calibri" w:cs="Calibri"/>
          <w:lang w:val="it-IT"/>
        </w:rPr>
        <w:t>valore m</w:t>
      </w:r>
      <w:r w:rsidR="002B2609">
        <w:rPr>
          <w:rFonts w:ascii="Calibri" w:hAnsi="Calibri" w:cs="Calibri"/>
          <w:lang w:val="it-IT"/>
        </w:rPr>
        <w:t>assimo del 43% nella Provincia a</w:t>
      </w:r>
      <w:r w:rsidRPr="00DA35AD">
        <w:rPr>
          <w:rFonts w:ascii="Calibri" w:hAnsi="Calibri" w:cs="Calibri"/>
          <w:lang w:val="it-IT"/>
        </w:rPr>
        <w:t>utonoma di Bolzano e valore minimo del 28% nella Valle d’Aosta</w:t>
      </w:r>
      <w:r w:rsidR="00D561E1" w:rsidRPr="00DA35AD">
        <w:rPr>
          <w:rFonts w:ascii="Calibri" w:hAnsi="Calibri" w:cs="Calibri"/>
          <w:lang w:val="it-IT"/>
        </w:rPr>
        <w:t>.</w:t>
      </w:r>
      <w:r w:rsidR="002B2609">
        <w:rPr>
          <w:rFonts w:ascii="Calibri" w:hAnsi="Calibri" w:cs="Calibri"/>
          <w:lang w:val="it-IT"/>
        </w:rPr>
        <w:t xml:space="preserve"> </w:t>
      </w:r>
      <w:r w:rsidR="003B13C3">
        <w:rPr>
          <w:rFonts w:ascii="Calibri" w:hAnsi="Calibri" w:cs="Calibri"/>
          <w:lang w:val="it-IT"/>
        </w:rPr>
        <w:t>Tali differenze possono essere spiegate dal diverso grado di ricorso alle modalità alternative di distribuzione dei farmaci (distribuzione diretta e per conto).</w:t>
      </w:r>
    </w:p>
    <w:p w:rsidR="00EB0019" w:rsidRPr="00DA35AD" w:rsidRDefault="00EB0019" w:rsidP="00A4394D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</w:p>
    <w:p w:rsidR="00192314" w:rsidRPr="0006485A" w:rsidRDefault="00197A6E" w:rsidP="00A4394D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lang w:val="it-IT"/>
        </w:rPr>
      </w:pPr>
      <w:r>
        <w:rPr>
          <w:rFonts w:ascii="Calibri" w:hAnsi="Calibri" w:cs="Calibri"/>
          <w:b/>
          <w:lang w:val="it-IT"/>
        </w:rPr>
        <w:t>R</w:t>
      </w:r>
      <w:r w:rsidRPr="0006485A">
        <w:rPr>
          <w:rFonts w:ascii="Calibri" w:hAnsi="Calibri" w:cs="Calibri"/>
          <w:b/>
          <w:lang w:val="it-IT"/>
        </w:rPr>
        <w:t>elazione tra consumo e spesa</w:t>
      </w:r>
    </w:p>
    <w:p w:rsidR="007D70E7" w:rsidRPr="0006485A" w:rsidRDefault="00197A6E" w:rsidP="00A4394D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>
        <w:rPr>
          <w:rFonts w:ascii="Calibri" w:hAnsi="Calibri" w:cs="Calibri"/>
          <w:lang w:val="it-IT"/>
        </w:rPr>
        <w:t>A</w:t>
      </w:r>
      <w:r w:rsidR="007D70E7" w:rsidRPr="0006485A">
        <w:rPr>
          <w:rFonts w:ascii="Calibri" w:hAnsi="Calibri" w:cs="Calibri"/>
          <w:lang w:val="it-IT"/>
        </w:rPr>
        <w:t xml:space="preserve"> un’analisi della relazione tra spesa e consumi erogati in regime di assistenza convenzionata</w:t>
      </w:r>
      <w:r>
        <w:rPr>
          <w:rFonts w:ascii="Calibri" w:hAnsi="Calibri" w:cs="Calibri"/>
          <w:lang w:val="it-IT"/>
        </w:rPr>
        <w:t>,</w:t>
      </w:r>
      <w:r w:rsidR="007D70E7" w:rsidRPr="0006485A">
        <w:rPr>
          <w:rFonts w:ascii="Calibri" w:hAnsi="Calibri" w:cs="Calibri"/>
          <w:lang w:val="it-IT"/>
        </w:rPr>
        <w:t xml:space="preserve"> il Molise e la Basilicata sono le Regioni che consumano di meno rispetto alla media nazionale, spendendo mediamente di più; al contrario la Regione Umbria è l’unica </w:t>
      </w:r>
      <w:r>
        <w:rPr>
          <w:rFonts w:ascii="Calibri" w:hAnsi="Calibri" w:cs="Calibri"/>
          <w:lang w:val="it-IT"/>
        </w:rPr>
        <w:t>che</w:t>
      </w:r>
      <w:r w:rsidR="007D70E7" w:rsidRPr="0006485A">
        <w:rPr>
          <w:rFonts w:ascii="Calibri" w:hAnsi="Calibri" w:cs="Calibri"/>
          <w:lang w:val="it-IT"/>
        </w:rPr>
        <w:t xml:space="preserve"> registra un consumo medio superiore a quello medio nazionale, spendendo meno. </w:t>
      </w:r>
    </w:p>
    <w:p w:rsidR="007D70E7" w:rsidRPr="0006485A" w:rsidRDefault="00192314" w:rsidP="00A4394D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06485A">
        <w:rPr>
          <w:rFonts w:ascii="Calibri" w:hAnsi="Calibri" w:cs="Calibri"/>
          <w:lang w:val="it-IT"/>
        </w:rPr>
        <w:t>L’analisi</w:t>
      </w:r>
      <w:r w:rsidR="007D70E7" w:rsidRPr="0006485A">
        <w:rPr>
          <w:rFonts w:ascii="Calibri" w:hAnsi="Calibri" w:cs="Calibri"/>
          <w:lang w:val="it-IT"/>
        </w:rPr>
        <w:t xml:space="preserve"> della</w:t>
      </w:r>
      <w:r w:rsidRPr="0006485A">
        <w:rPr>
          <w:rFonts w:ascii="Calibri" w:hAnsi="Calibri" w:cs="Calibri"/>
          <w:lang w:val="it-IT"/>
        </w:rPr>
        <w:t xml:space="preserve"> </w:t>
      </w:r>
      <w:r w:rsidR="007D70E7" w:rsidRPr="0006485A">
        <w:rPr>
          <w:rFonts w:ascii="Calibri" w:hAnsi="Calibri" w:cs="Calibri"/>
          <w:lang w:val="it-IT"/>
        </w:rPr>
        <w:t>relazione tra spesa e consumi</w:t>
      </w:r>
      <w:r w:rsidR="00C070DE">
        <w:rPr>
          <w:rFonts w:ascii="Calibri" w:hAnsi="Calibri" w:cs="Calibri"/>
          <w:lang w:val="it-IT"/>
        </w:rPr>
        <w:t>,</w:t>
      </w:r>
      <w:r w:rsidR="007D70E7" w:rsidRPr="0006485A">
        <w:rPr>
          <w:rFonts w:ascii="Calibri" w:hAnsi="Calibri" w:cs="Calibri"/>
          <w:lang w:val="it-IT"/>
        </w:rPr>
        <w:t xml:space="preserve"> nello specifico dei medicinali acquistati dalle strutture sanitar</w:t>
      </w:r>
      <w:r w:rsidR="00C070DE">
        <w:rPr>
          <w:rFonts w:ascii="Calibri" w:hAnsi="Calibri" w:cs="Calibri"/>
          <w:lang w:val="it-IT"/>
        </w:rPr>
        <w:t>ie pubbliche, mostra a</w:t>
      </w:r>
      <w:r w:rsidR="007D70E7" w:rsidRPr="0006485A">
        <w:rPr>
          <w:rFonts w:ascii="Calibri" w:hAnsi="Calibri" w:cs="Calibri"/>
          <w:lang w:val="it-IT"/>
        </w:rPr>
        <w:t xml:space="preserve"> un estremo la Campania, le cui strutture sanitarie pubbliche hanno </w:t>
      </w:r>
      <w:r w:rsidR="007D70E7" w:rsidRPr="0006485A">
        <w:rPr>
          <w:rFonts w:ascii="Calibri" w:hAnsi="Calibri" w:cs="Calibri"/>
          <w:lang w:val="it-IT"/>
        </w:rPr>
        <w:lastRenderedPageBreak/>
        <w:t>acquistato dosi di medicinali in quantità inferiori rispetto alla media nazionale, con una spesa pr</w:t>
      </w:r>
      <w:r w:rsidR="00C070DE">
        <w:rPr>
          <w:rFonts w:ascii="Calibri" w:hAnsi="Calibri" w:cs="Calibri"/>
          <w:lang w:val="it-IT"/>
        </w:rPr>
        <w:t>o capite mediamente più elevata, e</w:t>
      </w:r>
      <w:r w:rsidR="007D70E7" w:rsidRPr="0006485A">
        <w:rPr>
          <w:rFonts w:ascii="Calibri" w:hAnsi="Calibri" w:cs="Calibri"/>
          <w:lang w:val="it-IT"/>
        </w:rPr>
        <w:t xml:space="preserve"> all’estremo opposto la Valle d’Aosta, le cui strutture sanitarie pubbliche hanno acquistato dosi di medicinali in quantità superiori r</w:t>
      </w:r>
      <w:r w:rsidR="00C070DE">
        <w:rPr>
          <w:rFonts w:ascii="Calibri" w:hAnsi="Calibri" w:cs="Calibri"/>
          <w:lang w:val="it-IT"/>
        </w:rPr>
        <w:t>ispetto alla media nazionale, a</w:t>
      </w:r>
      <w:r w:rsidR="007D70E7" w:rsidRPr="0006485A">
        <w:rPr>
          <w:rFonts w:ascii="Calibri" w:hAnsi="Calibri" w:cs="Calibri"/>
          <w:lang w:val="it-IT"/>
        </w:rPr>
        <w:t xml:space="preserve"> una spesa mediamente più bassa. </w:t>
      </w:r>
    </w:p>
    <w:p w:rsidR="00DE1BA6" w:rsidRPr="00DE1BA6" w:rsidRDefault="00192314" w:rsidP="00A4394D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DE1BA6">
        <w:rPr>
          <w:rFonts w:ascii="Calibri" w:hAnsi="Calibri" w:cs="Calibri"/>
          <w:lang w:val="it-IT"/>
        </w:rPr>
        <w:t xml:space="preserve">Combinando i dati della spesa convenzionata a carico del SSN con la spesa a fronte dell’acquisto di farmaci da parte delle strutture sanitarie pubbliche, nello specifico dei medicinali di fascia A erogati in distribuzione diretta e per conto, </w:t>
      </w:r>
      <w:r w:rsidR="009373FE" w:rsidRPr="00DE1BA6">
        <w:rPr>
          <w:rFonts w:ascii="Calibri" w:hAnsi="Calibri" w:cs="Calibri"/>
          <w:lang w:val="it-IT"/>
        </w:rPr>
        <w:t xml:space="preserve">così come lo scorso anno, </w:t>
      </w:r>
      <w:r w:rsidR="00C070DE">
        <w:rPr>
          <w:rFonts w:ascii="Calibri" w:hAnsi="Calibri" w:cs="Calibri"/>
          <w:lang w:val="it-IT"/>
        </w:rPr>
        <w:t>la Provincia a</w:t>
      </w:r>
      <w:r w:rsidR="00DE1BA6" w:rsidRPr="00DE1BA6">
        <w:rPr>
          <w:rFonts w:ascii="Calibri" w:hAnsi="Calibri" w:cs="Calibri"/>
          <w:lang w:val="it-IT"/>
        </w:rPr>
        <w:t>utonoma di Bolzano presenta la spesa pubblica territoriale più bassa (173,6 euro pro capite) e</w:t>
      </w:r>
      <w:r w:rsidR="00C070DE">
        <w:rPr>
          <w:rFonts w:ascii="Calibri" w:hAnsi="Calibri" w:cs="Calibri"/>
          <w:lang w:val="it-IT"/>
        </w:rPr>
        <w:t>d è</w:t>
      </w:r>
      <w:r w:rsidR="00DE1BA6" w:rsidRPr="00DE1BA6">
        <w:rPr>
          <w:rFonts w:ascii="Calibri" w:hAnsi="Calibri" w:cs="Calibri"/>
          <w:lang w:val="it-IT"/>
        </w:rPr>
        <w:t xml:space="preserve"> anche quella con la più bassa spesa territoriale totale (282,0 euro pro capite, comprensiva della spesa privata). Invece, la Campania è la Regione con la più alta spesa pubblica territoriale </w:t>
      </w:r>
      <w:r w:rsidR="00C070DE">
        <w:rPr>
          <w:rFonts w:ascii="Calibri" w:hAnsi="Calibri" w:cs="Calibri"/>
          <w:lang w:val="it-IT"/>
        </w:rPr>
        <w:t>(290,</w:t>
      </w:r>
      <w:r w:rsidR="000F17B2">
        <w:rPr>
          <w:rFonts w:ascii="Calibri" w:hAnsi="Calibri" w:cs="Calibri"/>
          <w:lang w:val="it-IT"/>
        </w:rPr>
        <w:t>2</w:t>
      </w:r>
      <w:r w:rsidR="00C070DE">
        <w:rPr>
          <w:rFonts w:ascii="Calibri" w:hAnsi="Calibri" w:cs="Calibri"/>
          <w:lang w:val="it-IT"/>
        </w:rPr>
        <w:t xml:space="preserve"> euro pro capite) e</w:t>
      </w:r>
      <w:r w:rsidR="00DE1BA6" w:rsidRPr="00DE1BA6">
        <w:rPr>
          <w:rFonts w:ascii="Calibri" w:hAnsi="Calibri" w:cs="Calibri"/>
          <w:lang w:val="it-IT"/>
        </w:rPr>
        <w:t xml:space="preserve"> anche quella con la più alta spesa territoriale totale (407,0 euro pro capite, comprensiva della spesa privata).</w:t>
      </w:r>
    </w:p>
    <w:p w:rsidR="00192314" w:rsidRPr="00E75E50" w:rsidRDefault="00192314" w:rsidP="00A4394D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E75E50">
        <w:rPr>
          <w:rFonts w:ascii="Calibri" w:hAnsi="Calibri" w:cs="Calibri"/>
          <w:lang w:val="it-IT"/>
        </w:rPr>
        <w:t xml:space="preserve">Analogamente agli anni precedenti, sono emerse differenze regionali nel ricorso alle specifiche categorie terapeutiche; tali differenze non sono sempre spiegabili alla luce delle evidenze epidemiologiche. </w:t>
      </w:r>
    </w:p>
    <w:p w:rsidR="00192314" w:rsidRPr="00E75E50" w:rsidRDefault="00192314" w:rsidP="00A4394D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E75E50">
        <w:rPr>
          <w:rFonts w:ascii="Calibri" w:hAnsi="Calibri" w:cs="Calibri"/>
          <w:lang w:val="it-IT"/>
        </w:rPr>
        <w:t xml:space="preserve">Per quanto concerne i farmaci </w:t>
      </w:r>
      <w:r w:rsidR="00C034B0" w:rsidRPr="00E75E50">
        <w:rPr>
          <w:rFonts w:ascii="Calibri" w:hAnsi="Calibri" w:cs="Calibri"/>
          <w:lang w:val="it-IT"/>
        </w:rPr>
        <w:t>di classe A-SSN</w:t>
      </w:r>
      <w:r w:rsidR="00104689" w:rsidRPr="00E75E50">
        <w:rPr>
          <w:rFonts w:ascii="Calibri" w:hAnsi="Calibri" w:cs="Calibri"/>
          <w:lang w:val="it-IT"/>
        </w:rPr>
        <w:t xml:space="preserve"> erogati in regime di assistenza convenzionata</w:t>
      </w:r>
      <w:r w:rsidR="00C070DE">
        <w:rPr>
          <w:rFonts w:ascii="Calibri" w:hAnsi="Calibri" w:cs="Calibri"/>
          <w:lang w:val="it-IT"/>
        </w:rPr>
        <w:t xml:space="preserve"> </w:t>
      </w:r>
      <w:r w:rsidRPr="00E75E50">
        <w:rPr>
          <w:rFonts w:ascii="Calibri" w:hAnsi="Calibri" w:cs="Calibri"/>
          <w:lang w:val="it-IT"/>
        </w:rPr>
        <w:t>per il sistema cardiovascolare</w:t>
      </w:r>
      <w:r w:rsidR="00C070DE">
        <w:rPr>
          <w:rFonts w:ascii="Calibri" w:hAnsi="Calibri" w:cs="Calibri"/>
          <w:lang w:val="it-IT"/>
        </w:rPr>
        <w:t>,</w:t>
      </w:r>
      <w:r w:rsidRPr="00E75E50">
        <w:rPr>
          <w:rFonts w:ascii="Calibri" w:hAnsi="Calibri" w:cs="Calibri"/>
          <w:lang w:val="it-IT"/>
        </w:rPr>
        <w:t xml:space="preserve"> la spesa oscilla dai </w:t>
      </w:r>
      <w:r w:rsidR="00C034B0" w:rsidRPr="00E75E50">
        <w:rPr>
          <w:rFonts w:ascii="Calibri" w:hAnsi="Calibri" w:cs="Calibri"/>
          <w:lang w:val="it-IT"/>
        </w:rPr>
        <w:t>4</w:t>
      </w:r>
      <w:r w:rsidR="00E75E50" w:rsidRPr="00E75E50">
        <w:rPr>
          <w:rFonts w:ascii="Calibri" w:hAnsi="Calibri" w:cs="Calibri"/>
          <w:lang w:val="it-IT"/>
        </w:rPr>
        <w:t>0,5</w:t>
      </w:r>
      <w:r w:rsidRPr="00E75E50">
        <w:rPr>
          <w:rFonts w:ascii="Calibri" w:hAnsi="Calibri" w:cs="Calibri"/>
          <w:lang w:val="it-IT"/>
        </w:rPr>
        <w:t xml:space="preserve"> euro pro ca</w:t>
      </w:r>
      <w:r w:rsidR="00C070DE">
        <w:rPr>
          <w:rFonts w:ascii="Calibri" w:hAnsi="Calibri" w:cs="Calibri"/>
          <w:lang w:val="it-IT"/>
        </w:rPr>
        <w:t>pite della Provincia autonoma di Bolzano</w:t>
      </w:r>
      <w:r w:rsidRPr="00E75E50">
        <w:rPr>
          <w:rFonts w:ascii="Calibri" w:hAnsi="Calibri" w:cs="Calibri"/>
          <w:lang w:val="it-IT"/>
        </w:rPr>
        <w:t xml:space="preserve"> ai </w:t>
      </w:r>
      <w:r w:rsidR="00C034B0" w:rsidRPr="00E75E50">
        <w:rPr>
          <w:rFonts w:ascii="Calibri" w:hAnsi="Calibri" w:cs="Calibri"/>
          <w:lang w:val="it-IT"/>
        </w:rPr>
        <w:t>6</w:t>
      </w:r>
      <w:r w:rsidR="00E75E50">
        <w:rPr>
          <w:rFonts w:ascii="Calibri" w:hAnsi="Calibri" w:cs="Calibri"/>
          <w:lang w:val="it-IT"/>
        </w:rPr>
        <w:t>6,9</w:t>
      </w:r>
      <w:r w:rsidRPr="00E75E50">
        <w:rPr>
          <w:rFonts w:ascii="Calibri" w:hAnsi="Calibri" w:cs="Calibri"/>
          <w:lang w:val="it-IT"/>
        </w:rPr>
        <w:t xml:space="preserve"> euro pro capite della</w:t>
      </w:r>
      <w:r w:rsidR="000F17B2">
        <w:rPr>
          <w:rFonts w:ascii="Calibri" w:hAnsi="Calibri" w:cs="Calibri"/>
          <w:lang w:val="it-IT"/>
        </w:rPr>
        <w:t xml:space="preserve"> Campania</w:t>
      </w:r>
      <w:r w:rsidRPr="00E75E50">
        <w:rPr>
          <w:rFonts w:ascii="Calibri" w:hAnsi="Calibri" w:cs="Calibri"/>
          <w:lang w:val="it-IT"/>
        </w:rPr>
        <w:t xml:space="preserve">. Per le quantità prescritte (media nazionale: </w:t>
      </w:r>
      <w:r w:rsidR="00C034B0" w:rsidRPr="00E75E50">
        <w:rPr>
          <w:rFonts w:ascii="Calibri" w:hAnsi="Calibri" w:cs="Calibri"/>
          <w:lang w:val="it-IT"/>
        </w:rPr>
        <w:t>46</w:t>
      </w:r>
      <w:r w:rsidR="00E75E50">
        <w:rPr>
          <w:rFonts w:ascii="Calibri" w:hAnsi="Calibri" w:cs="Calibri"/>
          <w:lang w:val="it-IT"/>
        </w:rPr>
        <w:t>7,6</w:t>
      </w:r>
      <w:r w:rsidRPr="00E75E50">
        <w:rPr>
          <w:rFonts w:ascii="Calibri" w:hAnsi="Calibri" w:cs="Calibri"/>
          <w:lang w:val="it-IT"/>
        </w:rPr>
        <w:t xml:space="preserve"> DDD/1000 abitanti die) si passa dalle </w:t>
      </w:r>
      <w:r w:rsidR="00E75E50">
        <w:rPr>
          <w:rFonts w:ascii="Calibri" w:hAnsi="Calibri" w:cs="Calibri"/>
          <w:lang w:val="it-IT"/>
        </w:rPr>
        <w:t>362,3</w:t>
      </w:r>
      <w:r w:rsidRPr="00E75E50">
        <w:rPr>
          <w:rFonts w:ascii="Calibri" w:hAnsi="Calibri" w:cs="Calibri"/>
          <w:lang w:val="it-IT"/>
        </w:rPr>
        <w:t xml:space="preserve"> DDD/100</w:t>
      </w:r>
      <w:r w:rsidR="00C070DE">
        <w:rPr>
          <w:rFonts w:ascii="Calibri" w:hAnsi="Calibri" w:cs="Calibri"/>
          <w:lang w:val="it-IT"/>
        </w:rPr>
        <w:t>0 abitanti die della Provincia autonoma di Bolzano alle</w:t>
      </w:r>
      <w:r w:rsidRPr="00E75E50">
        <w:rPr>
          <w:rFonts w:ascii="Calibri" w:hAnsi="Calibri" w:cs="Calibri"/>
          <w:lang w:val="it-IT"/>
        </w:rPr>
        <w:t xml:space="preserve"> </w:t>
      </w:r>
      <w:r w:rsidR="00C034B0" w:rsidRPr="00E75E50">
        <w:rPr>
          <w:rFonts w:ascii="Calibri" w:hAnsi="Calibri" w:cs="Calibri"/>
          <w:lang w:val="it-IT"/>
        </w:rPr>
        <w:t>5</w:t>
      </w:r>
      <w:r w:rsidR="00E75E50">
        <w:rPr>
          <w:rFonts w:ascii="Calibri" w:hAnsi="Calibri" w:cs="Calibri"/>
          <w:lang w:val="it-IT"/>
        </w:rPr>
        <w:t>34,0</w:t>
      </w:r>
      <w:r w:rsidR="00C070DE">
        <w:rPr>
          <w:rFonts w:ascii="Calibri" w:hAnsi="Calibri" w:cs="Calibri"/>
          <w:lang w:val="it-IT"/>
        </w:rPr>
        <w:t xml:space="preserve"> </w:t>
      </w:r>
      <w:r w:rsidRPr="00E75E50">
        <w:rPr>
          <w:rFonts w:ascii="Calibri" w:hAnsi="Calibri" w:cs="Calibri"/>
          <w:lang w:val="it-IT"/>
        </w:rPr>
        <w:t>dell</w:t>
      </w:r>
      <w:r w:rsidR="00326D9B" w:rsidRPr="00E75E50">
        <w:rPr>
          <w:rFonts w:ascii="Calibri" w:hAnsi="Calibri" w:cs="Calibri"/>
          <w:lang w:val="it-IT"/>
        </w:rPr>
        <w:t>’</w:t>
      </w:r>
      <w:r w:rsidRPr="00E75E50">
        <w:rPr>
          <w:rFonts w:ascii="Calibri" w:hAnsi="Calibri" w:cs="Calibri"/>
          <w:lang w:val="it-IT"/>
        </w:rPr>
        <w:t xml:space="preserve">Umbria. I farmaci dell’apparato gastrointestinale e metabolismo mostrano un’ampia variabilità regionale sia in termini di prescrizione (da </w:t>
      </w:r>
      <w:r w:rsidR="00A83D83">
        <w:rPr>
          <w:rFonts w:ascii="Calibri" w:hAnsi="Calibri" w:cs="Calibri"/>
          <w:lang w:val="it-IT"/>
        </w:rPr>
        <w:t>89,0</w:t>
      </w:r>
      <w:r w:rsidRPr="00E75E50">
        <w:rPr>
          <w:rFonts w:ascii="Calibri" w:hAnsi="Calibri" w:cs="Calibri"/>
          <w:lang w:val="it-IT"/>
        </w:rPr>
        <w:t xml:space="preserve"> DDD/100</w:t>
      </w:r>
      <w:r w:rsidR="004519D8">
        <w:rPr>
          <w:rFonts w:ascii="Calibri" w:hAnsi="Calibri" w:cs="Calibri"/>
          <w:lang w:val="it-IT"/>
        </w:rPr>
        <w:t>0 abitanti die della Provincia a</w:t>
      </w:r>
      <w:r w:rsidRPr="00E75E50">
        <w:rPr>
          <w:rFonts w:ascii="Calibri" w:hAnsi="Calibri" w:cs="Calibri"/>
          <w:lang w:val="it-IT"/>
        </w:rPr>
        <w:t xml:space="preserve">utonoma di Bolzano a </w:t>
      </w:r>
      <w:r w:rsidR="00A83D83">
        <w:rPr>
          <w:rFonts w:ascii="Calibri" w:hAnsi="Calibri" w:cs="Calibri"/>
          <w:lang w:val="it-IT"/>
        </w:rPr>
        <w:t>197,2</w:t>
      </w:r>
      <w:r w:rsidRPr="00E75E50">
        <w:rPr>
          <w:rFonts w:ascii="Calibri" w:hAnsi="Calibri" w:cs="Calibri"/>
          <w:lang w:val="it-IT"/>
        </w:rPr>
        <w:t xml:space="preserve"> dell</w:t>
      </w:r>
      <w:r w:rsidR="00A83D83">
        <w:rPr>
          <w:rFonts w:ascii="Calibri" w:hAnsi="Calibri" w:cs="Calibri"/>
          <w:lang w:val="it-IT"/>
        </w:rPr>
        <w:t>a</w:t>
      </w:r>
      <w:r w:rsidR="000F17B2">
        <w:rPr>
          <w:rFonts w:ascii="Calibri" w:hAnsi="Calibri" w:cs="Calibri"/>
          <w:lang w:val="it-IT"/>
        </w:rPr>
        <w:t xml:space="preserve"> Calabria</w:t>
      </w:r>
      <w:r w:rsidR="00A83D83">
        <w:rPr>
          <w:rFonts w:ascii="Calibri" w:hAnsi="Calibri" w:cs="Calibri"/>
          <w:lang w:val="it-IT"/>
        </w:rPr>
        <w:t>) che di spesa (dai 18,2</w:t>
      </w:r>
      <w:r w:rsidRPr="00E75E50">
        <w:rPr>
          <w:rFonts w:ascii="Calibri" w:hAnsi="Calibri" w:cs="Calibri"/>
          <w:lang w:val="it-IT"/>
        </w:rPr>
        <w:t xml:space="preserve"> euro pro capite della Prov</w:t>
      </w:r>
      <w:r w:rsidR="004519D8">
        <w:rPr>
          <w:rFonts w:ascii="Calibri" w:hAnsi="Calibri" w:cs="Calibri"/>
          <w:lang w:val="it-IT"/>
        </w:rPr>
        <w:t>incia a</w:t>
      </w:r>
      <w:r w:rsidR="00A83D83">
        <w:rPr>
          <w:rFonts w:ascii="Calibri" w:hAnsi="Calibri" w:cs="Calibri"/>
          <w:lang w:val="it-IT"/>
        </w:rPr>
        <w:t>utonoma di Bolzano ai 43,4</w:t>
      </w:r>
      <w:r w:rsidRPr="00E75E50">
        <w:rPr>
          <w:rFonts w:ascii="Calibri" w:hAnsi="Calibri" w:cs="Calibri"/>
          <w:lang w:val="it-IT"/>
        </w:rPr>
        <w:t xml:space="preserve"> euro pro capite della Sicilia). Anche per quanto riguarda il consumo e la spesa dei farmaci antimicrobici generali per uso sistemico</w:t>
      </w:r>
      <w:r w:rsidR="004519D8">
        <w:rPr>
          <w:rFonts w:ascii="Calibri" w:hAnsi="Calibri" w:cs="Calibri"/>
          <w:lang w:val="it-IT"/>
        </w:rPr>
        <w:t>,</w:t>
      </w:r>
      <w:r w:rsidRPr="00E75E50">
        <w:rPr>
          <w:rFonts w:ascii="Calibri" w:hAnsi="Calibri" w:cs="Calibri"/>
          <w:lang w:val="it-IT"/>
        </w:rPr>
        <w:t xml:space="preserve"> si continua ad assistere a un’ampia variabilità regional</w:t>
      </w:r>
      <w:r w:rsidR="00A83D83">
        <w:rPr>
          <w:rFonts w:ascii="Calibri" w:hAnsi="Calibri" w:cs="Calibri"/>
          <w:lang w:val="it-IT"/>
        </w:rPr>
        <w:t>e; la minor spesa p</w:t>
      </w:r>
      <w:r w:rsidR="004519D8">
        <w:rPr>
          <w:rFonts w:ascii="Calibri" w:hAnsi="Calibri" w:cs="Calibri"/>
          <w:lang w:val="it-IT"/>
        </w:rPr>
        <w:t>ro capite (</w:t>
      </w:r>
      <w:r w:rsidR="00A83D83">
        <w:rPr>
          <w:rFonts w:ascii="Calibri" w:hAnsi="Calibri" w:cs="Calibri"/>
          <w:lang w:val="it-IT"/>
        </w:rPr>
        <w:t xml:space="preserve">6,9 </w:t>
      </w:r>
      <w:r w:rsidRPr="00E75E50">
        <w:rPr>
          <w:rFonts w:ascii="Calibri" w:hAnsi="Calibri" w:cs="Calibri"/>
          <w:lang w:val="it-IT"/>
        </w:rPr>
        <w:t>euro) e il m</w:t>
      </w:r>
      <w:r w:rsidR="00A83D83">
        <w:rPr>
          <w:rFonts w:ascii="Calibri" w:hAnsi="Calibri" w:cs="Calibri"/>
          <w:lang w:val="it-IT"/>
        </w:rPr>
        <w:t>inor numero di prescrizioni (12,7</w:t>
      </w:r>
      <w:r w:rsidRPr="00E75E50">
        <w:rPr>
          <w:rFonts w:ascii="Calibri" w:hAnsi="Calibri" w:cs="Calibri"/>
          <w:lang w:val="it-IT"/>
        </w:rPr>
        <w:t xml:space="preserve"> DDD/1000 ab. die</w:t>
      </w:r>
      <w:r w:rsidR="004519D8">
        <w:rPr>
          <w:rFonts w:ascii="Calibri" w:hAnsi="Calibri" w:cs="Calibri"/>
          <w:lang w:val="it-IT"/>
        </w:rPr>
        <w:t>) si osservano nella Provincia a</w:t>
      </w:r>
      <w:r w:rsidRPr="00E75E50">
        <w:rPr>
          <w:rFonts w:ascii="Calibri" w:hAnsi="Calibri" w:cs="Calibri"/>
          <w:lang w:val="it-IT"/>
        </w:rPr>
        <w:t xml:space="preserve">utonoma di Bolzano, mentre </w:t>
      </w:r>
      <w:r w:rsidR="00A83D83">
        <w:rPr>
          <w:rFonts w:ascii="Calibri" w:hAnsi="Calibri" w:cs="Calibri"/>
          <w:lang w:val="it-IT"/>
        </w:rPr>
        <w:t>la maggiore spesa pro-capite (24,8</w:t>
      </w:r>
      <w:r w:rsidRPr="00E75E50">
        <w:rPr>
          <w:rFonts w:ascii="Calibri" w:hAnsi="Calibri" w:cs="Calibri"/>
          <w:lang w:val="it-IT"/>
        </w:rPr>
        <w:t xml:space="preserve"> euro) e il più elevato numero di DDD prescritte (</w:t>
      </w:r>
      <w:r w:rsidR="00936211" w:rsidRPr="00E75E50">
        <w:rPr>
          <w:rFonts w:ascii="Calibri" w:hAnsi="Calibri" w:cs="Calibri"/>
          <w:lang w:val="it-IT"/>
        </w:rPr>
        <w:t>33,8</w:t>
      </w:r>
      <w:r w:rsidRPr="00E75E50">
        <w:rPr>
          <w:rFonts w:ascii="Calibri" w:hAnsi="Calibri" w:cs="Calibri"/>
          <w:lang w:val="it-IT"/>
        </w:rPr>
        <w:t xml:space="preserve"> DDD/1000 ab. die) sono registrate in Campania.</w:t>
      </w:r>
    </w:p>
    <w:p w:rsidR="000321DC" w:rsidRDefault="002E7D72" w:rsidP="00A4394D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>
        <w:rPr>
          <w:rFonts w:ascii="Calibri" w:hAnsi="Calibri" w:cs="Calibri"/>
          <w:lang w:val="it-IT"/>
        </w:rPr>
        <w:t xml:space="preserve">Una marcata variabilità </w:t>
      </w:r>
      <w:r w:rsidR="0050265E">
        <w:rPr>
          <w:rFonts w:ascii="Calibri" w:hAnsi="Calibri" w:cs="Calibri"/>
          <w:lang w:val="it-IT"/>
        </w:rPr>
        <w:t>si riscontra anche nei consumi dell</w:t>
      </w:r>
      <w:r>
        <w:rPr>
          <w:rFonts w:ascii="Calibri" w:hAnsi="Calibri" w:cs="Calibri"/>
          <w:lang w:val="it-IT"/>
        </w:rPr>
        <w:t>e varie categorie terapeutiche</w:t>
      </w:r>
      <w:r w:rsidR="007B48DD">
        <w:rPr>
          <w:rFonts w:ascii="Calibri" w:hAnsi="Calibri" w:cs="Calibri"/>
          <w:lang w:val="it-IT"/>
        </w:rPr>
        <w:t>.</w:t>
      </w:r>
      <w:r>
        <w:rPr>
          <w:rFonts w:ascii="Calibri" w:hAnsi="Calibri" w:cs="Calibri"/>
          <w:lang w:val="it-IT"/>
        </w:rPr>
        <w:t xml:space="preserve"> </w:t>
      </w:r>
      <w:r w:rsidR="007B48DD">
        <w:rPr>
          <w:rFonts w:ascii="Calibri" w:hAnsi="Calibri" w:cs="Calibri"/>
          <w:lang w:val="it-IT"/>
        </w:rPr>
        <w:t>Il</w:t>
      </w:r>
      <w:r w:rsidR="0050265E">
        <w:rPr>
          <w:rFonts w:ascii="Calibri" w:hAnsi="Calibri" w:cs="Calibri"/>
          <w:lang w:val="it-IT"/>
        </w:rPr>
        <w:t xml:space="preserve"> consumo di farmaci antiacidi e antiulcera, comprensivo dell’erogazione in regime di assistenza convenzionata e dell’acquisto delle strutture sanitarie pubbliche</w:t>
      </w:r>
      <w:r>
        <w:rPr>
          <w:rFonts w:ascii="Calibri" w:hAnsi="Calibri" w:cs="Calibri"/>
          <w:lang w:val="it-IT"/>
        </w:rPr>
        <w:t>,</w:t>
      </w:r>
      <w:r w:rsidR="0050265E">
        <w:rPr>
          <w:rFonts w:ascii="Calibri" w:hAnsi="Calibri" w:cs="Calibri"/>
          <w:lang w:val="it-IT"/>
        </w:rPr>
        <w:t xml:space="preserve"> varia </w:t>
      </w:r>
      <w:r w:rsidR="007B48DD">
        <w:rPr>
          <w:rFonts w:ascii="Calibri" w:hAnsi="Calibri" w:cs="Calibri"/>
          <w:lang w:val="it-IT"/>
        </w:rPr>
        <w:t xml:space="preserve">per esempio </w:t>
      </w:r>
      <w:r w:rsidR="0050265E">
        <w:rPr>
          <w:rFonts w:ascii="Calibri" w:hAnsi="Calibri" w:cs="Calibri"/>
          <w:lang w:val="it-IT"/>
        </w:rPr>
        <w:t xml:space="preserve">dai consumi più elevati della Calabria (116,1 DDD/1000 ab die), </w:t>
      </w:r>
      <w:r>
        <w:rPr>
          <w:rFonts w:ascii="Calibri" w:hAnsi="Calibri" w:cs="Calibri"/>
          <w:lang w:val="it-IT"/>
        </w:rPr>
        <w:t xml:space="preserve">della </w:t>
      </w:r>
      <w:r w:rsidR="0050265E">
        <w:rPr>
          <w:rFonts w:ascii="Calibri" w:hAnsi="Calibri" w:cs="Calibri"/>
          <w:lang w:val="it-IT"/>
        </w:rPr>
        <w:t xml:space="preserve">Puglia (109,1 DDD/1000 ab die) e </w:t>
      </w:r>
      <w:r>
        <w:rPr>
          <w:rFonts w:ascii="Calibri" w:hAnsi="Calibri" w:cs="Calibri"/>
          <w:lang w:val="it-IT"/>
        </w:rPr>
        <w:t xml:space="preserve">della </w:t>
      </w:r>
      <w:r w:rsidR="0050265E">
        <w:rPr>
          <w:rFonts w:ascii="Calibri" w:hAnsi="Calibri" w:cs="Calibri"/>
          <w:lang w:val="it-IT"/>
        </w:rPr>
        <w:lastRenderedPageBreak/>
        <w:t>S</w:t>
      </w:r>
      <w:r w:rsidR="007B48DD">
        <w:rPr>
          <w:rFonts w:ascii="Calibri" w:hAnsi="Calibri" w:cs="Calibri"/>
          <w:lang w:val="it-IT"/>
        </w:rPr>
        <w:t>icilia (107,9 DDD/1000 ab die) a</w:t>
      </w:r>
      <w:r w:rsidR="0050265E">
        <w:rPr>
          <w:rFonts w:ascii="Calibri" w:hAnsi="Calibri" w:cs="Calibri"/>
          <w:lang w:val="it-IT"/>
        </w:rPr>
        <w:t xml:space="preserve"> quelli più bassi della P</w:t>
      </w:r>
      <w:r w:rsidR="00632C39">
        <w:rPr>
          <w:rFonts w:ascii="Calibri" w:hAnsi="Calibri" w:cs="Calibri"/>
          <w:lang w:val="it-IT"/>
        </w:rPr>
        <w:t>rovincia a</w:t>
      </w:r>
      <w:r w:rsidR="007B48DD">
        <w:rPr>
          <w:rFonts w:ascii="Calibri" w:hAnsi="Calibri" w:cs="Calibri"/>
          <w:lang w:val="it-IT"/>
        </w:rPr>
        <w:t>utonoma</w:t>
      </w:r>
      <w:r w:rsidR="0050265E">
        <w:rPr>
          <w:rFonts w:ascii="Calibri" w:hAnsi="Calibri" w:cs="Calibri"/>
          <w:lang w:val="it-IT"/>
        </w:rPr>
        <w:t xml:space="preserve"> di Bolzano (44,1 DDD/1000 ab die), </w:t>
      </w:r>
      <w:r w:rsidR="007B48DD">
        <w:rPr>
          <w:rFonts w:ascii="Calibri" w:hAnsi="Calibri" w:cs="Calibri"/>
          <w:lang w:val="it-IT"/>
        </w:rPr>
        <w:t xml:space="preserve">della </w:t>
      </w:r>
      <w:r w:rsidR="0050265E">
        <w:rPr>
          <w:rFonts w:ascii="Calibri" w:hAnsi="Calibri" w:cs="Calibri"/>
          <w:lang w:val="it-IT"/>
        </w:rPr>
        <w:t xml:space="preserve">Toscana (68,2 DDD/1000 ab die) e </w:t>
      </w:r>
      <w:r w:rsidR="007B48DD">
        <w:rPr>
          <w:rFonts w:ascii="Calibri" w:hAnsi="Calibri" w:cs="Calibri"/>
          <w:lang w:val="it-IT"/>
        </w:rPr>
        <w:t xml:space="preserve">della </w:t>
      </w:r>
      <w:r w:rsidR="0050265E">
        <w:rPr>
          <w:rFonts w:ascii="Calibri" w:hAnsi="Calibri" w:cs="Calibri"/>
          <w:lang w:val="it-IT"/>
        </w:rPr>
        <w:t>Lombardia</w:t>
      </w:r>
      <w:r>
        <w:rPr>
          <w:rFonts w:ascii="Calibri" w:hAnsi="Calibri" w:cs="Calibri"/>
          <w:lang w:val="it-IT"/>
        </w:rPr>
        <w:t xml:space="preserve"> (69,7 DDD/1000 ab die)</w:t>
      </w:r>
      <w:r w:rsidR="0050265E">
        <w:rPr>
          <w:rFonts w:ascii="Calibri" w:hAnsi="Calibri" w:cs="Calibri"/>
          <w:lang w:val="it-IT"/>
        </w:rPr>
        <w:t xml:space="preserve">. </w:t>
      </w:r>
      <w:r>
        <w:rPr>
          <w:rFonts w:ascii="Calibri" w:hAnsi="Calibri" w:cs="Calibri"/>
          <w:lang w:val="it-IT"/>
        </w:rPr>
        <w:t>Anche il consumo di</w:t>
      </w:r>
      <w:r w:rsidR="0050265E">
        <w:rPr>
          <w:rFonts w:ascii="Calibri" w:hAnsi="Calibri" w:cs="Calibri"/>
          <w:lang w:val="it-IT"/>
        </w:rPr>
        <w:t xml:space="preserve"> farmaci antiaggreganti e anticoagulanti presenta un’elevata variabilità che </w:t>
      </w:r>
      <w:r>
        <w:rPr>
          <w:rFonts w:ascii="Calibri" w:hAnsi="Calibri" w:cs="Calibri"/>
          <w:lang w:val="it-IT"/>
        </w:rPr>
        <w:t xml:space="preserve">oscilla </w:t>
      </w:r>
      <w:r w:rsidR="007B48DD">
        <w:rPr>
          <w:rFonts w:ascii="Calibri" w:hAnsi="Calibri" w:cs="Calibri"/>
          <w:lang w:val="it-IT"/>
        </w:rPr>
        <w:t>da</w:t>
      </w:r>
      <w:r>
        <w:rPr>
          <w:rFonts w:ascii="Calibri" w:hAnsi="Calibri" w:cs="Calibri"/>
          <w:lang w:val="it-IT"/>
        </w:rPr>
        <w:t xml:space="preserve">lle 66,5 DDD/1000 ab die della Lombardia alle 110,4 dell’Emilia Romagna. </w:t>
      </w:r>
      <w:r w:rsidR="00F1006D">
        <w:rPr>
          <w:rFonts w:ascii="Calibri" w:hAnsi="Calibri" w:cs="Calibri"/>
          <w:lang w:val="it-IT"/>
        </w:rPr>
        <w:t xml:space="preserve">In Umbria si registrano i consumi più elevati per i farmaci per lo scompenso </w:t>
      </w:r>
      <w:r w:rsidR="007B48DD" w:rsidRPr="006B792B">
        <w:rPr>
          <w:rFonts w:ascii="Calibri" w:hAnsi="Calibri" w:cs="Calibri"/>
          <w:lang w:val="it-IT"/>
        </w:rPr>
        <w:t xml:space="preserve">cardiaco </w:t>
      </w:r>
      <w:r w:rsidR="00F1006D">
        <w:rPr>
          <w:rFonts w:ascii="Calibri" w:hAnsi="Calibri" w:cs="Calibri"/>
          <w:lang w:val="it-IT"/>
        </w:rPr>
        <w:t>con 452,1 DDD/1000 ab die, molto al di</w:t>
      </w:r>
      <w:r w:rsidR="007B48DD">
        <w:rPr>
          <w:rFonts w:ascii="Calibri" w:hAnsi="Calibri" w:cs="Calibri"/>
          <w:lang w:val="it-IT"/>
        </w:rPr>
        <w:t xml:space="preserve"> sopra della media nazionale (</w:t>
      </w:r>
      <w:r w:rsidR="00F1006D">
        <w:rPr>
          <w:rFonts w:ascii="Calibri" w:hAnsi="Calibri" w:cs="Calibri"/>
          <w:lang w:val="it-IT"/>
        </w:rPr>
        <w:t>372,2 DDD/1000 ab die</w:t>
      </w:r>
      <w:r w:rsidR="007B48DD">
        <w:rPr>
          <w:rFonts w:ascii="Calibri" w:hAnsi="Calibri" w:cs="Calibri"/>
          <w:lang w:val="it-IT"/>
        </w:rPr>
        <w:t>)</w:t>
      </w:r>
      <w:r w:rsidR="00F1006D">
        <w:rPr>
          <w:rFonts w:ascii="Calibri" w:hAnsi="Calibri" w:cs="Calibri"/>
          <w:lang w:val="it-IT"/>
        </w:rPr>
        <w:t xml:space="preserve"> e </w:t>
      </w:r>
      <w:r w:rsidR="007B48DD">
        <w:rPr>
          <w:rFonts w:ascii="Calibri" w:hAnsi="Calibri" w:cs="Calibri"/>
          <w:lang w:val="it-IT"/>
        </w:rPr>
        <w:t>de</w:t>
      </w:r>
      <w:r w:rsidR="00F1006D">
        <w:rPr>
          <w:rFonts w:ascii="Calibri" w:hAnsi="Calibri" w:cs="Calibri"/>
          <w:lang w:val="it-IT"/>
        </w:rPr>
        <w:t xml:space="preserve">l consumo minimo registrato nella P.A. di Bolzano (305,8 DDD/1000 ab die). </w:t>
      </w:r>
      <w:r>
        <w:rPr>
          <w:rFonts w:ascii="Calibri" w:hAnsi="Calibri" w:cs="Calibri"/>
          <w:lang w:val="it-IT"/>
        </w:rPr>
        <w:t xml:space="preserve">Sono ancora notevoli le differenze nei consumi dei farmaci antibiotici che vedono anche nel 2014 la Campania come la Regione con i più alti consumi (33,0 DDD/1000 ab die), più del doppio rispetto a quelli che si registrano nella </w:t>
      </w:r>
      <w:r w:rsidR="007B48DD">
        <w:rPr>
          <w:rFonts w:ascii="Calibri" w:hAnsi="Calibri" w:cs="Calibri"/>
          <w:lang w:val="it-IT"/>
        </w:rPr>
        <w:t>Provincia autonoma</w:t>
      </w:r>
      <w:r>
        <w:rPr>
          <w:rFonts w:ascii="Calibri" w:hAnsi="Calibri" w:cs="Calibri"/>
          <w:lang w:val="it-IT"/>
        </w:rPr>
        <w:t xml:space="preserve"> di Bolzano (14,5 DDD/1000 ab die). Notevoli differenze si riscontrano anche nel resto delle categorie analizzate nel Rapporto (farmaci antidepressivi, antiasmatici, antidiabetici, ipolipemizzanti, etc).</w:t>
      </w:r>
    </w:p>
    <w:p w:rsidR="00261FC0" w:rsidRDefault="00261FC0" w:rsidP="00A4394D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>
        <w:rPr>
          <w:rFonts w:ascii="Calibri" w:hAnsi="Calibri" w:cs="Calibri"/>
          <w:lang w:val="it-IT"/>
        </w:rPr>
        <w:t>L’analisi della variabilità di per s</w:t>
      </w:r>
      <w:r w:rsidR="00366166">
        <w:rPr>
          <w:rFonts w:ascii="Calibri" w:hAnsi="Calibri" w:cs="Calibri"/>
          <w:lang w:val="it-IT"/>
        </w:rPr>
        <w:t>é non indica una presenza di in</w:t>
      </w:r>
      <w:r>
        <w:rPr>
          <w:rFonts w:ascii="Calibri" w:hAnsi="Calibri" w:cs="Calibri"/>
          <w:lang w:val="it-IT"/>
        </w:rPr>
        <w:t>appropriatezza, ma diverse potrebbero essere le ragioni al</w:t>
      </w:r>
      <w:r w:rsidR="00366166">
        <w:rPr>
          <w:rFonts w:ascii="Calibri" w:hAnsi="Calibri" w:cs="Calibri"/>
          <w:lang w:val="it-IT"/>
        </w:rPr>
        <w:t>la base delle differenze. Per ta</w:t>
      </w:r>
      <w:r>
        <w:rPr>
          <w:rFonts w:ascii="Calibri" w:hAnsi="Calibri" w:cs="Calibri"/>
          <w:lang w:val="it-IT"/>
        </w:rPr>
        <w:t>le motivo non è sufficiente limitarsi all’analisi della variabilità</w:t>
      </w:r>
      <w:r w:rsidR="00366166">
        <w:rPr>
          <w:rFonts w:ascii="Calibri" w:hAnsi="Calibri" w:cs="Calibri"/>
          <w:lang w:val="it-IT"/>
        </w:rPr>
        <w:t>,</w:t>
      </w:r>
      <w:r>
        <w:rPr>
          <w:rFonts w:ascii="Calibri" w:hAnsi="Calibri" w:cs="Calibri"/>
          <w:lang w:val="it-IT"/>
        </w:rPr>
        <w:t xml:space="preserve"> ma è utile valutare l’appropriatezza d’uso tramite indicatori specifici, come viene effettuato all’interno del Rapporto OsMed</w:t>
      </w:r>
      <w:r w:rsidR="00A61DF9">
        <w:rPr>
          <w:rFonts w:ascii="Calibri" w:hAnsi="Calibri" w:cs="Calibri"/>
          <w:lang w:val="it-IT"/>
        </w:rPr>
        <w:t>.</w:t>
      </w:r>
    </w:p>
    <w:p w:rsidR="002E7D72" w:rsidRDefault="002E7D72" w:rsidP="00A4394D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</w:p>
    <w:p w:rsidR="00A83D83" w:rsidRDefault="00A83D83" w:rsidP="00A4394D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</w:p>
    <w:p w:rsidR="00A83D83" w:rsidRPr="00E75E50" w:rsidRDefault="00A83D83" w:rsidP="00A4394D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</w:p>
    <w:sectPr w:rsidR="00A83D83" w:rsidRPr="00E75E50" w:rsidSect="00FF6423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8DD" w:rsidRDefault="007B48DD" w:rsidP="007D0273">
      <w:r>
        <w:separator/>
      </w:r>
    </w:p>
  </w:endnote>
  <w:endnote w:type="continuationSeparator" w:id="0">
    <w:p w:rsidR="007B48DD" w:rsidRDefault="007B48DD" w:rsidP="007D02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8DD" w:rsidRPr="004433E5" w:rsidRDefault="0046469A">
    <w:pPr>
      <w:pStyle w:val="Pidipagina"/>
      <w:jc w:val="right"/>
      <w:rPr>
        <w:rFonts w:ascii="Calibri" w:hAnsi="Calibri"/>
      </w:rPr>
    </w:pPr>
    <w:r w:rsidRPr="004433E5">
      <w:rPr>
        <w:rFonts w:ascii="Calibri" w:hAnsi="Calibri"/>
      </w:rPr>
      <w:fldChar w:fldCharType="begin"/>
    </w:r>
    <w:r w:rsidR="007B48DD" w:rsidRPr="004433E5">
      <w:rPr>
        <w:rFonts w:ascii="Calibri" w:hAnsi="Calibri"/>
      </w:rPr>
      <w:instrText>PAGE   \* MERGEFORMAT</w:instrText>
    </w:r>
    <w:r w:rsidRPr="004433E5">
      <w:rPr>
        <w:rFonts w:ascii="Calibri" w:hAnsi="Calibri"/>
      </w:rPr>
      <w:fldChar w:fldCharType="separate"/>
    </w:r>
    <w:r w:rsidR="00632C39" w:rsidRPr="00632C39">
      <w:rPr>
        <w:rFonts w:ascii="Calibri" w:hAnsi="Calibri"/>
        <w:noProof/>
        <w:lang w:val="it-IT"/>
      </w:rPr>
      <w:t>4</w:t>
    </w:r>
    <w:r w:rsidRPr="004433E5">
      <w:rPr>
        <w:rFonts w:ascii="Calibri" w:hAnsi="Calibri"/>
      </w:rPr>
      <w:fldChar w:fldCharType="end"/>
    </w:r>
  </w:p>
  <w:p w:rsidR="007B48DD" w:rsidRPr="00BC38B8" w:rsidRDefault="007B48DD">
    <w:pPr>
      <w:pStyle w:val="Pidipagina"/>
      <w:rPr>
        <w:lang w:val="it-I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8DD" w:rsidRDefault="007B48DD" w:rsidP="007D0273">
      <w:r>
        <w:separator/>
      </w:r>
    </w:p>
  </w:footnote>
  <w:footnote w:type="continuationSeparator" w:id="0">
    <w:p w:rsidR="007B48DD" w:rsidRDefault="007B48DD" w:rsidP="007D02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96CBE"/>
    <w:multiLevelType w:val="hybridMultilevel"/>
    <w:tmpl w:val="FA08BEF2"/>
    <w:lvl w:ilvl="0" w:tplc="640EE99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A142A"/>
    <w:multiLevelType w:val="hybridMultilevel"/>
    <w:tmpl w:val="9F0C0AB2"/>
    <w:lvl w:ilvl="0" w:tplc="E99A5AA6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6433F2"/>
    <w:rsid w:val="00015DF7"/>
    <w:rsid w:val="00030126"/>
    <w:rsid w:val="000321DC"/>
    <w:rsid w:val="000448BB"/>
    <w:rsid w:val="00063411"/>
    <w:rsid w:val="0006485A"/>
    <w:rsid w:val="00066004"/>
    <w:rsid w:val="000678CA"/>
    <w:rsid w:val="00077786"/>
    <w:rsid w:val="00081DB4"/>
    <w:rsid w:val="0008240C"/>
    <w:rsid w:val="00084460"/>
    <w:rsid w:val="000B0DCF"/>
    <w:rsid w:val="000E2855"/>
    <w:rsid w:val="000F17B2"/>
    <w:rsid w:val="00104689"/>
    <w:rsid w:val="001157E7"/>
    <w:rsid w:val="00121154"/>
    <w:rsid w:val="001534B8"/>
    <w:rsid w:val="0015443D"/>
    <w:rsid w:val="001701DE"/>
    <w:rsid w:val="00192314"/>
    <w:rsid w:val="00194F35"/>
    <w:rsid w:val="00196113"/>
    <w:rsid w:val="00197A6E"/>
    <w:rsid w:val="001A0684"/>
    <w:rsid w:val="001A1C71"/>
    <w:rsid w:val="001F1C2E"/>
    <w:rsid w:val="002008E4"/>
    <w:rsid w:val="00201063"/>
    <w:rsid w:val="0021701D"/>
    <w:rsid w:val="00217F08"/>
    <w:rsid w:val="00224596"/>
    <w:rsid w:val="00224FAE"/>
    <w:rsid w:val="002607DB"/>
    <w:rsid w:val="00261FC0"/>
    <w:rsid w:val="00281142"/>
    <w:rsid w:val="002A2C1B"/>
    <w:rsid w:val="002A3756"/>
    <w:rsid w:val="002A51F8"/>
    <w:rsid w:val="002B2609"/>
    <w:rsid w:val="002E7D72"/>
    <w:rsid w:val="00317BCE"/>
    <w:rsid w:val="00326D9B"/>
    <w:rsid w:val="00332584"/>
    <w:rsid w:val="003425EF"/>
    <w:rsid w:val="00345819"/>
    <w:rsid w:val="00365365"/>
    <w:rsid w:val="00366166"/>
    <w:rsid w:val="00386329"/>
    <w:rsid w:val="003A042D"/>
    <w:rsid w:val="003A3E39"/>
    <w:rsid w:val="003B13C3"/>
    <w:rsid w:val="003B2AD4"/>
    <w:rsid w:val="003C0F0D"/>
    <w:rsid w:val="003C3A08"/>
    <w:rsid w:val="003D3573"/>
    <w:rsid w:val="003F0257"/>
    <w:rsid w:val="00407ACD"/>
    <w:rsid w:val="004364A3"/>
    <w:rsid w:val="004433E5"/>
    <w:rsid w:val="004475F5"/>
    <w:rsid w:val="004519D8"/>
    <w:rsid w:val="0045591C"/>
    <w:rsid w:val="00460C09"/>
    <w:rsid w:val="0046469A"/>
    <w:rsid w:val="00485556"/>
    <w:rsid w:val="00490E3F"/>
    <w:rsid w:val="0049697F"/>
    <w:rsid w:val="004B656E"/>
    <w:rsid w:val="004F68BD"/>
    <w:rsid w:val="0050265E"/>
    <w:rsid w:val="00506A99"/>
    <w:rsid w:val="00515625"/>
    <w:rsid w:val="00535E32"/>
    <w:rsid w:val="00554621"/>
    <w:rsid w:val="005B283E"/>
    <w:rsid w:val="005B569F"/>
    <w:rsid w:val="005C0859"/>
    <w:rsid w:val="005C688E"/>
    <w:rsid w:val="005E3151"/>
    <w:rsid w:val="005F1951"/>
    <w:rsid w:val="00605F19"/>
    <w:rsid w:val="0061536A"/>
    <w:rsid w:val="006252E0"/>
    <w:rsid w:val="00632C39"/>
    <w:rsid w:val="006433F2"/>
    <w:rsid w:val="00643673"/>
    <w:rsid w:val="0064497F"/>
    <w:rsid w:val="0064654C"/>
    <w:rsid w:val="00654046"/>
    <w:rsid w:val="00670638"/>
    <w:rsid w:val="0067075F"/>
    <w:rsid w:val="00676757"/>
    <w:rsid w:val="00691CD6"/>
    <w:rsid w:val="006B3FC5"/>
    <w:rsid w:val="006B5674"/>
    <w:rsid w:val="006B792B"/>
    <w:rsid w:val="006E548F"/>
    <w:rsid w:val="006F09AF"/>
    <w:rsid w:val="007129FD"/>
    <w:rsid w:val="0072391A"/>
    <w:rsid w:val="007271FD"/>
    <w:rsid w:val="0073431B"/>
    <w:rsid w:val="00737423"/>
    <w:rsid w:val="007432CE"/>
    <w:rsid w:val="00756878"/>
    <w:rsid w:val="00764EB3"/>
    <w:rsid w:val="00766134"/>
    <w:rsid w:val="00770EFF"/>
    <w:rsid w:val="00771F17"/>
    <w:rsid w:val="00786A8C"/>
    <w:rsid w:val="00787AE1"/>
    <w:rsid w:val="007B48DD"/>
    <w:rsid w:val="007C5EBA"/>
    <w:rsid w:val="007D0273"/>
    <w:rsid w:val="007D198D"/>
    <w:rsid w:val="007D70E7"/>
    <w:rsid w:val="007E5623"/>
    <w:rsid w:val="00801940"/>
    <w:rsid w:val="008105A9"/>
    <w:rsid w:val="0081326D"/>
    <w:rsid w:val="00827BD9"/>
    <w:rsid w:val="0084271D"/>
    <w:rsid w:val="00852BC5"/>
    <w:rsid w:val="008832EA"/>
    <w:rsid w:val="008857D1"/>
    <w:rsid w:val="008A1EB4"/>
    <w:rsid w:val="008A6E9E"/>
    <w:rsid w:val="008B3129"/>
    <w:rsid w:val="008C52BA"/>
    <w:rsid w:val="008E0A5E"/>
    <w:rsid w:val="00905234"/>
    <w:rsid w:val="00936211"/>
    <w:rsid w:val="009373FE"/>
    <w:rsid w:val="009505C2"/>
    <w:rsid w:val="0095370B"/>
    <w:rsid w:val="00963562"/>
    <w:rsid w:val="0096774B"/>
    <w:rsid w:val="00976876"/>
    <w:rsid w:val="009874D9"/>
    <w:rsid w:val="00992E8F"/>
    <w:rsid w:val="00994C59"/>
    <w:rsid w:val="009B2D75"/>
    <w:rsid w:val="009B3343"/>
    <w:rsid w:val="009C177B"/>
    <w:rsid w:val="009C4591"/>
    <w:rsid w:val="009C5AF1"/>
    <w:rsid w:val="009C6123"/>
    <w:rsid w:val="009C6396"/>
    <w:rsid w:val="009C6568"/>
    <w:rsid w:val="009D7BA4"/>
    <w:rsid w:val="00A33F25"/>
    <w:rsid w:val="00A4394D"/>
    <w:rsid w:val="00A5689E"/>
    <w:rsid w:val="00A61DF9"/>
    <w:rsid w:val="00A62E1B"/>
    <w:rsid w:val="00A66272"/>
    <w:rsid w:val="00A664BA"/>
    <w:rsid w:val="00A72D7B"/>
    <w:rsid w:val="00A7579F"/>
    <w:rsid w:val="00A83D83"/>
    <w:rsid w:val="00A9687C"/>
    <w:rsid w:val="00AA57F8"/>
    <w:rsid w:val="00AB4B98"/>
    <w:rsid w:val="00AB4C91"/>
    <w:rsid w:val="00AB5CAC"/>
    <w:rsid w:val="00AB65DC"/>
    <w:rsid w:val="00AB6BD5"/>
    <w:rsid w:val="00B15EAE"/>
    <w:rsid w:val="00B17883"/>
    <w:rsid w:val="00B25027"/>
    <w:rsid w:val="00B4615A"/>
    <w:rsid w:val="00B53A5F"/>
    <w:rsid w:val="00B72834"/>
    <w:rsid w:val="00B84429"/>
    <w:rsid w:val="00B8625E"/>
    <w:rsid w:val="00B90C94"/>
    <w:rsid w:val="00BA3094"/>
    <w:rsid w:val="00BB3B93"/>
    <w:rsid w:val="00BB7F8D"/>
    <w:rsid w:val="00BC22F8"/>
    <w:rsid w:val="00BC38B8"/>
    <w:rsid w:val="00BC6A11"/>
    <w:rsid w:val="00C034B0"/>
    <w:rsid w:val="00C070DE"/>
    <w:rsid w:val="00C07E50"/>
    <w:rsid w:val="00C13675"/>
    <w:rsid w:val="00C273FB"/>
    <w:rsid w:val="00C3365A"/>
    <w:rsid w:val="00C42869"/>
    <w:rsid w:val="00C446A2"/>
    <w:rsid w:val="00CB6E81"/>
    <w:rsid w:val="00CB6EDC"/>
    <w:rsid w:val="00CC00B5"/>
    <w:rsid w:val="00CD4F20"/>
    <w:rsid w:val="00CF34F6"/>
    <w:rsid w:val="00D17BB2"/>
    <w:rsid w:val="00D2045C"/>
    <w:rsid w:val="00D26B11"/>
    <w:rsid w:val="00D4056F"/>
    <w:rsid w:val="00D561E1"/>
    <w:rsid w:val="00D840D9"/>
    <w:rsid w:val="00D84337"/>
    <w:rsid w:val="00D90952"/>
    <w:rsid w:val="00D93696"/>
    <w:rsid w:val="00DA35AD"/>
    <w:rsid w:val="00DB50C8"/>
    <w:rsid w:val="00DE0AB3"/>
    <w:rsid w:val="00DE1BA6"/>
    <w:rsid w:val="00E203C3"/>
    <w:rsid w:val="00E2612E"/>
    <w:rsid w:val="00E27B94"/>
    <w:rsid w:val="00E44B03"/>
    <w:rsid w:val="00E75E50"/>
    <w:rsid w:val="00E91368"/>
    <w:rsid w:val="00EA1BD4"/>
    <w:rsid w:val="00EB0019"/>
    <w:rsid w:val="00EC688F"/>
    <w:rsid w:val="00EC6F0A"/>
    <w:rsid w:val="00ED46D7"/>
    <w:rsid w:val="00ED5954"/>
    <w:rsid w:val="00EE6E98"/>
    <w:rsid w:val="00EF3E2B"/>
    <w:rsid w:val="00F1006D"/>
    <w:rsid w:val="00F36C33"/>
    <w:rsid w:val="00F45E6F"/>
    <w:rsid w:val="00F51DD5"/>
    <w:rsid w:val="00F5204E"/>
    <w:rsid w:val="00F5696F"/>
    <w:rsid w:val="00F642A3"/>
    <w:rsid w:val="00F66C41"/>
    <w:rsid w:val="00F73D3B"/>
    <w:rsid w:val="00F76B50"/>
    <w:rsid w:val="00F82A54"/>
    <w:rsid w:val="00F921E6"/>
    <w:rsid w:val="00FA6FB0"/>
    <w:rsid w:val="00FC0095"/>
    <w:rsid w:val="00FD0ACF"/>
    <w:rsid w:val="00FD1013"/>
    <w:rsid w:val="00FD38A2"/>
    <w:rsid w:val="00FE2889"/>
    <w:rsid w:val="00FE3223"/>
    <w:rsid w:val="00FE452F"/>
    <w:rsid w:val="00FF1C30"/>
    <w:rsid w:val="00FF6423"/>
    <w:rsid w:val="00FF7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433F2"/>
    <w:rPr>
      <w:rFonts w:ascii="Times New Roman" w:hAnsi="Times New Roman"/>
      <w:sz w:val="24"/>
      <w:szCs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semiHidden/>
    <w:rsid w:val="002A51F8"/>
    <w:rPr>
      <w:rFonts w:ascii="Tahoma" w:hAnsi="Tahoma"/>
      <w:sz w:val="16"/>
      <w:szCs w:val="20"/>
    </w:rPr>
  </w:style>
  <w:style w:type="character" w:customStyle="1" w:styleId="TestofumettoCarattere">
    <w:name w:val="Testo fumetto Carattere"/>
    <w:link w:val="Testofumetto"/>
    <w:semiHidden/>
    <w:locked/>
    <w:rsid w:val="002A51F8"/>
    <w:rPr>
      <w:rFonts w:ascii="Tahoma" w:hAnsi="Tahoma" w:cs="Times New Roman"/>
      <w:sz w:val="16"/>
      <w:lang w:val="en-GB" w:eastAsia="it-IT"/>
    </w:rPr>
  </w:style>
  <w:style w:type="paragraph" w:customStyle="1" w:styleId="Paragrafoelenco1">
    <w:name w:val="Paragrafo elenco1"/>
    <w:basedOn w:val="Normale"/>
    <w:rsid w:val="0061536A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7D02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locked/>
    <w:rsid w:val="007D0273"/>
    <w:rPr>
      <w:rFonts w:ascii="Times New Roman" w:hAnsi="Times New Roman" w:cs="Times New Roman"/>
      <w:sz w:val="24"/>
      <w:szCs w:val="24"/>
      <w:lang w:val="en-GB"/>
    </w:rPr>
  </w:style>
  <w:style w:type="paragraph" w:styleId="Pidipagina">
    <w:name w:val="footer"/>
    <w:basedOn w:val="Normale"/>
    <w:link w:val="PidipaginaCarattere"/>
    <w:uiPriority w:val="99"/>
    <w:rsid w:val="007D02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7D0273"/>
    <w:rPr>
      <w:rFonts w:ascii="Times New Roman" w:hAnsi="Times New Roman" w:cs="Times New Roman"/>
      <w:sz w:val="24"/>
      <w:szCs w:val="24"/>
      <w:lang w:val="en-GB"/>
    </w:rPr>
  </w:style>
  <w:style w:type="paragraph" w:styleId="Testonotaapidipagina">
    <w:name w:val="footnote text"/>
    <w:basedOn w:val="Normale"/>
    <w:link w:val="TestonotaapidipaginaCarattere"/>
    <w:semiHidden/>
    <w:rsid w:val="003B2AD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3B2AD4"/>
    <w:rPr>
      <w:rFonts w:ascii="Times New Roman" w:hAnsi="Times New Roman" w:cs="Times New Roman"/>
      <w:lang w:val="en-GB"/>
    </w:rPr>
  </w:style>
  <w:style w:type="character" w:styleId="Rimandonotaapidipagina">
    <w:name w:val="footnote reference"/>
    <w:semiHidden/>
    <w:rsid w:val="003B2AD4"/>
    <w:rPr>
      <w:rFonts w:cs="Times New Roman"/>
      <w:vertAlign w:val="superscript"/>
    </w:rPr>
  </w:style>
  <w:style w:type="character" w:styleId="Rimandocommento">
    <w:name w:val="annotation reference"/>
    <w:semiHidden/>
    <w:rsid w:val="0072391A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72391A"/>
    <w:rPr>
      <w:sz w:val="20"/>
      <w:szCs w:val="20"/>
    </w:rPr>
  </w:style>
  <w:style w:type="character" w:customStyle="1" w:styleId="TestocommentoCarattere">
    <w:name w:val="Testo commento Carattere"/>
    <w:link w:val="Testocommento"/>
    <w:semiHidden/>
    <w:locked/>
    <w:rsid w:val="00E27B94"/>
    <w:rPr>
      <w:rFonts w:ascii="Times New Roman" w:hAnsi="Times New Roman" w:cs="Times New Roman"/>
      <w:sz w:val="20"/>
      <w:szCs w:val="20"/>
      <w:lang w:val="en-GB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72391A"/>
    <w:rPr>
      <w:b/>
      <w:bCs/>
    </w:rPr>
  </w:style>
  <w:style w:type="character" w:customStyle="1" w:styleId="SoggettocommentoCarattere">
    <w:name w:val="Soggetto commento Carattere"/>
    <w:link w:val="Soggettocommento"/>
    <w:semiHidden/>
    <w:locked/>
    <w:rsid w:val="00E27B94"/>
    <w:rPr>
      <w:rFonts w:ascii="Times New Roman" w:hAnsi="Times New Roman" w:cs="Times New Roman"/>
      <w:b/>
      <w:bCs/>
      <w:sz w:val="20"/>
      <w:szCs w:val="20"/>
      <w:lang w:val="en-GB"/>
    </w:rPr>
  </w:style>
  <w:style w:type="paragraph" w:styleId="Paragrafoelenco">
    <w:name w:val="List Paragraph"/>
    <w:basedOn w:val="Normale"/>
    <w:uiPriority w:val="34"/>
    <w:qFormat/>
    <w:rsid w:val="006B5674"/>
    <w:pPr>
      <w:ind w:left="708"/>
    </w:pPr>
  </w:style>
  <w:style w:type="table" w:styleId="Grigliatabella">
    <w:name w:val="Table Grid"/>
    <w:basedOn w:val="Tabellanormale"/>
    <w:locked/>
    <w:rsid w:val="005B28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1401</Words>
  <Characters>7808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Galante Bruna</dc:creator>
  <cp:lastModifiedBy>telliniv</cp:lastModifiedBy>
  <cp:revision>3</cp:revision>
  <cp:lastPrinted>2015-07-14T10:08:00Z</cp:lastPrinted>
  <dcterms:created xsi:type="dcterms:W3CDTF">2015-07-16T17:15:00Z</dcterms:created>
  <dcterms:modified xsi:type="dcterms:W3CDTF">2015-07-17T09:43:00Z</dcterms:modified>
</cp:coreProperties>
</file>