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1F2FD5" w:rsidRDefault="001F2FD5" w:rsidP="00B32D81">
      <w:pPr>
        <w:spacing w:after="0" w:line="240" w:lineRule="auto"/>
        <w:jc w:val="center"/>
        <w:rPr>
          <w:b/>
          <w:sz w:val="28"/>
        </w:rPr>
      </w:pPr>
    </w:p>
    <w:p w:rsidR="004241AC" w:rsidRPr="00134669" w:rsidRDefault="00B32D81" w:rsidP="00B32D81">
      <w:pPr>
        <w:spacing w:after="0" w:line="240" w:lineRule="auto"/>
        <w:jc w:val="center"/>
        <w:rPr>
          <w:b/>
          <w:sz w:val="28"/>
        </w:rPr>
      </w:pPr>
      <w:r w:rsidRPr="00134669">
        <w:rPr>
          <w:b/>
          <w:sz w:val="28"/>
        </w:rPr>
        <w:t>R</w:t>
      </w:r>
      <w:r w:rsidR="004241AC" w:rsidRPr="00134669">
        <w:rPr>
          <w:b/>
          <w:sz w:val="28"/>
        </w:rPr>
        <w:t>elazione di Valutazione</w:t>
      </w:r>
    </w:p>
    <w:p w:rsidR="00B32D81" w:rsidRDefault="00B32D81" w:rsidP="00B32D81">
      <w:pPr>
        <w:spacing w:after="0" w:line="240" w:lineRule="auto"/>
        <w:jc w:val="center"/>
        <w:rPr>
          <w:b/>
        </w:rPr>
      </w:pPr>
    </w:p>
    <w:p w:rsidR="001F2FD5" w:rsidRDefault="001F2FD5" w:rsidP="00B32D81">
      <w:pPr>
        <w:spacing w:after="0" w:line="240" w:lineRule="auto"/>
        <w:jc w:val="center"/>
        <w:rPr>
          <w:b/>
        </w:rPr>
      </w:pPr>
    </w:p>
    <w:p w:rsidR="001F2FD5" w:rsidRDefault="001F2FD5" w:rsidP="00B32D81">
      <w:pPr>
        <w:spacing w:after="0" w:line="240" w:lineRule="auto"/>
        <w:jc w:val="center"/>
        <w:rPr>
          <w:b/>
        </w:rPr>
      </w:pPr>
    </w:p>
    <w:p w:rsidR="001F2FD5" w:rsidRPr="00B32D81" w:rsidRDefault="001F2FD5" w:rsidP="00B32D81">
      <w:pPr>
        <w:spacing w:after="0" w:line="240" w:lineRule="auto"/>
        <w:jc w:val="center"/>
        <w:rPr>
          <w:b/>
        </w:rPr>
      </w:pPr>
    </w:p>
    <w:p w:rsidR="004241AC" w:rsidRPr="00B32D81" w:rsidRDefault="004241AC" w:rsidP="00B32D81">
      <w:pPr>
        <w:autoSpaceDE w:val="0"/>
        <w:autoSpaceDN w:val="0"/>
        <w:adjustRightInd w:val="0"/>
        <w:spacing w:after="0" w:line="240" w:lineRule="auto"/>
        <w:jc w:val="center"/>
        <w:rPr>
          <w:b/>
          <w:highlight w:val="yellow"/>
        </w:rPr>
      </w:pPr>
      <w:bookmarkStart w:id="0" w:name="Text15"/>
    </w:p>
    <w:p w:rsidR="00DA1945" w:rsidRPr="007C1F41" w:rsidRDefault="00E33CBB" w:rsidP="00B32D81">
      <w:pPr>
        <w:widowControl w:val="0"/>
        <w:spacing w:after="0" w:line="240" w:lineRule="auto"/>
        <w:jc w:val="center"/>
        <w:rPr>
          <w:b/>
          <w:sz w:val="32"/>
        </w:rPr>
      </w:pPr>
      <w:r>
        <w:rPr>
          <w:rFonts w:ascii="Arial" w:hAnsi="Arial"/>
          <w:b/>
          <w:sz w:val="32"/>
        </w:rPr>
        <w:t>BRINUS</w:t>
      </w:r>
    </w:p>
    <w:p w:rsidR="00502AB1" w:rsidRDefault="00502AB1" w:rsidP="00B32D81">
      <w:pPr>
        <w:widowControl w:val="0"/>
        <w:spacing w:after="0" w:line="240" w:lineRule="auto"/>
        <w:jc w:val="center"/>
        <w:rPr>
          <w:snapToGrid w:val="0"/>
        </w:rPr>
      </w:pPr>
    </w:p>
    <w:p w:rsidR="004241AC" w:rsidRPr="00B32D81" w:rsidRDefault="00DA1945" w:rsidP="00B32D81">
      <w:pPr>
        <w:widowControl w:val="0"/>
        <w:spacing w:after="0" w:line="240" w:lineRule="auto"/>
        <w:jc w:val="center"/>
        <w:rPr>
          <w:snapToGrid w:val="0"/>
        </w:rPr>
      </w:pPr>
      <w:r w:rsidRPr="00B32D81">
        <w:rPr>
          <w:snapToGrid w:val="0"/>
        </w:rPr>
        <w:t>(</w:t>
      </w:r>
      <w:proofErr w:type="spellStart"/>
      <w:r w:rsidR="007C1F41">
        <w:rPr>
          <w:snapToGrid w:val="0"/>
        </w:rPr>
        <w:t>Bimatopr</w:t>
      </w:r>
      <w:r w:rsidR="0023052B">
        <w:rPr>
          <w:snapToGrid w:val="0"/>
        </w:rPr>
        <w:t>o</w:t>
      </w:r>
      <w:r w:rsidR="007C1F41">
        <w:rPr>
          <w:snapToGrid w:val="0"/>
        </w:rPr>
        <w:t>st</w:t>
      </w:r>
      <w:proofErr w:type="spellEnd"/>
      <w:r w:rsidR="004241AC" w:rsidRPr="00B32D81">
        <w:rPr>
          <w:snapToGrid w:val="0"/>
        </w:rPr>
        <w:t>)</w:t>
      </w:r>
    </w:p>
    <w:p w:rsidR="004241AC" w:rsidRDefault="004241AC" w:rsidP="00B32D81">
      <w:pPr>
        <w:autoSpaceDE w:val="0"/>
        <w:autoSpaceDN w:val="0"/>
        <w:adjustRightInd w:val="0"/>
        <w:spacing w:after="0" w:line="240" w:lineRule="auto"/>
        <w:jc w:val="center"/>
        <w:rPr>
          <w:b/>
          <w:highlight w:val="yellow"/>
        </w:rPr>
      </w:pPr>
    </w:p>
    <w:p w:rsidR="00900DAA" w:rsidRPr="00B32D81" w:rsidRDefault="00900DAA" w:rsidP="00B32D81">
      <w:pPr>
        <w:autoSpaceDE w:val="0"/>
        <w:autoSpaceDN w:val="0"/>
        <w:adjustRightInd w:val="0"/>
        <w:spacing w:after="0" w:line="240" w:lineRule="auto"/>
        <w:jc w:val="center"/>
        <w:rPr>
          <w:b/>
          <w:highlight w:val="yellow"/>
        </w:rPr>
      </w:pPr>
    </w:p>
    <w:p w:rsidR="00B75EA4" w:rsidRPr="007C1F41" w:rsidRDefault="005C1849" w:rsidP="00B32D81">
      <w:pPr>
        <w:autoSpaceDE w:val="0"/>
        <w:autoSpaceDN w:val="0"/>
        <w:adjustRightInd w:val="0"/>
        <w:spacing w:after="0" w:line="240" w:lineRule="auto"/>
        <w:jc w:val="center"/>
        <w:rPr>
          <w:b/>
        </w:rPr>
      </w:pPr>
      <w:proofErr w:type="spellStart"/>
      <w:r>
        <w:rPr>
          <w:b/>
        </w:rPr>
        <w:t>Genetic</w:t>
      </w:r>
      <w:proofErr w:type="spellEnd"/>
    </w:p>
    <w:p w:rsidR="00F01FB3" w:rsidRDefault="00F01FB3" w:rsidP="00B32D81">
      <w:pPr>
        <w:autoSpaceDE w:val="0"/>
        <w:autoSpaceDN w:val="0"/>
        <w:adjustRightInd w:val="0"/>
        <w:spacing w:after="0" w:line="240" w:lineRule="auto"/>
        <w:jc w:val="center"/>
      </w:pPr>
    </w:p>
    <w:p w:rsidR="00F01FB3" w:rsidRPr="007C1F41" w:rsidRDefault="00F01FB3" w:rsidP="00B32D81">
      <w:pPr>
        <w:spacing w:after="0" w:line="240" w:lineRule="auto"/>
        <w:jc w:val="center"/>
        <w:rPr>
          <w:b/>
        </w:rPr>
      </w:pPr>
    </w:p>
    <w:p w:rsidR="004241AC" w:rsidRPr="005C1849" w:rsidRDefault="004241AC" w:rsidP="00B32D81">
      <w:pPr>
        <w:spacing w:after="0" w:line="240" w:lineRule="auto"/>
        <w:jc w:val="center"/>
        <w:rPr>
          <w:b/>
        </w:rPr>
      </w:pPr>
      <w:r w:rsidRPr="005C1849">
        <w:rPr>
          <w:b/>
        </w:rPr>
        <w:t xml:space="preserve">Numero di AIC: </w:t>
      </w:r>
      <w:r w:rsidR="005C1849" w:rsidRPr="005C1849">
        <w:rPr>
          <w:rFonts w:ascii="Calibri" w:hAnsi="Calibri"/>
          <w:b/>
        </w:rPr>
        <w:t>044570</w:t>
      </w:r>
    </w:p>
    <w:bookmarkEnd w:id="0"/>
    <w:p w:rsidR="004241AC" w:rsidRPr="007C1F41" w:rsidRDefault="004241AC" w:rsidP="00B32D81">
      <w:pPr>
        <w:spacing w:after="0" w:line="240" w:lineRule="auto"/>
        <w:jc w:val="center"/>
        <w:rPr>
          <w:b/>
        </w:rPr>
      </w:pPr>
    </w:p>
    <w:p w:rsidR="00B32D81" w:rsidRDefault="00B32D81" w:rsidP="00B32D81">
      <w:pPr>
        <w:spacing w:after="0" w:line="240" w:lineRule="auto"/>
        <w:jc w:val="center"/>
        <w:rPr>
          <w:b/>
        </w:rPr>
      </w:pPr>
    </w:p>
    <w:p w:rsidR="007C1F41" w:rsidRPr="007C1F41" w:rsidRDefault="007C1F41" w:rsidP="00B32D81">
      <w:pPr>
        <w:spacing w:after="0" w:line="240" w:lineRule="auto"/>
        <w:jc w:val="center"/>
        <w:rPr>
          <w:b/>
        </w:rPr>
      </w:pPr>
    </w:p>
    <w:p w:rsidR="00B32D81" w:rsidRPr="00B32D81" w:rsidRDefault="00B32D81" w:rsidP="00B32D81">
      <w:pPr>
        <w:autoSpaceDE w:val="0"/>
        <w:autoSpaceDN w:val="0"/>
        <w:adjustRightInd w:val="0"/>
        <w:spacing w:after="0" w:line="240" w:lineRule="auto"/>
        <w:jc w:val="center"/>
        <w:rPr>
          <w:rFonts w:eastAsia="Calibri" w:cs="Calibri"/>
          <w:b/>
          <w:color w:val="000000"/>
          <w:lang w:eastAsia="it-IT"/>
        </w:rPr>
      </w:pPr>
      <w:r w:rsidRPr="00B32D81">
        <w:rPr>
          <w:rFonts w:eastAsia="Calibri" w:cs="Calibri"/>
          <w:b/>
          <w:color w:val="000000"/>
          <w:lang w:eastAsia="it-IT"/>
        </w:rPr>
        <w:t xml:space="preserve">RIASSUNTO DELLA RELAZIONE PUBBLICA </w:t>
      </w:r>
      <w:proofErr w:type="spellStart"/>
      <w:r w:rsidRPr="00B32D81">
        <w:rPr>
          <w:rFonts w:eastAsia="Calibri" w:cs="Calibri"/>
          <w:b/>
          <w:color w:val="000000"/>
          <w:lang w:eastAsia="it-IT"/>
        </w:rPr>
        <w:t>DI</w:t>
      </w:r>
      <w:proofErr w:type="spellEnd"/>
      <w:r w:rsidRPr="00B32D81">
        <w:rPr>
          <w:rFonts w:eastAsia="Calibri" w:cs="Calibri"/>
          <w:b/>
          <w:color w:val="000000"/>
          <w:lang w:eastAsia="it-IT"/>
        </w:rPr>
        <w:t xml:space="preserve"> VALUTAZIONE</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widowControl w:val="0"/>
        <w:spacing w:after="0" w:line="240" w:lineRule="auto"/>
        <w:jc w:val="both"/>
        <w:rPr>
          <w:rFonts w:cs="Times New Roman"/>
          <w:b/>
          <w:bCs/>
          <w:color w:val="000000"/>
        </w:rPr>
      </w:pPr>
      <w:r w:rsidRPr="00B32D81">
        <w:rPr>
          <w:rFonts w:eastAsia="Calibri" w:cs="Calibri"/>
          <w:color w:val="000000"/>
          <w:lang w:eastAsia="it-IT"/>
        </w:rPr>
        <w:t xml:space="preserve">Questa è la sintesi del </w:t>
      </w:r>
      <w:r w:rsidR="00322BF5" w:rsidRPr="00B32D81">
        <w:rPr>
          <w:rFonts w:eastAsia="Calibri" w:cs="Calibri"/>
          <w:i/>
          <w:color w:val="000000"/>
          <w:lang w:eastAsia="it-IT"/>
        </w:rPr>
        <w:t xml:space="preserve">Public </w:t>
      </w:r>
      <w:proofErr w:type="spellStart"/>
      <w:r w:rsidR="00322BF5" w:rsidRPr="00B32D81">
        <w:rPr>
          <w:rFonts w:eastAsia="Calibri" w:cs="Calibri"/>
          <w:i/>
          <w:color w:val="000000"/>
          <w:lang w:eastAsia="it-IT"/>
        </w:rPr>
        <w:t>Assessment</w:t>
      </w:r>
      <w:proofErr w:type="spellEnd"/>
      <w:r w:rsidR="00322BF5" w:rsidRPr="00B32D81">
        <w:rPr>
          <w:rFonts w:eastAsia="Calibri" w:cs="Calibri"/>
          <w:i/>
          <w:color w:val="000000"/>
          <w:lang w:eastAsia="it-IT"/>
        </w:rPr>
        <w:t xml:space="preserve"> Report</w:t>
      </w:r>
      <w:r w:rsidRPr="00B32D81">
        <w:rPr>
          <w:rFonts w:eastAsia="Calibri" w:cs="Calibri"/>
          <w:color w:val="000000"/>
          <w:lang w:eastAsia="it-IT"/>
        </w:rPr>
        <w:t xml:space="preserve"> (PAR) per </w:t>
      </w:r>
      <w:proofErr w:type="spellStart"/>
      <w:r w:rsidR="00276E02">
        <w:rPr>
          <w:rFonts w:cs="Times New Roman"/>
          <w:bCs/>
          <w:color w:val="000000"/>
        </w:rPr>
        <w:t>Brinus</w:t>
      </w:r>
      <w:proofErr w:type="spellEnd"/>
      <w:r w:rsidRPr="00B32D81">
        <w:rPr>
          <w:rFonts w:eastAsia="Calibri" w:cs="Calibri"/>
          <w:color w:val="000000"/>
          <w:lang w:eastAsia="it-IT"/>
        </w:rPr>
        <w:t>.</w:t>
      </w:r>
      <w:r w:rsidRPr="00B32D81">
        <w:rPr>
          <w:rFonts w:eastAsia="Calibri" w:cs="Calibri"/>
          <w:bCs/>
          <w:color w:val="000000"/>
          <w:lang w:eastAsia="it-IT"/>
        </w:rPr>
        <w:t xml:space="preserve"> </w:t>
      </w:r>
      <w:r w:rsidRPr="00B32D81">
        <w:rPr>
          <w:rFonts w:eastAsia="Calibri" w:cs="Calibri"/>
          <w:color w:val="000000"/>
          <w:lang w:eastAsia="it-IT"/>
        </w:rPr>
        <w:t xml:space="preserve">Esso spiega come </w:t>
      </w:r>
      <w:proofErr w:type="spellStart"/>
      <w:r w:rsidR="00276E02">
        <w:rPr>
          <w:rFonts w:cs="Times New Roman"/>
          <w:bCs/>
          <w:color w:val="000000"/>
        </w:rPr>
        <w:t>Brinus</w:t>
      </w:r>
      <w:proofErr w:type="spellEnd"/>
      <w:r w:rsidR="00520FDC" w:rsidRPr="00B32D81">
        <w:rPr>
          <w:rFonts w:eastAsia="Calibri" w:cs="Calibri"/>
          <w:color w:val="000000"/>
          <w:lang w:eastAsia="it-IT"/>
        </w:rPr>
        <w:t xml:space="preserve"> </w:t>
      </w:r>
      <w:r w:rsidRPr="00B32D81">
        <w:rPr>
          <w:rFonts w:eastAsia="Calibri" w:cs="Calibri"/>
          <w:color w:val="000000"/>
          <w:lang w:eastAsia="it-IT"/>
        </w:rPr>
        <w:t>è stato valutato dalla Commissione Tecnico-Scientifica (CTS) e le</w:t>
      </w:r>
      <w:r w:rsidR="008432EC">
        <w:rPr>
          <w:rFonts w:eastAsia="Calibri" w:cs="Calibri"/>
          <w:color w:val="000000"/>
          <w:lang w:eastAsia="it-IT"/>
        </w:rPr>
        <w:t xml:space="preserve"> sue</w:t>
      </w:r>
      <w:r w:rsidRPr="00B32D81">
        <w:rPr>
          <w:rFonts w:eastAsia="Calibri" w:cs="Calibri"/>
          <w:color w:val="000000"/>
          <w:lang w:eastAsia="it-IT"/>
        </w:rPr>
        <w:t xml:space="preserve"> condizioni </w:t>
      </w:r>
      <w:r w:rsidR="005D53B9" w:rsidRPr="00B32D81">
        <w:rPr>
          <w:rFonts w:eastAsia="Calibri" w:cs="Calibri"/>
          <w:color w:val="000000"/>
          <w:lang w:eastAsia="it-IT"/>
        </w:rPr>
        <w:t xml:space="preserve">di impiego. Non intende fornire </w:t>
      </w:r>
      <w:r w:rsidRPr="00B32D81">
        <w:rPr>
          <w:rFonts w:eastAsia="Calibri" w:cs="Calibri"/>
          <w:color w:val="000000"/>
          <w:lang w:eastAsia="it-IT"/>
        </w:rPr>
        <w:t xml:space="preserve">consigli pratici su come utilizzare </w:t>
      </w:r>
      <w:proofErr w:type="spellStart"/>
      <w:r w:rsidR="00276E02">
        <w:rPr>
          <w:rFonts w:cs="Times New Roman"/>
          <w:bCs/>
          <w:color w:val="000000"/>
        </w:rPr>
        <w:t>Brinus</w:t>
      </w:r>
      <w:proofErr w:type="spellEnd"/>
      <w:r w:rsidRPr="00B32D81">
        <w:rPr>
          <w:rFonts w:eastAsia="Calibri" w:cs="Calibri"/>
          <w:bCs/>
          <w:color w:val="000000"/>
          <w:lang w:eastAsia="it-IT"/>
        </w:rPr>
        <w:t>.</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color w:val="000000"/>
          <w:lang w:eastAsia="it-IT"/>
        </w:rPr>
        <w:t>Per informazioni pratiche sull'utilizzo di</w:t>
      </w:r>
      <w:r w:rsidRPr="00B32D81">
        <w:rPr>
          <w:rFonts w:eastAsia="Calibri" w:cs="Calibri"/>
          <w:bCs/>
          <w:color w:val="000000"/>
          <w:lang w:eastAsia="it-IT"/>
        </w:rPr>
        <w:t xml:space="preserve"> </w:t>
      </w:r>
      <w:proofErr w:type="spellStart"/>
      <w:r w:rsidR="00276E02">
        <w:rPr>
          <w:rFonts w:cs="Times New Roman"/>
          <w:bCs/>
          <w:color w:val="000000"/>
        </w:rPr>
        <w:t>Brinus</w:t>
      </w:r>
      <w:proofErr w:type="spellEnd"/>
      <w:r w:rsidR="00520FDC" w:rsidRPr="00B32D81">
        <w:rPr>
          <w:rFonts w:eastAsia="Calibri" w:cs="Calibri"/>
          <w:color w:val="000000"/>
          <w:lang w:eastAsia="it-IT"/>
        </w:rPr>
        <w:t xml:space="preserve"> </w:t>
      </w:r>
      <w:r w:rsidRPr="00B32D81">
        <w:rPr>
          <w:rFonts w:eastAsia="Calibri" w:cs="Calibri"/>
          <w:color w:val="000000"/>
          <w:lang w:eastAsia="it-IT"/>
        </w:rPr>
        <w:t xml:space="preserve">i pazienti devono consultare il foglio illustrativo o contattare il loro medico o </w:t>
      </w:r>
      <w:r w:rsidR="00FA55B0" w:rsidRPr="00B32D81">
        <w:rPr>
          <w:rFonts w:eastAsia="Calibri" w:cs="Calibri"/>
          <w:color w:val="000000"/>
          <w:lang w:eastAsia="it-IT"/>
        </w:rPr>
        <w:t xml:space="preserve">il </w:t>
      </w:r>
      <w:r w:rsidRPr="00B32D81">
        <w:rPr>
          <w:rFonts w:eastAsia="Calibri" w:cs="Calibri"/>
          <w:color w:val="000000"/>
          <w:lang w:eastAsia="it-IT"/>
        </w:rPr>
        <w:t xml:space="preserve">farmacista. </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b/>
          <w:bCs/>
          <w:color w:val="000000"/>
          <w:lang w:eastAsia="it-IT"/>
        </w:rPr>
        <w:t xml:space="preserve">1) CHE COS’È </w:t>
      </w:r>
      <w:proofErr w:type="spellStart"/>
      <w:r w:rsidR="00276E02">
        <w:rPr>
          <w:rFonts w:eastAsia="Calibri" w:cs="Calibri"/>
          <w:b/>
          <w:color w:val="000000"/>
          <w:lang w:eastAsia="it-IT"/>
        </w:rPr>
        <w:t>Brinus</w:t>
      </w:r>
      <w:proofErr w:type="spellEnd"/>
      <w:r w:rsidR="00520FDC" w:rsidRPr="00B32D81">
        <w:rPr>
          <w:rFonts w:eastAsia="Calibri" w:cs="Calibri"/>
          <w:color w:val="000000"/>
          <w:lang w:eastAsia="it-IT"/>
        </w:rPr>
        <w:t xml:space="preserve"> </w:t>
      </w:r>
      <w:r w:rsidR="003A0AA5" w:rsidRPr="00B32D81">
        <w:rPr>
          <w:rFonts w:eastAsia="Calibri" w:cs="Calibri"/>
          <w:b/>
          <w:bCs/>
          <w:color w:val="000000"/>
          <w:lang w:eastAsia="it-IT"/>
        </w:rPr>
        <w:t>E A COSA SERVE</w:t>
      </w:r>
      <w:r w:rsidRPr="00B32D81">
        <w:rPr>
          <w:rFonts w:eastAsia="Calibri" w:cs="Calibri"/>
          <w:b/>
          <w:bCs/>
          <w:color w:val="000000"/>
          <w:lang w:eastAsia="it-IT"/>
        </w:rPr>
        <w:t xml:space="preserve">? </w:t>
      </w:r>
    </w:p>
    <w:p w:rsidR="004241AC" w:rsidRPr="00B32D81" w:rsidRDefault="00276E02" w:rsidP="00B32D81">
      <w:pPr>
        <w:widowControl w:val="0"/>
        <w:spacing w:after="0" w:line="240" w:lineRule="auto"/>
        <w:jc w:val="both"/>
      </w:pPr>
      <w:proofErr w:type="spellStart"/>
      <w:r>
        <w:rPr>
          <w:rFonts w:cs="Times New Roman"/>
          <w:bCs/>
          <w:color w:val="000000"/>
        </w:rPr>
        <w:t>Brinus</w:t>
      </w:r>
      <w:proofErr w:type="spellEnd"/>
      <w:r w:rsidR="00520FDC" w:rsidRPr="00B32D81">
        <w:rPr>
          <w:rFonts w:eastAsia="Calibri" w:cs="Calibri"/>
          <w:color w:val="000000"/>
          <w:lang w:eastAsia="it-IT"/>
        </w:rPr>
        <w:t xml:space="preserve"> </w:t>
      </w:r>
      <w:r w:rsidR="004241AC" w:rsidRPr="00B32D81">
        <w:rPr>
          <w:rFonts w:eastAsia="Calibri" w:cs="Calibri"/>
          <w:color w:val="000000"/>
          <w:lang w:eastAsia="it-IT"/>
        </w:rPr>
        <w:t xml:space="preserve">è un medicinale contenente </w:t>
      </w:r>
      <w:r w:rsidR="00062636" w:rsidRPr="00B32D81">
        <w:rPr>
          <w:rFonts w:eastAsia="Calibri" w:cs="Calibri"/>
          <w:color w:val="000000"/>
          <w:lang w:eastAsia="it-IT"/>
        </w:rPr>
        <w:t>i</w:t>
      </w:r>
      <w:r w:rsidR="00520FDC" w:rsidRPr="00B32D81">
        <w:rPr>
          <w:rFonts w:eastAsia="Calibri" w:cs="Calibri"/>
          <w:color w:val="000000"/>
          <w:lang w:eastAsia="it-IT"/>
        </w:rPr>
        <w:t>l</w:t>
      </w:r>
      <w:r w:rsidR="004241AC" w:rsidRPr="00B32D81">
        <w:rPr>
          <w:rFonts w:eastAsia="Calibri" w:cs="Calibri"/>
          <w:color w:val="000000"/>
          <w:lang w:eastAsia="it-IT"/>
        </w:rPr>
        <w:t xml:space="preserve"> principi</w:t>
      </w:r>
      <w:r w:rsidR="00520FDC" w:rsidRPr="00B32D81">
        <w:rPr>
          <w:rFonts w:eastAsia="Calibri" w:cs="Calibri"/>
          <w:color w:val="000000"/>
          <w:lang w:eastAsia="it-IT"/>
        </w:rPr>
        <w:t>o</w:t>
      </w:r>
      <w:r w:rsidR="004241AC" w:rsidRPr="00B32D81">
        <w:rPr>
          <w:rFonts w:eastAsia="Calibri" w:cs="Calibri"/>
          <w:color w:val="000000"/>
          <w:lang w:eastAsia="it-IT"/>
        </w:rPr>
        <w:t xml:space="preserve"> attiv</w:t>
      </w:r>
      <w:r w:rsidR="00520FDC" w:rsidRPr="00B32D81">
        <w:rPr>
          <w:rFonts w:eastAsia="Calibri" w:cs="Calibri"/>
          <w:color w:val="000000"/>
          <w:lang w:eastAsia="it-IT"/>
        </w:rPr>
        <w:t>o</w:t>
      </w:r>
      <w:r w:rsidR="004241AC" w:rsidRPr="00B32D81">
        <w:rPr>
          <w:rFonts w:eastAsia="Calibri" w:cs="Calibri"/>
          <w:color w:val="000000"/>
          <w:lang w:eastAsia="it-IT"/>
        </w:rPr>
        <w:t xml:space="preserve"> </w:t>
      </w:r>
      <w:proofErr w:type="spellStart"/>
      <w:r w:rsidR="007C1F41">
        <w:rPr>
          <w:snapToGrid w:val="0"/>
        </w:rPr>
        <w:t>bimatoprost</w:t>
      </w:r>
      <w:proofErr w:type="spellEnd"/>
      <w:r w:rsidR="00B75EA4" w:rsidRPr="00B32D81">
        <w:rPr>
          <w:rFonts w:eastAsia="Calibri" w:cs="Calibri"/>
          <w:color w:val="000000"/>
          <w:lang w:eastAsia="it-IT"/>
        </w:rPr>
        <w:t xml:space="preserve"> ed </w:t>
      </w:r>
      <w:r w:rsidR="004241AC" w:rsidRPr="00B32D81">
        <w:rPr>
          <w:rFonts w:eastAsia="Calibri" w:cs="Calibri"/>
          <w:color w:val="000000"/>
          <w:lang w:eastAsia="it-IT"/>
        </w:rPr>
        <w:t xml:space="preserve">è disponibile in </w:t>
      </w:r>
      <w:r w:rsidR="00DA1945" w:rsidRPr="00B32D81">
        <w:rPr>
          <w:rFonts w:eastAsia="Calibri" w:cs="Calibri"/>
          <w:color w:val="000000"/>
          <w:lang w:eastAsia="it-IT"/>
        </w:rPr>
        <w:t>collirio</w:t>
      </w:r>
      <w:r w:rsidR="007935FE">
        <w:rPr>
          <w:rFonts w:eastAsia="Calibri" w:cs="Calibri"/>
          <w:color w:val="000000"/>
          <w:lang w:eastAsia="it-IT"/>
        </w:rPr>
        <w:t>,</w:t>
      </w:r>
      <w:r w:rsidR="00DA1945" w:rsidRPr="00B32D81">
        <w:rPr>
          <w:rFonts w:eastAsia="Calibri" w:cs="Calibri"/>
          <w:color w:val="000000"/>
          <w:lang w:eastAsia="it-IT"/>
        </w:rPr>
        <w:t xml:space="preserve"> soluzione </w:t>
      </w:r>
      <w:r w:rsidR="004241AC" w:rsidRPr="00B32D81">
        <w:rPr>
          <w:rFonts w:eastAsia="Calibri" w:cs="Calibri"/>
          <w:color w:val="000000"/>
          <w:lang w:eastAsia="it-IT"/>
        </w:rPr>
        <w:t>contenent</w:t>
      </w:r>
      <w:r w:rsidR="007935FE">
        <w:rPr>
          <w:rFonts w:eastAsia="Calibri" w:cs="Calibri"/>
          <w:color w:val="000000"/>
          <w:lang w:eastAsia="it-IT"/>
        </w:rPr>
        <w:t>e</w:t>
      </w:r>
      <w:r w:rsidR="004241AC" w:rsidRPr="00B32D81">
        <w:rPr>
          <w:rFonts w:eastAsia="Calibri" w:cs="Calibri"/>
          <w:color w:val="000000"/>
          <w:lang w:eastAsia="it-IT"/>
        </w:rPr>
        <w:t xml:space="preserve"> </w:t>
      </w:r>
      <w:r w:rsidR="00502AB1">
        <w:rPr>
          <w:rFonts w:cs="Arial"/>
        </w:rPr>
        <w:t>il</w:t>
      </w:r>
      <w:r w:rsidR="00520FDC" w:rsidRPr="00B32D81">
        <w:rPr>
          <w:rFonts w:eastAsia="Calibri" w:cs="Calibri"/>
          <w:color w:val="000000"/>
          <w:lang w:eastAsia="it-IT"/>
        </w:rPr>
        <w:t xml:space="preserve"> principio attivo</w:t>
      </w:r>
      <w:r w:rsidR="00502AB1">
        <w:rPr>
          <w:rFonts w:eastAsia="Calibri" w:cs="Calibri"/>
          <w:color w:val="000000"/>
          <w:lang w:eastAsia="it-IT"/>
        </w:rPr>
        <w:t xml:space="preserve"> alla concentrazione </w:t>
      </w:r>
      <w:r w:rsidR="007C1F41">
        <w:rPr>
          <w:rFonts w:eastAsia="Calibri" w:cs="Calibri"/>
          <w:color w:val="000000"/>
          <w:lang w:eastAsia="it-IT"/>
        </w:rPr>
        <w:t>di 0,1 mg/ml e 0,3 mg/ml.</w:t>
      </w:r>
    </w:p>
    <w:p w:rsidR="007C1F41" w:rsidRDefault="00276E02" w:rsidP="007C1F41">
      <w:pPr>
        <w:widowControl w:val="0"/>
        <w:spacing w:after="0" w:line="240" w:lineRule="auto"/>
        <w:jc w:val="both"/>
        <w:rPr>
          <w:rFonts w:eastAsia="Calibri" w:cs="Calibri"/>
          <w:bCs/>
          <w:color w:val="000000"/>
          <w:lang w:eastAsia="it-IT"/>
        </w:rPr>
      </w:pPr>
      <w:proofErr w:type="spellStart"/>
      <w:r>
        <w:rPr>
          <w:rFonts w:cs="Times New Roman"/>
          <w:bCs/>
          <w:color w:val="000000"/>
        </w:rPr>
        <w:t>Brinus</w:t>
      </w:r>
      <w:proofErr w:type="spellEnd"/>
      <w:r w:rsidR="00520FDC" w:rsidRPr="003A0AA5">
        <w:rPr>
          <w:rFonts w:eastAsia="Calibri" w:cs="Calibri"/>
          <w:color w:val="000000"/>
          <w:lang w:eastAsia="it-IT"/>
        </w:rPr>
        <w:t xml:space="preserve"> </w:t>
      </w:r>
      <w:r w:rsidR="003A0AA5" w:rsidRPr="003A0AA5">
        <w:rPr>
          <w:rFonts w:eastAsia="Calibri" w:cs="Calibri"/>
          <w:color w:val="000000"/>
          <w:lang w:eastAsia="it-IT"/>
        </w:rPr>
        <w:t xml:space="preserve">è un “medicinale generico”, </w:t>
      </w:r>
      <w:r w:rsidR="007C1F41" w:rsidRPr="00E83F8D">
        <w:rPr>
          <w:rFonts w:eastAsia="Calibri" w:cs="Calibri"/>
          <w:color w:val="000000"/>
          <w:lang w:eastAsia="it-IT"/>
        </w:rPr>
        <w:t xml:space="preserve">cioè è analogo ad un “medicinale di riferimento”, </w:t>
      </w:r>
      <w:proofErr w:type="spellStart"/>
      <w:r w:rsidR="007C1F41">
        <w:rPr>
          <w:rFonts w:eastAsia="Calibri" w:cs="Calibri"/>
          <w:color w:val="000000"/>
          <w:lang w:eastAsia="it-IT"/>
        </w:rPr>
        <w:t>Lumigan</w:t>
      </w:r>
      <w:proofErr w:type="spellEnd"/>
      <w:r w:rsidR="007C1F41">
        <w:rPr>
          <w:rFonts w:eastAsia="Calibri" w:cs="Calibri"/>
          <w:color w:val="000000"/>
          <w:lang w:eastAsia="it-IT"/>
        </w:rPr>
        <w:t xml:space="preserve">, </w:t>
      </w:r>
      <w:r w:rsidR="007C1F41" w:rsidRPr="00E83F8D">
        <w:rPr>
          <w:rFonts w:eastAsia="Calibri" w:cs="Calibri"/>
          <w:color w:val="000000"/>
          <w:lang w:eastAsia="it-IT"/>
        </w:rPr>
        <w:t>già autorizzato in Italia</w:t>
      </w:r>
      <w:r w:rsidR="007C1F41">
        <w:rPr>
          <w:rFonts w:eastAsia="Calibri" w:cs="Calibri"/>
          <w:color w:val="000000"/>
          <w:lang w:eastAsia="it-IT"/>
        </w:rPr>
        <w:t xml:space="preserve"> con procedura centralizzata</w:t>
      </w:r>
      <w:r w:rsidR="007C1F41" w:rsidRPr="00E83F8D">
        <w:rPr>
          <w:rFonts w:eastAsia="Calibri" w:cs="Calibri"/>
          <w:color w:val="000000"/>
          <w:lang w:eastAsia="it-IT"/>
        </w:rPr>
        <w:t>.</w:t>
      </w:r>
      <w:r w:rsidR="007C1F41">
        <w:rPr>
          <w:rFonts w:eastAsia="Calibri" w:cs="Calibri"/>
          <w:color w:val="000000"/>
          <w:lang w:eastAsia="it-IT"/>
        </w:rPr>
        <w:t xml:space="preserve"> L’</w:t>
      </w:r>
      <w:proofErr w:type="spellStart"/>
      <w:r w:rsidR="007C1F41" w:rsidRPr="00DD581F">
        <w:rPr>
          <w:rFonts w:eastAsia="Calibri" w:cs="Calibri"/>
          <w:i/>
          <w:color w:val="000000"/>
          <w:lang w:eastAsia="it-IT"/>
        </w:rPr>
        <w:t>European</w:t>
      </w:r>
      <w:proofErr w:type="spellEnd"/>
      <w:r w:rsidR="007C1F41">
        <w:rPr>
          <w:rFonts w:eastAsia="Calibri" w:cs="Calibri"/>
          <w:color w:val="000000"/>
          <w:lang w:eastAsia="it-IT"/>
        </w:rPr>
        <w:t xml:space="preserve"> </w:t>
      </w:r>
      <w:r w:rsidR="007C1F41" w:rsidRPr="009B03DB">
        <w:rPr>
          <w:rFonts w:eastAsia="Calibri" w:cs="Calibri"/>
          <w:i/>
          <w:color w:val="000000"/>
          <w:lang w:eastAsia="it-IT"/>
        </w:rPr>
        <w:t xml:space="preserve">Public </w:t>
      </w:r>
      <w:proofErr w:type="spellStart"/>
      <w:r w:rsidR="007C1F41" w:rsidRPr="009B03DB">
        <w:rPr>
          <w:rFonts w:eastAsia="Calibri" w:cs="Calibri"/>
          <w:i/>
          <w:color w:val="000000"/>
          <w:lang w:eastAsia="it-IT"/>
        </w:rPr>
        <w:t>Assessment</w:t>
      </w:r>
      <w:proofErr w:type="spellEnd"/>
      <w:r w:rsidR="007C1F41" w:rsidRPr="009B03DB">
        <w:rPr>
          <w:rFonts w:eastAsia="Calibri" w:cs="Calibri"/>
          <w:i/>
          <w:color w:val="000000"/>
          <w:lang w:eastAsia="it-IT"/>
        </w:rPr>
        <w:t xml:space="preserve"> Report</w:t>
      </w:r>
      <w:r w:rsidR="007C1F41" w:rsidRPr="009F1B70">
        <w:rPr>
          <w:rFonts w:eastAsia="Calibri" w:cs="Calibri"/>
          <w:color w:val="000000"/>
          <w:lang w:eastAsia="it-IT"/>
        </w:rPr>
        <w:t xml:space="preserve"> (</w:t>
      </w:r>
      <w:r w:rsidR="007C1F41">
        <w:rPr>
          <w:rFonts w:eastAsia="Calibri" w:cs="Calibri"/>
          <w:color w:val="000000"/>
          <w:lang w:eastAsia="it-IT"/>
        </w:rPr>
        <w:t>E</w:t>
      </w:r>
      <w:r w:rsidR="007C1F41" w:rsidRPr="009F1B70">
        <w:rPr>
          <w:rFonts w:eastAsia="Calibri" w:cs="Calibri"/>
          <w:color w:val="000000"/>
          <w:lang w:eastAsia="it-IT"/>
        </w:rPr>
        <w:t>PAR)</w:t>
      </w:r>
      <w:r w:rsidR="007C1F41">
        <w:rPr>
          <w:rFonts w:eastAsia="Calibri" w:cs="Calibri"/>
          <w:color w:val="000000"/>
          <w:lang w:eastAsia="it-IT"/>
        </w:rPr>
        <w:t xml:space="preserve"> di </w:t>
      </w:r>
      <w:proofErr w:type="spellStart"/>
      <w:r w:rsidR="008432EC">
        <w:rPr>
          <w:rFonts w:eastAsia="Calibri" w:cs="Calibri"/>
          <w:color w:val="000000"/>
          <w:lang w:eastAsia="it-IT"/>
        </w:rPr>
        <w:t>Lumigan</w:t>
      </w:r>
      <w:proofErr w:type="spellEnd"/>
      <w:r w:rsidR="007C1F41">
        <w:rPr>
          <w:rFonts w:eastAsia="Calibri" w:cs="Calibri"/>
          <w:color w:val="000000"/>
          <w:lang w:eastAsia="it-IT"/>
        </w:rPr>
        <w:t xml:space="preserve"> può essere consultato sul sito dell’Agenzia Europea dei medicinali (</w:t>
      </w:r>
      <w:proofErr w:type="spellStart"/>
      <w:r w:rsidR="007C1F41" w:rsidRPr="00DD581F">
        <w:rPr>
          <w:rFonts w:eastAsia="Calibri" w:cs="Calibri"/>
          <w:i/>
          <w:color w:val="000000"/>
          <w:lang w:eastAsia="it-IT"/>
        </w:rPr>
        <w:t>European</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Medicinal</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Agency</w:t>
      </w:r>
      <w:proofErr w:type="spellEnd"/>
      <w:r w:rsidR="007C1F41">
        <w:rPr>
          <w:rFonts w:eastAsia="Calibri" w:cs="Calibri"/>
          <w:color w:val="000000"/>
          <w:lang w:eastAsia="it-IT"/>
        </w:rPr>
        <w:t xml:space="preserve"> – EMA) (</w:t>
      </w:r>
      <w:hyperlink r:id="rId6" w:history="1">
        <w:r w:rsidR="007C1F41" w:rsidRPr="00DD581F">
          <w:rPr>
            <w:rStyle w:val="Collegamentoipertestuale"/>
            <w:rFonts w:eastAsia="Calibri" w:cs="Calibri"/>
            <w:bCs/>
            <w:lang w:eastAsia="it-IT"/>
          </w:rPr>
          <w:t>http://www.ema.europa.eu/ema/index.jsp?curl=pages/medicines/landing/epar_search.jsp&amp;mid</w:t>
        </w:r>
      </w:hyperlink>
      <w:r w:rsidR="007C1F41">
        <w:rPr>
          <w:rFonts w:eastAsia="Calibri" w:cs="Calibri"/>
          <w:bCs/>
          <w:color w:val="000000"/>
          <w:lang w:eastAsia="it-IT"/>
        </w:rPr>
        <w:t>).</w:t>
      </w:r>
    </w:p>
    <w:p w:rsidR="00E22AEF" w:rsidRPr="003A0AA5" w:rsidRDefault="00276E02" w:rsidP="007C1F41">
      <w:pPr>
        <w:widowControl w:val="0"/>
        <w:spacing w:after="0" w:line="240" w:lineRule="auto"/>
        <w:jc w:val="both"/>
        <w:rPr>
          <w:rFonts w:eastAsia="Calibri" w:cs="Calibri"/>
          <w:color w:val="000000"/>
          <w:lang w:eastAsia="it-IT"/>
        </w:rPr>
      </w:pPr>
      <w:proofErr w:type="spellStart"/>
      <w:r>
        <w:rPr>
          <w:rFonts w:cs="Times New Roman"/>
          <w:bCs/>
          <w:color w:val="000000"/>
        </w:rPr>
        <w:t>Brinus</w:t>
      </w:r>
      <w:proofErr w:type="spellEnd"/>
      <w:r>
        <w:t xml:space="preserve"> </w:t>
      </w:r>
      <w:r w:rsidR="007C1F41">
        <w:t>è utilizzato per ridurre la pressione oculare elevata. Questo medicinale può essere utilizzato da solo oppure insieme ad altri colliri chiamati beta-bloccanti, che servono ugualmente a ridurre la pressione nell’occhio.</w:t>
      </w:r>
    </w:p>
    <w:p w:rsidR="004241AC" w:rsidRPr="00502AB1" w:rsidRDefault="004241AC" w:rsidP="006959E3">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2) COME E’ PRESCRITTO/USATO </w:t>
      </w:r>
      <w:proofErr w:type="spellStart"/>
      <w:r w:rsidR="00276E02">
        <w:rPr>
          <w:rFonts w:eastAsia="Calibri" w:cs="Calibri"/>
          <w:b/>
          <w:color w:val="000000"/>
          <w:lang w:eastAsia="it-IT"/>
        </w:rPr>
        <w:t>Brinus</w:t>
      </w:r>
      <w:proofErr w:type="spellEnd"/>
      <w:r w:rsidRPr="00502AB1">
        <w:rPr>
          <w:rFonts w:eastAsia="Calibri" w:cs="Calibri"/>
          <w:b/>
          <w:bCs/>
          <w:color w:val="000000"/>
          <w:lang w:eastAsia="it-IT"/>
        </w:rPr>
        <w:t>?</w:t>
      </w:r>
    </w:p>
    <w:p w:rsidR="007935FE" w:rsidRPr="00502AB1" w:rsidRDefault="00276E02" w:rsidP="007935FE">
      <w:pPr>
        <w:autoSpaceDE w:val="0"/>
        <w:autoSpaceDN w:val="0"/>
        <w:adjustRightInd w:val="0"/>
        <w:spacing w:after="0" w:line="240" w:lineRule="auto"/>
        <w:jc w:val="both"/>
        <w:rPr>
          <w:rFonts w:eastAsia="Calibri" w:cs="Calibri"/>
          <w:color w:val="000000"/>
          <w:lang w:eastAsia="it-IT"/>
        </w:rPr>
      </w:pPr>
      <w:proofErr w:type="spellStart"/>
      <w:r>
        <w:rPr>
          <w:rFonts w:cs="Times New Roman"/>
          <w:bCs/>
          <w:color w:val="000000"/>
        </w:rPr>
        <w:t>Brinus</w:t>
      </w:r>
      <w:proofErr w:type="spellEnd"/>
      <w:r w:rsidR="005A2741" w:rsidRPr="00502AB1">
        <w:rPr>
          <w:rFonts w:eastAsia="Calibri" w:cs="Calibri"/>
          <w:color w:val="000000"/>
          <w:lang w:eastAsia="it-IT"/>
        </w:rPr>
        <w:t xml:space="preserve"> </w:t>
      </w:r>
      <w:r w:rsidR="007935FE" w:rsidRPr="00502AB1">
        <w:rPr>
          <w:rFonts w:eastAsia="Calibri" w:cs="Calibri"/>
          <w:color w:val="000000"/>
          <w:lang w:eastAsia="it-IT"/>
        </w:rPr>
        <w:t>può essere ottenuto solo dietro prescrizione da parte del medico (ricetta ripetibile).</w:t>
      </w:r>
    </w:p>
    <w:p w:rsidR="00B32D81" w:rsidRPr="00502AB1" w:rsidRDefault="007C1F41" w:rsidP="00B32D81">
      <w:pPr>
        <w:autoSpaceDE w:val="0"/>
        <w:autoSpaceDN w:val="0"/>
        <w:adjustRightInd w:val="0"/>
        <w:spacing w:after="0" w:line="240" w:lineRule="auto"/>
        <w:jc w:val="both"/>
        <w:rPr>
          <w:rFonts w:eastAsia="Calibri" w:cs="Verdana"/>
          <w:color w:val="000000"/>
          <w:lang w:eastAsia="it-IT"/>
        </w:rPr>
      </w:pPr>
      <w:r>
        <w:lastRenderedPageBreak/>
        <w:t>La dose consigliata è di una goccia nell’occhio(i) affetto(i), una volta al giorno, da somministrare alla sera.</w:t>
      </w:r>
      <w:r w:rsidR="00134669">
        <w:t xml:space="preserve"> Il medico stabilirà se dovrà essere usata la concentrazione da </w:t>
      </w:r>
      <w:r w:rsidR="00134669">
        <w:rPr>
          <w:rFonts w:eastAsia="Calibri" w:cs="Calibri"/>
          <w:color w:val="000000"/>
          <w:lang w:eastAsia="it-IT"/>
        </w:rPr>
        <w:t>0,1 mg/ml o 0,3 mg/ml.</w:t>
      </w:r>
    </w:p>
    <w:p w:rsidR="00F01FB3" w:rsidRDefault="00F01FB3" w:rsidP="00B32D81">
      <w:pPr>
        <w:autoSpaceDE w:val="0"/>
        <w:autoSpaceDN w:val="0"/>
        <w:adjustRightInd w:val="0"/>
        <w:spacing w:after="0" w:line="240" w:lineRule="auto"/>
        <w:jc w:val="both"/>
        <w:rPr>
          <w:rFonts w:eastAsia="Calibri" w:cs="Verdana"/>
          <w:color w:val="000000"/>
          <w:lang w:eastAsia="it-IT"/>
        </w:rPr>
      </w:pPr>
    </w:p>
    <w:p w:rsidR="007C1F41" w:rsidRPr="00502AB1" w:rsidRDefault="007C1F41" w:rsidP="00B32D81">
      <w:pPr>
        <w:autoSpaceDE w:val="0"/>
        <w:autoSpaceDN w:val="0"/>
        <w:adjustRightInd w:val="0"/>
        <w:spacing w:after="0" w:line="240" w:lineRule="auto"/>
        <w:jc w:val="both"/>
        <w:rPr>
          <w:rFonts w:eastAsia="Calibri" w:cs="Verdana"/>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3) COME FUNZIONA </w:t>
      </w:r>
      <w:proofErr w:type="spellStart"/>
      <w:r w:rsidR="00276E02">
        <w:rPr>
          <w:rFonts w:eastAsia="Calibri" w:cs="Calibri"/>
          <w:b/>
          <w:color w:val="000000"/>
          <w:lang w:eastAsia="it-IT"/>
        </w:rPr>
        <w:t>Brinus</w:t>
      </w:r>
      <w:proofErr w:type="spellEnd"/>
      <w:r w:rsidRPr="00502AB1">
        <w:rPr>
          <w:rFonts w:eastAsia="Calibri" w:cs="Calibri"/>
          <w:b/>
          <w:bCs/>
          <w:color w:val="000000"/>
          <w:lang w:eastAsia="it-IT"/>
        </w:rPr>
        <w:t xml:space="preserve">? </w:t>
      </w:r>
    </w:p>
    <w:p w:rsidR="00BC4D63" w:rsidRDefault="00276E02" w:rsidP="00B32D81">
      <w:pPr>
        <w:autoSpaceDE w:val="0"/>
        <w:autoSpaceDN w:val="0"/>
        <w:adjustRightInd w:val="0"/>
        <w:spacing w:after="0" w:line="240" w:lineRule="auto"/>
        <w:jc w:val="both"/>
        <w:rPr>
          <w:rFonts w:cs="Times New Roman"/>
        </w:rPr>
      </w:pPr>
      <w:proofErr w:type="spellStart"/>
      <w:r>
        <w:rPr>
          <w:rFonts w:cs="Times New Roman"/>
          <w:bCs/>
          <w:color w:val="000000"/>
        </w:rPr>
        <w:t>Brinus</w:t>
      </w:r>
      <w:proofErr w:type="spellEnd"/>
      <w:r w:rsidR="00502AB1" w:rsidRPr="00502AB1">
        <w:rPr>
          <w:snapToGrid w:val="0"/>
        </w:rPr>
        <w:t xml:space="preserve">, il cui codice ATC è </w:t>
      </w:r>
      <w:r w:rsidR="007C1F41">
        <w:t>S01EE03</w:t>
      </w:r>
      <w:r w:rsidR="00502AB1" w:rsidRPr="00502AB1">
        <w:t>,</w:t>
      </w:r>
      <w:r w:rsidR="005A2741" w:rsidRPr="00502AB1">
        <w:rPr>
          <w:rFonts w:eastAsia="Calibri" w:cs="Calibri"/>
          <w:bCs/>
          <w:color w:val="000000"/>
          <w:lang w:eastAsia="it-IT"/>
        </w:rPr>
        <w:t xml:space="preserve"> </w:t>
      </w:r>
      <w:r w:rsidR="004241AC" w:rsidRPr="00502AB1">
        <w:rPr>
          <w:rFonts w:eastAsia="Calibri" w:cs="Calibri"/>
          <w:color w:val="000000"/>
          <w:lang w:eastAsia="it-IT"/>
        </w:rPr>
        <w:t>contiene i</w:t>
      </w:r>
      <w:r w:rsidR="005A2741" w:rsidRPr="00502AB1">
        <w:rPr>
          <w:rFonts w:eastAsia="Calibri" w:cs="Calibri"/>
          <w:color w:val="000000"/>
          <w:lang w:eastAsia="it-IT"/>
        </w:rPr>
        <w:t>l</w:t>
      </w:r>
      <w:r w:rsidR="004241AC" w:rsidRPr="00502AB1">
        <w:rPr>
          <w:rFonts w:eastAsia="Calibri" w:cs="Calibri"/>
          <w:color w:val="000000"/>
          <w:lang w:eastAsia="it-IT"/>
        </w:rPr>
        <w:t xml:space="preserve"> principi</w:t>
      </w:r>
      <w:r w:rsidR="005A2741" w:rsidRPr="00502AB1">
        <w:rPr>
          <w:rFonts w:eastAsia="Calibri" w:cs="Calibri"/>
          <w:color w:val="000000"/>
          <w:lang w:eastAsia="it-IT"/>
        </w:rPr>
        <w:t>o</w:t>
      </w:r>
      <w:r w:rsidR="004241AC" w:rsidRPr="00502AB1">
        <w:rPr>
          <w:rFonts w:eastAsia="Calibri" w:cs="Calibri"/>
          <w:color w:val="000000"/>
          <w:lang w:eastAsia="it-IT"/>
        </w:rPr>
        <w:t xml:space="preserve"> attiv</w:t>
      </w:r>
      <w:r w:rsidR="005A2741" w:rsidRPr="00502AB1">
        <w:rPr>
          <w:rFonts w:eastAsia="Calibri" w:cs="Calibri"/>
          <w:color w:val="000000"/>
          <w:lang w:eastAsia="it-IT"/>
        </w:rPr>
        <w:t>o</w:t>
      </w:r>
      <w:r w:rsidR="004241AC" w:rsidRPr="00502AB1">
        <w:rPr>
          <w:rFonts w:eastAsia="Calibri" w:cs="Calibri"/>
          <w:color w:val="000000"/>
          <w:lang w:eastAsia="it-IT"/>
        </w:rPr>
        <w:t xml:space="preserve"> </w:t>
      </w:r>
      <w:proofErr w:type="spellStart"/>
      <w:r w:rsidR="007C1F41">
        <w:rPr>
          <w:snapToGrid w:val="0"/>
        </w:rPr>
        <w:t>bimatoprost</w:t>
      </w:r>
      <w:proofErr w:type="spellEnd"/>
      <w:r w:rsidR="00F01FB3" w:rsidRPr="00502AB1">
        <w:t xml:space="preserve"> che </w:t>
      </w:r>
      <w:r w:rsidR="00BC4D63">
        <w:t xml:space="preserve">appartiene ad una categoria di farmaci chiamati </w:t>
      </w:r>
      <w:proofErr w:type="spellStart"/>
      <w:r w:rsidR="00BC4D63">
        <w:t>prostamidi</w:t>
      </w:r>
      <w:proofErr w:type="spellEnd"/>
      <w:r w:rsidR="00502AB1" w:rsidRPr="00502AB1">
        <w:rPr>
          <w:rFonts w:cs="Times New Roman"/>
        </w:rPr>
        <w:t xml:space="preserve">. </w:t>
      </w:r>
    </w:p>
    <w:p w:rsidR="004241AC" w:rsidRDefault="00BC4D63" w:rsidP="00B32D81">
      <w:pPr>
        <w:tabs>
          <w:tab w:val="left" w:pos="0"/>
        </w:tabs>
        <w:overflowPunct w:val="0"/>
        <w:autoSpaceDE w:val="0"/>
        <w:autoSpaceDN w:val="0"/>
        <w:adjustRightInd w:val="0"/>
        <w:spacing w:after="0" w:line="240" w:lineRule="auto"/>
        <w:jc w:val="both"/>
        <w:textAlignment w:val="baseline"/>
      </w:pPr>
      <w:r>
        <w:t>L’occhio contiene un liquido limpido, a base acquosa, che ne nutre il suo interno. Tale liquido viene eliminato costantemente dall’occhio e nuovo liquido viene prodotto per sostituire quello eliminato. Se il liquido non viene eliminato abbastanza velocemente, la pressione all’interno dell’occhio subisce un innalzamento. Questo medicinale serve ad aumentare la quantità di liquido che viene eliminato, riducendo così la pressione all’interno dell’occhio. La pressione oculare elevata, se non viene ridotta, può provocare una malattia denominata glaucoma e può alla fine causare danni alla vista.</w:t>
      </w:r>
    </w:p>
    <w:p w:rsidR="00BC4D63" w:rsidRPr="00502AB1" w:rsidRDefault="00BC4D63" w:rsidP="00B32D81">
      <w:pPr>
        <w:tabs>
          <w:tab w:val="left" w:pos="0"/>
        </w:tabs>
        <w:overflowPunct w:val="0"/>
        <w:autoSpaceDE w:val="0"/>
        <w:autoSpaceDN w:val="0"/>
        <w:adjustRightInd w:val="0"/>
        <w:spacing w:after="0" w:line="240" w:lineRule="auto"/>
        <w:jc w:val="both"/>
        <w:textAlignment w:val="baseline"/>
        <w:rPr>
          <w:iCs/>
        </w:rPr>
      </w:pPr>
    </w:p>
    <w:p w:rsidR="00F01FB3" w:rsidRPr="00502AB1" w:rsidRDefault="00F01FB3" w:rsidP="00B32D81">
      <w:pPr>
        <w:tabs>
          <w:tab w:val="left" w:pos="0"/>
        </w:tabs>
        <w:overflowPunct w:val="0"/>
        <w:autoSpaceDE w:val="0"/>
        <w:autoSpaceDN w:val="0"/>
        <w:adjustRightInd w:val="0"/>
        <w:spacing w:after="0" w:line="240" w:lineRule="auto"/>
        <w:jc w:val="both"/>
        <w:textAlignment w:val="baseline"/>
        <w:rPr>
          <w:iCs/>
        </w:rPr>
      </w:pPr>
    </w:p>
    <w:p w:rsidR="004241AC" w:rsidRPr="00502AB1" w:rsidRDefault="004241AC" w:rsidP="00B32D81">
      <w:pPr>
        <w:autoSpaceDE w:val="0"/>
        <w:autoSpaceDN w:val="0"/>
        <w:adjustRightInd w:val="0"/>
        <w:spacing w:after="0" w:line="240" w:lineRule="auto"/>
        <w:jc w:val="both"/>
        <w:rPr>
          <w:rFonts w:eastAsia="Calibri" w:cs="Calibri"/>
          <w:lang w:eastAsia="it-IT"/>
        </w:rPr>
      </w:pPr>
      <w:r w:rsidRPr="00502AB1">
        <w:rPr>
          <w:rFonts w:eastAsia="Calibri" w:cs="Calibri"/>
          <w:b/>
          <w:bCs/>
          <w:lang w:eastAsia="it-IT"/>
        </w:rPr>
        <w:t xml:space="preserve">4) COME È STATO STUDIATO </w:t>
      </w:r>
      <w:proofErr w:type="spellStart"/>
      <w:r w:rsidR="00276E02">
        <w:rPr>
          <w:rFonts w:eastAsia="Calibri" w:cs="Calibri"/>
          <w:b/>
          <w:color w:val="000000"/>
          <w:lang w:eastAsia="it-IT"/>
        </w:rPr>
        <w:t>Brinus</w:t>
      </w:r>
      <w:proofErr w:type="spellEnd"/>
      <w:r w:rsidR="005A2741" w:rsidRPr="00502AB1">
        <w:rPr>
          <w:rFonts w:eastAsia="Calibri" w:cs="Calibri"/>
          <w:b/>
          <w:bCs/>
          <w:color w:val="000000"/>
          <w:lang w:eastAsia="it-IT"/>
        </w:rPr>
        <w:t xml:space="preserve">? </w:t>
      </w:r>
      <w:r w:rsidRPr="00502AB1">
        <w:rPr>
          <w:rFonts w:eastAsia="Calibri" w:cs="Calibri"/>
          <w:b/>
          <w:bCs/>
          <w:lang w:eastAsia="it-IT"/>
        </w:rPr>
        <w:t xml:space="preserve"> </w:t>
      </w:r>
    </w:p>
    <w:p w:rsidR="00F01FB3" w:rsidRDefault="004241AC" w:rsidP="00F01FB3">
      <w:pPr>
        <w:spacing w:after="0" w:line="240" w:lineRule="auto"/>
        <w:jc w:val="both"/>
        <w:rPr>
          <w:rFonts w:cs="Arial"/>
        </w:rPr>
      </w:pPr>
      <w:r w:rsidRPr="00B32D81">
        <w:rPr>
          <w:rFonts w:cs="Arial"/>
        </w:rPr>
        <w:t xml:space="preserve">Poiché </w:t>
      </w:r>
      <w:proofErr w:type="spellStart"/>
      <w:r w:rsidR="00276E02">
        <w:rPr>
          <w:rFonts w:cs="Times New Roman"/>
          <w:bCs/>
          <w:color w:val="000000"/>
        </w:rPr>
        <w:t>Brinus</w:t>
      </w:r>
      <w:proofErr w:type="spellEnd"/>
      <w:r w:rsidR="005A2741" w:rsidRPr="00B32D81">
        <w:rPr>
          <w:rFonts w:eastAsia="Calibri" w:cs="Calibri"/>
          <w:bCs/>
          <w:color w:val="000000"/>
          <w:lang w:eastAsia="it-IT"/>
        </w:rPr>
        <w:t xml:space="preserve"> </w:t>
      </w:r>
      <w:r w:rsidR="00013020" w:rsidRPr="00B32D81">
        <w:rPr>
          <w:rFonts w:cs="Arial"/>
        </w:rPr>
        <w:t>è un medicinale generico</w:t>
      </w:r>
      <w:r w:rsidRPr="00B32D81">
        <w:rPr>
          <w:rFonts w:cs="Arial"/>
        </w:rPr>
        <w:t xml:space="preserve"> </w:t>
      </w:r>
      <w:r w:rsidR="00F01FB3" w:rsidRPr="0023693E">
        <w:rPr>
          <w:rFonts w:cs="Arial"/>
        </w:rPr>
        <w:t xml:space="preserve">ed è somministrato come </w:t>
      </w:r>
      <w:r w:rsidR="00F01FB3">
        <w:rPr>
          <w:rFonts w:cs="Arial"/>
        </w:rPr>
        <w:t>collirio (</w:t>
      </w:r>
      <w:r w:rsidR="00F01FB3" w:rsidRPr="0023693E">
        <w:rPr>
          <w:rFonts w:cs="Arial"/>
        </w:rPr>
        <w:t>soluzione</w:t>
      </w:r>
      <w:r w:rsidR="00F01FB3">
        <w:rPr>
          <w:rFonts w:cs="Arial"/>
        </w:rPr>
        <w:t xml:space="preserve"> oftalmica)</w:t>
      </w:r>
      <w:r w:rsidR="00F01FB3" w:rsidRPr="00B21EAE">
        <w:rPr>
          <w:rFonts w:cs="Arial"/>
        </w:rPr>
        <w:t>, non è stato necessario effettuare ulteriori studi clinici.</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5) QUAL È IL RAPPORTO BENEFICIO/RISCHIO di </w:t>
      </w:r>
      <w:proofErr w:type="spellStart"/>
      <w:r w:rsidR="00276E02">
        <w:rPr>
          <w:rFonts w:eastAsia="Calibri" w:cs="Calibri"/>
          <w:b/>
          <w:color w:val="000000"/>
          <w:lang w:eastAsia="it-IT"/>
        </w:rPr>
        <w:t>Brinus</w:t>
      </w:r>
      <w:proofErr w:type="spellEnd"/>
      <w:r w:rsidR="005A2741" w:rsidRPr="00B32D81">
        <w:rPr>
          <w:rFonts w:eastAsia="Calibri" w:cs="Calibri"/>
          <w:b/>
          <w:bCs/>
          <w:color w:val="000000"/>
          <w:lang w:eastAsia="it-IT"/>
        </w:rPr>
        <w:t xml:space="preserve">? </w:t>
      </w:r>
    </w:p>
    <w:p w:rsidR="004241AC" w:rsidRPr="00B32D81" w:rsidRDefault="00276E02" w:rsidP="00B32D81">
      <w:pPr>
        <w:autoSpaceDE w:val="0"/>
        <w:autoSpaceDN w:val="0"/>
        <w:adjustRightInd w:val="0"/>
        <w:spacing w:after="0" w:line="240" w:lineRule="auto"/>
        <w:jc w:val="both"/>
        <w:rPr>
          <w:rFonts w:eastAsia="Calibri" w:cs="Calibri"/>
          <w:lang w:eastAsia="it-IT"/>
        </w:rPr>
      </w:pPr>
      <w:proofErr w:type="spellStart"/>
      <w:r>
        <w:rPr>
          <w:rFonts w:cs="Times New Roman"/>
          <w:bCs/>
          <w:color w:val="000000"/>
        </w:rPr>
        <w:t>Brinus</w:t>
      </w:r>
      <w:proofErr w:type="spellEnd"/>
      <w:r w:rsidR="005A2741" w:rsidRPr="00B32D81">
        <w:rPr>
          <w:rFonts w:eastAsia="Calibri" w:cs="Calibri"/>
          <w:color w:val="000000"/>
          <w:lang w:eastAsia="it-IT"/>
        </w:rPr>
        <w:t xml:space="preserve"> </w:t>
      </w:r>
      <w:r w:rsidR="004241AC" w:rsidRPr="00B32D81">
        <w:rPr>
          <w:rFonts w:eastAsia="Calibri" w:cs="Calibri"/>
          <w:lang w:eastAsia="it-IT"/>
        </w:rPr>
        <w:t xml:space="preserve">è un medicinale </w:t>
      </w:r>
      <w:r w:rsidR="00013020" w:rsidRPr="00B32D81">
        <w:rPr>
          <w:rFonts w:eastAsia="Calibri" w:cs="Calibri"/>
          <w:lang w:eastAsia="it-IT"/>
        </w:rPr>
        <w:t xml:space="preserve">generico ed è </w:t>
      </w:r>
      <w:proofErr w:type="spellStart"/>
      <w:r w:rsidR="00013020" w:rsidRPr="00B32D81">
        <w:rPr>
          <w:rFonts w:eastAsia="Calibri" w:cs="Calibri"/>
          <w:lang w:eastAsia="it-IT"/>
        </w:rPr>
        <w:t>bioequivale</w:t>
      </w:r>
      <w:r w:rsidR="00C8171A" w:rsidRPr="00B32D81">
        <w:rPr>
          <w:rFonts w:eastAsia="Calibri" w:cs="Calibri"/>
          <w:lang w:eastAsia="it-IT"/>
        </w:rPr>
        <w:t>n</w:t>
      </w:r>
      <w:r w:rsidR="00013020" w:rsidRPr="00B32D81">
        <w:rPr>
          <w:rFonts w:eastAsia="Calibri" w:cs="Calibri"/>
          <w:lang w:eastAsia="it-IT"/>
        </w:rPr>
        <w:t>te</w:t>
      </w:r>
      <w:proofErr w:type="spellEnd"/>
      <w:r w:rsidR="00013020" w:rsidRPr="00B32D81">
        <w:rPr>
          <w:rFonts w:eastAsia="Calibri" w:cs="Calibri"/>
          <w:lang w:eastAsia="it-IT"/>
        </w:rPr>
        <w:t xml:space="preserve"> al medicinale di riferimento</w:t>
      </w:r>
      <w:r w:rsidR="004349A2" w:rsidRPr="00B32D81">
        <w:rPr>
          <w:rFonts w:eastAsia="Calibri" w:cs="Calibri"/>
          <w:lang w:eastAsia="it-IT"/>
        </w:rPr>
        <w:t>; pertanto,</w:t>
      </w:r>
      <w:r w:rsidR="004241AC" w:rsidRPr="00B32D81">
        <w:rPr>
          <w:rFonts w:eastAsia="Calibri" w:cs="Calibri"/>
          <w:lang w:eastAsia="it-IT"/>
        </w:rPr>
        <w:t xml:space="preserve"> </w:t>
      </w:r>
      <w:r w:rsidR="00013020" w:rsidRPr="00B32D81">
        <w:rPr>
          <w:rFonts w:eastAsia="Calibri" w:cs="Calibri"/>
          <w:lang w:eastAsia="it-IT"/>
        </w:rPr>
        <w:t>i suoi</w:t>
      </w:r>
      <w:r w:rsidR="004241AC" w:rsidRPr="00B32D81">
        <w:rPr>
          <w:rFonts w:eastAsia="Calibri" w:cs="Calibri"/>
          <w:lang w:eastAsia="it-IT"/>
        </w:rPr>
        <w:t xml:space="preserve"> benefici e rischi sono sovrapponibili a quelli de</w:t>
      </w:r>
      <w:r w:rsidR="00013020" w:rsidRPr="00B32D81">
        <w:rPr>
          <w:rFonts w:eastAsia="Calibri" w:cs="Calibri"/>
          <w:lang w:eastAsia="it-IT"/>
        </w:rPr>
        <w:t>l</w:t>
      </w:r>
      <w:r w:rsidR="004241AC" w:rsidRPr="00B32D81">
        <w:rPr>
          <w:rFonts w:eastAsia="Calibri" w:cs="Calibri"/>
          <w:lang w:eastAsia="it-IT"/>
        </w:rPr>
        <w:t xml:space="preserve"> medicinal</w:t>
      </w:r>
      <w:r w:rsidR="00013020" w:rsidRPr="00B32D81">
        <w:rPr>
          <w:rFonts w:eastAsia="Calibri" w:cs="Calibri"/>
          <w:lang w:eastAsia="it-IT"/>
        </w:rPr>
        <w:t>e</w:t>
      </w:r>
      <w:r w:rsidR="004241AC" w:rsidRPr="00B32D81">
        <w:rPr>
          <w:rFonts w:eastAsia="Calibri" w:cs="Calibri"/>
          <w:lang w:eastAsia="it-IT"/>
        </w:rPr>
        <w:t xml:space="preserve"> di riferimento. </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6) PERCHE’ </w:t>
      </w:r>
      <w:proofErr w:type="spellStart"/>
      <w:r w:rsidR="00276E02">
        <w:rPr>
          <w:rFonts w:eastAsia="Calibri" w:cs="Calibri"/>
          <w:b/>
          <w:color w:val="000000"/>
          <w:lang w:eastAsia="it-IT"/>
        </w:rPr>
        <w:t>Brinus</w:t>
      </w:r>
      <w:proofErr w:type="spellEnd"/>
      <w:r w:rsidR="005A2741" w:rsidRPr="00B32D81">
        <w:rPr>
          <w:rFonts w:eastAsia="Calibri" w:cs="Calibri"/>
          <w:b/>
          <w:bCs/>
          <w:color w:val="000000"/>
          <w:lang w:eastAsia="it-IT"/>
        </w:rPr>
        <w:t xml:space="preserve"> </w:t>
      </w:r>
      <w:r w:rsidRPr="00B32D81">
        <w:rPr>
          <w:rFonts w:eastAsia="Calibri" w:cs="Calibri"/>
          <w:b/>
          <w:bCs/>
          <w:lang w:eastAsia="it-IT"/>
        </w:rPr>
        <w:t xml:space="preserve">E’ STATO APPROVATO?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561F7D">
        <w:rPr>
          <w:rFonts w:eastAsia="Calibri" w:cs="Calibri"/>
          <w:lang w:eastAsia="it-IT"/>
        </w:rPr>
        <w:t xml:space="preserve">La Commissione Tecnico Scientifica (CTS), nella seduta del </w:t>
      </w:r>
      <w:r w:rsidR="00561F7D" w:rsidRPr="00561F7D">
        <w:rPr>
          <w:rFonts w:eastAsia="Calibri" w:cs="Calibri"/>
          <w:lang w:eastAsia="it-IT"/>
        </w:rPr>
        <w:t>14-16 giugno</w:t>
      </w:r>
      <w:r w:rsidR="00CA29BF" w:rsidRPr="00561F7D">
        <w:rPr>
          <w:rFonts w:eastAsia="Calibri" w:cs="Calibri"/>
          <w:lang w:eastAsia="it-IT"/>
        </w:rPr>
        <w:t xml:space="preserve"> 2017</w:t>
      </w:r>
      <w:r w:rsidR="0067711C">
        <w:rPr>
          <w:rFonts w:eastAsia="Calibri" w:cs="Calibri"/>
          <w:lang w:eastAsia="it-IT"/>
        </w:rPr>
        <w:t xml:space="preserve"> </w:t>
      </w:r>
      <w:r w:rsidRPr="00561F7D">
        <w:rPr>
          <w:rFonts w:eastAsia="Calibri" w:cs="Calibri"/>
          <w:lang w:eastAsia="it-IT"/>
        </w:rPr>
        <w:t>ha concluso che,</w:t>
      </w:r>
      <w:r w:rsidRPr="00B32D81">
        <w:rPr>
          <w:rFonts w:eastAsia="Calibri" w:cs="Calibri"/>
          <w:lang w:eastAsia="it-IT"/>
        </w:rPr>
        <w:t xml:space="preserve"> conformemente ai requisiti della normativa vigente, come nel caso </w:t>
      </w:r>
      <w:r w:rsidR="00D20170" w:rsidRPr="00B32D81">
        <w:rPr>
          <w:rFonts w:eastAsia="Calibri" w:cs="Calibri"/>
          <w:lang w:eastAsia="it-IT"/>
        </w:rPr>
        <w:t>del</w:t>
      </w:r>
      <w:r w:rsidRPr="00B32D81">
        <w:rPr>
          <w:rFonts w:eastAsia="Calibri" w:cs="Calibri"/>
          <w:lang w:eastAsia="it-IT"/>
        </w:rPr>
        <w:t xml:space="preserve"> medicinal</w:t>
      </w:r>
      <w:r w:rsidR="00D20170" w:rsidRPr="00B32D81">
        <w:rPr>
          <w:rFonts w:eastAsia="Calibri" w:cs="Calibri"/>
          <w:lang w:eastAsia="it-IT"/>
        </w:rPr>
        <w:t>e</w:t>
      </w:r>
      <w:r w:rsidRPr="00B32D81">
        <w:rPr>
          <w:rFonts w:eastAsia="Calibri" w:cs="Calibri"/>
          <w:lang w:eastAsia="it-IT"/>
        </w:rPr>
        <w:t xml:space="preserve"> di riferimento </w:t>
      </w:r>
      <w:proofErr w:type="spellStart"/>
      <w:r w:rsidR="007C1F41">
        <w:rPr>
          <w:rFonts w:eastAsia="Calibri" w:cs="Calibri"/>
          <w:color w:val="000000"/>
          <w:lang w:eastAsia="it-IT"/>
        </w:rPr>
        <w:t>Lumigan</w:t>
      </w:r>
      <w:proofErr w:type="spellEnd"/>
      <w:r w:rsidR="00156285" w:rsidRPr="00B32D81">
        <w:rPr>
          <w:rFonts w:eastAsia="Calibri" w:cs="Calibri"/>
          <w:color w:val="000000"/>
          <w:lang w:eastAsia="it-IT"/>
        </w:rPr>
        <w:t>,</w:t>
      </w:r>
      <w:r w:rsidRPr="00B32D81">
        <w:rPr>
          <w:rFonts w:eastAsia="Calibri" w:cs="Calibri"/>
          <w:lang w:eastAsia="it-IT"/>
        </w:rPr>
        <w:t xml:space="preserve"> i benefici di </w:t>
      </w:r>
      <w:proofErr w:type="spellStart"/>
      <w:r w:rsidR="00276E02">
        <w:rPr>
          <w:rFonts w:cs="Times New Roman"/>
          <w:bCs/>
          <w:color w:val="000000"/>
        </w:rPr>
        <w:t>Brinus</w:t>
      </w:r>
      <w:proofErr w:type="spellEnd"/>
      <w:r w:rsidR="005A2741" w:rsidRPr="00B32D81">
        <w:rPr>
          <w:rFonts w:eastAsia="Calibri" w:cs="Calibri"/>
          <w:color w:val="000000"/>
          <w:lang w:eastAsia="it-IT"/>
        </w:rPr>
        <w:t xml:space="preserve"> </w:t>
      </w:r>
      <w:r w:rsidRPr="00B32D81">
        <w:rPr>
          <w:rFonts w:eastAsia="Calibri" w:cs="Calibri"/>
          <w:lang w:eastAsia="it-IT"/>
        </w:rPr>
        <w:t xml:space="preserve">siano superiori ai rischi individuati. La CTS ha, inoltre, definito le modalità di prescrizione di cui al punto 2) di questo Riassunto e la classe di rimborsabilità del </w:t>
      </w:r>
      <w:r w:rsidRPr="00D57567">
        <w:rPr>
          <w:rFonts w:eastAsia="Calibri" w:cs="Calibri"/>
          <w:lang w:eastAsia="it-IT"/>
        </w:rPr>
        <w:t>medicinale</w:t>
      </w:r>
      <w:r w:rsidR="00D20170" w:rsidRPr="00D57567">
        <w:rPr>
          <w:rFonts w:eastAsia="Calibri" w:cs="Calibri"/>
          <w:lang w:eastAsia="it-IT"/>
        </w:rPr>
        <w:t xml:space="preserve"> </w:t>
      </w:r>
      <w:r w:rsidR="007935FE" w:rsidRPr="00400525">
        <w:rPr>
          <w:rFonts w:eastAsia="Calibri" w:cs="Calibri"/>
          <w:lang w:eastAsia="it-IT"/>
        </w:rPr>
        <w:t>(</w:t>
      </w:r>
      <w:r w:rsidR="00AB0AF9" w:rsidRPr="00400525">
        <w:rPr>
          <w:rFonts w:eastAsia="Calibri" w:cs="Calibri"/>
          <w:lang w:eastAsia="it-IT"/>
        </w:rPr>
        <w:t>A</w:t>
      </w:r>
      <w:r w:rsidR="007935FE" w:rsidRPr="00400525">
        <w:rPr>
          <w:rFonts w:eastAsia="Calibri" w:cs="Calibri"/>
          <w:lang w:eastAsia="it-IT"/>
        </w:rPr>
        <w:t>)</w:t>
      </w:r>
      <w:r w:rsidRPr="00400525">
        <w:rPr>
          <w:rFonts w:eastAsia="Calibri" w:cs="Calibri"/>
          <w:lang w:eastAsia="it-IT"/>
        </w:rPr>
        <w:t>.</w:t>
      </w:r>
      <w:r w:rsidRPr="00B32D81">
        <w:rPr>
          <w:rFonts w:eastAsia="Calibri" w:cs="Calibri"/>
          <w:lang w:eastAsia="it-IT"/>
        </w:rPr>
        <w:t xml:space="preserve"> </w:t>
      </w: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7) QUALI MISURE SONO STATE PRESE PER ASSICURARE LA SICUREZZA E L’EFFICACIA NELL’USO </w:t>
      </w:r>
      <w:proofErr w:type="spellStart"/>
      <w:r w:rsidRPr="00B32D81">
        <w:rPr>
          <w:rFonts w:eastAsia="Calibri" w:cs="Calibri"/>
          <w:b/>
          <w:bCs/>
          <w:lang w:eastAsia="it-IT"/>
        </w:rPr>
        <w:t>DI</w:t>
      </w:r>
      <w:proofErr w:type="spellEnd"/>
      <w:r w:rsidRPr="00B32D81">
        <w:rPr>
          <w:rFonts w:eastAsia="Calibri" w:cs="Calibri"/>
          <w:b/>
          <w:bCs/>
          <w:lang w:eastAsia="it-IT"/>
        </w:rPr>
        <w:t xml:space="preserve"> </w:t>
      </w:r>
      <w:proofErr w:type="spellStart"/>
      <w:r w:rsidR="00276E02">
        <w:rPr>
          <w:rFonts w:eastAsia="Calibri" w:cs="Calibri"/>
          <w:b/>
          <w:color w:val="000000"/>
          <w:lang w:eastAsia="it-IT"/>
        </w:rPr>
        <w:t>Brinus</w:t>
      </w:r>
      <w:proofErr w:type="spellEnd"/>
      <w:r w:rsidR="005A2741" w:rsidRPr="00B32D81">
        <w:rPr>
          <w:rFonts w:eastAsia="Calibri" w:cs="Calibri"/>
          <w:b/>
          <w:bCs/>
          <w:color w:val="000000"/>
          <w:lang w:eastAsia="it-IT"/>
        </w:rPr>
        <w:t>?</w:t>
      </w:r>
    </w:p>
    <w:p w:rsidR="004241AC" w:rsidRPr="00B32D81" w:rsidRDefault="007935FE" w:rsidP="00B32D81">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dell’autorizzazione all’immissione in commercio (AIC) ha presentato u</w:t>
      </w:r>
      <w:r>
        <w:rPr>
          <w:rFonts w:eastAsia="Calibri" w:cs="Calibri"/>
          <w:lang w:eastAsia="it-IT"/>
        </w:rPr>
        <w:t>n Piano di Gestione del Rischio</w:t>
      </w:r>
      <w:r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w:t>
      </w:r>
      <w:r w:rsidR="004241AC" w:rsidRPr="00B32D81">
        <w:rPr>
          <w:rFonts w:eastAsia="Calibri" w:cs="Calibri"/>
          <w:lang w:eastAsia="it-IT"/>
        </w:rPr>
        <w:t xml:space="preserve">a </w:t>
      </w:r>
      <w:proofErr w:type="spellStart"/>
      <w:r w:rsidR="00276E02">
        <w:rPr>
          <w:rFonts w:cs="Times New Roman"/>
          <w:bCs/>
          <w:color w:val="000000"/>
        </w:rPr>
        <w:t>Brinus</w:t>
      </w:r>
      <w:proofErr w:type="spellEnd"/>
      <w:r w:rsidR="004241AC" w:rsidRPr="00B32D81">
        <w:rPr>
          <w:rFonts w:eastAsia="Calibri" w:cs="Calibri"/>
          <w:lang w:eastAsia="it-IT"/>
        </w:rPr>
        <w:t>.</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8) ALTRE INFORMAZIONI RELATIVE A </w:t>
      </w:r>
      <w:proofErr w:type="spellStart"/>
      <w:r w:rsidR="00276E02">
        <w:rPr>
          <w:rFonts w:eastAsia="Calibri" w:cs="Calibri"/>
          <w:b/>
          <w:color w:val="000000"/>
          <w:lang w:eastAsia="it-IT"/>
        </w:rPr>
        <w:t>Brinus</w:t>
      </w:r>
      <w:proofErr w:type="spellEnd"/>
    </w:p>
    <w:p w:rsidR="004241AC" w:rsidRPr="00B32D81" w:rsidRDefault="004241AC" w:rsidP="00B32D81">
      <w:pPr>
        <w:autoSpaceDE w:val="0"/>
        <w:autoSpaceDN w:val="0"/>
        <w:adjustRightInd w:val="0"/>
        <w:spacing w:after="0" w:line="240" w:lineRule="auto"/>
        <w:jc w:val="both"/>
        <w:rPr>
          <w:rFonts w:eastAsia="Calibri" w:cs="Calibri"/>
          <w:bCs/>
          <w:lang w:eastAsia="it-IT"/>
        </w:rPr>
      </w:pPr>
      <w:r w:rsidRPr="00B32D81">
        <w:rPr>
          <w:rFonts w:eastAsia="Calibri" w:cs="Calibri"/>
          <w:bCs/>
          <w:iCs/>
          <w:lang w:eastAsia="it-IT"/>
        </w:rPr>
        <w:t xml:space="preserve">Il </w:t>
      </w:r>
      <w:r w:rsidR="001F2FD5">
        <w:rPr>
          <w:rFonts w:eastAsia="Calibri" w:cs="Calibri"/>
          <w:bCs/>
          <w:iCs/>
          <w:lang w:eastAsia="it-IT"/>
        </w:rPr>
        <w:t>13 dicembre 2017</w:t>
      </w:r>
      <w:r w:rsidRPr="00B32D81">
        <w:rPr>
          <w:rFonts w:eastAsia="Calibri" w:cs="Calibri"/>
          <w:bCs/>
          <w:iCs/>
          <w:lang w:eastAsia="it-IT"/>
        </w:rPr>
        <w:t xml:space="preserve"> l’AIFA ha rilasciato l’autorizzazione all’immissione in commercio di </w:t>
      </w:r>
      <w:proofErr w:type="spellStart"/>
      <w:r w:rsidR="00276E02">
        <w:rPr>
          <w:rFonts w:cs="Times New Roman"/>
          <w:bCs/>
          <w:color w:val="000000"/>
        </w:rPr>
        <w:t>Brinus</w:t>
      </w:r>
      <w:proofErr w:type="spellEnd"/>
      <w:r w:rsidRPr="00B32D81">
        <w:rPr>
          <w:rFonts w:eastAsia="Calibri" w:cs="Calibri"/>
          <w:bCs/>
          <w:lang w:eastAsia="it-IT"/>
        </w:rPr>
        <w:t xml:space="preserve">. </w:t>
      </w:r>
    </w:p>
    <w:p w:rsidR="007935FE" w:rsidRDefault="007935FE" w:rsidP="00B32D81">
      <w:pPr>
        <w:autoSpaceDE w:val="0"/>
        <w:autoSpaceDN w:val="0"/>
        <w:adjustRightInd w:val="0"/>
        <w:spacing w:after="0" w:line="240" w:lineRule="auto"/>
        <w:jc w:val="both"/>
        <w:rPr>
          <w:rFonts w:eastAsia="Calibri" w:cs="Calibri"/>
          <w:lang w:eastAsia="it-IT"/>
        </w:rPr>
      </w:pPr>
    </w:p>
    <w:p w:rsidR="007935FE" w:rsidRDefault="007935FE" w:rsidP="007935FE">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lang w:eastAsia="it-IT"/>
        </w:rPr>
        <w:t xml:space="preserve">Per maggiori informazioni riguardo il trattamento con </w:t>
      </w:r>
      <w:proofErr w:type="spellStart"/>
      <w:r w:rsidR="00276E02">
        <w:rPr>
          <w:rFonts w:cs="Times New Roman"/>
          <w:bCs/>
          <w:color w:val="000000"/>
        </w:rPr>
        <w:t>Brinus</w:t>
      </w:r>
      <w:proofErr w:type="spellEnd"/>
      <w:r w:rsidRPr="00B32D81">
        <w:rPr>
          <w:rFonts w:eastAsia="Calibri" w:cs="Calibri"/>
          <w:bCs/>
          <w:color w:val="000000"/>
          <w:lang w:eastAsia="it-IT"/>
        </w:rPr>
        <w:t xml:space="preserve"> </w:t>
      </w:r>
      <w:r w:rsidRPr="00B32D81">
        <w:rPr>
          <w:rFonts w:eastAsia="Calibri" w:cs="Calibri"/>
          <w:lang w:eastAsia="it-IT"/>
        </w:rPr>
        <w:t>si può leggere il foglio illustrativo</w:t>
      </w:r>
      <w:r w:rsidR="00D20170" w:rsidRPr="00B32D81">
        <w:rPr>
          <w:rFonts w:eastAsia="Calibri" w:cs="Calibri"/>
          <w:lang w:eastAsia="it-IT"/>
        </w:rPr>
        <w:t xml:space="preserve"> </w:t>
      </w:r>
      <w:r w:rsidR="00B75EA4" w:rsidRPr="00B32D81">
        <w:rPr>
          <w:rFonts w:eastAsia="Calibri" w:cs="Calibri"/>
          <w:lang w:eastAsia="it-IT"/>
        </w:rPr>
        <w:t>(</w:t>
      </w:r>
      <w:hyperlink r:id="rId7" w:history="1">
        <w:r w:rsidR="00B75EA4" w:rsidRPr="00B32D81">
          <w:rPr>
            <w:rStyle w:val="Collegamentoipertestuale"/>
            <w:rFonts w:eastAsia="Calibri" w:cs="Calibri"/>
            <w:lang w:eastAsia="it-IT"/>
          </w:rPr>
          <w:t>https://farmaci.agenziafarmaco.gov.it/bancadatifarmaci</w:t>
        </w:r>
      </w:hyperlink>
      <w:r w:rsidR="00B75EA4" w:rsidRPr="00B32D81">
        <w:rPr>
          <w:rFonts w:eastAsia="Calibri" w:cs="Calibri"/>
          <w:lang w:eastAsia="it-IT"/>
        </w:rPr>
        <w:t xml:space="preserve">) </w:t>
      </w:r>
      <w:r w:rsidRPr="00B32D81">
        <w:rPr>
          <w:rFonts w:eastAsia="Calibri" w:cs="Calibri"/>
          <w:lang w:eastAsia="it-IT"/>
        </w:rPr>
        <w:t xml:space="preserve">o contattare il medico o </w:t>
      </w:r>
      <w:r w:rsidR="00FA55B0" w:rsidRPr="00B32D81">
        <w:rPr>
          <w:rFonts w:eastAsia="Calibri" w:cs="Calibri"/>
          <w:lang w:eastAsia="it-IT"/>
        </w:rPr>
        <w:t xml:space="preserve">il </w:t>
      </w:r>
      <w:r w:rsidRPr="00B32D81">
        <w:rPr>
          <w:rFonts w:eastAsia="Calibri" w:cs="Calibri"/>
          <w:lang w:eastAsia="it-IT"/>
        </w:rPr>
        <w:t xml:space="preserve">farmacista. </w:t>
      </w: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r w:rsidRPr="00B32D81">
        <w:rPr>
          <w:rFonts w:eastAsia="Calibri" w:cs="Calibri"/>
          <w:lang w:eastAsia="it-IT"/>
        </w:rPr>
        <w:t xml:space="preserve">Questo riassunto è stato redatto in </w:t>
      </w:r>
      <w:r w:rsidRPr="00AC6F26">
        <w:rPr>
          <w:rFonts w:eastAsia="Calibri" w:cs="Calibri"/>
          <w:lang w:eastAsia="it-IT"/>
        </w:rPr>
        <w:t xml:space="preserve">data </w:t>
      </w:r>
      <w:r w:rsidR="00AC6F26" w:rsidRPr="00AC6F26">
        <w:rPr>
          <w:rFonts w:eastAsia="Calibri" w:cs="Calibri"/>
          <w:lang w:eastAsia="it-IT"/>
        </w:rPr>
        <w:t>02</w:t>
      </w:r>
      <w:r w:rsidR="00CA29BF" w:rsidRPr="00AC6F26">
        <w:rPr>
          <w:rFonts w:eastAsia="Calibri" w:cs="Calibri"/>
          <w:lang w:eastAsia="it-IT"/>
        </w:rPr>
        <w:t>.</w:t>
      </w:r>
      <w:r w:rsidR="00AC6F26" w:rsidRPr="00AC6F26">
        <w:rPr>
          <w:rFonts w:eastAsia="Calibri" w:cs="Calibri"/>
          <w:lang w:eastAsia="it-IT"/>
        </w:rPr>
        <w:t>1</w:t>
      </w:r>
      <w:r w:rsidR="00CA29BF" w:rsidRPr="00AC6F26">
        <w:rPr>
          <w:rFonts w:eastAsia="Calibri" w:cs="Calibri"/>
          <w:lang w:eastAsia="it-IT"/>
        </w:rPr>
        <w:t>0.2017</w:t>
      </w:r>
    </w:p>
    <w:p w:rsidR="004241AC" w:rsidRPr="00B32D81" w:rsidRDefault="004241AC" w:rsidP="00B32D81">
      <w:pPr>
        <w:spacing w:after="0" w:line="240" w:lineRule="auto"/>
        <w:jc w:val="both"/>
      </w:pPr>
    </w:p>
    <w:p w:rsidR="004241AC" w:rsidRPr="00B32D81" w:rsidRDefault="004241AC" w:rsidP="00B32D81">
      <w:pPr>
        <w:spacing w:after="0" w:line="240" w:lineRule="auto"/>
        <w:jc w:val="both"/>
      </w:pPr>
    </w:p>
    <w:p w:rsidR="009A260F" w:rsidRPr="00B32D81" w:rsidRDefault="009A260F"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3A0AA5" w:rsidRDefault="003A0AA5" w:rsidP="00B32D81">
      <w:pPr>
        <w:spacing w:after="0" w:line="240" w:lineRule="auto"/>
        <w:jc w:val="center"/>
        <w:rPr>
          <w:b/>
          <w:sz w:val="28"/>
        </w:rPr>
      </w:pPr>
    </w:p>
    <w:p w:rsidR="007C68D2" w:rsidRPr="007935FE" w:rsidRDefault="007C68D2" w:rsidP="00B32D81">
      <w:pPr>
        <w:spacing w:after="0" w:line="240" w:lineRule="auto"/>
        <w:jc w:val="center"/>
        <w:rPr>
          <w:b/>
          <w:sz w:val="28"/>
        </w:rPr>
      </w:pPr>
      <w:r w:rsidRPr="007935FE">
        <w:rPr>
          <w:b/>
          <w:sz w:val="28"/>
        </w:rPr>
        <w:t xml:space="preserve">RELAZIONE PUBBLICA </w:t>
      </w:r>
      <w:proofErr w:type="spellStart"/>
      <w:r w:rsidRPr="007935FE">
        <w:rPr>
          <w:b/>
          <w:sz w:val="28"/>
        </w:rPr>
        <w:t>DI</w:t>
      </w:r>
      <w:proofErr w:type="spellEnd"/>
      <w:r w:rsidRPr="007935FE">
        <w:rPr>
          <w:b/>
          <w:sz w:val="28"/>
        </w:rPr>
        <w:t xml:space="preserve"> VALUTAZIONE</w:t>
      </w: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r w:rsidRPr="00B32D81">
        <w:rPr>
          <w:b/>
        </w:rPr>
        <w:t>INDICE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rPr>
          <w:b/>
        </w:rPr>
      </w:pPr>
      <w:r w:rsidRPr="00B32D81">
        <w:rPr>
          <w:b/>
        </w:rPr>
        <w:t>INTRODUZIONE</w:t>
      </w: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jc w:val="both"/>
        <w:rPr>
          <w:b/>
        </w:rPr>
      </w:pPr>
      <w:r w:rsidRPr="00B32D81">
        <w:rPr>
          <w:b/>
        </w:rPr>
        <w:t>ASPETTI DI QUALITA’</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NON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CONSULTAZIONE SUL FOGLIO ILLUSTRATIVO</w:t>
      </w:r>
    </w:p>
    <w:p w:rsidR="007C68D2" w:rsidRPr="00B32D81" w:rsidRDefault="007C68D2" w:rsidP="00B32D81">
      <w:pPr>
        <w:pStyle w:val="Paragrafoelenco"/>
        <w:spacing w:after="0" w:line="240" w:lineRule="auto"/>
        <w:ind w:left="1080"/>
        <w:jc w:val="both"/>
        <w:rPr>
          <w:b/>
        </w:rPr>
      </w:pPr>
    </w:p>
    <w:p w:rsidR="007C68D2" w:rsidRPr="00B32D81" w:rsidRDefault="007C68D2" w:rsidP="00B32D81">
      <w:pPr>
        <w:pStyle w:val="Paragrafoelenco"/>
        <w:numPr>
          <w:ilvl w:val="0"/>
          <w:numId w:val="1"/>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5C1849" w:rsidRDefault="005C1849"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Pr="00B32D81" w:rsidRDefault="007935FE"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pStyle w:val="Paragrafoelenco"/>
        <w:numPr>
          <w:ilvl w:val="0"/>
          <w:numId w:val="2"/>
        </w:numPr>
        <w:spacing w:after="0" w:line="240" w:lineRule="auto"/>
        <w:rPr>
          <w:b/>
        </w:rPr>
      </w:pPr>
      <w:r w:rsidRPr="00B32D81">
        <w:rPr>
          <w:b/>
        </w:rPr>
        <w:lastRenderedPageBreak/>
        <w:t>INTRODUZIONE</w:t>
      </w:r>
    </w:p>
    <w:p w:rsidR="007C68D2" w:rsidRPr="00B32D81" w:rsidRDefault="007C68D2" w:rsidP="00502AB1">
      <w:pPr>
        <w:autoSpaceDE w:val="0"/>
        <w:autoSpaceDN w:val="0"/>
        <w:adjustRightInd w:val="0"/>
        <w:spacing w:after="0" w:line="240" w:lineRule="auto"/>
        <w:jc w:val="both"/>
      </w:pPr>
      <w:r w:rsidRPr="00B32D81">
        <w:t xml:space="preserve">Sulla base dei dati di qualità, sicurezza ed efficacia, l’AIFA ha rilasciato a </w:t>
      </w:r>
      <w:proofErr w:type="spellStart"/>
      <w:r w:rsidR="005C1849">
        <w:t>Genetic</w:t>
      </w:r>
      <w:proofErr w:type="spellEnd"/>
      <w:r w:rsidRPr="00B32D81">
        <w:t xml:space="preserve"> l’autorizzazione </w:t>
      </w:r>
      <w:r w:rsidRPr="00CA29BF">
        <w:t xml:space="preserve">all’immissione in commercio (AIC) per il medicinale </w:t>
      </w:r>
      <w:proofErr w:type="spellStart"/>
      <w:r w:rsidR="00276E02">
        <w:rPr>
          <w:rFonts w:cs="Times New Roman"/>
          <w:bCs/>
          <w:color w:val="000000"/>
        </w:rPr>
        <w:t>Brinus</w:t>
      </w:r>
      <w:proofErr w:type="spellEnd"/>
      <w:r w:rsidRPr="00CA29BF">
        <w:t xml:space="preserve"> </w:t>
      </w:r>
      <w:r w:rsidRPr="00CA29BF">
        <w:rPr>
          <w:rFonts w:eastAsia="Calibri" w:cs="Calibri"/>
          <w:bCs/>
          <w:iCs/>
          <w:lang w:eastAsia="it-IT"/>
        </w:rPr>
        <w:t xml:space="preserve">il </w:t>
      </w:r>
      <w:r w:rsidR="001F2FD5">
        <w:rPr>
          <w:rFonts w:eastAsia="Calibri" w:cs="Calibri"/>
          <w:bCs/>
          <w:iCs/>
          <w:lang w:eastAsia="it-IT"/>
        </w:rPr>
        <w:t>13 dicembre 2017.</w:t>
      </w:r>
      <w:r w:rsidRPr="00B32D81">
        <w:t xml:space="preserve">  </w:t>
      </w:r>
    </w:p>
    <w:p w:rsidR="007C68D2" w:rsidRPr="00502AB1" w:rsidRDefault="007C68D2" w:rsidP="00502AB1">
      <w:pPr>
        <w:spacing w:after="0" w:line="240" w:lineRule="auto"/>
        <w:jc w:val="both"/>
      </w:pPr>
    </w:p>
    <w:p w:rsidR="007935FE" w:rsidRPr="00502AB1" w:rsidRDefault="00276E02" w:rsidP="00502AB1">
      <w:pPr>
        <w:autoSpaceDE w:val="0"/>
        <w:autoSpaceDN w:val="0"/>
        <w:adjustRightInd w:val="0"/>
        <w:spacing w:after="0" w:line="240" w:lineRule="auto"/>
        <w:jc w:val="both"/>
        <w:rPr>
          <w:rFonts w:eastAsia="Calibri" w:cs="Calibri"/>
          <w:color w:val="000000"/>
          <w:lang w:eastAsia="it-IT"/>
        </w:rPr>
      </w:pPr>
      <w:proofErr w:type="spellStart"/>
      <w:r>
        <w:rPr>
          <w:rFonts w:cs="Times New Roman"/>
          <w:bCs/>
          <w:color w:val="000000"/>
        </w:rPr>
        <w:t>Brinus</w:t>
      </w:r>
      <w:proofErr w:type="spellEnd"/>
      <w:r w:rsidR="007935FE" w:rsidRPr="00502AB1">
        <w:rPr>
          <w:rFonts w:eastAsia="Calibri" w:cs="Calibri"/>
          <w:color w:val="000000"/>
          <w:lang w:eastAsia="it-IT"/>
        </w:rPr>
        <w:t xml:space="preserve"> può essere ottenuto solo dietro prescrizione da parte del medico (ricetta ripetibile).</w:t>
      </w:r>
    </w:p>
    <w:p w:rsidR="007C68D2" w:rsidRPr="00502AB1" w:rsidRDefault="007C68D2" w:rsidP="00502AB1">
      <w:pPr>
        <w:spacing w:after="0" w:line="240" w:lineRule="auto"/>
        <w:jc w:val="both"/>
      </w:pPr>
    </w:p>
    <w:p w:rsidR="007C68D2" w:rsidRPr="00502AB1" w:rsidRDefault="007C68D2" w:rsidP="00502AB1">
      <w:pPr>
        <w:spacing w:after="0" w:line="240" w:lineRule="auto"/>
        <w:jc w:val="both"/>
      </w:pPr>
      <w:r w:rsidRPr="00502AB1">
        <w:t xml:space="preserve">Questa procedura è stata presentata ai sensi dell’art. 10(3) della Direttiva 2001/83/EU </w:t>
      </w:r>
      <w:proofErr w:type="spellStart"/>
      <w:r w:rsidRPr="00502AB1">
        <w:t>s.m.i.</w:t>
      </w:r>
      <w:proofErr w:type="spellEnd"/>
    </w:p>
    <w:p w:rsidR="007C68D2" w:rsidRPr="00502AB1" w:rsidRDefault="007C68D2" w:rsidP="00502AB1">
      <w:pPr>
        <w:widowControl w:val="0"/>
        <w:spacing w:after="0" w:line="240" w:lineRule="auto"/>
        <w:jc w:val="both"/>
        <w:rPr>
          <w:rFonts w:eastAsia="Calibri" w:cs="Calibri"/>
          <w:bCs/>
          <w:color w:val="000000"/>
          <w:lang w:eastAsia="it-IT"/>
        </w:rPr>
      </w:pPr>
    </w:p>
    <w:p w:rsidR="007C68D2" w:rsidRPr="00502AB1" w:rsidRDefault="00276E02" w:rsidP="00502AB1">
      <w:pPr>
        <w:widowControl w:val="0"/>
        <w:spacing w:after="0" w:line="240" w:lineRule="auto"/>
        <w:jc w:val="both"/>
        <w:rPr>
          <w:rFonts w:eastAsia="Calibri" w:cs="Calibri"/>
          <w:color w:val="000000"/>
          <w:lang w:eastAsia="it-IT"/>
        </w:rPr>
      </w:pPr>
      <w:proofErr w:type="spellStart"/>
      <w:r>
        <w:rPr>
          <w:rFonts w:cs="Times New Roman"/>
          <w:bCs/>
          <w:color w:val="000000"/>
        </w:rPr>
        <w:t>Brinus</w:t>
      </w:r>
      <w:proofErr w:type="spellEnd"/>
      <w:r w:rsidR="007C68D2" w:rsidRPr="00502AB1">
        <w:rPr>
          <w:rFonts w:eastAsia="Calibri" w:cs="Calibri"/>
          <w:bCs/>
          <w:color w:val="000000"/>
          <w:lang w:eastAsia="it-IT"/>
        </w:rPr>
        <w:t xml:space="preserve"> </w:t>
      </w:r>
      <w:r w:rsidR="007C68D2" w:rsidRPr="00502AB1">
        <w:rPr>
          <w:rFonts w:eastAsia="Calibri" w:cs="Calibri"/>
          <w:color w:val="000000"/>
          <w:lang w:eastAsia="it-IT"/>
        </w:rPr>
        <w:t xml:space="preserve">è un medicinale generico contenente il principio attivo </w:t>
      </w:r>
      <w:proofErr w:type="spellStart"/>
      <w:r w:rsidR="007C1F41">
        <w:rPr>
          <w:rFonts w:eastAsia="Calibri" w:cs="Calibri"/>
          <w:color w:val="000000"/>
          <w:lang w:eastAsia="it-IT"/>
        </w:rPr>
        <w:t>bimatoprost</w:t>
      </w:r>
      <w:proofErr w:type="spellEnd"/>
      <w:r w:rsidR="007C68D2" w:rsidRPr="00502AB1">
        <w:rPr>
          <w:rFonts w:eastAsia="Calibri" w:cs="Calibri"/>
          <w:color w:val="000000"/>
          <w:lang w:eastAsia="it-IT"/>
        </w:rPr>
        <w:t xml:space="preserve"> presente nel medicinale di riferimento </w:t>
      </w:r>
      <w:proofErr w:type="spellStart"/>
      <w:r w:rsidR="007C1F41">
        <w:rPr>
          <w:rFonts w:eastAsia="Calibri" w:cs="Calibri"/>
          <w:color w:val="000000"/>
          <w:lang w:eastAsia="it-IT"/>
        </w:rPr>
        <w:t>Lumigan</w:t>
      </w:r>
      <w:proofErr w:type="spellEnd"/>
      <w:r w:rsidR="007C68D2" w:rsidRPr="00502AB1">
        <w:rPr>
          <w:rFonts w:eastAsia="Calibri" w:cs="Calibri"/>
          <w:color w:val="000000"/>
          <w:lang w:eastAsia="it-IT"/>
        </w:rPr>
        <w:t>, autorizzato in Italia da più di 10 anni.</w:t>
      </w:r>
    </w:p>
    <w:p w:rsidR="007C68D2" w:rsidRPr="00502AB1" w:rsidRDefault="007C68D2" w:rsidP="00502AB1">
      <w:pPr>
        <w:spacing w:after="0" w:line="240" w:lineRule="auto"/>
        <w:jc w:val="both"/>
        <w:rPr>
          <w:highlight w:val="yellow"/>
        </w:rPr>
      </w:pPr>
    </w:p>
    <w:p w:rsidR="00BC4D63" w:rsidRDefault="00276E02" w:rsidP="00BC4D63">
      <w:pPr>
        <w:autoSpaceDE w:val="0"/>
        <w:autoSpaceDN w:val="0"/>
        <w:adjustRightInd w:val="0"/>
        <w:spacing w:after="0" w:line="240" w:lineRule="auto"/>
        <w:jc w:val="both"/>
        <w:rPr>
          <w:rFonts w:cs="Times New Roman"/>
        </w:rPr>
      </w:pPr>
      <w:proofErr w:type="spellStart"/>
      <w:r>
        <w:rPr>
          <w:rFonts w:cs="Times New Roman"/>
          <w:bCs/>
          <w:color w:val="000000"/>
        </w:rPr>
        <w:t>Brinus</w:t>
      </w:r>
      <w:proofErr w:type="spellEnd"/>
      <w:r w:rsidR="00502AB1" w:rsidRPr="00502AB1">
        <w:rPr>
          <w:snapToGrid w:val="0"/>
        </w:rPr>
        <w:t xml:space="preserve">, il cui codice ATC è </w:t>
      </w:r>
      <w:r w:rsidR="00BC4D63">
        <w:t>S01EE03</w:t>
      </w:r>
      <w:r w:rsidR="00BC4D63" w:rsidRPr="00502AB1">
        <w:t>,</w:t>
      </w:r>
      <w:r w:rsidR="00BC4D63" w:rsidRPr="00502AB1">
        <w:rPr>
          <w:rFonts w:eastAsia="Calibri" w:cs="Calibri"/>
          <w:bCs/>
          <w:color w:val="000000"/>
          <w:lang w:eastAsia="it-IT"/>
        </w:rPr>
        <w:t xml:space="preserve"> </w:t>
      </w:r>
      <w:r w:rsidR="00BC4D63" w:rsidRPr="00502AB1">
        <w:rPr>
          <w:rFonts w:eastAsia="Calibri" w:cs="Calibri"/>
          <w:color w:val="000000"/>
          <w:lang w:eastAsia="it-IT"/>
        </w:rPr>
        <w:t xml:space="preserve">contiene il principio attivo </w:t>
      </w:r>
      <w:proofErr w:type="spellStart"/>
      <w:r w:rsidR="00BC4D63">
        <w:rPr>
          <w:snapToGrid w:val="0"/>
        </w:rPr>
        <w:t>bimatoprost</w:t>
      </w:r>
      <w:proofErr w:type="spellEnd"/>
      <w:r w:rsidR="00BC4D63" w:rsidRPr="00502AB1">
        <w:t xml:space="preserve"> che </w:t>
      </w:r>
      <w:r w:rsidR="00BC4D63">
        <w:t xml:space="preserve">appartiene ad una categoria di farmaci chiamati </w:t>
      </w:r>
      <w:proofErr w:type="spellStart"/>
      <w:r w:rsidR="00BC4D63">
        <w:t>prostamidi</w:t>
      </w:r>
      <w:proofErr w:type="spellEnd"/>
      <w:r w:rsidR="00BC4D63">
        <w:t xml:space="preserve"> ed è un potente agente ipotensivo oculare</w:t>
      </w:r>
      <w:r w:rsidR="00BC4D63" w:rsidRPr="00502AB1">
        <w:rPr>
          <w:rFonts w:cs="Times New Roman"/>
        </w:rPr>
        <w:t xml:space="preserve">. </w:t>
      </w:r>
      <w:r w:rsidR="00BC4D63">
        <w:t xml:space="preserve">Esso è una </w:t>
      </w:r>
      <w:proofErr w:type="spellStart"/>
      <w:r w:rsidR="00BC4D63">
        <w:t>prostamide</w:t>
      </w:r>
      <w:proofErr w:type="spellEnd"/>
      <w:r w:rsidR="00BC4D63">
        <w:t xml:space="preserve"> sintetica, strutturalmente correlata alla prostaglandina F2α (PGF2α), ma che non agisce attraverso nessuno dei recettori </w:t>
      </w:r>
      <w:proofErr w:type="spellStart"/>
      <w:r w:rsidR="00BC4D63">
        <w:t>prostaglandinici</w:t>
      </w:r>
      <w:proofErr w:type="spellEnd"/>
      <w:r w:rsidR="00BC4D63">
        <w:t xml:space="preserve"> conosciuti.</w:t>
      </w:r>
    </w:p>
    <w:p w:rsidR="007935FE" w:rsidRDefault="00BC4D63" w:rsidP="00BC4D63">
      <w:pPr>
        <w:autoSpaceDE w:val="0"/>
        <w:autoSpaceDN w:val="0"/>
        <w:adjustRightInd w:val="0"/>
        <w:spacing w:after="0" w:line="240" w:lineRule="auto"/>
        <w:jc w:val="both"/>
      </w:pPr>
      <w:r>
        <w:t xml:space="preserve">Il meccanismo d’azione con il quale il </w:t>
      </w:r>
      <w:proofErr w:type="spellStart"/>
      <w:r>
        <w:t>bimatoprost</w:t>
      </w:r>
      <w:proofErr w:type="spellEnd"/>
      <w:r>
        <w:t xml:space="preserve"> riduce la pressione intraoculare nell’uomo si esplica nell’aumentare il deflusso dell’umore acqueo sia </w:t>
      </w:r>
      <w:proofErr w:type="spellStart"/>
      <w:r>
        <w:t>trabecolare</w:t>
      </w:r>
      <w:proofErr w:type="spellEnd"/>
      <w:r>
        <w:t xml:space="preserve"> che </w:t>
      </w:r>
      <w:proofErr w:type="spellStart"/>
      <w:r>
        <w:t>uveo-sclerale</w:t>
      </w:r>
      <w:proofErr w:type="spellEnd"/>
      <w:r>
        <w:t xml:space="preserve">. </w:t>
      </w:r>
    </w:p>
    <w:p w:rsidR="00BC4D63" w:rsidRPr="00502AB1" w:rsidRDefault="00BC4D63" w:rsidP="00BC4D63">
      <w:pPr>
        <w:autoSpaceDE w:val="0"/>
        <w:autoSpaceDN w:val="0"/>
        <w:adjustRightInd w:val="0"/>
        <w:spacing w:after="0" w:line="240" w:lineRule="auto"/>
        <w:jc w:val="both"/>
        <w:rPr>
          <w:iCs/>
          <w:highlight w:val="yellow"/>
        </w:rPr>
      </w:pPr>
    </w:p>
    <w:p w:rsidR="007C68D2" w:rsidRDefault="00276E02" w:rsidP="00BC4D63">
      <w:pPr>
        <w:autoSpaceDE w:val="0"/>
        <w:autoSpaceDN w:val="0"/>
        <w:adjustRightInd w:val="0"/>
        <w:spacing w:after="0" w:line="240" w:lineRule="auto"/>
        <w:jc w:val="both"/>
      </w:pPr>
      <w:proofErr w:type="spellStart"/>
      <w:r>
        <w:rPr>
          <w:rFonts w:cs="Times New Roman"/>
          <w:bCs/>
          <w:color w:val="000000"/>
        </w:rPr>
        <w:t>Brinus</w:t>
      </w:r>
      <w:proofErr w:type="spellEnd"/>
      <w:r w:rsidR="007C68D2" w:rsidRPr="00502AB1">
        <w:rPr>
          <w:rFonts w:eastAsia="Calibri" w:cs="Calibri"/>
          <w:color w:val="000000"/>
          <w:lang w:eastAsia="it-IT"/>
        </w:rPr>
        <w:t xml:space="preserve"> </w:t>
      </w:r>
      <w:r w:rsidR="00502AB1" w:rsidRPr="00502AB1">
        <w:rPr>
          <w:rFonts w:eastAsia="Calibri" w:cs="Calibri"/>
          <w:color w:val="000000"/>
          <w:lang w:eastAsia="it-IT"/>
        </w:rPr>
        <w:t xml:space="preserve">è utilizzato per </w:t>
      </w:r>
      <w:r w:rsidR="00BC4D63">
        <w:rPr>
          <w:rFonts w:eastAsia="Calibri" w:cs="Calibri"/>
          <w:color w:val="000000"/>
          <w:lang w:eastAsia="it-IT"/>
        </w:rPr>
        <w:t>la r</w:t>
      </w:r>
      <w:r w:rsidR="00BC4D63">
        <w:t xml:space="preserve">iduzione della pressione intraoculare elevata nel glaucoma cronico ad angolo aperto e nell’ipertensione oculare negli adulti (come </w:t>
      </w:r>
      <w:proofErr w:type="spellStart"/>
      <w:r w:rsidR="00BC4D63">
        <w:t>monoterapia</w:t>
      </w:r>
      <w:proofErr w:type="spellEnd"/>
      <w:r w:rsidR="00BC4D63">
        <w:t xml:space="preserve"> o come terapia aggiuntiva ai beta-bloccanti).</w:t>
      </w:r>
    </w:p>
    <w:p w:rsidR="00BC4D63" w:rsidRPr="00502AB1" w:rsidRDefault="00BC4D63" w:rsidP="00BC4D63">
      <w:pPr>
        <w:autoSpaceDE w:val="0"/>
        <w:autoSpaceDN w:val="0"/>
        <w:adjustRightInd w:val="0"/>
        <w:spacing w:after="0" w:line="240" w:lineRule="auto"/>
        <w:jc w:val="both"/>
      </w:pPr>
    </w:p>
    <w:p w:rsidR="007935FE" w:rsidRPr="00502AB1" w:rsidRDefault="007C68D2" w:rsidP="00502AB1">
      <w:pPr>
        <w:spacing w:after="0" w:line="240" w:lineRule="auto"/>
        <w:jc w:val="both"/>
        <w:rPr>
          <w:rFonts w:cs="Arial"/>
        </w:rPr>
      </w:pPr>
      <w:r w:rsidRPr="00502AB1">
        <w:t xml:space="preserve">Poiché </w:t>
      </w:r>
      <w:proofErr w:type="spellStart"/>
      <w:r w:rsidR="00276E02">
        <w:rPr>
          <w:rFonts w:cs="Times New Roman"/>
          <w:bCs/>
          <w:color w:val="000000"/>
        </w:rPr>
        <w:t>Brinus</w:t>
      </w:r>
      <w:proofErr w:type="spellEnd"/>
      <w:r w:rsidRPr="00502AB1">
        <w:t xml:space="preserve"> contiene un principio attivo noto</w:t>
      </w:r>
      <w:r w:rsidR="00416C02">
        <w:t>,</w:t>
      </w:r>
      <w:r w:rsidRPr="00502AB1">
        <w:t xml:space="preserve"> non sono stati forniti nuovi dati non clinici e clinici: questo approccio è accettabile poiché il medicinale di riferimento </w:t>
      </w:r>
      <w:proofErr w:type="spellStart"/>
      <w:r w:rsidR="007C1F41">
        <w:t>Lumigan</w:t>
      </w:r>
      <w:proofErr w:type="spellEnd"/>
      <w:r w:rsidRPr="00502AB1">
        <w:t xml:space="preserve"> è autorizzato in Italia da oltre 10 anni</w:t>
      </w:r>
      <w:r w:rsidR="007935FE" w:rsidRPr="00502AB1">
        <w:t xml:space="preserve">; poiché </w:t>
      </w:r>
      <w:proofErr w:type="spellStart"/>
      <w:r w:rsidR="00276E02">
        <w:rPr>
          <w:rFonts w:cs="Times New Roman"/>
          <w:bCs/>
          <w:color w:val="000000"/>
        </w:rPr>
        <w:t>Brinus</w:t>
      </w:r>
      <w:proofErr w:type="spellEnd"/>
      <w:r w:rsidR="007935FE" w:rsidRPr="00502AB1">
        <w:t xml:space="preserve"> </w:t>
      </w:r>
      <w:r w:rsidR="007935FE" w:rsidRPr="00502AB1">
        <w:rPr>
          <w:rFonts w:cs="Arial"/>
        </w:rPr>
        <w:t>è somministrato come collirio (soluzione oftalmica), è stata concessa l’esenzione dalla conduzione di studi clinici di confronto con il medicinale di riferimento.</w:t>
      </w:r>
    </w:p>
    <w:p w:rsidR="007C68D2" w:rsidRPr="00502AB1" w:rsidRDefault="007C68D2" w:rsidP="00B32D81">
      <w:pPr>
        <w:spacing w:after="0" w:line="240" w:lineRule="auto"/>
        <w:jc w:val="both"/>
      </w:pPr>
    </w:p>
    <w:p w:rsidR="007C68D2" w:rsidRPr="00B32D81" w:rsidRDefault="007C68D2" w:rsidP="00B32D81">
      <w:pPr>
        <w:spacing w:after="0" w:line="240" w:lineRule="auto"/>
        <w:jc w:val="both"/>
      </w:pPr>
      <w:r w:rsidRPr="00B32D81">
        <w:t>Le officine coinvolte nella produzione sono conformi alle linee guida di Buona Pratica di Fabbricazione (</w:t>
      </w:r>
      <w:proofErr w:type="spellStart"/>
      <w:r w:rsidRPr="00B32D81">
        <w:rPr>
          <w:i/>
        </w:rPr>
        <w:t>Good</w:t>
      </w:r>
      <w:proofErr w:type="spellEnd"/>
      <w:r w:rsidRPr="00B32D81">
        <w:rPr>
          <w:i/>
        </w:rPr>
        <w:t xml:space="preserve"> Manufacturing </w:t>
      </w:r>
      <w:proofErr w:type="spellStart"/>
      <w:r w:rsidRPr="00B32D81">
        <w:rPr>
          <w:i/>
        </w:rPr>
        <w:t>Practice</w:t>
      </w:r>
      <w:proofErr w:type="spellEnd"/>
      <w:r w:rsidRPr="00B32D81">
        <w:t xml:space="preserve"> - GMP). Le autorità </w:t>
      </w:r>
      <w:proofErr w:type="spellStart"/>
      <w:r w:rsidRPr="00B32D81">
        <w:t>regolator</w:t>
      </w:r>
      <w:r w:rsidR="002C389F" w:rsidRPr="00B32D81">
        <w:t>i</w:t>
      </w:r>
      <w:r w:rsidRPr="00B32D81">
        <w:t>e</w:t>
      </w:r>
      <w:proofErr w:type="spellEnd"/>
      <w:r w:rsidRPr="00B32D81">
        <w:t xml:space="preserve"> competenti hanno rilasciato i certificati GMP per i siti di produzione sul territorio dell’Unione Europea.</w:t>
      </w:r>
    </w:p>
    <w:p w:rsidR="007C68D2" w:rsidRPr="00B32D81" w:rsidRDefault="007C68D2" w:rsidP="00B32D81">
      <w:pPr>
        <w:spacing w:after="0" w:line="240" w:lineRule="auto"/>
        <w:jc w:val="both"/>
        <w:rPr>
          <w:highlight w:val="yellow"/>
        </w:rPr>
      </w:pPr>
    </w:p>
    <w:p w:rsidR="007C68D2" w:rsidRPr="00B32D81" w:rsidRDefault="007C68D2" w:rsidP="00B32D81">
      <w:pPr>
        <w:spacing w:after="0" w:line="240" w:lineRule="auto"/>
        <w:jc w:val="both"/>
      </w:pPr>
      <w:r w:rsidRPr="00B32D81">
        <w:t>Il sistema di Farmacovigilanza descritto dal titolare dell’AIC è conforme ai requisiti previsti dalla normativa corrente. E’ stato presentato un Piano di gestione del rischio (</w:t>
      </w:r>
      <w:proofErr w:type="spellStart"/>
      <w:r w:rsidRPr="00B32D81">
        <w:rPr>
          <w:i/>
        </w:rPr>
        <w:t>Risk</w:t>
      </w:r>
      <w:proofErr w:type="spellEnd"/>
      <w:r w:rsidRPr="00B32D81">
        <w:rPr>
          <w:i/>
        </w:rPr>
        <w:t xml:space="preserve"> Management </w:t>
      </w:r>
      <w:proofErr w:type="spellStart"/>
      <w:r w:rsidRPr="00B32D81">
        <w:rPr>
          <w:i/>
        </w:rPr>
        <w:t>Plan</w:t>
      </w:r>
      <w:proofErr w:type="spellEnd"/>
      <w:r w:rsidRPr="00B32D81">
        <w:t xml:space="preserve"> – RMP) accettabile.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r w:rsidRPr="00B32D81">
        <w:t xml:space="preserve">Il titolare di AIC ha presentato una adeguata giustificazione della non presentazione della Valutazione del Rischio ambientale; questo approccio è accettabile in quanto </w:t>
      </w:r>
      <w:proofErr w:type="spellStart"/>
      <w:r w:rsidR="00276E02">
        <w:rPr>
          <w:rFonts w:cs="Times New Roman"/>
          <w:bCs/>
          <w:color w:val="000000"/>
        </w:rPr>
        <w:t>Brinus</w:t>
      </w:r>
      <w:proofErr w:type="spellEnd"/>
      <w:r w:rsidRPr="00B32D81">
        <w:t xml:space="preserve"> contiene un principio attivo noto presente in medicinali autorizzati; inoltre, non sono presenti componenti geneticamente modificati; il metodo di produzione e la formulazione del medicinale non presentano problematiche di carattere ambientale.</w:t>
      </w:r>
    </w:p>
    <w:p w:rsidR="007C68D2" w:rsidRPr="00B32D81" w:rsidRDefault="007C68D2" w:rsidP="00B32D81">
      <w:pPr>
        <w:spacing w:after="0" w:line="240" w:lineRule="auto"/>
        <w:jc w:val="both"/>
      </w:pPr>
    </w:p>
    <w:p w:rsidR="007C68D2" w:rsidRPr="00E14380" w:rsidRDefault="007C68D2" w:rsidP="00B32D81">
      <w:pPr>
        <w:spacing w:after="0" w:line="240" w:lineRule="auto"/>
        <w:jc w:val="both"/>
      </w:pPr>
    </w:p>
    <w:p w:rsidR="00886C33" w:rsidRPr="00E14380" w:rsidRDefault="00886C33" w:rsidP="00886C33">
      <w:pPr>
        <w:pStyle w:val="Paragrafoelenco"/>
        <w:numPr>
          <w:ilvl w:val="0"/>
          <w:numId w:val="5"/>
        </w:numPr>
        <w:spacing w:after="0" w:line="240" w:lineRule="auto"/>
        <w:jc w:val="both"/>
        <w:rPr>
          <w:b/>
        </w:rPr>
      </w:pPr>
      <w:r w:rsidRPr="00E14380">
        <w:rPr>
          <w:b/>
        </w:rPr>
        <w:t xml:space="preserve">ASPETTI </w:t>
      </w:r>
      <w:proofErr w:type="spellStart"/>
      <w:r w:rsidRPr="00E14380">
        <w:rPr>
          <w:b/>
        </w:rPr>
        <w:t>DI</w:t>
      </w:r>
      <w:proofErr w:type="spellEnd"/>
      <w:r w:rsidRPr="00E14380">
        <w:rPr>
          <w:b/>
        </w:rPr>
        <w:t xml:space="preserve"> QUALITA’</w:t>
      </w:r>
    </w:p>
    <w:p w:rsidR="00886C33" w:rsidRPr="00E14380" w:rsidRDefault="00886C33" w:rsidP="00886C33">
      <w:pPr>
        <w:spacing w:after="0" w:line="240" w:lineRule="auto"/>
        <w:jc w:val="both"/>
      </w:pPr>
      <w:r w:rsidRPr="00E14380">
        <w:rPr>
          <w:b/>
        </w:rPr>
        <w:t xml:space="preserve">II.1 PRINCIPIO ATTIVO </w:t>
      </w:r>
      <w:r>
        <w:rPr>
          <w:b/>
        </w:rPr>
        <w:t>BIMATOPROST</w:t>
      </w:r>
      <w:r w:rsidRPr="00E14380">
        <w:rPr>
          <w:b/>
        </w:rPr>
        <w:t xml:space="preserve"> </w:t>
      </w:r>
    </w:p>
    <w:p w:rsidR="00886C33" w:rsidRPr="00AB0AF9" w:rsidRDefault="00886C33" w:rsidP="00886C33">
      <w:pPr>
        <w:autoSpaceDE w:val="0"/>
        <w:autoSpaceDN w:val="0"/>
        <w:adjustRightInd w:val="0"/>
        <w:spacing w:after="0" w:line="240" w:lineRule="auto"/>
        <w:rPr>
          <w:rStyle w:val="s1"/>
          <w:rFonts w:asciiTheme="minorHAnsi" w:hAnsiTheme="minorHAnsi" w:cs="TimesNewRomanPSMT"/>
        </w:rPr>
      </w:pPr>
      <w:r w:rsidRPr="00AB0AF9">
        <w:rPr>
          <w:u w:val="single"/>
        </w:rPr>
        <w:t>Nome chimico</w:t>
      </w:r>
      <w:r w:rsidRPr="00AB0AF9">
        <w:t xml:space="preserve">: </w:t>
      </w:r>
      <w:r w:rsidRPr="00AB0AF9">
        <w:rPr>
          <w:rFonts w:cs="Arial"/>
          <w:color w:val="222222"/>
          <w:shd w:val="clear" w:color="auto" w:fill="F9F9F9"/>
        </w:rPr>
        <w:t>17-fenil-tri-norprostaglandin-F</w:t>
      </w:r>
      <w:r w:rsidRPr="00AB0AF9">
        <w:rPr>
          <w:rFonts w:cs="Arial"/>
          <w:color w:val="222222"/>
          <w:shd w:val="clear" w:color="auto" w:fill="F9F9F9"/>
          <w:vertAlign w:val="subscript"/>
        </w:rPr>
        <w:t>2α</w:t>
      </w:r>
      <w:r w:rsidRPr="00AB0AF9">
        <w:rPr>
          <w:rFonts w:cs="Arial"/>
          <w:color w:val="222222"/>
          <w:shd w:val="clear" w:color="auto" w:fill="F9F9F9"/>
        </w:rPr>
        <w:t>-etilammide</w:t>
      </w:r>
    </w:p>
    <w:p w:rsidR="00886C33" w:rsidRPr="00AB0AF9" w:rsidRDefault="00886C33" w:rsidP="00886C33">
      <w:pPr>
        <w:spacing w:after="0" w:line="240" w:lineRule="auto"/>
        <w:jc w:val="both"/>
        <w:rPr>
          <w:noProof/>
          <w:lang w:eastAsia="it-IT"/>
        </w:rPr>
      </w:pPr>
      <w:r w:rsidRPr="00AB0AF9">
        <w:rPr>
          <w:u w:val="single"/>
        </w:rPr>
        <w:t>Struttura</w:t>
      </w:r>
      <w:r w:rsidRPr="00AB0AF9">
        <w:t>:</w:t>
      </w:r>
    </w:p>
    <w:p w:rsidR="00886C33" w:rsidRPr="00134669" w:rsidRDefault="00886C33" w:rsidP="00886C33">
      <w:pPr>
        <w:pStyle w:val="Titolo1"/>
        <w:shd w:val="clear" w:color="auto" w:fill="FFFFFF"/>
        <w:spacing w:before="0" w:beforeAutospacing="0" w:after="0" w:afterAutospacing="0"/>
        <w:jc w:val="center"/>
        <w:rPr>
          <w:rStyle w:val="s1"/>
          <w:rFonts w:asciiTheme="minorHAnsi" w:hAnsiTheme="minorHAnsi"/>
          <w:b w:val="0"/>
          <w:sz w:val="22"/>
          <w:szCs w:val="22"/>
          <w:highlight w:val="yellow"/>
        </w:rPr>
      </w:pPr>
      <w:r w:rsidRPr="00134669">
        <w:rPr>
          <w:rFonts w:asciiTheme="minorHAnsi" w:hAnsiTheme="minorHAnsi"/>
          <w:noProof/>
          <w:sz w:val="22"/>
          <w:szCs w:val="22"/>
        </w:rPr>
        <w:drawing>
          <wp:inline distT="0" distB="0" distL="0" distR="0">
            <wp:extent cx="1277257" cy="815415"/>
            <wp:effectExtent l="19050" t="0" r="0" b="0"/>
            <wp:docPr id="3" name="Immagine 1" descr="Bimatopros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matoprost.svg"/>
                    <pic:cNvPicPr>
                      <a:picLocks noChangeAspect="1" noChangeArrowheads="1"/>
                    </pic:cNvPicPr>
                  </pic:nvPicPr>
                  <pic:blipFill>
                    <a:blip r:embed="rId8" cstate="print"/>
                    <a:srcRect/>
                    <a:stretch>
                      <a:fillRect/>
                    </a:stretch>
                  </pic:blipFill>
                  <pic:spPr bwMode="auto">
                    <a:xfrm>
                      <a:off x="0" y="0"/>
                      <a:ext cx="1281429" cy="818078"/>
                    </a:xfrm>
                    <a:prstGeom prst="rect">
                      <a:avLst/>
                    </a:prstGeom>
                    <a:noFill/>
                    <a:ln w="9525">
                      <a:noFill/>
                      <a:miter lim="800000"/>
                      <a:headEnd/>
                      <a:tailEnd/>
                    </a:ln>
                  </pic:spPr>
                </pic:pic>
              </a:graphicData>
            </a:graphic>
          </wp:inline>
        </w:drawing>
      </w:r>
    </w:p>
    <w:p w:rsidR="00886C33" w:rsidRPr="00AB0AF9" w:rsidRDefault="00886C33" w:rsidP="00886C33">
      <w:pPr>
        <w:pStyle w:val="Titolo1"/>
        <w:shd w:val="clear" w:color="auto" w:fill="FFFFFF"/>
        <w:spacing w:before="0" w:beforeAutospacing="0" w:after="0" w:afterAutospacing="0"/>
        <w:rPr>
          <w:rFonts w:asciiTheme="minorHAnsi" w:hAnsiTheme="minorHAnsi"/>
          <w:b w:val="0"/>
          <w:sz w:val="22"/>
          <w:szCs w:val="22"/>
          <w:u w:val="single"/>
        </w:rPr>
      </w:pPr>
      <w:r w:rsidRPr="00AB0AF9">
        <w:rPr>
          <w:rFonts w:asciiTheme="minorHAnsi" w:hAnsiTheme="minorHAnsi"/>
          <w:b w:val="0"/>
          <w:sz w:val="22"/>
          <w:szCs w:val="22"/>
          <w:u w:val="single"/>
        </w:rPr>
        <w:t>Formula molecolare</w:t>
      </w:r>
      <w:r w:rsidRPr="00AB0AF9">
        <w:rPr>
          <w:rFonts w:asciiTheme="minorHAnsi" w:hAnsiTheme="minorHAnsi"/>
          <w:b w:val="0"/>
          <w:sz w:val="22"/>
          <w:szCs w:val="22"/>
        </w:rPr>
        <w:t>:</w:t>
      </w:r>
      <w:r w:rsidRPr="00AB0AF9">
        <w:rPr>
          <w:rStyle w:val="s1"/>
          <w:rFonts w:asciiTheme="minorHAnsi" w:hAnsiTheme="minorHAnsi"/>
          <w:b w:val="0"/>
          <w:sz w:val="22"/>
          <w:szCs w:val="22"/>
        </w:rPr>
        <w:t xml:space="preserve"> </w:t>
      </w:r>
      <w:r w:rsidRPr="00AB0AF9">
        <w:rPr>
          <w:rFonts w:asciiTheme="minorHAnsi" w:hAnsiTheme="minorHAnsi" w:cs="Arial"/>
          <w:b w:val="0"/>
          <w:color w:val="222222"/>
          <w:sz w:val="22"/>
          <w:szCs w:val="22"/>
          <w:shd w:val="clear" w:color="auto" w:fill="F9F9F9"/>
        </w:rPr>
        <w:t>C</w:t>
      </w:r>
      <w:r w:rsidRPr="00AB0AF9">
        <w:rPr>
          <w:rFonts w:asciiTheme="minorHAnsi" w:hAnsiTheme="minorHAnsi" w:cs="Arial"/>
          <w:b w:val="0"/>
          <w:color w:val="222222"/>
          <w:sz w:val="22"/>
          <w:szCs w:val="22"/>
          <w:shd w:val="clear" w:color="auto" w:fill="F9F9F9"/>
          <w:vertAlign w:val="subscript"/>
        </w:rPr>
        <w:t>25</w:t>
      </w:r>
      <w:r w:rsidRPr="00AB0AF9">
        <w:rPr>
          <w:rFonts w:asciiTheme="minorHAnsi" w:hAnsiTheme="minorHAnsi" w:cs="Arial"/>
          <w:b w:val="0"/>
          <w:color w:val="222222"/>
          <w:sz w:val="22"/>
          <w:szCs w:val="22"/>
          <w:shd w:val="clear" w:color="auto" w:fill="F9F9F9"/>
        </w:rPr>
        <w:t>H</w:t>
      </w:r>
      <w:r w:rsidRPr="00AB0AF9">
        <w:rPr>
          <w:rFonts w:asciiTheme="minorHAnsi" w:hAnsiTheme="minorHAnsi" w:cs="Arial"/>
          <w:b w:val="0"/>
          <w:color w:val="222222"/>
          <w:sz w:val="22"/>
          <w:szCs w:val="22"/>
          <w:shd w:val="clear" w:color="auto" w:fill="F9F9F9"/>
          <w:vertAlign w:val="subscript"/>
        </w:rPr>
        <w:t>37</w:t>
      </w:r>
      <w:r w:rsidRPr="00AB0AF9">
        <w:rPr>
          <w:rFonts w:asciiTheme="minorHAnsi" w:hAnsiTheme="minorHAnsi" w:cs="Arial"/>
          <w:b w:val="0"/>
          <w:color w:val="222222"/>
          <w:sz w:val="22"/>
          <w:szCs w:val="22"/>
          <w:shd w:val="clear" w:color="auto" w:fill="F9F9F9"/>
        </w:rPr>
        <w:t>NO</w:t>
      </w:r>
      <w:r w:rsidRPr="00AB0AF9">
        <w:rPr>
          <w:rFonts w:asciiTheme="minorHAnsi" w:hAnsiTheme="minorHAnsi" w:cs="Arial"/>
          <w:b w:val="0"/>
          <w:color w:val="222222"/>
          <w:sz w:val="22"/>
          <w:szCs w:val="22"/>
          <w:shd w:val="clear" w:color="auto" w:fill="F9F9F9"/>
          <w:vertAlign w:val="subscript"/>
        </w:rPr>
        <w:t>4</w:t>
      </w:r>
    </w:p>
    <w:p w:rsidR="00886C33" w:rsidRPr="00AB0AF9" w:rsidRDefault="00886C33" w:rsidP="00886C33">
      <w:pPr>
        <w:spacing w:after="0" w:line="240" w:lineRule="auto"/>
        <w:jc w:val="both"/>
      </w:pPr>
      <w:r w:rsidRPr="00AB0AF9">
        <w:rPr>
          <w:u w:val="single"/>
        </w:rPr>
        <w:t>Peso molecolare</w:t>
      </w:r>
      <w:r w:rsidRPr="00AB0AF9">
        <w:t>:</w:t>
      </w:r>
      <w:r w:rsidRPr="00AB0AF9">
        <w:rPr>
          <w:rFonts w:cs="Arial"/>
          <w:color w:val="252525"/>
          <w:shd w:val="clear" w:color="auto" w:fill="F9F9F9"/>
        </w:rPr>
        <w:t xml:space="preserve"> </w:t>
      </w:r>
      <w:r w:rsidRPr="00AB0AF9">
        <w:rPr>
          <w:rFonts w:cs="Arial"/>
          <w:color w:val="222222"/>
          <w:shd w:val="clear" w:color="auto" w:fill="F9F9F9"/>
        </w:rPr>
        <w:t>415.566</w:t>
      </w:r>
      <w:r w:rsidRPr="00AB0AF9">
        <w:rPr>
          <w:rFonts w:cs="Times New Roman"/>
        </w:rPr>
        <w:t xml:space="preserve"> g/mol </w:t>
      </w:r>
    </w:p>
    <w:p w:rsidR="00886C33" w:rsidRPr="00AB0AF9" w:rsidRDefault="00886C33" w:rsidP="00886C33">
      <w:pPr>
        <w:pStyle w:val="Titolo1"/>
        <w:shd w:val="clear" w:color="auto" w:fill="FFFFFF"/>
        <w:spacing w:before="0" w:beforeAutospacing="0" w:after="0" w:afterAutospacing="0"/>
        <w:rPr>
          <w:rFonts w:asciiTheme="minorHAnsi" w:hAnsiTheme="minorHAnsi"/>
          <w:b w:val="0"/>
          <w:sz w:val="22"/>
          <w:szCs w:val="22"/>
        </w:rPr>
      </w:pPr>
      <w:r w:rsidRPr="00AB0AF9">
        <w:rPr>
          <w:rFonts w:asciiTheme="minorHAnsi" w:hAnsiTheme="minorHAnsi"/>
          <w:b w:val="0"/>
          <w:sz w:val="22"/>
          <w:szCs w:val="22"/>
          <w:u w:val="single"/>
        </w:rPr>
        <w:t>CAS</w:t>
      </w:r>
      <w:r w:rsidRPr="00AB0AF9">
        <w:rPr>
          <w:rFonts w:asciiTheme="minorHAnsi" w:hAnsiTheme="minorHAnsi"/>
          <w:b w:val="0"/>
          <w:sz w:val="22"/>
          <w:szCs w:val="22"/>
        </w:rPr>
        <w:t xml:space="preserve">: </w:t>
      </w:r>
      <w:r w:rsidRPr="00AB0AF9">
        <w:rPr>
          <w:rStyle w:val="s1"/>
          <w:rFonts w:asciiTheme="minorHAnsi" w:hAnsiTheme="minorHAnsi"/>
          <w:b w:val="0"/>
          <w:sz w:val="22"/>
          <w:szCs w:val="22"/>
        </w:rPr>
        <w:t>[155206-00-1]</w:t>
      </w:r>
    </w:p>
    <w:p w:rsidR="00886C33" w:rsidRPr="00AB0AF9" w:rsidRDefault="00886C33" w:rsidP="00886C33">
      <w:pPr>
        <w:spacing w:after="0" w:line="240" w:lineRule="auto"/>
        <w:jc w:val="both"/>
      </w:pPr>
      <w:r w:rsidRPr="00AB0AF9">
        <w:rPr>
          <w:u w:val="single"/>
        </w:rPr>
        <w:lastRenderedPageBreak/>
        <w:t>Aspetto</w:t>
      </w:r>
      <w:r w:rsidRPr="00AB0AF9">
        <w:t xml:space="preserve">: polvere </w:t>
      </w:r>
      <w:r>
        <w:t xml:space="preserve">bianca o </w:t>
      </w:r>
      <w:r w:rsidRPr="00AB0AF9">
        <w:t xml:space="preserve">quasi bianca </w:t>
      </w:r>
    </w:p>
    <w:p w:rsidR="00886C33" w:rsidRPr="00AB0AF9" w:rsidRDefault="00886C33" w:rsidP="00886C33">
      <w:pPr>
        <w:spacing w:after="0" w:line="240" w:lineRule="auto"/>
        <w:jc w:val="both"/>
      </w:pPr>
      <w:r w:rsidRPr="00AB0AF9">
        <w:rPr>
          <w:u w:val="single"/>
        </w:rPr>
        <w:t>Solubilità</w:t>
      </w:r>
      <w:r w:rsidRPr="00AB0AF9">
        <w:t xml:space="preserve">: </w:t>
      </w:r>
      <w:r w:rsidRPr="00AB0AF9">
        <w:rPr>
          <w:rStyle w:val="s1"/>
          <w:rFonts w:asciiTheme="minorHAnsi" w:hAnsiTheme="minorHAnsi"/>
        </w:rPr>
        <w:t xml:space="preserve">molto </w:t>
      </w:r>
      <w:r w:rsidRPr="00AB0AF9">
        <w:rPr>
          <w:rFonts w:cs="Arial"/>
          <w:color w:val="000000"/>
          <w:shd w:val="clear" w:color="auto" w:fill="FFFFFF"/>
        </w:rPr>
        <w:t>solubile in alcol etilico ed alcool metilico</w:t>
      </w:r>
      <w:r>
        <w:rPr>
          <w:rFonts w:cs="Arial"/>
          <w:color w:val="000000"/>
          <w:shd w:val="clear" w:color="auto" w:fill="FFFFFF"/>
        </w:rPr>
        <w:t>, scarsamente</w:t>
      </w:r>
      <w:r w:rsidRPr="00AB0AF9">
        <w:rPr>
          <w:rFonts w:cs="Arial"/>
          <w:color w:val="000000"/>
          <w:shd w:val="clear" w:color="auto" w:fill="FFFFFF"/>
        </w:rPr>
        <w:t xml:space="preserve"> solubile in acqua</w:t>
      </w:r>
    </w:p>
    <w:p w:rsidR="00886C33" w:rsidRPr="00AB0AF9" w:rsidRDefault="00886C33" w:rsidP="00886C33">
      <w:pPr>
        <w:spacing w:after="0" w:line="240" w:lineRule="auto"/>
        <w:jc w:val="both"/>
      </w:pPr>
    </w:p>
    <w:p w:rsidR="00886C33" w:rsidRPr="00AB0AF9" w:rsidRDefault="00886C33" w:rsidP="00886C33">
      <w:pPr>
        <w:spacing w:after="0" w:line="240" w:lineRule="auto"/>
        <w:jc w:val="both"/>
      </w:pPr>
      <w:r w:rsidRPr="009438B6">
        <w:t xml:space="preserve">Il principio attivo </w:t>
      </w:r>
      <w:proofErr w:type="spellStart"/>
      <w:r w:rsidRPr="009438B6">
        <w:t>bimatoprost</w:t>
      </w:r>
      <w:proofErr w:type="spellEnd"/>
      <w:r w:rsidRPr="009438B6">
        <w:t xml:space="preserve"> non è presente in Farmacopea Europea. Il pro</w:t>
      </w:r>
      <w:r>
        <w:t xml:space="preserve">duttore di principio attivo ha </w:t>
      </w:r>
      <w:r w:rsidRPr="009438B6">
        <w:t>presentato un ASMF.</w:t>
      </w:r>
    </w:p>
    <w:p w:rsidR="00886C33" w:rsidRPr="00AB0AF9" w:rsidRDefault="00886C33" w:rsidP="00886C33">
      <w:pPr>
        <w:spacing w:after="0" w:line="240" w:lineRule="auto"/>
        <w:jc w:val="both"/>
      </w:pPr>
      <w:r w:rsidRPr="00AB0AF9">
        <w:t>La sintesi del principio attivo è stata adeguatamente descritta a partire da idonei materiali di partenza; sono utilizzati appropriati controlli di processo e degli intermedi di sintesi.</w:t>
      </w:r>
    </w:p>
    <w:p w:rsidR="00886C33" w:rsidRPr="00134669" w:rsidRDefault="00886C33" w:rsidP="00886C33">
      <w:pPr>
        <w:spacing w:after="0" w:line="240" w:lineRule="auto"/>
        <w:jc w:val="both"/>
      </w:pPr>
      <w:r w:rsidRPr="00134669">
        <w:t>I materiali e i reagenti utilizzati nella sintesi sono di qualità adeguata.</w:t>
      </w:r>
    </w:p>
    <w:p w:rsidR="00886C33" w:rsidRPr="009457D0" w:rsidRDefault="00886C33" w:rsidP="00886C33">
      <w:pPr>
        <w:spacing w:after="0" w:line="240" w:lineRule="auto"/>
        <w:jc w:val="both"/>
      </w:pPr>
      <w:r w:rsidRPr="009457D0">
        <w:t>I materiali, gli intermedi, i reagenti utilizzati nella sintesi non sono di origine umana, biologica o geneticamente modificata.</w:t>
      </w:r>
    </w:p>
    <w:p w:rsidR="00886C33" w:rsidRPr="009457D0" w:rsidRDefault="00886C33" w:rsidP="00886C33">
      <w:pPr>
        <w:spacing w:after="0" w:line="240" w:lineRule="auto"/>
        <w:jc w:val="both"/>
      </w:pPr>
      <w:r w:rsidRPr="009457D0">
        <w:t>Le specifiche del principio attivo sono appropriate e controllat</w:t>
      </w:r>
      <w:r w:rsidR="008432EC">
        <w:t>e</w:t>
      </w:r>
      <w:r w:rsidRPr="009457D0">
        <w:t xml:space="preserve"> con metodi analitici adeguatamente convalidati. Sono stati forniti certificati analitici che confermano la qualità del principio attivo.</w:t>
      </w:r>
    </w:p>
    <w:p w:rsidR="00886C33" w:rsidRDefault="00886C33" w:rsidP="00886C33">
      <w:pPr>
        <w:spacing w:after="0" w:line="240" w:lineRule="auto"/>
        <w:jc w:val="both"/>
      </w:pPr>
      <w:r w:rsidRPr="00E91C1E">
        <w:t>Il principio attivo è confezionato in un adeguato contenitore, per il quale sono stati forniti specifiche e certificati analitici.</w:t>
      </w:r>
      <w:r>
        <w:t xml:space="preserve"> Il principio attivo </w:t>
      </w:r>
      <w:r w:rsidRPr="004B084D">
        <w:t xml:space="preserve">è confezionato in </w:t>
      </w:r>
      <w:r>
        <w:t>flaconcini di vetro di tipo I.</w:t>
      </w:r>
    </w:p>
    <w:p w:rsidR="00886C33" w:rsidRDefault="00886C33" w:rsidP="00886C33">
      <w:pPr>
        <w:spacing w:after="0" w:line="240" w:lineRule="auto"/>
        <w:jc w:val="both"/>
      </w:pPr>
      <w:r w:rsidRPr="004B084D">
        <w:t>Sono stati forniti adeguati studi di stabilità per il principio attivo conservato nel confezionamento proposto. Sulla base di questi dati, è stato appro</w:t>
      </w:r>
      <w:r>
        <w:t xml:space="preserve">vato un periodo di </w:t>
      </w:r>
      <w:proofErr w:type="spellStart"/>
      <w:r>
        <w:t>retest</w:t>
      </w:r>
      <w:proofErr w:type="spellEnd"/>
      <w:r>
        <w:t xml:space="preserve"> di 4 </w:t>
      </w:r>
      <w:r w:rsidRPr="004B084D">
        <w:t>anni</w:t>
      </w:r>
      <w:r>
        <w:t xml:space="preserve"> con</w:t>
      </w:r>
      <w:r w:rsidRPr="00E91C1E">
        <w:t xml:space="preserve"> conserva</w:t>
      </w:r>
      <w:r>
        <w:t>zione</w:t>
      </w:r>
      <w:r w:rsidRPr="00E91C1E">
        <w:t xml:space="preserve"> a </w:t>
      </w:r>
      <w:r>
        <w:t>20°C</w:t>
      </w:r>
      <w:r w:rsidRPr="00E91683">
        <w:rPr>
          <w:u w:val="single"/>
        </w:rPr>
        <w:t>+</w:t>
      </w:r>
      <w:r>
        <w:t>5°C</w:t>
      </w:r>
      <w:r w:rsidRPr="00E91C1E">
        <w:t>.</w:t>
      </w:r>
    </w:p>
    <w:p w:rsidR="00886C33" w:rsidRDefault="00886C33" w:rsidP="00886C33">
      <w:pPr>
        <w:spacing w:after="0" w:line="240" w:lineRule="auto"/>
        <w:jc w:val="both"/>
        <w:rPr>
          <w:highlight w:val="yellow"/>
        </w:rPr>
      </w:pPr>
    </w:p>
    <w:p w:rsidR="00886C33" w:rsidRPr="003A0AA5" w:rsidRDefault="00886C33" w:rsidP="00886C33">
      <w:pPr>
        <w:spacing w:after="0" w:line="240" w:lineRule="auto"/>
        <w:jc w:val="both"/>
        <w:rPr>
          <w:highlight w:val="yellow"/>
        </w:rPr>
      </w:pPr>
    </w:p>
    <w:p w:rsidR="00886C33" w:rsidRPr="00B32D81" w:rsidRDefault="00886C33" w:rsidP="00886C33">
      <w:pPr>
        <w:spacing w:after="0" w:line="240" w:lineRule="auto"/>
        <w:jc w:val="both"/>
        <w:rPr>
          <w:b/>
        </w:rPr>
      </w:pPr>
      <w:r w:rsidRPr="00B32D81">
        <w:rPr>
          <w:b/>
        </w:rPr>
        <w:t>II.2 PRODOTTO FINITO</w:t>
      </w:r>
    </w:p>
    <w:p w:rsidR="00886C33" w:rsidRPr="00B32D81" w:rsidRDefault="00886C33" w:rsidP="00886C33">
      <w:pPr>
        <w:spacing w:after="0" w:line="240" w:lineRule="auto"/>
        <w:jc w:val="both"/>
        <w:rPr>
          <w:b/>
        </w:rPr>
      </w:pPr>
      <w:r w:rsidRPr="00B32D81">
        <w:rPr>
          <w:b/>
        </w:rPr>
        <w:t>Descrizione e composizione</w:t>
      </w:r>
    </w:p>
    <w:p w:rsidR="00886C33" w:rsidRPr="00502AB1" w:rsidRDefault="00276E02" w:rsidP="00886C33">
      <w:pPr>
        <w:widowControl w:val="0"/>
        <w:spacing w:after="0" w:line="240" w:lineRule="auto"/>
        <w:jc w:val="both"/>
      </w:pPr>
      <w:proofErr w:type="spellStart"/>
      <w:r>
        <w:rPr>
          <w:rFonts w:cs="Times New Roman"/>
          <w:bCs/>
          <w:color w:val="000000"/>
        </w:rPr>
        <w:t>Brinus</w:t>
      </w:r>
      <w:proofErr w:type="spellEnd"/>
      <w:r w:rsidR="00886C33" w:rsidRPr="00502AB1">
        <w:rPr>
          <w:rFonts w:eastAsia="Calibri" w:cs="Calibri"/>
          <w:color w:val="000000"/>
          <w:lang w:eastAsia="it-IT"/>
        </w:rPr>
        <w:t xml:space="preserve"> è disponibile come collirio, soluzione contenente il </w:t>
      </w:r>
      <w:r w:rsidR="00886C33">
        <w:rPr>
          <w:rFonts w:eastAsia="Calibri" w:cs="Calibri"/>
          <w:color w:val="000000"/>
          <w:lang w:eastAsia="it-IT"/>
        </w:rPr>
        <w:t>principio a</w:t>
      </w:r>
      <w:r w:rsidR="00886C33" w:rsidRPr="00502AB1">
        <w:rPr>
          <w:rFonts w:eastAsia="Calibri" w:cs="Calibri"/>
          <w:color w:val="000000"/>
          <w:lang w:eastAsia="it-IT"/>
        </w:rPr>
        <w:t>ttivo alla concentrazione d</w:t>
      </w:r>
      <w:r w:rsidR="00886C33">
        <w:rPr>
          <w:rFonts w:eastAsia="Calibri" w:cs="Calibri"/>
          <w:color w:val="000000"/>
          <w:lang w:eastAsia="it-IT"/>
        </w:rPr>
        <w:t>i 0,1 mg/ml o</w:t>
      </w:r>
      <w:r w:rsidR="00886C33" w:rsidRPr="00502AB1">
        <w:rPr>
          <w:rFonts w:eastAsia="Calibri" w:cs="Calibri"/>
          <w:color w:val="000000"/>
          <w:lang w:eastAsia="it-IT"/>
        </w:rPr>
        <w:t xml:space="preserve"> 0,3</w:t>
      </w:r>
      <w:r w:rsidR="00886C33">
        <w:rPr>
          <w:rFonts w:eastAsia="Calibri" w:cs="Calibri"/>
          <w:color w:val="000000"/>
          <w:lang w:eastAsia="it-IT"/>
        </w:rPr>
        <w:t xml:space="preserve"> mg/ml; </w:t>
      </w:r>
      <w:r w:rsidR="00886C33" w:rsidRPr="00502AB1">
        <w:rPr>
          <w:rFonts w:eastAsia="Calibri" w:cs="Calibri"/>
          <w:color w:val="000000"/>
          <w:lang w:eastAsia="it-IT"/>
        </w:rPr>
        <w:t xml:space="preserve">il collirio </w:t>
      </w:r>
      <w:r w:rsidR="00886C33">
        <w:rPr>
          <w:rFonts w:eastAsia="Calibri" w:cs="Calibri"/>
          <w:color w:val="000000"/>
          <w:lang w:eastAsia="it-IT"/>
        </w:rPr>
        <w:t>(concentrazione 0,1 mg/ml e</w:t>
      </w:r>
      <w:r w:rsidR="00886C33" w:rsidRPr="00502AB1">
        <w:rPr>
          <w:rFonts w:eastAsia="Calibri" w:cs="Calibri"/>
          <w:color w:val="000000"/>
          <w:lang w:eastAsia="it-IT"/>
        </w:rPr>
        <w:t xml:space="preserve"> 0,3</w:t>
      </w:r>
      <w:r w:rsidR="00886C33">
        <w:rPr>
          <w:rFonts w:eastAsia="Calibri" w:cs="Calibri"/>
          <w:color w:val="000000"/>
          <w:lang w:eastAsia="it-IT"/>
        </w:rPr>
        <w:t xml:space="preserve"> mg/ml)</w:t>
      </w:r>
      <w:r w:rsidR="00886C33" w:rsidRPr="00502AB1">
        <w:rPr>
          <w:rFonts w:eastAsia="Calibri" w:cs="Calibri"/>
          <w:color w:val="000000"/>
          <w:lang w:eastAsia="it-IT"/>
        </w:rPr>
        <w:t xml:space="preserve"> è </w:t>
      </w:r>
      <w:r w:rsidR="00886C33">
        <w:rPr>
          <w:rFonts w:eastAsia="Calibri" w:cs="Calibri"/>
          <w:color w:val="000000"/>
          <w:lang w:eastAsia="it-IT"/>
        </w:rPr>
        <w:t>confezionato</w:t>
      </w:r>
      <w:r w:rsidR="00886C33" w:rsidRPr="00502AB1">
        <w:rPr>
          <w:rFonts w:eastAsia="Calibri" w:cs="Calibri"/>
          <w:color w:val="000000"/>
          <w:lang w:eastAsia="it-IT"/>
        </w:rPr>
        <w:t xml:space="preserve"> in un flacone </w:t>
      </w:r>
      <w:proofErr w:type="spellStart"/>
      <w:r w:rsidR="00886C33">
        <w:rPr>
          <w:rFonts w:eastAsia="Calibri" w:cs="Calibri"/>
          <w:color w:val="000000"/>
          <w:lang w:eastAsia="it-IT"/>
        </w:rPr>
        <w:t>multidose</w:t>
      </w:r>
      <w:proofErr w:type="spellEnd"/>
      <w:r w:rsidR="00886C33">
        <w:rPr>
          <w:rFonts w:eastAsia="Calibri" w:cs="Calibri"/>
          <w:color w:val="000000"/>
          <w:lang w:eastAsia="it-IT"/>
        </w:rPr>
        <w:t xml:space="preserve"> con conservante</w:t>
      </w:r>
      <w:r w:rsidR="00886C33" w:rsidRPr="00502AB1">
        <w:rPr>
          <w:rFonts w:eastAsia="Calibri" w:cs="Calibri"/>
          <w:color w:val="000000"/>
          <w:lang w:eastAsia="it-IT"/>
        </w:rPr>
        <w:t xml:space="preserve"> e</w:t>
      </w:r>
      <w:r w:rsidR="00886C33">
        <w:rPr>
          <w:rFonts w:eastAsia="Calibri" w:cs="Calibri"/>
          <w:color w:val="000000"/>
          <w:lang w:eastAsia="it-IT"/>
        </w:rPr>
        <w:t xml:space="preserve"> (concentrazione</w:t>
      </w:r>
      <w:r w:rsidR="00E33CBB">
        <w:rPr>
          <w:rFonts w:eastAsia="Calibri" w:cs="Calibri"/>
          <w:color w:val="000000"/>
          <w:lang w:eastAsia="it-IT"/>
        </w:rPr>
        <w:t xml:space="preserve"> 0.1mg e</w:t>
      </w:r>
      <w:r w:rsidR="00886C33">
        <w:rPr>
          <w:rFonts w:eastAsia="Calibri" w:cs="Calibri"/>
          <w:color w:val="000000"/>
          <w:lang w:eastAsia="it-IT"/>
        </w:rPr>
        <w:t xml:space="preserve"> </w:t>
      </w:r>
      <w:r w:rsidR="00886C33" w:rsidRPr="00502AB1">
        <w:rPr>
          <w:rFonts w:eastAsia="Calibri" w:cs="Calibri"/>
          <w:color w:val="000000"/>
          <w:lang w:eastAsia="it-IT"/>
        </w:rPr>
        <w:t>0,3</w:t>
      </w:r>
      <w:r w:rsidR="00886C33">
        <w:rPr>
          <w:rFonts w:eastAsia="Calibri" w:cs="Calibri"/>
          <w:color w:val="000000"/>
          <w:lang w:eastAsia="it-IT"/>
        </w:rPr>
        <w:t xml:space="preserve"> mg/ml)</w:t>
      </w:r>
      <w:r w:rsidR="00886C33" w:rsidRPr="00502AB1">
        <w:rPr>
          <w:rFonts w:eastAsia="Calibri" w:cs="Calibri"/>
          <w:color w:val="000000"/>
          <w:lang w:eastAsia="it-IT"/>
        </w:rPr>
        <w:t xml:space="preserve"> i</w:t>
      </w:r>
      <w:r w:rsidR="00886C33">
        <w:rPr>
          <w:rFonts w:eastAsia="Calibri" w:cs="Calibri"/>
          <w:color w:val="000000"/>
          <w:lang w:eastAsia="it-IT"/>
        </w:rPr>
        <w:t>n</w:t>
      </w:r>
      <w:r w:rsidR="00886C33" w:rsidRPr="00502AB1">
        <w:rPr>
          <w:rFonts w:eastAsia="Calibri" w:cs="Calibri"/>
          <w:color w:val="000000"/>
          <w:lang w:eastAsia="it-IT"/>
        </w:rPr>
        <w:t xml:space="preserve"> contenitori monodose senza conservante.</w:t>
      </w:r>
    </w:p>
    <w:p w:rsidR="00886C33" w:rsidRPr="00502AB1" w:rsidRDefault="00886C33" w:rsidP="00886C33">
      <w:pPr>
        <w:autoSpaceDE w:val="0"/>
        <w:autoSpaceDN w:val="0"/>
        <w:adjustRightInd w:val="0"/>
        <w:spacing w:after="0" w:line="240" w:lineRule="auto"/>
        <w:jc w:val="both"/>
        <w:rPr>
          <w:rFonts w:cs="Times New Roman"/>
        </w:rPr>
      </w:pPr>
      <w:r w:rsidRPr="00502AB1">
        <w:t xml:space="preserve">Gli eccipienti del medicinale in contenitore monodose sono i seguenti: </w:t>
      </w:r>
      <w:r>
        <w:rPr>
          <w:rFonts w:ascii="Calibri" w:hAnsi="Calibri" w:cs="Arial"/>
        </w:rPr>
        <w:t>s</w:t>
      </w:r>
      <w:r w:rsidRPr="001C33B1">
        <w:rPr>
          <w:rFonts w:ascii="Calibri" w:hAnsi="Calibri" w:cs="Arial"/>
        </w:rPr>
        <w:t xml:space="preserve">odio cloruro, </w:t>
      </w:r>
      <w:r>
        <w:rPr>
          <w:rFonts w:ascii="Calibri" w:hAnsi="Calibri" w:cs="Arial"/>
        </w:rPr>
        <w:t>s</w:t>
      </w:r>
      <w:r w:rsidRPr="001C33B1">
        <w:rPr>
          <w:rFonts w:ascii="Calibri" w:hAnsi="Calibri" w:cs="Arial"/>
        </w:rPr>
        <w:t xml:space="preserve">odio fosfato bibasico </w:t>
      </w:r>
      <w:proofErr w:type="spellStart"/>
      <w:r w:rsidRPr="001C33B1">
        <w:rPr>
          <w:rFonts w:ascii="Calibri" w:hAnsi="Calibri" w:cs="Arial"/>
        </w:rPr>
        <w:t>eptaidrato</w:t>
      </w:r>
      <w:proofErr w:type="spellEnd"/>
      <w:r w:rsidRPr="001C33B1">
        <w:rPr>
          <w:rFonts w:ascii="Calibri" w:hAnsi="Calibri" w:cs="Arial"/>
        </w:rPr>
        <w:t xml:space="preserve">, </w:t>
      </w:r>
      <w:r>
        <w:rPr>
          <w:rFonts w:ascii="Calibri" w:hAnsi="Calibri" w:cs="Arial"/>
        </w:rPr>
        <w:t>a</w:t>
      </w:r>
      <w:r w:rsidRPr="001C33B1">
        <w:rPr>
          <w:rFonts w:ascii="Calibri" w:hAnsi="Calibri" w:cs="Arial"/>
        </w:rPr>
        <w:t xml:space="preserve">cido citrico monoidrato, </w:t>
      </w:r>
      <w:r>
        <w:rPr>
          <w:rFonts w:ascii="Calibri" w:hAnsi="Calibri" w:cs="Arial"/>
        </w:rPr>
        <w:t>a</w:t>
      </w:r>
      <w:r w:rsidRPr="001C33B1">
        <w:rPr>
          <w:rFonts w:ascii="Calibri" w:hAnsi="Calibri" w:cs="Arial"/>
        </w:rPr>
        <w:t>cido cloridrico</w:t>
      </w:r>
      <w:r>
        <w:rPr>
          <w:rFonts w:ascii="Calibri" w:hAnsi="Calibri" w:cs="Arial"/>
        </w:rPr>
        <w:t xml:space="preserve"> o</w:t>
      </w:r>
      <w:r w:rsidRPr="001C33B1">
        <w:rPr>
          <w:rFonts w:ascii="Calibri" w:hAnsi="Calibri" w:cs="Arial"/>
        </w:rPr>
        <w:t xml:space="preserve"> sodio idrossido, </w:t>
      </w:r>
      <w:r>
        <w:rPr>
          <w:rFonts w:ascii="Calibri" w:hAnsi="Calibri" w:cs="Arial"/>
        </w:rPr>
        <w:t>a</w:t>
      </w:r>
      <w:r w:rsidRPr="001C33B1">
        <w:rPr>
          <w:rFonts w:ascii="Calibri" w:hAnsi="Calibri" w:cs="Arial"/>
        </w:rPr>
        <w:t>cqua per preparazioni iniettabili</w:t>
      </w:r>
      <w:r w:rsidRPr="00502AB1">
        <w:rPr>
          <w:rFonts w:cs="Times New Roman"/>
        </w:rPr>
        <w:t>.</w:t>
      </w:r>
    </w:p>
    <w:p w:rsidR="00886C33" w:rsidRPr="00502AB1" w:rsidRDefault="00886C33" w:rsidP="00886C33">
      <w:pPr>
        <w:tabs>
          <w:tab w:val="left" w:pos="-1985"/>
          <w:tab w:val="left" w:pos="-1843"/>
          <w:tab w:val="left" w:pos="3600"/>
          <w:tab w:val="left" w:pos="4320"/>
          <w:tab w:val="left" w:pos="5040"/>
          <w:tab w:val="left" w:pos="5760"/>
          <w:tab w:val="left" w:pos="6480"/>
          <w:tab w:val="left" w:pos="7200"/>
          <w:tab w:val="left" w:pos="7920"/>
        </w:tabs>
        <w:spacing w:after="0" w:line="240" w:lineRule="auto"/>
        <w:jc w:val="both"/>
        <w:rPr>
          <w:rFonts w:cs="Times New Roman"/>
        </w:rPr>
      </w:pPr>
      <w:r w:rsidRPr="00502AB1">
        <w:t xml:space="preserve">Gli eccipienti del medicinale in flacone </w:t>
      </w:r>
      <w:proofErr w:type="spellStart"/>
      <w:r w:rsidRPr="00502AB1">
        <w:t>multidose</w:t>
      </w:r>
      <w:proofErr w:type="spellEnd"/>
      <w:r w:rsidRPr="00502AB1">
        <w:t xml:space="preserve"> sono i seguenti:</w:t>
      </w:r>
      <w:r w:rsidRPr="00502AB1">
        <w:rPr>
          <w:rFonts w:cs="Arial"/>
        </w:rPr>
        <w:t xml:space="preserve"> </w:t>
      </w:r>
      <w:proofErr w:type="spellStart"/>
      <w:r>
        <w:rPr>
          <w:rFonts w:ascii="Calibri" w:hAnsi="Calibri" w:cs="Arial"/>
        </w:rPr>
        <w:t>b</w:t>
      </w:r>
      <w:r w:rsidRPr="001C33B1">
        <w:rPr>
          <w:rFonts w:ascii="Calibri" w:hAnsi="Calibri" w:cs="Arial"/>
        </w:rPr>
        <w:t>enzalconio</w:t>
      </w:r>
      <w:proofErr w:type="spellEnd"/>
      <w:r w:rsidRPr="001C33B1">
        <w:rPr>
          <w:rFonts w:ascii="Calibri" w:hAnsi="Calibri" w:cs="Arial"/>
        </w:rPr>
        <w:t xml:space="preserve"> cloruro</w:t>
      </w:r>
      <w:r>
        <w:rPr>
          <w:rFonts w:ascii="Calibri" w:hAnsi="Calibri" w:cs="Arial"/>
        </w:rPr>
        <w:t>, s</w:t>
      </w:r>
      <w:r w:rsidRPr="001C33B1">
        <w:rPr>
          <w:rFonts w:ascii="Calibri" w:hAnsi="Calibri" w:cs="Arial"/>
        </w:rPr>
        <w:t>odio cloruro</w:t>
      </w:r>
      <w:r>
        <w:rPr>
          <w:rFonts w:ascii="Calibri" w:hAnsi="Calibri" w:cs="Arial"/>
        </w:rPr>
        <w:t>, s</w:t>
      </w:r>
      <w:r w:rsidRPr="001C33B1">
        <w:rPr>
          <w:rFonts w:ascii="Calibri" w:hAnsi="Calibri" w:cs="Arial"/>
        </w:rPr>
        <w:t xml:space="preserve">odio fosfato bibasico </w:t>
      </w:r>
      <w:proofErr w:type="spellStart"/>
      <w:r w:rsidRPr="001C33B1">
        <w:rPr>
          <w:rFonts w:ascii="Calibri" w:hAnsi="Calibri" w:cs="Arial"/>
        </w:rPr>
        <w:t>eptaidrato</w:t>
      </w:r>
      <w:proofErr w:type="spellEnd"/>
      <w:r>
        <w:rPr>
          <w:rFonts w:ascii="Calibri" w:hAnsi="Calibri" w:cs="Arial"/>
        </w:rPr>
        <w:t>, a</w:t>
      </w:r>
      <w:r w:rsidRPr="001C33B1">
        <w:rPr>
          <w:rFonts w:ascii="Calibri" w:hAnsi="Calibri" w:cs="Arial"/>
        </w:rPr>
        <w:t>cido citrico monoidrato</w:t>
      </w:r>
      <w:r>
        <w:rPr>
          <w:rFonts w:ascii="Calibri" w:hAnsi="Calibri" w:cs="Arial"/>
        </w:rPr>
        <w:t xml:space="preserve">, acido cloridrico o </w:t>
      </w:r>
      <w:r w:rsidRPr="001C33B1">
        <w:rPr>
          <w:rFonts w:ascii="Calibri" w:hAnsi="Calibri" w:cs="Arial"/>
        </w:rPr>
        <w:t>sodio idrossido</w:t>
      </w:r>
      <w:r>
        <w:rPr>
          <w:rFonts w:ascii="Calibri" w:hAnsi="Calibri" w:cs="Arial"/>
        </w:rPr>
        <w:t>, a</w:t>
      </w:r>
      <w:r w:rsidRPr="001C33B1">
        <w:rPr>
          <w:rFonts w:ascii="Calibri" w:hAnsi="Calibri" w:cs="Arial"/>
        </w:rPr>
        <w:t>cqua per preparazioni iniettabili</w:t>
      </w:r>
      <w:r w:rsidRPr="00502AB1">
        <w:rPr>
          <w:rFonts w:cs="Times New Roman"/>
        </w:rPr>
        <w:t>.</w:t>
      </w:r>
    </w:p>
    <w:p w:rsidR="00886C33" w:rsidRPr="00502AB1" w:rsidRDefault="00886C33" w:rsidP="00886C33">
      <w:pPr>
        <w:tabs>
          <w:tab w:val="left" w:pos="-1985"/>
          <w:tab w:val="left" w:pos="-1843"/>
          <w:tab w:val="left" w:pos="3600"/>
          <w:tab w:val="left" w:pos="4320"/>
          <w:tab w:val="left" w:pos="5040"/>
          <w:tab w:val="left" w:pos="5760"/>
          <w:tab w:val="left" w:pos="6480"/>
          <w:tab w:val="left" w:pos="7200"/>
          <w:tab w:val="left" w:pos="7920"/>
        </w:tabs>
        <w:spacing w:after="0" w:line="240" w:lineRule="auto"/>
        <w:jc w:val="both"/>
      </w:pPr>
      <w:r w:rsidRPr="00502AB1">
        <w:t>Tutti gli eccipienti sono conformi alla relativa monografia di Farmacopea Europea</w:t>
      </w:r>
      <w:r>
        <w:t xml:space="preserve">, ad eccezione del sodio fosfato bibasico </w:t>
      </w:r>
      <w:proofErr w:type="spellStart"/>
      <w:r>
        <w:t>eptaidrato</w:t>
      </w:r>
      <w:proofErr w:type="spellEnd"/>
      <w:r>
        <w:t xml:space="preserve"> che è conforme alla monografia della Farmacopea degli Stati Uniti (USP)</w:t>
      </w:r>
      <w:r w:rsidRPr="00502AB1">
        <w:t>.</w:t>
      </w:r>
    </w:p>
    <w:p w:rsidR="00886C33" w:rsidRPr="00B32D81" w:rsidRDefault="00886C33" w:rsidP="00886C33">
      <w:pPr>
        <w:spacing w:after="0" w:line="240" w:lineRule="auto"/>
        <w:jc w:val="both"/>
      </w:pPr>
      <w:r w:rsidRPr="00502AB1">
        <w:t>Nessun eccipiente è ottenuto da organismi geneticamente modificati; non sono presenti eccipienti mai utilizzati nell’uomo.</w:t>
      </w:r>
    </w:p>
    <w:p w:rsidR="00886C33" w:rsidRDefault="00886C33" w:rsidP="00886C33">
      <w:pPr>
        <w:spacing w:after="0" w:line="240" w:lineRule="auto"/>
        <w:jc w:val="both"/>
      </w:pPr>
    </w:p>
    <w:p w:rsidR="00886C33" w:rsidRPr="00B32D81" w:rsidRDefault="00886C33" w:rsidP="00886C33">
      <w:pPr>
        <w:spacing w:after="0" w:line="240" w:lineRule="auto"/>
        <w:jc w:val="both"/>
        <w:rPr>
          <w:b/>
        </w:rPr>
      </w:pPr>
      <w:r w:rsidRPr="00B32D81">
        <w:rPr>
          <w:b/>
        </w:rPr>
        <w:t>Sviluppo farmaceutico</w:t>
      </w:r>
    </w:p>
    <w:p w:rsidR="00886C33" w:rsidRPr="00B32D81" w:rsidRDefault="00886C33" w:rsidP="00886C33">
      <w:pPr>
        <w:spacing w:after="0" w:line="240" w:lineRule="auto"/>
        <w:jc w:val="both"/>
      </w:pPr>
      <w:r w:rsidRPr="00B32D81">
        <w:t>Sono stati forniti dettagli dello sviluppo farmaceutico e questi sono stati ritenuti soddisfacenti.</w:t>
      </w:r>
    </w:p>
    <w:p w:rsidR="00886C33" w:rsidRPr="00B32D81" w:rsidRDefault="00886C33" w:rsidP="00886C33">
      <w:pPr>
        <w:spacing w:after="0" w:line="240" w:lineRule="auto"/>
        <w:jc w:val="both"/>
      </w:pPr>
      <w:r w:rsidRPr="00B32D81">
        <w:t>Sono stati forniti dati comparativi relativi alle caratteristiche fisico-chimiche e al profilo di impurezze rispetto al medicinale di riferimento. I dati sono soddisfacenti.</w:t>
      </w:r>
    </w:p>
    <w:p w:rsidR="00886C33" w:rsidRPr="00B32D81" w:rsidRDefault="00886C33" w:rsidP="00886C33">
      <w:pPr>
        <w:spacing w:after="0" w:line="240" w:lineRule="auto"/>
        <w:jc w:val="both"/>
      </w:pPr>
    </w:p>
    <w:p w:rsidR="00886C33" w:rsidRPr="00B32D81" w:rsidRDefault="00886C33" w:rsidP="00886C33">
      <w:pPr>
        <w:spacing w:after="0" w:line="240" w:lineRule="auto"/>
        <w:jc w:val="both"/>
        <w:rPr>
          <w:b/>
        </w:rPr>
      </w:pPr>
      <w:r w:rsidRPr="00B32D81">
        <w:rPr>
          <w:b/>
        </w:rPr>
        <w:t xml:space="preserve">Produzione </w:t>
      </w:r>
    </w:p>
    <w:p w:rsidR="00886C33" w:rsidRPr="00B32D81" w:rsidRDefault="00886C33" w:rsidP="00886C33">
      <w:pPr>
        <w:spacing w:after="0" w:line="240" w:lineRule="auto"/>
        <w:jc w:val="both"/>
      </w:pPr>
      <w:r w:rsidRPr="00B32D81">
        <w:t>Sono stati forniti una descrizione del metodo di produzione e la relativa flow-chart.</w:t>
      </w:r>
    </w:p>
    <w:p w:rsidR="00886C33" w:rsidRPr="00B32D81" w:rsidRDefault="00886C33" w:rsidP="00886C33">
      <w:pPr>
        <w:spacing w:after="0" w:line="240" w:lineRule="auto"/>
        <w:jc w:val="both"/>
      </w:pPr>
      <w:r w:rsidRPr="00B32D81">
        <w:t>I controlli effettuati nel corso della produzione sono appropriati per la natura del medicinale e del metodo di produzione. Sono stati forniti, inoltre, dati soddisfacenti relativi alla convalida del metodo di produzione.</w:t>
      </w:r>
    </w:p>
    <w:p w:rsidR="00886C33" w:rsidRPr="00B32D81" w:rsidRDefault="00886C33" w:rsidP="00886C33">
      <w:pPr>
        <w:spacing w:after="0" w:line="240" w:lineRule="auto"/>
        <w:jc w:val="both"/>
      </w:pPr>
    </w:p>
    <w:p w:rsidR="00886C33" w:rsidRPr="00B32D81" w:rsidRDefault="00886C33" w:rsidP="00886C33">
      <w:pPr>
        <w:spacing w:after="0" w:line="240" w:lineRule="auto"/>
        <w:jc w:val="both"/>
        <w:rPr>
          <w:b/>
        </w:rPr>
      </w:pPr>
      <w:r w:rsidRPr="00B32D81">
        <w:rPr>
          <w:b/>
        </w:rPr>
        <w:t>Specifiche del prodotto finito</w:t>
      </w:r>
    </w:p>
    <w:p w:rsidR="00886C33" w:rsidRPr="00B32D81" w:rsidRDefault="00886C33" w:rsidP="00886C33">
      <w:pPr>
        <w:spacing w:after="0" w:line="240" w:lineRule="auto"/>
        <w:jc w:val="both"/>
      </w:pPr>
      <w:r w:rsidRPr="00B32D81">
        <w:t>Sono state fornite adeguate specifiche di controllo per il prodotto finito al rilascio e alla fine della validità. I metodi analitici sono stati descritti e adeguatamente convalidati. Sono stati forniti, inoltre, dati analitici per il prodotto finito</w:t>
      </w:r>
      <w:r>
        <w:t xml:space="preserve"> nei diversi dosaggi</w:t>
      </w:r>
      <w:r w:rsidRPr="00B32D81">
        <w:t>: questi dati dimostrano che i lotti prodotti sono in accordo alle specifiche proposte. Sono stati forniti, infine, certificati analitici per gli standard di riferimento utilizzati.</w:t>
      </w:r>
    </w:p>
    <w:p w:rsidR="00886C33" w:rsidRPr="00B32D81" w:rsidRDefault="00886C33" w:rsidP="00886C33">
      <w:pPr>
        <w:spacing w:after="0" w:line="240" w:lineRule="auto"/>
        <w:jc w:val="both"/>
        <w:rPr>
          <w:b/>
        </w:rPr>
      </w:pPr>
    </w:p>
    <w:p w:rsidR="00886C33" w:rsidRPr="00B32D81" w:rsidRDefault="00886C33" w:rsidP="00886C33">
      <w:pPr>
        <w:spacing w:after="0" w:line="240" w:lineRule="auto"/>
        <w:jc w:val="both"/>
        <w:rPr>
          <w:b/>
        </w:rPr>
      </w:pPr>
      <w:r w:rsidRPr="00B32D81">
        <w:rPr>
          <w:b/>
        </w:rPr>
        <w:t>Contenitore</w:t>
      </w:r>
    </w:p>
    <w:p w:rsidR="00886C33" w:rsidRPr="00B32D81" w:rsidRDefault="00276E02" w:rsidP="00886C33">
      <w:pPr>
        <w:spacing w:after="0" w:line="240" w:lineRule="auto"/>
        <w:jc w:val="both"/>
      </w:pPr>
      <w:proofErr w:type="spellStart"/>
      <w:r>
        <w:rPr>
          <w:rFonts w:cs="Times New Roman"/>
          <w:bCs/>
          <w:color w:val="000000"/>
        </w:rPr>
        <w:t>Brinus</w:t>
      </w:r>
      <w:proofErr w:type="spellEnd"/>
      <w:r w:rsidR="00886C33" w:rsidRPr="00B32D81">
        <w:t xml:space="preserve"> è confezionato in </w:t>
      </w:r>
      <w:r w:rsidR="00886C33" w:rsidRPr="00B32D81">
        <w:rPr>
          <w:rFonts w:cs="Arial"/>
        </w:rPr>
        <w:t>contenitor</w:t>
      </w:r>
      <w:r w:rsidR="00886C33">
        <w:rPr>
          <w:rFonts w:cs="Arial"/>
        </w:rPr>
        <w:t>i</w:t>
      </w:r>
      <w:r w:rsidR="00886C33" w:rsidRPr="00B32D81">
        <w:rPr>
          <w:rFonts w:cs="Arial"/>
        </w:rPr>
        <w:t xml:space="preserve"> monodose </w:t>
      </w:r>
      <w:r w:rsidR="00886C33">
        <w:rPr>
          <w:rFonts w:cs="Arial"/>
        </w:rPr>
        <w:t xml:space="preserve">e </w:t>
      </w:r>
      <w:r w:rsidR="00886C33" w:rsidRPr="00B32D81">
        <w:rPr>
          <w:rFonts w:cs="Arial"/>
        </w:rPr>
        <w:t xml:space="preserve">in flacone </w:t>
      </w:r>
      <w:proofErr w:type="spellStart"/>
      <w:r w:rsidR="00886C33">
        <w:rPr>
          <w:rFonts w:cs="Arial"/>
        </w:rPr>
        <w:t>multidose</w:t>
      </w:r>
      <w:proofErr w:type="spellEnd"/>
      <w:r w:rsidR="00886C33">
        <w:rPr>
          <w:rFonts w:cs="Arial"/>
        </w:rPr>
        <w:t xml:space="preserve"> </w:t>
      </w:r>
      <w:r w:rsidR="00886C33" w:rsidRPr="00502AB1">
        <w:rPr>
          <w:rFonts w:cs="Arial"/>
        </w:rPr>
        <w:t xml:space="preserve">di </w:t>
      </w:r>
      <w:r w:rsidR="00886C33" w:rsidRPr="00502AB1">
        <w:t>polietilene a bassa densità.</w:t>
      </w:r>
      <w:r w:rsidR="00886C33" w:rsidRPr="00B32D81">
        <w:t xml:space="preserve"> Sono state fornite specifiche e certificati analitici per tutti i componenti del confezionamento primario, che è adeguato per il medicinale.</w:t>
      </w:r>
    </w:p>
    <w:p w:rsidR="00886C33" w:rsidRDefault="00886C33" w:rsidP="00886C33">
      <w:pPr>
        <w:spacing w:after="0" w:line="240" w:lineRule="auto"/>
        <w:jc w:val="both"/>
      </w:pPr>
    </w:p>
    <w:p w:rsidR="00886C33" w:rsidRPr="00B32D81" w:rsidRDefault="00886C33" w:rsidP="00886C33">
      <w:pPr>
        <w:spacing w:after="0" w:line="240" w:lineRule="auto"/>
        <w:jc w:val="both"/>
        <w:rPr>
          <w:b/>
        </w:rPr>
      </w:pPr>
      <w:r w:rsidRPr="00B32D81">
        <w:rPr>
          <w:b/>
        </w:rPr>
        <w:t>Stabilità</w:t>
      </w:r>
    </w:p>
    <w:p w:rsidR="00886C33" w:rsidRPr="00B32D81" w:rsidRDefault="00886C33" w:rsidP="00886C33">
      <w:pPr>
        <w:spacing w:after="0" w:line="240" w:lineRule="auto"/>
        <w:jc w:val="both"/>
      </w:pPr>
      <w:r w:rsidRPr="00B32D81">
        <w:t xml:space="preserve">Studi di stabilità sul prodotto finito sono stati condotti in accordo alle correnti linee guida e i risultati sono </w:t>
      </w:r>
      <w:r w:rsidRPr="00502AB1">
        <w:t xml:space="preserve">entro i limiti delle specifiche autorizzate. Sulla base di questi risultati, è stato autorizzato un periodo di validità di </w:t>
      </w:r>
      <w:r>
        <w:t>2</w:t>
      </w:r>
      <w:r w:rsidR="00F03D65">
        <w:t xml:space="preserve"> anni</w:t>
      </w:r>
      <w:r>
        <w:t xml:space="preserve"> (</w:t>
      </w:r>
      <w:r w:rsidRPr="006848FA">
        <w:t>contenitore monodose</w:t>
      </w:r>
      <w:r w:rsidR="00E33CBB">
        <w:t xml:space="preserve"> </w:t>
      </w:r>
      <w:r w:rsidR="00E61876">
        <w:t xml:space="preserve">per i dosaggi </w:t>
      </w:r>
      <w:r w:rsidR="00E33CBB">
        <w:t>0.1</w:t>
      </w:r>
      <w:r w:rsidR="00276E02">
        <w:t xml:space="preserve"> </w:t>
      </w:r>
      <w:r w:rsidR="00E33CBB">
        <w:t>mg/ml e</w:t>
      </w:r>
      <w:r w:rsidR="00C8107A">
        <w:t xml:space="preserve"> </w:t>
      </w:r>
      <w:r w:rsidR="00E33CBB">
        <w:t>0.3</w:t>
      </w:r>
      <w:r w:rsidR="00276E02">
        <w:t xml:space="preserve"> </w:t>
      </w:r>
      <w:r w:rsidR="00E33CBB">
        <w:t>mg/ml</w:t>
      </w:r>
      <w:r>
        <w:t xml:space="preserve"> e </w:t>
      </w:r>
      <w:proofErr w:type="spellStart"/>
      <w:r>
        <w:t>multidose</w:t>
      </w:r>
      <w:proofErr w:type="spellEnd"/>
      <w:r>
        <w:t xml:space="preserve"> per il dosaggio 0,3 mg/ml</w:t>
      </w:r>
      <w:r w:rsidRPr="006848FA">
        <w:t>)</w:t>
      </w:r>
      <w:r>
        <w:t xml:space="preserve"> </w:t>
      </w:r>
      <w:r w:rsidR="007C671D">
        <w:t>e</w:t>
      </w:r>
      <w:r>
        <w:t xml:space="preserve"> 3</w:t>
      </w:r>
      <w:r w:rsidRPr="00502AB1">
        <w:t xml:space="preserve"> anni</w:t>
      </w:r>
      <w:r>
        <w:t xml:space="preserve"> (contenitore </w:t>
      </w:r>
      <w:proofErr w:type="spellStart"/>
      <w:r>
        <w:t>multidose</w:t>
      </w:r>
      <w:proofErr w:type="spellEnd"/>
      <w:r>
        <w:t xml:space="preserve"> </w:t>
      </w:r>
      <w:r w:rsidR="00D874C8">
        <w:t>per il</w:t>
      </w:r>
      <w:r>
        <w:t xml:space="preserve"> dosaggio 0,1 mg/ml)</w:t>
      </w:r>
      <w:r w:rsidRPr="00502AB1">
        <w:t xml:space="preserve">; dopo la prima apertura del flacone </w:t>
      </w:r>
      <w:proofErr w:type="spellStart"/>
      <w:r w:rsidRPr="00502AB1">
        <w:t>multi</w:t>
      </w:r>
      <w:r>
        <w:t>dose</w:t>
      </w:r>
      <w:proofErr w:type="spellEnd"/>
      <w:r w:rsidRPr="00502AB1">
        <w:t xml:space="preserve">, il medicinale deve essere utilizzato entro </w:t>
      </w:r>
      <w:r w:rsidR="008432EC">
        <w:t>28</w:t>
      </w:r>
      <w:r>
        <w:t xml:space="preserve"> </w:t>
      </w:r>
      <w:r w:rsidR="008432EC">
        <w:t>giorni</w:t>
      </w:r>
      <w:r w:rsidRPr="00502AB1">
        <w:t>.</w:t>
      </w:r>
      <w:r>
        <w:t xml:space="preserve"> </w:t>
      </w:r>
      <w:r w:rsidRPr="00E7306F">
        <w:t>Dopo l’apertura della bustina, i contenitor</w:t>
      </w:r>
      <w:r>
        <w:t>i</w:t>
      </w:r>
      <w:r w:rsidRPr="00E7306F">
        <w:t xml:space="preserve"> monodose </w:t>
      </w:r>
      <w:r>
        <w:t xml:space="preserve">devono essere utilizzati </w:t>
      </w:r>
      <w:r w:rsidRPr="00E7306F">
        <w:t>entro 7 giorni</w:t>
      </w:r>
      <w:r>
        <w:t>.</w:t>
      </w:r>
    </w:p>
    <w:p w:rsidR="00886C33" w:rsidRPr="00B32D81" w:rsidRDefault="00886C33" w:rsidP="00886C33">
      <w:pPr>
        <w:spacing w:after="0" w:line="240" w:lineRule="auto"/>
        <w:jc w:val="both"/>
      </w:pPr>
    </w:p>
    <w:p w:rsidR="00886C33" w:rsidRPr="00B32D81" w:rsidRDefault="00886C33" w:rsidP="00886C33">
      <w:pPr>
        <w:spacing w:after="0" w:line="240" w:lineRule="auto"/>
        <w:jc w:val="both"/>
        <w:rPr>
          <w:b/>
        </w:rPr>
      </w:pPr>
      <w:r w:rsidRPr="00B32D81">
        <w:rPr>
          <w:b/>
        </w:rPr>
        <w:t>II.3 Discussione sugli aspetti di qualità</w:t>
      </w:r>
    </w:p>
    <w:p w:rsidR="00886C33" w:rsidRPr="00B32D81" w:rsidRDefault="00886C33" w:rsidP="00886C33">
      <w:pPr>
        <w:spacing w:after="0" w:line="240" w:lineRule="auto"/>
        <w:jc w:val="both"/>
      </w:pPr>
      <w:r w:rsidRPr="00B32D81">
        <w:t xml:space="preserve">Tutte le criticità evidenziate nel corso della valutazione sono state risolte e la qualità di </w:t>
      </w:r>
      <w:proofErr w:type="spellStart"/>
      <w:r w:rsidR="00276E02">
        <w:rPr>
          <w:rFonts w:cs="Times New Roman"/>
          <w:bCs/>
          <w:color w:val="000000"/>
        </w:rPr>
        <w:t>Brinus</w:t>
      </w:r>
      <w:proofErr w:type="spellEnd"/>
      <w:r w:rsidR="002613D8">
        <w:t xml:space="preserve"> </w:t>
      </w:r>
      <w:r w:rsidRPr="00B32D81">
        <w:t xml:space="preserve">è considerata adeguata. Non ci sono obiezioni per l’approvazione di </w:t>
      </w:r>
      <w:proofErr w:type="spellStart"/>
      <w:r w:rsidR="00276E02">
        <w:rPr>
          <w:rFonts w:cs="Times New Roman"/>
          <w:bCs/>
          <w:color w:val="000000"/>
        </w:rPr>
        <w:t>Brinus</w:t>
      </w:r>
      <w:proofErr w:type="spellEnd"/>
      <w:r w:rsidR="00E33CBB">
        <w:t xml:space="preserve"> </w:t>
      </w:r>
      <w:r w:rsidRPr="00B32D81">
        <w:t>dal punto di vista chimico-farmaceutico.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886C33">
      <w:pPr>
        <w:pStyle w:val="Paragrafoelenco"/>
        <w:numPr>
          <w:ilvl w:val="0"/>
          <w:numId w:val="5"/>
        </w:numPr>
        <w:spacing w:after="0" w:line="240" w:lineRule="auto"/>
        <w:jc w:val="both"/>
        <w:rPr>
          <w:b/>
        </w:rPr>
      </w:pPr>
      <w:r w:rsidRPr="00B32D81">
        <w:rPr>
          <w:b/>
        </w:rPr>
        <w:t>ASPETTI NON CLINICI</w:t>
      </w:r>
    </w:p>
    <w:p w:rsidR="007C68D2" w:rsidRPr="00B32D81" w:rsidRDefault="007C68D2" w:rsidP="00B32D81">
      <w:pPr>
        <w:spacing w:after="0" w:line="240" w:lineRule="auto"/>
        <w:jc w:val="both"/>
      </w:pPr>
      <w:r w:rsidRPr="00B32D81">
        <w:t xml:space="preserve">Non sono stati condotti specifici studi non clinici, in quanto </w:t>
      </w:r>
      <w:proofErr w:type="spellStart"/>
      <w:r w:rsidR="00276E02">
        <w:rPr>
          <w:rFonts w:cs="Times New Roman"/>
          <w:bCs/>
          <w:color w:val="000000"/>
        </w:rPr>
        <w:t>Brinus</w:t>
      </w:r>
      <w:proofErr w:type="spellEnd"/>
      <w:r w:rsidRPr="00B32D81">
        <w:t xml:space="preserve"> contiene un principio attivo noto: questo approccio è accettabile poiché il medicinale di riferimento </w:t>
      </w:r>
      <w:proofErr w:type="spellStart"/>
      <w:r w:rsidR="007C1F41">
        <w:t>Lumigan</w:t>
      </w:r>
      <w:proofErr w:type="spellEnd"/>
      <w:r w:rsidRPr="00B32D81">
        <w:t xml:space="preserve"> è autorizzato in Italia da oltre 10 anni.</w:t>
      </w:r>
    </w:p>
    <w:p w:rsidR="007C68D2" w:rsidRPr="00B32D81" w:rsidRDefault="007C68D2" w:rsidP="00B32D81">
      <w:pPr>
        <w:spacing w:after="0" w:line="240" w:lineRule="auto"/>
        <w:jc w:val="both"/>
      </w:pPr>
      <w:r w:rsidRPr="00B32D81">
        <w:t>Non ci sono obiezioni per l’approvazione dal punto di vista non clinico.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886C33">
      <w:pPr>
        <w:pStyle w:val="Paragrafoelenco"/>
        <w:numPr>
          <w:ilvl w:val="0"/>
          <w:numId w:val="5"/>
        </w:numPr>
        <w:spacing w:after="0" w:line="240" w:lineRule="auto"/>
        <w:jc w:val="both"/>
        <w:rPr>
          <w:b/>
        </w:rPr>
      </w:pPr>
      <w:r w:rsidRPr="00B32D81">
        <w:rPr>
          <w:b/>
        </w:rPr>
        <w:t>ASPETTI CLINICI</w:t>
      </w:r>
    </w:p>
    <w:p w:rsidR="00AB0AF9" w:rsidRDefault="00276E02" w:rsidP="00AB0AF9">
      <w:pPr>
        <w:autoSpaceDE w:val="0"/>
        <w:autoSpaceDN w:val="0"/>
        <w:adjustRightInd w:val="0"/>
        <w:spacing w:after="0" w:line="240" w:lineRule="auto"/>
        <w:jc w:val="both"/>
      </w:pPr>
      <w:proofErr w:type="spellStart"/>
      <w:r>
        <w:rPr>
          <w:rFonts w:cs="Times New Roman"/>
          <w:bCs/>
          <w:color w:val="000000"/>
        </w:rPr>
        <w:t>Brinus</w:t>
      </w:r>
      <w:proofErr w:type="spellEnd"/>
      <w:r w:rsidR="00AB0AF9" w:rsidRPr="00502AB1">
        <w:rPr>
          <w:rFonts w:eastAsia="Calibri" w:cs="Calibri"/>
          <w:color w:val="000000"/>
          <w:lang w:eastAsia="it-IT"/>
        </w:rPr>
        <w:t xml:space="preserve"> è utilizzato per </w:t>
      </w:r>
      <w:r w:rsidR="00AB0AF9">
        <w:rPr>
          <w:rFonts w:eastAsia="Calibri" w:cs="Calibri"/>
          <w:color w:val="000000"/>
          <w:lang w:eastAsia="it-IT"/>
        </w:rPr>
        <w:t>la r</w:t>
      </w:r>
      <w:r w:rsidR="00AB0AF9">
        <w:t xml:space="preserve">iduzione della pressione intraoculare elevata nel glaucoma cronico ad angolo aperto e nell’ipertensione oculare negli adulti (come </w:t>
      </w:r>
      <w:proofErr w:type="spellStart"/>
      <w:r w:rsidR="00AB0AF9">
        <w:t>monoterapia</w:t>
      </w:r>
      <w:proofErr w:type="spellEnd"/>
      <w:r w:rsidR="00AB0AF9">
        <w:t xml:space="preserve"> o come terapia aggiuntiva ai beta-bloccanti).</w:t>
      </w:r>
    </w:p>
    <w:p w:rsidR="007C68D2" w:rsidRPr="00B32D81" w:rsidRDefault="007C68D2" w:rsidP="00B32D81">
      <w:pPr>
        <w:spacing w:after="0" w:line="240" w:lineRule="auto"/>
        <w:jc w:val="both"/>
        <w:rPr>
          <w:rFonts w:eastAsia="Times New Roman"/>
          <w:lang w:eastAsia="it-IT"/>
        </w:rPr>
      </w:pPr>
    </w:p>
    <w:p w:rsidR="007C68D2" w:rsidRPr="00B32D81" w:rsidRDefault="007C68D2" w:rsidP="00B32D81">
      <w:pPr>
        <w:spacing w:after="0" w:line="240" w:lineRule="auto"/>
        <w:ind w:right="6"/>
        <w:jc w:val="both"/>
        <w:rPr>
          <w:b/>
        </w:rPr>
      </w:pPr>
      <w:r w:rsidRPr="00B32D81">
        <w:rPr>
          <w:b/>
        </w:rPr>
        <w:t>Posologia e modalità di somministrazione</w:t>
      </w:r>
    </w:p>
    <w:p w:rsidR="007C68D2" w:rsidRPr="00B32D81" w:rsidRDefault="007C68D2" w:rsidP="00B32D81">
      <w:pPr>
        <w:spacing w:after="0" w:line="240" w:lineRule="auto"/>
        <w:ind w:right="6"/>
        <w:jc w:val="both"/>
        <w:rPr>
          <w:rFonts w:eastAsia="Calibri" w:cs="Calibri"/>
          <w:lang w:eastAsia="it-IT"/>
        </w:rPr>
      </w:pPr>
      <w:r w:rsidRPr="00B32D81">
        <w:t>Le informazioni sulla posologia e sulle modalità di somministrazione sono riportate nel Riassunto delle Caratteristiche del Prodotto pubblicato sul sito dell’Agenzia Italiana del Farmaco - AIFA /</w:t>
      </w:r>
      <w:r w:rsidRPr="00B32D81">
        <w:rPr>
          <w:rFonts w:eastAsia="Calibri" w:cs="Calibri"/>
          <w:lang w:eastAsia="it-IT"/>
        </w:rPr>
        <w:t>(</w:t>
      </w:r>
      <w:hyperlink r:id="rId9" w:history="1">
        <w:r w:rsidRPr="00B32D81">
          <w:rPr>
            <w:rStyle w:val="Collegamentoipertestuale"/>
            <w:rFonts w:eastAsia="Calibri" w:cs="Calibri"/>
          </w:rPr>
          <w:t>https://farmaci.agenziafarmaco.gov.it/bancadatifarmaci</w:t>
        </w:r>
      </w:hyperlink>
      <w:r w:rsidRPr="00B32D81">
        <w:rPr>
          <w:rFonts w:eastAsia="Calibri" w:cs="Calibri"/>
          <w:lang w:eastAsia="it-IT"/>
        </w:rPr>
        <w:t>).</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Calibri" w:cs="Calibri"/>
          <w:b/>
          <w:lang w:eastAsia="it-IT"/>
        </w:rPr>
      </w:pPr>
      <w:r w:rsidRPr="00B32D81">
        <w:rPr>
          <w:rFonts w:eastAsia="Calibri" w:cs="Calibri"/>
          <w:b/>
          <w:lang w:eastAsia="it-IT"/>
        </w:rPr>
        <w:t>Tossicologia</w:t>
      </w:r>
    </w:p>
    <w:p w:rsidR="007C68D2" w:rsidRPr="00B32D81" w:rsidRDefault="007C68D2" w:rsidP="00B32D81">
      <w:pPr>
        <w:spacing w:after="0" w:line="240" w:lineRule="auto"/>
        <w:ind w:right="6"/>
        <w:jc w:val="both"/>
        <w:rPr>
          <w:rFonts w:eastAsia="Calibri" w:cs="Calibri"/>
          <w:lang w:eastAsia="it-IT"/>
        </w:rPr>
      </w:pPr>
      <w:r w:rsidRPr="00B32D81">
        <w:rPr>
          <w:rFonts w:eastAsia="Calibri" w:cs="Calibri"/>
          <w:lang w:eastAsia="it-IT"/>
        </w:rPr>
        <w:t xml:space="preserve">La tossicologia di </w:t>
      </w:r>
      <w:proofErr w:type="spellStart"/>
      <w:r w:rsidR="007C1F41">
        <w:t>bimatoprost</w:t>
      </w:r>
      <w:proofErr w:type="spellEnd"/>
      <w:r w:rsidRPr="00B32D81">
        <w:t xml:space="preserve"> </w:t>
      </w:r>
      <w:r w:rsidRPr="00B32D81">
        <w:rPr>
          <w:rFonts w:eastAsia="Calibri" w:cs="Calibri"/>
          <w:lang w:eastAsia="it-IT"/>
        </w:rPr>
        <w:t>è ben conosciuta; non è stato necessario presentare ulteriori dati.</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Times New Roman" w:cs="Times New Roman"/>
          <w:b/>
        </w:rPr>
      </w:pPr>
      <w:r w:rsidRPr="00B32D81">
        <w:rPr>
          <w:rFonts w:eastAsia="Times New Roman" w:cs="Times New Roman"/>
          <w:b/>
        </w:rPr>
        <w:t>Farmacologia clinica</w:t>
      </w:r>
    </w:p>
    <w:p w:rsidR="007C68D2" w:rsidRPr="00B32D81" w:rsidRDefault="007C68D2" w:rsidP="00B32D81">
      <w:pPr>
        <w:spacing w:after="0" w:line="240" w:lineRule="auto"/>
        <w:jc w:val="both"/>
      </w:pPr>
      <w:r w:rsidRPr="00B32D81">
        <w:rPr>
          <w:rFonts w:eastAsia="Calibri" w:cs="Calibri"/>
          <w:lang w:eastAsia="it-IT"/>
        </w:rPr>
        <w:t xml:space="preserve">La farmacologia clinica di </w:t>
      </w:r>
      <w:proofErr w:type="spellStart"/>
      <w:r w:rsidR="007C1F41">
        <w:t>bimatoprost</w:t>
      </w:r>
      <w:proofErr w:type="spellEnd"/>
      <w:r w:rsidRPr="00B32D81">
        <w:t xml:space="preserve"> </w:t>
      </w:r>
      <w:r w:rsidRPr="00B32D81">
        <w:rPr>
          <w:rFonts w:eastAsia="Calibri" w:cs="Calibri"/>
          <w:lang w:eastAsia="it-IT"/>
        </w:rPr>
        <w:t xml:space="preserve">è ben conosciuta. </w:t>
      </w:r>
      <w:r w:rsidRPr="00B32D81">
        <w:t xml:space="preserve">Non sono stati condotti nuovi studi clinici di farmacodinamica e farmacocinetica, in quanto </w:t>
      </w:r>
      <w:proofErr w:type="spellStart"/>
      <w:r w:rsidR="00276E02">
        <w:rPr>
          <w:rFonts w:cs="Times New Roman"/>
          <w:bCs/>
          <w:color w:val="000000"/>
        </w:rPr>
        <w:t>Brinus</w:t>
      </w:r>
      <w:proofErr w:type="spellEnd"/>
      <w:r w:rsidRPr="00B32D81">
        <w:t xml:space="preserve"> contiene un principio attivo noto e presente nel medicinale </w:t>
      </w:r>
      <w:proofErr w:type="spellStart"/>
      <w:r w:rsidR="007C1F41">
        <w:t>Lumigan</w:t>
      </w:r>
      <w:proofErr w:type="spellEnd"/>
      <w:r w:rsidRPr="00B32D81">
        <w:t xml:space="preserve"> autorizzato in Italia da più di 10 anni.</w:t>
      </w:r>
    </w:p>
    <w:p w:rsidR="006106D5" w:rsidRPr="00B32D81" w:rsidRDefault="006106D5" w:rsidP="00B32D81">
      <w:pPr>
        <w:spacing w:after="0" w:line="240" w:lineRule="auto"/>
        <w:jc w:val="both"/>
        <w:rPr>
          <w:rFonts w:cs="Arial"/>
        </w:rPr>
      </w:pPr>
    </w:p>
    <w:p w:rsidR="00F22BED" w:rsidRPr="000B3C59" w:rsidRDefault="00F22BED" w:rsidP="00F22BED">
      <w:pPr>
        <w:spacing w:after="0" w:line="240" w:lineRule="auto"/>
        <w:jc w:val="both"/>
        <w:rPr>
          <w:rFonts w:cs="Arial"/>
          <w:b/>
        </w:rPr>
      </w:pPr>
      <w:r w:rsidRPr="000B3C59">
        <w:rPr>
          <w:rFonts w:cs="Arial"/>
          <w:b/>
        </w:rPr>
        <w:t>Efficacia e sicurezza clinica</w:t>
      </w:r>
    </w:p>
    <w:p w:rsidR="00F22BED" w:rsidRPr="00D1324F" w:rsidRDefault="00F22BED" w:rsidP="00F22BED">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276E02">
        <w:rPr>
          <w:rFonts w:cs="Times New Roman"/>
          <w:bCs/>
          <w:color w:val="000000"/>
        </w:rPr>
        <w:t>Brinus</w:t>
      </w:r>
      <w:proofErr w:type="spellEnd"/>
      <w:r>
        <w:rPr>
          <w:rFonts w:cs="Arial"/>
        </w:rPr>
        <w:t xml:space="preserve"> è ben conosciuto; inoltre, è stato possibile concedere l’esenzione dalla conduzione di studi clinici di confronto con il medicinale di riferimento in quanto </w:t>
      </w:r>
      <w:proofErr w:type="spellStart"/>
      <w:r w:rsidR="00276E02">
        <w:rPr>
          <w:rFonts w:cs="Times New Roman"/>
          <w:bCs/>
          <w:color w:val="000000"/>
        </w:rPr>
        <w:t>Brinus</w:t>
      </w:r>
      <w:proofErr w:type="spellEnd"/>
      <w:r>
        <w:rPr>
          <w:rFonts w:cs="Arial"/>
        </w:rPr>
        <w:t xml:space="preserve"> è somministrato come collirio (soluzione oftalmica) con le stesse caratteristiche chimico-fisiche del medicinale di riferimento.</w:t>
      </w:r>
    </w:p>
    <w:p w:rsidR="007C68D2"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Piano di Valutazione del Rischio (</w:t>
      </w:r>
      <w:proofErr w:type="spellStart"/>
      <w:r w:rsidRPr="00B32D81">
        <w:rPr>
          <w:b/>
          <w:i/>
        </w:rPr>
        <w:t>Risk</w:t>
      </w:r>
      <w:proofErr w:type="spellEnd"/>
      <w:r w:rsidRPr="00B32D81">
        <w:rPr>
          <w:b/>
          <w:i/>
        </w:rPr>
        <w:t xml:space="preserve"> Management </w:t>
      </w:r>
      <w:proofErr w:type="spellStart"/>
      <w:r w:rsidRPr="00B32D81">
        <w:rPr>
          <w:b/>
          <w:i/>
        </w:rPr>
        <w:t>Plan</w:t>
      </w:r>
      <w:proofErr w:type="spellEnd"/>
      <w:r w:rsidRPr="00B32D81">
        <w:rPr>
          <w:b/>
        </w:rPr>
        <w:t xml:space="preserve"> - RMP)</w:t>
      </w:r>
    </w:p>
    <w:p w:rsidR="007C68D2" w:rsidRPr="00B32D81" w:rsidRDefault="007C68D2" w:rsidP="00B32D81">
      <w:pPr>
        <w:pStyle w:val="Paragrafoelenco"/>
        <w:spacing w:after="0" w:line="240" w:lineRule="auto"/>
        <w:ind w:left="0"/>
        <w:jc w:val="both"/>
      </w:pPr>
      <w:r w:rsidRPr="00B32D81">
        <w:t xml:space="preserve">E’ stato presentato un RMP in accordo a quanto previsto dalla Direttiva 2001/83/EU </w:t>
      </w:r>
      <w:proofErr w:type="spellStart"/>
      <w:r w:rsidRPr="00B32D81">
        <w:t>s.m.i.</w:t>
      </w:r>
      <w:proofErr w:type="spellEnd"/>
      <w:r w:rsidRPr="00B32D81">
        <w:t xml:space="preserve"> che descrive le attività di farmacovigilanza e gli interventi definiti al fine di identificare, caratterizzare, prevenire o minimizzare i rischi collegati all’uso di </w:t>
      </w:r>
      <w:proofErr w:type="spellStart"/>
      <w:r w:rsidR="00276E02">
        <w:rPr>
          <w:rFonts w:cs="Times New Roman"/>
          <w:bCs/>
          <w:color w:val="000000"/>
        </w:rPr>
        <w:t>Brinus</w:t>
      </w:r>
      <w:proofErr w:type="spellEnd"/>
      <w:r w:rsidRPr="00B32D81">
        <w:t>.</w:t>
      </w:r>
    </w:p>
    <w:p w:rsidR="007C68D2" w:rsidRPr="00B32D81" w:rsidRDefault="007C68D2" w:rsidP="00B32D81">
      <w:pPr>
        <w:pStyle w:val="Paragrafoelenco"/>
        <w:spacing w:after="0" w:line="240" w:lineRule="auto"/>
        <w:ind w:left="0"/>
        <w:jc w:val="both"/>
      </w:pPr>
      <w:r w:rsidRPr="00B32D81">
        <w:t>Il riassunto delle problematiche di sicurezza sono riportate nella tabella seguente.</w:t>
      </w:r>
    </w:p>
    <w:p w:rsidR="00276E02" w:rsidRDefault="00276E02" w:rsidP="00886C33">
      <w:pPr>
        <w:pStyle w:val="Paragrafoelenco"/>
        <w:spacing w:after="0" w:line="240" w:lineRule="auto"/>
        <w:ind w:left="0"/>
        <w:jc w:val="both"/>
      </w:pPr>
    </w:p>
    <w:p w:rsidR="001F2FD5" w:rsidRDefault="001F2FD5" w:rsidP="00886C33">
      <w:pPr>
        <w:pStyle w:val="Paragrafoelenco"/>
        <w:spacing w:after="0" w:line="240" w:lineRule="auto"/>
        <w:ind w:left="0"/>
        <w:jc w:val="both"/>
      </w:pPr>
    </w:p>
    <w:p w:rsidR="001F2FD5" w:rsidRDefault="001F2FD5" w:rsidP="00886C33">
      <w:pPr>
        <w:pStyle w:val="Paragrafoelenco"/>
        <w:spacing w:after="0" w:line="240" w:lineRule="auto"/>
        <w:ind w:left="0"/>
        <w:jc w:val="both"/>
      </w:pPr>
    </w:p>
    <w:p w:rsidR="001F2FD5" w:rsidRDefault="001F2FD5" w:rsidP="00886C33">
      <w:pPr>
        <w:pStyle w:val="Paragrafoelenco"/>
        <w:spacing w:after="0" w:line="240" w:lineRule="auto"/>
        <w:ind w:left="0"/>
        <w:jc w:val="both"/>
      </w:pPr>
    </w:p>
    <w:tbl>
      <w:tblPr>
        <w:tblW w:w="44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4"/>
        <w:gridCol w:w="5646"/>
      </w:tblGrid>
      <w:tr w:rsidR="00886C33" w:rsidRPr="00D07C5C" w:rsidTr="007A213E">
        <w:trPr>
          <w:jc w:val="center"/>
        </w:trPr>
        <w:tc>
          <w:tcPr>
            <w:tcW w:w="1781" w:type="pct"/>
            <w:tcBorders>
              <w:top w:val="single" w:sz="4" w:space="0" w:color="auto"/>
              <w:left w:val="single" w:sz="4" w:space="0" w:color="auto"/>
              <w:bottom w:val="single" w:sz="6" w:space="0" w:color="auto"/>
              <w:right w:val="single" w:sz="6" w:space="0" w:color="auto"/>
            </w:tcBorders>
            <w:hideMark/>
          </w:tcPr>
          <w:p w:rsidR="00886C33" w:rsidRPr="00886C33" w:rsidRDefault="00886C33" w:rsidP="007A213E">
            <w:pPr>
              <w:pStyle w:val="TabletextrowsAgency"/>
              <w:spacing w:line="240" w:lineRule="auto"/>
              <w:rPr>
                <w:rFonts w:asciiTheme="minorHAnsi" w:eastAsiaTheme="minorHAnsi" w:hAnsiTheme="minorHAnsi" w:cstheme="minorBidi"/>
                <w:sz w:val="20"/>
                <w:szCs w:val="22"/>
                <w:lang w:val="it-IT" w:eastAsia="en-US"/>
              </w:rPr>
            </w:pPr>
            <w:r w:rsidRPr="00886C33">
              <w:rPr>
                <w:rFonts w:asciiTheme="minorHAnsi" w:eastAsiaTheme="minorHAnsi" w:hAnsiTheme="minorHAnsi" w:cstheme="minorBidi"/>
                <w:sz w:val="20"/>
                <w:szCs w:val="22"/>
                <w:lang w:val="it-IT" w:eastAsia="en-US"/>
              </w:rPr>
              <w:lastRenderedPageBreak/>
              <w:t>Rischi importanti identificati</w:t>
            </w:r>
          </w:p>
        </w:tc>
        <w:tc>
          <w:tcPr>
            <w:tcW w:w="3219" w:type="pct"/>
            <w:tcBorders>
              <w:top w:val="single" w:sz="4" w:space="0" w:color="auto"/>
              <w:left w:val="single" w:sz="6" w:space="0" w:color="auto"/>
              <w:bottom w:val="single" w:sz="6" w:space="0" w:color="auto"/>
              <w:right w:val="single" w:sz="4" w:space="0" w:color="auto"/>
            </w:tcBorders>
            <w:hideMark/>
          </w:tcPr>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pigmentazione dell’iride</w:t>
            </w:r>
          </w:p>
          <w:p w:rsidR="00886C33" w:rsidRPr="00886C33" w:rsidRDefault="00886C33" w:rsidP="00886C33">
            <w:pPr>
              <w:pStyle w:val="Paragrafoelenco"/>
              <w:numPr>
                <w:ilvl w:val="0"/>
                <w:numId w:val="6"/>
              </w:numPr>
              <w:spacing w:after="0" w:line="240" w:lineRule="auto"/>
              <w:ind w:left="303" w:hanging="283"/>
              <w:contextualSpacing w:val="0"/>
              <w:rPr>
                <w:sz w:val="20"/>
              </w:rPr>
            </w:pPr>
            <w:proofErr w:type="spellStart"/>
            <w:r w:rsidRPr="00886C33">
              <w:rPr>
                <w:sz w:val="20"/>
              </w:rPr>
              <w:t>cheratopatia</w:t>
            </w:r>
            <w:proofErr w:type="spellEnd"/>
            <w:r w:rsidRPr="00886C33">
              <w:rPr>
                <w:sz w:val="20"/>
              </w:rPr>
              <w:t xml:space="preserve"> puntata</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tossicità corneale (ulcera) correlata al BAK (</w:t>
            </w:r>
            <w:proofErr w:type="spellStart"/>
            <w:r w:rsidRPr="00886C33">
              <w:rPr>
                <w:sz w:val="20"/>
              </w:rPr>
              <w:t>benzalconio</w:t>
            </w:r>
            <w:proofErr w:type="spellEnd"/>
            <w:r w:rsidRPr="00886C33">
              <w:rPr>
                <w:sz w:val="20"/>
              </w:rPr>
              <w:t xml:space="preserve"> cloruro)</w:t>
            </w:r>
          </w:p>
        </w:tc>
      </w:tr>
      <w:tr w:rsidR="00886C33" w:rsidRPr="00D07C5C" w:rsidTr="007A213E">
        <w:trPr>
          <w:jc w:val="center"/>
        </w:trPr>
        <w:tc>
          <w:tcPr>
            <w:tcW w:w="1781" w:type="pct"/>
            <w:tcBorders>
              <w:top w:val="single" w:sz="6" w:space="0" w:color="auto"/>
              <w:left w:val="single" w:sz="4" w:space="0" w:color="auto"/>
              <w:bottom w:val="single" w:sz="6" w:space="0" w:color="auto"/>
              <w:right w:val="single" w:sz="6" w:space="0" w:color="auto"/>
            </w:tcBorders>
            <w:hideMark/>
          </w:tcPr>
          <w:p w:rsidR="00886C33" w:rsidRPr="00886C33" w:rsidRDefault="00886C33" w:rsidP="007A213E">
            <w:pPr>
              <w:pStyle w:val="TabletextrowsAgency"/>
              <w:spacing w:line="240" w:lineRule="auto"/>
              <w:rPr>
                <w:rFonts w:asciiTheme="minorHAnsi" w:eastAsiaTheme="minorHAnsi" w:hAnsiTheme="minorHAnsi" w:cstheme="minorBidi"/>
                <w:sz w:val="20"/>
                <w:szCs w:val="22"/>
                <w:lang w:val="it-IT" w:eastAsia="en-US"/>
              </w:rPr>
            </w:pPr>
            <w:r w:rsidRPr="00886C33">
              <w:rPr>
                <w:rFonts w:asciiTheme="minorHAnsi" w:eastAsiaTheme="minorHAnsi" w:hAnsiTheme="minorHAnsi" w:cstheme="minorBidi"/>
                <w:sz w:val="20"/>
                <w:szCs w:val="22"/>
                <w:lang w:val="it-IT" w:eastAsia="en-US"/>
              </w:rPr>
              <w:t>Rischi importanti potenziali</w:t>
            </w:r>
          </w:p>
        </w:tc>
        <w:tc>
          <w:tcPr>
            <w:tcW w:w="3219" w:type="pct"/>
            <w:tcBorders>
              <w:top w:val="single" w:sz="6" w:space="0" w:color="auto"/>
              <w:left w:val="single" w:sz="6" w:space="0" w:color="auto"/>
              <w:bottom w:val="single" w:sz="6" w:space="0" w:color="auto"/>
              <w:right w:val="single" w:sz="4" w:space="0" w:color="auto"/>
            </w:tcBorders>
            <w:hideMark/>
          </w:tcPr>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aumento della pressione intraoculare</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edema maculare cistoide (soprattutto in soggetti a rischio)</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asma</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riattivazione di infiltrati corneali</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riattivazione di precedenti infezioni oculari</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problemi cardiovascolari (angina, bradicardia, ipotensione)</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 xml:space="preserve">uso </w:t>
            </w:r>
            <w:proofErr w:type="spellStart"/>
            <w:r w:rsidRPr="00886C33">
              <w:rPr>
                <w:sz w:val="20"/>
              </w:rPr>
              <w:t>off-label</w:t>
            </w:r>
            <w:proofErr w:type="spellEnd"/>
            <w:r w:rsidRPr="00886C33">
              <w:rPr>
                <w:sz w:val="20"/>
              </w:rPr>
              <w:t xml:space="preserve"> (allungamento delle ciglia, imbrunimento delle palpebre)</w:t>
            </w:r>
          </w:p>
        </w:tc>
      </w:tr>
      <w:tr w:rsidR="00886C33" w:rsidRPr="00D07C5C" w:rsidTr="007A213E">
        <w:trPr>
          <w:jc w:val="center"/>
        </w:trPr>
        <w:tc>
          <w:tcPr>
            <w:tcW w:w="1781" w:type="pct"/>
            <w:tcBorders>
              <w:top w:val="single" w:sz="6" w:space="0" w:color="auto"/>
              <w:left w:val="single" w:sz="4" w:space="0" w:color="auto"/>
              <w:bottom w:val="single" w:sz="4" w:space="0" w:color="auto"/>
              <w:right w:val="single" w:sz="6" w:space="0" w:color="auto"/>
            </w:tcBorders>
            <w:hideMark/>
          </w:tcPr>
          <w:p w:rsidR="00886C33" w:rsidRPr="00886C33" w:rsidRDefault="00886C33" w:rsidP="007A213E">
            <w:pPr>
              <w:pStyle w:val="TabletextrowsAgency"/>
              <w:spacing w:line="240" w:lineRule="auto"/>
              <w:rPr>
                <w:rFonts w:asciiTheme="minorHAnsi" w:eastAsiaTheme="minorHAnsi" w:hAnsiTheme="minorHAnsi" w:cstheme="minorBidi"/>
                <w:sz w:val="20"/>
                <w:szCs w:val="22"/>
                <w:lang w:val="it-IT" w:eastAsia="en-US"/>
              </w:rPr>
            </w:pPr>
            <w:r w:rsidRPr="00886C33">
              <w:rPr>
                <w:rFonts w:asciiTheme="minorHAnsi" w:eastAsiaTheme="minorHAnsi" w:hAnsiTheme="minorHAnsi" w:cstheme="minorBidi"/>
                <w:sz w:val="20"/>
                <w:szCs w:val="22"/>
                <w:lang w:val="it-IT" w:eastAsia="en-US"/>
              </w:rPr>
              <w:t>Informazioni mancanti</w:t>
            </w:r>
          </w:p>
        </w:tc>
        <w:tc>
          <w:tcPr>
            <w:tcW w:w="3219" w:type="pct"/>
            <w:tcBorders>
              <w:top w:val="single" w:sz="6" w:space="0" w:color="auto"/>
              <w:left w:val="single" w:sz="6" w:space="0" w:color="auto"/>
              <w:bottom w:val="single" w:sz="4" w:space="0" w:color="auto"/>
              <w:right w:val="single" w:sz="4" w:space="0" w:color="auto"/>
            </w:tcBorders>
            <w:hideMark/>
          </w:tcPr>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uso nei bambini e adolescenti età 0-18 anni)</w:t>
            </w:r>
          </w:p>
          <w:p w:rsidR="00886C33" w:rsidRPr="00886C33" w:rsidRDefault="00886C33" w:rsidP="00886C33">
            <w:pPr>
              <w:pStyle w:val="Paragrafoelenco"/>
              <w:numPr>
                <w:ilvl w:val="0"/>
                <w:numId w:val="6"/>
              </w:numPr>
              <w:spacing w:after="0" w:line="240" w:lineRule="auto"/>
              <w:ind w:left="303" w:hanging="283"/>
              <w:contextualSpacing w:val="0"/>
              <w:rPr>
                <w:sz w:val="20"/>
              </w:rPr>
            </w:pPr>
            <w:r w:rsidRPr="00886C33">
              <w:rPr>
                <w:sz w:val="20"/>
              </w:rPr>
              <w:t xml:space="preserve">uso durante la gravidanza e l’allattamento </w:t>
            </w:r>
          </w:p>
        </w:tc>
      </w:tr>
    </w:tbl>
    <w:p w:rsidR="00886C33" w:rsidRDefault="00886C33" w:rsidP="00886C33">
      <w:pPr>
        <w:pStyle w:val="Paragrafoelenco"/>
        <w:spacing w:after="0" w:line="240" w:lineRule="auto"/>
        <w:ind w:left="0"/>
        <w:jc w:val="both"/>
      </w:pPr>
    </w:p>
    <w:p w:rsidR="007C68D2" w:rsidRPr="00B32D81" w:rsidRDefault="007C68D2" w:rsidP="00B32D81">
      <w:pPr>
        <w:pStyle w:val="Paragrafoelenco"/>
        <w:spacing w:after="0" w:line="240" w:lineRule="auto"/>
        <w:ind w:left="0"/>
        <w:jc w:val="both"/>
      </w:pPr>
      <w:r w:rsidRPr="00B32D81">
        <w:t xml:space="preserve">Azioni </w:t>
      </w:r>
      <w:proofErr w:type="spellStart"/>
      <w:r w:rsidRPr="00B32D81">
        <w:t>routinarie</w:t>
      </w:r>
      <w:proofErr w:type="spellEnd"/>
      <w:r w:rsidRPr="00B32D81">
        <w:t xml:space="preserve"> di farmacovigilanza e di minimizzazione del rischio sono proposte per tutte le problematiche di sicurezza.</w:t>
      </w:r>
    </w:p>
    <w:p w:rsidR="007C68D2" w:rsidRPr="00B32D81" w:rsidRDefault="007C68D2" w:rsidP="00B32D81">
      <w:pPr>
        <w:pStyle w:val="Paragrafoelenco"/>
        <w:spacing w:after="0" w:line="240" w:lineRule="auto"/>
        <w:ind w:left="0"/>
        <w:jc w:val="both"/>
      </w:pPr>
      <w:r w:rsidRPr="00B32D81">
        <w:t>Oltre le misure previste nel Riassunto delle caratteristiche del prodotto non sono previste attività addizionali di minimizzazione del rischio</w:t>
      </w:r>
      <w:r w:rsidR="006106D5" w:rsidRPr="00B32D81">
        <w:t>.</w:t>
      </w:r>
    </w:p>
    <w:p w:rsidR="007C68D2" w:rsidRPr="00B32D81"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Conclusioni</w:t>
      </w:r>
    </w:p>
    <w:p w:rsidR="007C68D2" w:rsidRPr="00B32D81" w:rsidRDefault="007C68D2" w:rsidP="00B32D81">
      <w:pPr>
        <w:pStyle w:val="Paragrafoelenco"/>
        <w:spacing w:after="0" w:line="240" w:lineRule="auto"/>
        <w:ind w:left="0"/>
        <w:jc w:val="both"/>
      </w:pPr>
      <w:r w:rsidRPr="00B32D81">
        <w:t xml:space="preserve">Per la richiesta di AIC di </w:t>
      </w:r>
      <w:proofErr w:type="spellStart"/>
      <w:r w:rsidR="00276E02">
        <w:rPr>
          <w:rFonts w:cs="Times New Roman"/>
          <w:bCs/>
          <w:color w:val="000000"/>
        </w:rPr>
        <w:t>Brinus</w:t>
      </w:r>
      <w:proofErr w:type="spellEnd"/>
      <w:r w:rsidRPr="00B32D81">
        <w:t xml:space="preserve"> sono state presentate sufficienti informazioni cliniche.</w:t>
      </w:r>
    </w:p>
    <w:p w:rsidR="007C68D2" w:rsidRPr="00B32D81" w:rsidRDefault="007C68D2" w:rsidP="00B32D81">
      <w:pPr>
        <w:pStyle w:val="Paragrafoelenco"/>
        <w:spacing w:after="0" w:line="240" w:lineRule="auto"/>
        <w:ind w:left="0"/>
        <w:jc w:val="both"/>
      </w:pPr>
      <w:r w:rsidRPr="00B32D81">
        <w:t xml:space="preserve">Il rapporto beneficio/rischio di </w:t>
      </w:r>
      <w:proofErr w:type="spellStart"/>
      <w:r w:rsidR="00276E02">
        <w:rPr>
          <w:rFonts w:cs="Times New Roman"/>
          <w:bCs/>
          <w:color w:val="000000"/>
        </w:rPr>
        <w:t>Brinus</w:t>
      </w:r>
      <w:proofErr w:type="spellEnd"/>
      <w:r w:rsidRPr="00B32D81">
        <w:t xml:space="preserve"> è considerato favorevole dal punto di vista clinico.</w:t>
      </w:r>
    </w:p>
    <w:p w:rsidR="007C68D2" w:rsidRPr="00B32D81" w:rsidRDefault="007C68D2" w:rsidP="00B32D81">
      <w:pPr>
        <w:pStyle w:val="Paragrafoelenco"/>
        <w:spacing w:after="0" w:line="240" w:lineRule="auto"/>
        <w:ind w:left="0"/>
        <w:jc w:val="both"/>
      </w:pPr>
    </w:p>
    <w:p w:rsidR="007C68D2" w:rsidRDefault="007C68D2" w:rsidP="00B32D81">
      <w:pPr>
        <w:pStyle w:val="Paragrafoelenco"/>
        <w:spacing w:after="0" w:line="240" w:lineRule="auto"/>
        <w:ind w:left="0"/>
        <w:jc w:val="both"/>
      </w:pPr>
    </w:p>
    <w:p w:rsidR="007C68D2" w:rsidRPr="00B32D81" w:rsidRDefault="007C68D2" w:rsidP="00886C33">
      <w:pPr>
        <w:pStyle w:val="Paragrafoelenco"/>
        <w:numPr>
          <w:ilvl w:val="0"/>
          <w:numId w:val="5"/>
        </w:numPr>
        <w:spacing w:after="0" w:line="240" w:lineRule="auto"/>
        <w:jc w:val="both"/>
        <w:rPr>
          <w:b/>
        </w:rPr>
      </w:pPr>
      <w:r w:rsidRPr="00B32D81">
        <w:rPr>
          <w:b/>
        </w:rPr>
        <w:t>CONSULTAZIONE SUL FOGLIO ILLUSTRATIVO</w:t>
      </w:r>
    </w:p>
    <w:p w:rsidR="007C68D2" w:rsidRPr="00B32D81" w:rsidRDefault="007C68D2" w:rsidP="00B32D81">
      <w:pPr>
        <w:spacing w:after="0" w:line="240" w:lineRule="auto"/>
        <w:jc w:val="both"/>
      </w:pPr>
      <w:r w:rsidRPr="00B32D81">
        <w:t>Il foglio illustrativo è stato sottoposto al test di leggibilità in accordo ai requisiti dell’art. 59(3) e 61(1) del</w:t>
      </w:r>
      <w:r w:rsidR="008432EC">
        <w:t xml:space="preserve">la direttiva 2001/83/EU </w:t>
      </w:r>
      <w:proofErr w:type="spellStart"/>
      <w:r w:rsidR="008432EC">
        <w:t>s.m.i.</w:t>
      </w:r>
      <w:proofErr w:type="spellEnd"/>
      <w:r w:rsidR="008432EC">
        <w:t xml:space="preserve"> I</w:t>
      </w:r>
      <w:r w:rsidRPr="00B32D81">
        <w:t xml:space="preserve"> risultati del test hanno dimostrato che il foglio illustrativo corrisponde ai criteri imposti dalla linea guida sulla leggibilità di etichetta e foglio illustrativo dei medicinali per uso umano.</w:t>
      </w:r>
    </w:p>
    <w:p w:rsidR="007C68D2" w:rsidRDefault="007C68D2" w:rsidP="00B32D81">
      <w:pPr>
        <w:spacing w:after="0" w:line="240" w:lineRule="auto"/>
        <w:jc w:val="both"/>
      </w:pPr>
    </w:p>
    <w:p w:rsidR="00F22BED" w:rsidRPr="00B32D81" w:rsidRDefault="00F22BED" w:rsidP="00B32D81">
      <w:pPr>
        <w:spacing w:after="0" w:line="240" w:lineRule="auto"/>
        <w:jc w:val="both"/>
      </w:pPr>
    </w:p>
    <w:p w:rsidR="007C68D2" w:rsidRPr="00B32D81" w:rsidRDefault="007C68D2" w:rsidP="00886C33">
      <w:pPr>
        <w:pStyle w:val="Paragrafoelenco"/>
        <w:numPr>
          <w:ilvl w:val="0"/>
          <w:numId w:val="5"/>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jc w:val="both"/>
      </w:pPr>
      <w:r w:rsidRPr="00B32D81">
        <w:t xml:space="preserve">La qualità di </w:t>
      </w:r>
      <w:proofErr w:type="spellStart"/>
      <w:r w:rsidR="00276E02">
        <w:rPr>
          <w:rFonts w:cs="Times New Roman"/>
          <w:bCs/>
          <w:color w:val="000000"/>
        </w:rPr>
        <w:t>Brinus</w:t>
      </w:r>
      <w:proofErr w:type="spellEnd"/>
      <w:r w:rsidRPr="00B32D81">
        <w:t xml:space="preserve"> è accettabile e non sono state rilevate criticità da un punto di vista non clinico e clinico.</w:t>
      </w:r>
    </w:p>
    <w:p w:rsidR="007C68D2" w:rsidRPr="00B32D81" w:rsidRDefault="007C68D2" w:rsidP="00B32D81">
      <w:pPr>
        <w:spacing w:after="0" w:line="240" w:lineRule="auto"/>
        <w:jc w:val="both"/>
      </w:pPr>
      <w:r w:rsidRPr="00B32D81">
        <w:t>Il rapporto beneficio/rischio è considerato positivo.</w:t>
      </w:r>
    </w:p>
    <w:p w:rsidR="007C68D2" w:rsidRPr="00B32D81" w:rsidRDefault="007C68D2" w:rsidP="00B32D81">
      <w:pPr>
        <w:spacing w:after="0" w:line="240" w:lineRule="auto"/>
        <w:jc w:val="both"/>
      </w:pPr>
      <w:r w:rsidRPr="00B32D81">
        <w:t xml:space="preserve">Il riassunto delle caratteristiche del prodotto, il foglio illustrativo e le etichette sono in linea con le correnti linee guida. Questi documenti possono essere consultati sul sito istituzionale di AIFA </w:t>
      </w:r>
      <w:r w:rsidRPr="00B32D81">
        <w:rPr>
          <w:rFonts w:eastAsia="Calibri" w:cs="Calibri"/>
          <w:lang w:eastAsia="it-IT"/>
        </w:rPr>
        <w:t>(</w:t>
      </w:r>
      <w:hyperlink r:id="rId10" w:history="1">
        <w:r w:rsidRPr="00B32D81">
          <w:rPr>
            <w:rStyle w:val="Collegamentoipertestuale"/>
            <w:rFonts w:eastAsia="Calibri" w:cs="Calibri"/>
          </w:rPr>
          <w:t>https://farmaci.agenziafarmaco.gov.it/bancadatifarmaci</w:t>
        </w:r>
      </w:hyperlink>
      <w:r w:rsidRPr="00B32D81">
        <w:rPr>
          <w:rFonts w:eastAsia="Calibri" w:cs="Calibri"/>
          <w:lang w:eastAsia="it-IT"/>
        </w:rPr>
        <w:t>).</w:t>
      </w:r>
      <w:r w:rsidRPr="00B32D81">
        <w:t xml:space="preserve"> </w:t>
      </w:r>
      <w:bookmarkStart w:id="1" w:name="_GoBack"/>
      <w:bookmarkEnd w:id="1"/>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sectPr w:rsidR="007C68D2" w:rsidRPr="00B32D81"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17DAC"/>
    <w:multiLevelType w:val="hybridMultilevel"/>
    <w:tmpl w:val="FDCAE3CC"/>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DC7E9A"/>
    <w:multiLevelType w:val="hybridMultilevel"/>
    <w:tmpl w:val="85C0ABF6"/>
    <w:lvl w:ilvl="0" w:tplc="AB50BBF0">
      <w:start w:val="14"/>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002423A"/>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62FE7C06"/>
    <w:multiLevelType w:val="hybridMultilevel"/>
    <w:tmpl w:val="85B6FA4E"/>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241AC"/>
    <w:rsid w:val="00013020"/>
    <w:rsid w:val="00061E8C"/>
    <w:rsid w:val="00062636"/>
    <w:rsid w:val="000725FF"/>
    <w:rsid w:val="000B6CEA"/>
    <w:rsid w:val="000E0C85"/>
    <w:rsid w:val="00134669"/>
    <w:rsid w:val="00156285"/>
    <w:rsid w:val="001D02FA"/>
    <w:rsid w:val="001F2FD5"/>
    <w:rsid w:val="0023052B"/>
    <w:rsid w:val="00240F4C"/>
    <w:rsid w:val="002613D8"/>
    <w:rsid w:val="00276E02"/>
    <w:rsid w:val="00283953"/>
    <w:rsid w:val="002C389F"/>
    <w:rsid w:val="002C6022"/>
    <w:rsid w:val="00306FBB"/>
    <w:rsid w:val="003167B4"/>
    <w:rsid w:val="00322BF5"/>
    <w:rsid w:val="00356C29"/>
    <w:rsid w:val="003A0AA5"/>
    <w:rsid w:val="00400525"/>
    <w:rsid w:val="00416C02"/>
    <w:rsid w:val="004171F6"/>
    <w:rsid w:val="004241AC"/>
    <w:rsid w:val="004349A2"/>
    <w:rsid w:val="0045169D"/>
    <w:rsid w:val="00494CCF"/>
    <w:rsid w:val="004B20A8"/>
    <w:rsid w:val="004B69C4"/>
    <w:rsid w:val="00502AB1"/>
    <w:rsid w:val="00520FDC"/>
    <w:rsid w:val="005276B9"/>
    <w:rsid w:val="005368CE"/>
    <w:rsid w:val="00556648"/>
    <w:rsid w:val="00561F7D"/>
    <w:rsid w:val="00564F57"/>
    <w:rsid w:val="005820A7"/>
    <w:rsid w:val="005A2741"/>
    <w:rsid w:val="005B446C"/>
    <w:rsid w:val="005C1849"/>
    <w:rsid w:val="005D2748"/>
    <w:rsid w:val="005D53B9"/>
    <w:rsid w:val="00601E40"/>
    <w:rsid w:val="006063E6"/>
    <w:rsid w:val="006106D5"/>
    <w:rsid w:val="00633428"/>
    <w:rsid w:val="00665921"/>
    <w:rsid w:val="006678F6"/>
    <w:rsid w:val="0067711C"/>
    <w:rsid w:val="006831C7"/>
    <w:rsid w:val="006959E3"/>
    <w:rsid w:val="006C793B"/>
    <w:rsid w:val="00716EE9"/>
    <w:rsid w:val="00762D88"/>
    <w:rsid w:val="007935FE"/>
    <w:rsid w:val="007C0540"/>
    <w:rsid w:val="007C1F41"/>
    <w:rsid w:val="007C671D"/>
    <w:rsid w:val="007C68D2"/>
    <w:rsid w:val="007D68A8"/>
    <w:rsid w:val="007F3327"/>
    <w:rsid w:val="0083545D"/>
    <w:rsid w:val="008432EC"/>
    <w:rsid w:val="00852838"/>
    <w:rsid w:val="0087132D"/>
    <w:rsid w:val="00874568"/>
    <w:rsid w:val="00886C33"/>
    <w:rsid w:val="008B753A"/>
    <w:rsid w:val="008D2BC9"/>
    <w:rsid w:val="00900DAA"/>
    <w:rsid w:val="009A1E3E"/>
    <w:rsid w:val="009A260F"/>
    <w:rsid w:val="00A3542E"/>
    <w:rsid w:val="00A642C7"/>
    <w:rsid w:val="00AB0AF9"/>
    <w:rsid w:val="00AC6F26"/>
    <w:rsid w:val="00AE7A98"/>
    <w:rsid w:val="00B07EF8"/>
    <w:rsid w:val="00B27FD9"/>
    <w:rsid w:val="00B329D4"/>
    <w:rsid w:val="00B32D81"/>
    <w:rsid w:val="00B47AC6"/>
    <w:rsid w:val="00B71260"/>
    <w:rsid w:val="00B75D1D"/>
    <w:rsid w:val="00B75EA4"/>
    <w:rsid w:val="00B96D89"/>
    <w:rsid w:val="00BC4D63"/>
    <w:rsid w:val="00BD1173"/>
    <w:rsid w:val="00BE78BB"/>
    <w:rsid w:val="00BF0DF2"/>
    <w:rsid w:val="00C00425"/>
    <w:rsid w:val="00C31AF0"/>
    <w:rsid w:val="00C431BD"/>
    <w:rsid w:val="00C630E2"/>
    <w:rsid w:val="00C8107A"/>
    <w:rsid w:val="00C8171A"/>
    <w:rsid w:val="00CA29BF"/>
    <w:rsid w:val="00CA642D"/>
    <w:rsid w:val="00CC7AFF"/>
    <w:rsid w:val="00D03322"/>
    <w:rsid w:val="00D07C5C"/>
    <w:rsid w:val="00D103AB"/>
    <w:rsid w:val="00D172B7"/>
    <w:rsid w:val="00D20170"/>
    <w:rsid w:val="00D47411"/>
    <w:rsid w:val="00D57567"/>
    <w:rsid w:val="00D70385"/>
    <w:rsid w:val="00D764EE"/>
    <w:rsid w:val="00D8652E"/>
    <w:rsid w:val="00D874C8"/>
    <w:rsid w:val="00DA1945"/>
    <w:rsid w:val="00DC5BE2"/>
    <w:rsid w:val="00DD2B12"/>
    <w:rsid w:val="00E14380"/>
    <w:rsid w:val="00E21095"/>
    <w:rsid w:val="00E22AEF"/>
    <w:rsid w:val="00E33CBB"/>
    <w:rsid w:val="00E43089"/>
    <w:rsid w:val="00E61876"/>
    <w:rsid w:val="00E7486A"/>
    <w:rsid w:val="00E95CA3"/>
    <w:rsid w:val="00F01FB3"/>
    <w:rsid w:val="00F03D65"/>
    <w:rsid w:val="00F22BED"/>
    <w:rsid w:val="00F4168A"/>
    <w:rsid w:val="00FA2702"/>
    <w:rsid w:val="00FA4C18"/>
    <w:rsid w:val="00FA55B0"/>
    <w:rsid w:val="00FB568F"/>
    <w:rsid w:val="00FD0A5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7C68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character" w:customStyle="1" w:styleId="Titolo1Carattere">
    <w:name w:val="Titolo 1 Carattere"/>
    <w:basedOn w:val="Carpredefinitoparagrafo"/>
    <w:link w:val="Titolo1"/>
    <w:uiPriority w:val="9"/>
    <w:rsid w:val="007C68D2"/>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7C68D2"/>
    <w:pPr>
      <w:ind w:left="720"/>
      <w:contextualSpacing/>
    </w:pPr>
  </w:style>
  <w:style w:type="character" w:customStyle="1" w:styleId="s1">
    <w:name w:val="s1"/>
    <w:basedOn w:val="Carpredefinitoparagrafo"/>
    <w:rsid w:val="007C68D2"/>
    <w:rPr>
      <w:rFonts w:ascii="Arial" w:hAnsi="Arial" w:cs="Arial" w:hint="default"/>
    </w:rPr>
  </w:style>
  <w:style w:type="paragraph" w:styleId="Didascalia">
    <w:name w:val="caption"/>
    <w:basedOn w:val="Normale"/>
    <w:next w:val="Normale"/>
    <w:qFormat/>
    <w:rsid w:val="007C68D2"/>
    <w:pPr>
      <w:spacing w:before="120" w:after="120" w:line="240" w:lineRule="auto"/>
    </w:pPr>
    <w:rPr>
      <w:rFonts w:ascii="Times New Roman" w:eastAsia="Times New Roman" w:hAnsi="Times New Roman" w:cs="Times New Roman"/>
      <w:b/>
      <w:sz w:val="24"/>
      <w:szCs w:val="20"/>
      <w:lang w:val="en-US"/>
    </w:rPr>
  </w:style>
  <w:style w:type="character" w:styleId="Rimandocommento">
    <w:name w:val="annotation reference"/>
    <w:basedOn w:val="Carpredefinitoparagrafo"/>
    <w:uiPriority w:val="99"/>
    <w:semiHidden/>
    <w:unhideWhenUsed/>
    <w:rsid w:val="00564F57"/>
    <w:rPr>
      <w:sz w:val="16"/>
      <w:szCs w:val="16"/>
    </w:rPr>
  </w:style>
  <w:style w:type="paragraph" w:styleId="Testocommento">
    <w:name w:val="annotation text"/>
    <w:basedOn w:val="Normale"/>
    <w:link w:val="TestocommentoCarattere"/>
    <w:uiPriority w:val="99"/>
    <w:semiHidden/>
    <w:unhideWhenUsed/>
    <w:rsid w:val="00564F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64F57"/>
    <w:rPr>
      <w:sz w:val="20"/>
      <w:szCs w:val="20"/>
    </w:rPr>
  </w:style>
  <w:style w:type="paragraph" w:styleId="Soggettocommento">
    <w:name w:val="annotation subject"/>
    <w:basedOn w:val="Testocommento"/>
    <w:next w:val="Testocommento"/>
    <w:link w:val="SoggettocommentoCarattere"/>
    <w:uiPriority w:val="99"/>
    <w:semiHidden/>
    <w:unhideWhenUsed/>
    <w:rsid w:val="00564F57"/>
    <w:rPr>
      <w:b/>
      <w:bCs/>
    </w:rPr>
  </w:style>
  <w:style w:type="character" w:customStyle="1" w:styleId="SoggettocommentoCarattere">
    <w:name w:val="Soggetto commento Carattere"/>
    <w:basedOn w:val="TestocommentoCarattere"/>
    <w:link w:val="Soggettocommento"/>
    <w:uiPriority w:val="99"/>
    <w:semiHidden/>
    <w:rsid w:val="00564F57"/>
    <w:rPr>
      <w:b/>
      <w:bCs/>
      <w:sz w:val="20"/>
      <w:szCs w:val="20"/>
    </w:rPr>
  </w:style>
  <w:style w:type="paragraph" w:customStyle="1" w:styleId="TabletextrowsAgency">
    <w:name w:val="Table text rows (Agency)"/>
    <w:basedOn w:val="Normale"/>
    <w:semiHidden/>
    <w:rsid w:val="00F22BED"/>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F22BED"/>
    <w:pPr>
      <w:spacing w:before="720" w:after="0" w:line="360" w:lineRule="atLeast"/>
    </w:pPr>
    <w:rPr>
      <w:rFonts w:ascii="Verdana" w:eastAsia="Verdana" w:hAnsi="Verdana" w:cs="Verdana"/>
      <w:color w:val="003399"/>
      <w:sz w:val="32"/>
      <w:szCs w:val="3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2451</Words>
  <Characters>13974</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23</cp:revision>
  <dcterms:created xsi:type="dcterms:W3CDTF">2017-09-10T08:24:00Z</dcterms:created>
  <dcterms:modified xsi:type="dcterms:W3CDTF">2018-01-10T07:53:00Z</dcterms:modified>
</cp:coreProperties>
</file>