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823F4C" w:rsidRDefault="00823F4C" w:rsidP="00823F4C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D4005D" w:rsidRDefault="00D4005D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09F8" w:rsidRDefault="00730AAF" w:rsidP="004241AC">
      <w:pPr>
        <w:widowControl w:val="0"/>
        <w:spacing w:after="0" w:line="240" w:lineRule="auto"/>
        <w:jc w:val="center"/>
        <w:rPr>
          <w:snapToGrid w:val="0"/>
        </w:rPr>
      </w:pPr>
      <w:r>
        <w:rPr>
          <w:b/>
          <w:sz w:val="32"/>
        </w:rPr>
        <w:t>DUTASTERIDE SAGAEM</w:t>
      </w:r>
    </w:p>
    <w:p w:rsidR="004241AC" w:rsidRPr="00A966D1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A966D1">
        <w:rPr>
          <w:snapToGrid w:val="0"/>
        </w:rPr>
        <w:t xml:space="preserve"> </w:t>
      </w:r>
    </w:p>
    <w:p w:rsidR="004241AC" w:rsidRDefault="00D4005D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(</w:t>
      </w:r>
      <w:proofErr w:type="spellStart"/>
      <w:r w:rsidR="00730AAF">
        <w:rPr>
          <w:b/>
        </w:rPr>
        <w:t>dutasteride</w:t>
      </w:r>
      <w:proofErr w:type="spellEnd"/>
      <w:r>
        <w:rPr>
          <w:b/>
        </w:rPr>
        <w:t>)</w:t>
      </w:r>
    </w:p>
    <w:p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D4005D" w:rsidRDefault="00D4005D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D4005D" w:rsidRPr="00A966D1" w:rsidRDefault="00D4005D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EC3589" w:rsidRDefault="00730AAF" w:rsidP="004241AC">
      <w:pPr>
        <w:spacing w:after="0" w:line="240" w:lineRule="auto"/>
        <w:jc w:val="center"/>
        <w:rPr>
          <w:b/>
        </w:rPr>
      </w:pPr>
      <w:proofErr w:type="spellStart"/>
      <w:r w:rsidRPr="00730AAF">
        <w:rPr>
          <w:b/>
        </w:rPr>
        <w:t>Sagaem</w:t>
      </w:r>
      <w:proofErr w:type="spellEnd"/>
      <w:r w:rsidRPr="00730AAF">
        <w:rPr>
          <w:b/>
        </w:rPr>
        <w:t xml:space="preserve"> </w:t>
      </w:r>
      <w:proofErr w:type="spellStart"/>
      <w:r w:rsidRPr="00730AAF">
        <w:rPr>
          <w:b/>
        </w:rPr>
        <w:t>For</w:t>
      </w:r>
      <w:proofErr w:type="spellEnd"/>
      <w:r w:rsidRPr="00730AAF">
        <w:rPr>
          <w:b/>
        </w:rPr>
        <w:t xml:space="preserve"> Life </w:t>
      </w:r>
      <w:r>
        <w:rPr>
          <w:b/>
        </w:rPr>
        <w:t>di Stefano Ceccarelli e C</w:t>
      </w:r>
      <w:r w:rsidR="006E425C">
        <w:rPr>
          <w:b/>
        </w:rPr>
        <w:t>.</w:t>
      </w:r>
      <w:r w:rsidR="006E425C" w:rsidRPr="006E425C">
        <w:rPr>
          <w:rFonts w:eastAsia="Times New Roman" w:cs="Times New Roman"/>
          <w:sz w:val="20"/>
          <w:szCs w:val="20"/>
        </w:rPr>
        <w:t xml:space="preserve"> </w:t>
      </w:r>
      <w:r w:rsidR="006E425C" w:rsidRPr="006E425C">
        <w:rPr>
          <w:b/>
        </w:rPr>
        <w:t>S.A.S.</w:t>
      </w:r>
    </w:p>
    <w:p w:rsidR="00730AAF" w:rsidRDefault="00730AAF" w:rsidP="004241AC">
      <w:pPr>
        <w:spacing w:after="0" w:line="240" w:lineRule="auto"/>
        <w:jc w:val="center"/>
        <w:rPr>
          <w:b/>
        </w:rPr>
      </w:pPr>
    </w:p>
    <w:p w:rsidR="004609F8" w:rsidRDefault="004609F8" w:rsidP="004241AC">
      <w:pPr>
        <w:spacing w:after="0" w:line="240" w:lineRule="auto"/>
        <w:jc w:val="center"/>
        <w:rPr>
          <w:b/>
        </w:rPr>
      </w:pPr>
    </w:p>
    <w:p w:rsidR="004241AC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 xml:space="preserve">Numero di AIC: </w:t>
      </w:r>
      <w:r w:rsidR="008445DF" w:rsidRPr="008445DF">
        <w:rPr>
          <w:rFonts w:cs="Helvetica"/>
          <w:b/>
          <w:bCs/>
        </w:rPr>
        <w:t>045063</w:t>
      </w:r>
    </w:p>
    <w:p w:rsidR="00797416" w:rsidRPr="00062636" w:rsidRDefault="00797416" w:rsidP="004241AC">
      <w:pPr>
        <w:spacing w:after="0" w:line="240" w:lineRule="auto"/>
        <w:jc w:val="center"/>
        <w:rPr>
          <w:b/>
        </w:rPr>
      </w:pPr>
    </w:p>
    <w:bookmarkEnd w:id="0"/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E5A39" w:rsidRPr="00062636" w:rsidRDefault="004E5A39" w:rsidP="004241AC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33523E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33523E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730AAF">
        <w:rPr>
          <w:rFonts w:eastAsia="Calibri" w:cs="Calibri"/>
          <w:color w:val="000000"/>
          <w:lang w:eastAsia="it-IT"/>
        </w:rPr>
        <w:t>Dutasteride</w:t>
      </w:r>
      <w:proofErr w:type="spellEnd"/>
      <w:r w:rsidR="00730AAF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730AAF">
        <w:rPr>
          <w:rFonts w:eastAsia="Calibri" w:cs="Calibri"/>
          <w:color w:val="000000"/>
          <w:lang w:eastAsia="it-IT"/>
        </w:rPr>
        <w:t>Sagaem</w:t>
      </w:r>
      <w:proofErr w:type="spellEnd"/>
      <w:r w:rsidR="00741838">
        <w:rPr>
          <w:rFonts w:eastAsia="Calibri" w:cs="Calibri"/>
          <w:color w:val="000000"/>
          <w:lang w:eastAsia="it-IT"/>
        </w:rPr>
        <w:t xml:space="preserve">.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730AAF">
        <w:rPr>
          <w:rFonts w:eastAsia="Calibri" w:cs="Calibri"/>
          <w:color w:val="000000"/>
          <w:lang w:eastAsia="it-IT"/>
        </w:rPr>
        <w:t>Dutasteride</w:t>
      </w:r>
      <w:proofErr w:type="spellEnd"/>
      <w:r w:rsidR="00730AAF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730AAF">
        <w:rPr>
          <w:rFonts w:eastAsia="Calibri" w:cs="Calibri"/>
          <w:color w:val="000000"/>
          <w:lang w:eastAsia="it-IT"/>
        </w:rPr>
        <w:t>Sagaem</w:t>
      </w:r>
      <w:proofErr w:type="spellEnd"/>
      <w:r w:rsidR="00741838" w:rsidRPr="00741838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730AAF">
        <w:rPr>
          <w:rFonts w:eastAsia="Calibri" w:cs="Calibri"/>
          <w:color w:val="000000"/>
          <w:lang w:eastAsia="it-IT"/>
        </w:rPr>
        <w:t>Dutasteride</w:t>
      </w:r>
      <w:proofErr w:type="spellEnd"/>
      <w:r w:rsidR="00730AAF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730AAF">
        <w:rPr>
          <w:rFonts w:eastAsia="Calibri" w:cs="Calibri"/>
          <w:color w:val="000000"/>
          <w:lang w:eastAsia="it-IT"/>
        </w:rPr>
        <w:t>Sagaem</w:t>
      </w:r>
      <w:proofErr w:type="spellEnd"/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730AAF">
        <w:rPr>
          <w:rFonts w:eastAsia="Calibri" w:cs="Calibri"/>
          <w:color w:val="000000"/>
          <w:lang w:eastAsia="it-IT"/>
        </w:rPr>
        <w:t>Dutasteride</w:t>
      </w:r>
      <w:proofErr w:type="spellEnd"/>
      <w:r w:rsidR="00730AAF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730AAF">
        <w:rPr>
          <w:rFonts w:eastAsia="Calibri" w:cs="Calibri"/>
          <w:color w:val="000000"/>
          <w:lang w:eastAsia="it-IT"/>
        </w:rPr>
        <w:t>Sagaem</w:t>
      </w:r>
      <w:proofErr w:type="spellEnd"/>
      <w:r w:rsidR="00741838" w:rsidRPr="00741838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0E0632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79741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79741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730AAF">
        <w:rPr>
          <w:rFonts w:eastAsia="Calibri" w:cs="Calibri"/>
          <w:b/>
          <w:color w:val="000000"/>
          <w:lang w:eastAsia="it-IT"/>
        </w:rPr>
        <w:t>Dutasteride</w:t>
      </w:r>
      <w:proofErr w:type="spellEnd"/>
      <w:r w:rsidR="00730AAF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730AAF">
        <w:rPr>
          <w:rFonts w:eastAsia="Calibri" w:cs="Calibri"/>
          <w:b/>
          <w:color w:val="000000"/>
          <w:lang w:eastAsia="it-IT"/>
        </w:rPr>
        <w:t>Sagaem</w:t>
      </w:r>
      <w:proofErr w:type="spellEnd"/>
      <w:r w:rsidR="00B157B2" w:rsidRPr="00B157B2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79741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BB2AF8" w:rsidRDefault="00730AAF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Dutasteride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Sagaem</w:t>
      </w:r>
      <w:proofErr w:type="spellEnd"/>
      <w:r w:rsidR="00B157B2" w:rsidRPr="00B157B2">
        <w:rPr>
          <w:rFonts w:eastAsia="Calibri" w:cs="Calibri"/>
          <w:color w:val="000000"/>
          <w:lang w:eastAsia="it-IT"/>
        </w:rPr>
        <w:t xml:space="preserve"> </w:t>
      </w:r>
      <w:r w:rsidR="00BB2AF8" w:rsidRPr="000E0632">
        <w:rPr>
          <w:rFonts w:eastAsia="Calibri" w:cs="Calibri"/>
          <w:color w:val="000000"/>
          <w:lang w:eastAsia="it-IT"/>
        </w:rPr>
        <w:t>è un medicinale contenente i</w:t>
      </w:r>
      <w:r w:rsidR="00BB2AF8">
        <w:rPr>
          <w:rFonts w:eastAsia="Calibri" w:cs="Calibri"/>
          <w:color w:val="000000"/>
          <w:lang w:eastAsia="it-IT"/>
        </w:rPr>
        <w:t>l</w:t>
      </w:r>
      <w:r w:rsidR="00BB2AF8" w:rsidRPr="000E0632">
        <w:rPr>
          <w:rFonts w:eastAsia="Calibri" w:cs="Calibri"/>
          <w:color w:val="000000"/>
          <w:lang w:eastAsia="it-IT"/>
        </w:rPr>
        <w:t xml:space="preserve"> principi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attiv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dutasteride</w:t>
      </w:r>
      <w:proofErr w:type="spellEnd"/>
      <w:r w:rsidR="00B157B2">
        <w:rPr>
          <w:rFonts w:eastAsia="Calibri" w:cs="Calibri"/>
          <w:color w:val="000000"/>
          <w:lang w:eastAsia="it-IT"/>
        </w:rPr>
        <w:t xml:space="preserve"> </w:t>
      </w:r>
      <w:r w:rsidR="00BB2AF8">
        <w:rPr>
          <w:rFonts w:eastAsia="Calibri" w:cs="Calibri"/>
          <w:color w:val="000000"/>
          <w:lang w:eastAsia="it-IT"/>
        </w:rPr>
        <w:t xml:space="preserve">ed </w:t>
      </w:r>
      <w:r w:rsidR="00E87CCD">
        <w:rPr>
          <w:rFonts w:eastAsia="Calibri" w:cs="Calibri"/>
          <w:color w:val="000000"/>
          <w:lang w:eastAsia="it-IT"/>
        </w:rPr>
        <w:t>è disponibile come</w:t>
      </w:r>
      <w:r w:rsidR="00B157B2">
        <w:rPr>
          <w:rFonts w:eastAsia="Calibri" w:cs="Calibri"/>
          <w:color w:val="000000"/>
          <w:lang w:eastAsia="it-IT"/>
        </w:rPr>
        <w:t xml:space="preserve"> </w:t>
      </w:r>
      <w:r w:rsidR="00797416">
        <w:rPr>
          <w:rFonts w:eastAsia="Calibri" w:cs="Calibri"/>
          <w:color w:val="000000"/>
          <w:lang w:eastAsia="it-IT"/>
        </w:rPr>
        <w:t>capsule</w:t>
      </w:r>
      <w:r w:rsidR="00D75828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molli</w:t>
      </w:r>
      <w:r w:rsidR="00797416">
        <w:rPr>
          <w:rFonts w:eastAsia="Calibri" w:cs="Calibri"/>
          <w:color w:val="000000"/>
          <w:lang w:eastAsia="it-IT"/>
        </w:rPr>
        <w:t xml:space="preserve"> </w:t>
      </w:r>
      <w:r w:rsidR="00BB2AF8">
        <w:rPr>
          <w:rFonts w:eastAsia="Calibri" w:cs="Calibri"/>
          <w:color w:val="000000"/>
          <w:lang w:eastAsia="it-IT"/>
        </w:rPr>
        <w:t>contenent</w:t>
      </w:r>
      <w:r w:rsidR="00797416">
        <w:rPr>
          <w:rFonts w:eastAsia="Calibri" w:cs="Calibri"/>
          <w:color w:val="000000"/>
          <w:lang w:eastAsia="it-IT"/>
        </w:rPr>
        <w:t>i</w:t>
      </w:r>
      <w:r w:rsidR="00BB2AF8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0,5</w:t>
      </w:r>
      <w:r w:rsidR="00797416">
        <w:rPr>
          <w:rFonts w:eastAsia="Calibri" w:cs="Calibri"/>
          <w:color w:val="000000"/>
          <w:lang w:eastAsia="it-IT"/>
        </w:rPr>
        <w:t xml:space="preserve"> mg di</w:t>
      </w:r>
      <w:r w:rsidR="00BB2AF8">
        <w:rPr>
          <w:rFonts w:eastAsia="Calibri" w:cs="Calibri"/>
          <w:color w:val="000000"/>
          <w:lang w:eastAsia="it-IT"/>
        </w:rPr>
        <w:t xml:space="preserve"> principio attivo</w:t>
      </w:r>
      <w:r w:rsidR="00BB2AF8" w:rsidRPr="000E0632">
        <w:rPr>
          <w:rFonts w:eastAsia="Calibri" w:cs="Calibri"/>
          <w:color w:val="000000"/>
          <w:lang w:eastAsia="it-IT"/>
        </w:rPr>
        <w:t>.</w:t>
      </w:r>
    </w:p>
    <w:p w:rsidR="00BB2AF8" w:rsidRPr="00730AAF" w:rsidRDefault="00730AAF" w:rsidP="00730AAF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Dutasteride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Sagaem</w:t>
      </w:r>
      <w:proofErr w:type="spellEnd"/>
      <w:r w:rsidR="0066030D" w:rsidRPr="00B157B2">
        <w:rPr>
          <w:rFonts w:eastAsia="Calibri" w:cs="Calibri"/>
          <w:color w:val="000000"/>
          <w:lang w:eastAsia="it-IT"/>
        </w:rPr>
        <w:t xml:space="preserve"> </w:t>
      </w:r>
      <w:r w:rsidR="0066030D">
        <w:rPr>
          <w:rFonts w:eastAsia="Calibri" w:cs="Calibri"/>
          <w:color w:val="000000"/>
          <w:lang w:eastAsia="it-IT"/>
        </w:rPr>
        <w:t>è</w:t>
      </w:r>
      <w:r w:rsidR="00797416" w:rsidRPr="00E83F8D">
        <w:rPr>
          <w:rFonts w:eastAsia="Calibri" w:cs="Calibri"/>
          <w:color w:val="000000"/>
          <w:lang w:eastAsia="it-IT"/>
        </w:rPr>
        <w:t xml:space="preserve"> un “medicinale generico”, cioè è analogo ad un “medicinale di riferimento”, </w:t>
      </w:r>
      <w:proofErr w:type="spellStart"/>
      <w:r>
        <w:rPr>
          <w:rFonts w:eastAsia="Calibri" w:cs="Calibri"/>
          <w:color w:val="000000"/>
          <w:lang w:eastAsia="it-IT"/>
        </w:rPr>
        <w:t>Avodart</w:t>
      </w:r>
      <w:proofErr w:type="spellEnd"/>
      <w:r w:rsidR="00B157B2">
        <w:rPr>
          <w:rFonts w:eastAsia="Calibri" w:cs="Calibri"/>
          <w:color w:val="000000"/>
          <w:lang w:eastAsia="it-IT"/>
        </w:rPr>
        <w:t xml:space="preserve"> </w:t>
      </w:r>
      <w:r w:rsidR="00300BEA">
        <w:rPr>
          <w:rFonts w:eastAsia="Calibri" w:cs="Calibri"/>
          <w:color w:val="000000"/>
          <w:lang w:eastAsia="it-IT"/>
        </w:rPr>
        <w:t xml:space="preserve">già autorizzato in Italia con una procedura </w:t>
      </w:r>
      <w:r w:rsidR="00B157B2" w:rsidRPr="00F52AFB">
        <w:rPr>
          <w:rFonts w:eastAsia="Calibri" w:cs="Calibri"/>
          <w:color w:val="000000"/>
          <w:lang w:eastAsia="it-IT"/>
        </w:rPr>
        <w:t>di mutuo riconoscimento</w:t>
      </w:r>
      <w:r w:rsidR="00300BEA" w:rsidRPr="00F52AFB">
        <w:rPr>
          <w:rFonts w:eastAsia="Calibri" w:cs="Calibri"/>
          <w:color w:val="000000"/>
          <w:lang w:eastAsia="it-IT"/>
        </w:rPr>
        <w:t xml:space="preserve"> con la </w:t>
      </w:r>
      <w:r w:rsidR="00B157B2" w:rsidRPr="00F52AFB">
        <w:rPr>
          <w:rFonts w:eastAsia="Calibri" w:cs="Calibri"/>
          <w:color w:val="000000"/>
          <w:lang w:eastAsia="it-IT"/>
        </w:rPr>
        <w:t>Svezi</w:t>
      </w:r>
      <w:r w:rsidR="00B157B2">
        <w:rPr>
          <w:rFonts w:eastAsia="Calibri" w:cs="Calibri"/>
          <w:color w:val="000000"/>
          <w:lang w:eastAsia="it-IT"/>
        </w:rPr>
        <w:t>a</w:t>
      </w:r>
      <w:r w:rsidR="00300BEA">
        <w:rPr>
          <w:rFonts w:eastAsia="Calibri" w:cs="Calibri"/>
          <w:color w:val="000000"/>
          <w:lang w:eastAsia="it-IT"/>
        </w:rPr>
        <w:t xml:space="preserve"> come stato di riferimento (</w:t>
      </w:r>
      <w:hyperlink r:id="rId6" w:history="1">
        <w:r w:rsidR="00F86155" w:rsidRPr="006D3B30">
          <w:rPr>
            <w:rStyle w:val="Collegamentoipertestuale"/>
            <w:rFonts w:eastAsia="Calibri" w:cs="Calibri"/>
            <w:lang w:eastAsia="it-IT"/>
          </w:rPr>
          <w:t>http://www.lakemedelsverket.se/</w:t>
        </w:r>
      </w:hyperlink>
      <w:r w:rsidR="00F86155">
        <w:rPr>
          <w:rFonts w:eastAsia="Calibri" w:cs="Calibri"/>
          <w:color w:val="000000"/>
          <w:lang w:eastAsia="it-IT"/>
        </w:rPr>
        <w:t xml:space="preserve">). </w:t>
      </w:r>
      <w:r w:rsidR="00300BEA" w:rsidRPr="00D2683B">
        <w:rPr>
          <w:rFonts w:eastAsia="Calibri" w:cs="Calibri"/>
          <w:color w:val="000000"/>
          <w:lang w:eastAsia="it-IT"/>
        </w:rPr>
        <w:t>Sul sito dell’Agenzia Italiana del Farmaco (AIFA) (</w:t>
      </w:r>
      <w:hyperlink r:id="rId7" w:history="1">
        <w:r w:rsidR="00300BEA" w:rsidRPr="00D2683B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300BEA" w:rsidRPr="00D2683B">
        <w:rPr>
          <w:rFonts w:eastAsia="Calibri" w:cs="Calibri"/>
          <w:lang w:eastAsia="it-IT"/>
        </w:rPr>
        <w:t>)</w:t>
      </w:r>
      <w:r w:rsidR="00300BEA" w:rsidRPr="00D2683B">
        <w:t xml:space="preserve"> </w:t>
      </w:r>
      <w:r w:rsidR="00300BEA" w:rsidRPr="00D2683B">
        <w:rPr>
          <w:rFonts w:eastAsia="Calibri" w:cs="Calibri"/>
          <w:color w:val="000000"/>
          <w:lang w:eastAsia="it-IT"/>
        </w:rPr>
        <w:t xml:space="preserve">è possibile consultare il Riassunto delle </w:t>
      </w:r>
      <w:r w:rsidR="00300BEA" w:rsidRPr="00730AAF">
        <w:rPr>
          <w:rFonts w:eastAsia="Calibri" w:cs="Calibri"/>
          <w:color w:val="000000"/>
          <w:lang w:eastAsia="it-IT"/>
        </w:rPr>
        <w:t xml:space="preserve">caratteristiche del prodotto e il foglio illustrativo di </w:t>
      </w:r>
      <w:proofErr w:type="spellStart"/>
      <w:r w:rsidRPr="00730AAF">
        <w:rPr>
          <w:rFonts w:eastAsia="Calibri" w:cs="Calibri"/>
          <w:color w:val="000000"/>
          <w:lang w:eastAsia="it-IT"/>
        </w:rPr>
        <w:t>Avodart</w:t>
      </w:r>
      <w:proofErr w:type="spellEnd"/>
      <w:r w:rsidR="00EA610A" w:rsidRPr="00730AAF">
        <w:rPr>
          <w:rFonts w:eastAsia="Calibri" w:cs="Calibri"/>
          <w:color w:val="000000"/>
          <w:lang w:eastAsia="it-IT"/>
        </w:rPr>
        <w:t>.</w:t>
      </w:r>
    </w:p>
    <w:p w:rsidR="00F52AFB" w:rsidRPr="00963A13" w:rsidRDefault="00963A13" w:rsidP="00730AAF">
      <w:pPr>
        <w:autoSpaceDE w:val="0"/>
        <w:autoSpaceDN w:val="0"/>
        <w:adjustRightInd w:val="0"/>
        <w:spacing w:after="0" w:line="240" w:lineRule="auto"/>
        <w:jc w:val="both"/>
        <w:rPr>
          <w:rFonts w:cs="TimesNewRomanPSMT"/>
          <w:lang w:eastAsia="it-IT"/>
        </w:rPr>
      </w:pPr>
      <w:proofErr w:type="spellStart"/>
      <w:r w:rsidRPr="00963A13">
        <w:rPr>
          <w:rFonts w:eastAsia="Calibri" w:cs="Calibri"/>
          <w:color w:val="000000"/>
          <w:lang w:eastAsia="it-IT"/>
        </w:rPr>
        <w:t>Dutasteride</w:t>
      </w:r>
      <w:proofErr w:type="spellEnd"/>
      <w:r w:rsidRPr="00963A1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963A13">
        <w:rPr>
          <w:rFonts w:eastAsia="Calibri" w:cs="Calibri"/>
          <w:color w:val="000000"/>
          <w:lang w:eastAsia="it-IT"/>
        </w:rPr>
        <w:t>Sagaem</w:t>
      </w:r>
      <w:proofErr w:type="spellEnd"/>
      <w:r w:rsidRPr="00963A13">
        <w:rPr>
          <w:rFonts w:eastAsia="Calibri" w:cs="Calibri"/>
          <w:color w:val="000000"/>
          <w:lang w:eastAsia="it-IT"/>
        </w:rPr>
        <w:t xml:space="preserve"> si</w:t>
      </w:r>
      <w:r w:rsidRPr="00963A13">
        <w:rPr>
          <w:rFonts w:eastAsia="Calibri" w:cs="Calibri"/>
          <w:lang w:eastAsia="it-IT"/>
        </w:rPr>
        <w:t xml:space="preserve"> usa</w:t>
      </w:r>
      <w:r w:rsidRPr="00963A13">
        <w:rPr>
          <w:rFonts w:ascii="Times New Roman" w:eastAsia="Calibri" w:hAnsi="Times New Roman" w:cs="Times New Roman"/>
          <w:color w:val="000000"/>
          <w:spacing w:val="15"/>
          <w:w w:val="90"/>
        </w:rPr>
        <w:t xml:space="preserve"> </w:t>
      </w:r>
      <w:r w:rsidRPr="00963A13">
        <w:rPr>
          <w:rFonts w:eastAsia="Calibri" w:cs="Calibri"/>
          <w:lang w:eastAsia="it-IT"/>
        </w:rPr>
        <w:t xml:space="preserve">per il </w:t>
      </w:r>
      <w:r w:rsidRPr="00963A13">
        <w:rPr>
          <w:rFonts w:cs="TimesNewRomanPSMT"/>
          <w:lang w:eastAsia="it-IT"/>
        </w:rPr>
        <w:t>trattamento</w:t>
      </w:r>
      <w:r w:rsidR="00F52AFB" w:rsidRPr="00963A13">
        <w:t xml:space="preserve"> </w:t>
      </w:r>
      <w:r w:rsidRPr="00963A13">
        <w:t>d</w:t>
      </w:r>
      <w:r w:rsidR="00F52AFB" w:rsidRPr="00963A13">
        <w:t xml:space="preserve">i soggetti di sesso maschile con prostata ingrossata (iperplasia prostatica benigna) - un aumento di tipo non maligno del volume della prostata </w:t>
      </w:r>
      <w:r w:rsidRPr="00963A13">
        <w:t>–</w:t>
      </w:r>
      <w:r w:rsidR="00F52AFB" w:rsidRPr="00963A13">
        <w:t xml:space="preserve"> </w:t>
      </w:r>
      <w:r w:rsidRPr="00963A13">
        <w:t xml:space="preserve">e per ridurre il rischio di </w:t>
      </w:r>
      <w:r w:rsidRPr="00963A13">
        <w:rPr>
          <w:rFonts w:cs="TimesNewRomanPSMT"/>
          <w:lang w:eastAsia="it-IT"/>
        </w:rPr>
        <w:t>ritenzione urinaria acuta e dell’intervento chirurgico in pazienti con sintomi da moderati a gravi dell’iperplasia prostatica benigna.</w:t>
      </w:r>
    </w:p>
    <w:p w:rsidR="00963A13" w:rsidRPr="00963A13" w:rsidRDefault="00963A13" w:rsidP="00730AA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D4005D" w:rsidRDefault="00D4005D" w:rsidP="00730AA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730AAF" w:rsidRPr="00730AAF" w:rsidRDefault="00730AAF" w:rsidP="00730AA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BB2AF8" w:rsidRPr="00730AAF" w:rsidRDefault="00BB2AF8" w:rsidP="00730AA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730AAF">
        <w:rPr>
          <w:rFonts w:eastAsia="Calibri" w:cs="Calibri"/>
          <w:b/>
          <w:bCs/>
          <w:color w:val="000000"/>
          <w:lang w:eastAsia="it-IT"/>
        </w:rPr>
        <w:lastRenderedPageBreak/>
        <w:t xml:space="preserve">2) COME </w:t>
      </w:r>
      <w:r w:rsidR="0066030D" w:rsidRPr="00730AAF">
        <w:rPr>
          <w:rFonts w:eastAsia="Calibri" w:cs="Calibri"/>
          <w:b/>
          <w:bCs/>
          <w:color w:val="000000"/>
          <w:lang w:eastAsia="it-IT"/>
        </w:rPr>
        <w:t>È</w:t>
      </w:r>
      <w:r w:rsidRPr="00730AAF">
        <w:rPr>
          <w:rFonts w:eastAsia="Calibri" w:cs="Calibri"/>
          <w:b/>
          <w:bCs/>
          <w:color w:val="000000"/>
          <w:lang w:eastAsia="it-IT"/>
        </w:rPr>
        <w:t xml:space="preserve"> PRESCRITTO/USATO </w:t>
      </w:r>
      <w:proofErr w:type="spellStart"/>
      <w:r w:rsidR="00730AAF" w:rsidRPr="00730AAF">
        <w:rPr>
          <w:rFonts w:eastAsia="Calibri" w:cs="Calibri"/>
          <w:b/>
          <w:color w:val="000000"/>
          <w:lang w:eastAsia="it-IT"/>
        </w:rPr>
        <w:t>Dutasteride</w:t>
      </w:r>
      <w:proofErr w:type="spellEnd"/>
      <w:r w:rsidR="00730AAF" w:rsidRPr="00730AAF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730AAF" w:rsidRPr="00730AAF">
        <w:rPr>
          <w:rFonts w:eastAsia="Calibri" w:cs="Calibri"/>
          <w:b/>
          <w:color w:val="000000"/>
          <w:lang w:eastAsia="it-IT"/>
        </w:rPr>
        <w:t>Sagaem</w:t>
      </w:r>
      <w:proofErr w:type="spellEnd"/>
      <w:r w:rsidR="0066030D" w:rsidRPr="00730AAF">
        <w:rPr>
          <w:rFonts w:eastAsia="Calibri" w:cs="Calibri"/>
          <w:b/>
          <w:color w:val="000000"/>
          <w:lang w:eastAsia="it-IT"/>
        </w:rPr>
        <w:t>?</w:t>
      </w:r>
    </w:p>
    <w:p w:rsidR="00300BEA" w:rsidRPr="00730AAF" w:rsidRDefault="00730AAF" w:rsidP="00730AAF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  <w:proofErr w:type="spellStart"/>
      <w:r w:rsidRPr="00730AAF">
        <w:rPr>
          <w:rFonts w:asciiTheme="minorHAnsi" w:eastAsia="Calibri" w:hAnsiTheme="minorHAnsi" w:cs="Calibri"/>
          <w:color w:val="000000"/>
          <w:sz w:val="22"/>
          <w:szCs w:val="22"/>
        </w:rPr>
        <w:t>Dutasteride</w:t>
      </w:r>
      <w:proofErr w:type="spellEnd"/>
      <w:r w:rsidRPr="00730AAF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proofErr w:type="spellStart"/>
      <w:r w:rsidRPr="00730AAF">
        <w:rPr>
          <w:rFonts w:asciiTheme="minorHAnsi" w:eastAsia="Calibri" w:hAnsiTheme="minorHAnsi" w:cs="Calibri"/>
          <w:color w:val="000000"/>
          <w:sz w:val="22"/>
          <w:szCs w:val="22"/>
        </w:rPr>
        <w:t>Sagaem</w:t>
      </w:r>
      <w:proofErr w:type="spellEnd"/>
      <w:r w:rsidR="00EA610A" w:rsidRPr="00730AAF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BB2AF8" w:rsidRPr="00730AAF">
        <w:rPr>
          <w:rFonts w:asciiTheme="minorHAnsi" w:eastAsia="Calibri" w:hAnsiTheme="minorHAnsi" w:cs="Calibri"/>
          <w:color w:val="000000"/>
          <w:sz w:val="22"/>
          <w:szCs w:val="22"/>
        </w:rPr>
        <w:t xml:space="preserve">può essere ottenuto </w:t>
      </w:r>
      <w:r w:rsidR="00300BEA" w:rsidRPr="00730AAF">
        <w:rPr>
          <w:rFonts w:asciiTheme="minorHAnsi" w:eastAsia="Calibri" w:hAnsiTheme="minorHAnsi" w:cs="Calibri"/>
          <w:color w:val="000000"/>
          <w:sz w:val="22"/>
          <w:szCs w:val="22"/>
        </w:rPr>
        <w:t>solo su prescrizione da parte</w:t>
      </w:r>
      <w:r w:rsidR="00EA610A" w:rsidRPr="00730AAF">
        <w:rPr>
          <w:rFonts w:asciiTheme="minorHAnsi" w:eastAsia="Calibri" w:hAnsiTheme="minorHAnsi" w:cs="Calibri"/>
          <w:color w:val="000000"/>
          <w:sz w:val="22"/>
          <w:szCs w:val="22"/>
        </w:rPr>
        <w:t xml:space="preserve"> del medico (ricetta ripetibile)</w:t>
      </w:r>
      <w:r w:rsidR="00997BE6" w:rsidRPr="00730AAF">
        <w:rPr>
          <w:rFonts w:asciiTheme="minorHAnsi" w:eastAsia="Calibri" w:hAnsiTheme="minorHAnsi" w:cs="Calibri"/>
          <w:color w:val="000000"/>
          <w:sz w:val="22"/>
          <w:szCs w:val="22"/>
        </w:rPr>
        <w:t>.</w:t>
      </w:r>
      <w:r w:rsidR="00300BEA" w:rsidRPr="00730AAF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</w:p>
    <w:p w:rsidR="00BB215D" w:rsidRPr="00963A13" w:rsidRDefault="00963A13" w:rsidP="00730AAF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963A13">
        <w:rPr>
          <w:rFonts w:asciiTheme="minorHAnsi" w:eastAsia="Calibri" w:hAnsiTheme="minorHAnsi" w:cs="Calibri"/>
          <w:color w:val="000000"/>
          <w:sz w:val="22"/>
          <w:szCs w:val="22"/>
        </w:rPr>
        <w:t>La dose giornaliera raccomandata è di una capsula al giorno.</w:t>
      </w:r>
    </w:p>
    <w:p w:rsidR="00963A13" w:rsidRPr="00963A13" w:rsidRDefault="00963A13" w:rsidP="00730AAF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963A13">
        <w:rPr>
          <w:rFonts w:asciiTheme="minorHAnsi" w:eastAsia="Calibri" w:hAnsiTheme="minorHAnsi" w:cs="Calibri"/>
          <w:color w:val="000000"/>
          <w:sz w:val="22"/>
          <w:szCs w:val="22"/>
        </w:rPr>
        <w:t>I pazienti con gravi problemi al fegato</w:t>
      </w:r>
      <w:r>
        <w:rPr>
          <w:rFonts w:asciiTheme="minorHAnsi" w:eastAsia="Calibri" w:hAnsiTheme="minorHAnsi" w:cs="Calibri"/>
          <w:color w:val="000000"/>
          <w:sz w:val="22"/>
          <w:szCs w:val="22"/>
        </w:rPr>
        <w:t>, le donne, i bambini e gli adolescenti (età compresa tra 12 e 18 anni)</w:t>
      </w:r>
      <w:r w:rsidRPr="00963A13">
        <w:rPr>
          <w:rFonts w:asciiTheme="minorHAnsi" w:eastAsia="Calibri" w:hAnsiTheme="minorHAnsi" w:cs="Calibri"/>
          <w:color w:val="000000"/>
          <w:sz w:val="22"/>
          <w:szCs w:val="22"/>
        </w:rPr>
        <w:t xml:space="preserve"> no</w:t>
      </w:r>
      <w:r>
        <w:rPr>
          <w:rFonts w:asciiTheme="minorHAnsi" w:eastAsia="Calibri" w:hAnsiTheme="minorHAnsi" w:cs="Calibri"/>
          <w:color w:val="000000"/>
          <w:sz w:val="22"/>
          <w:szCs w:val="22"/>
        </w:rPr>
        <w:t>n</w:t>
      </w:r>
      <w:r w:rsidRPr="00963A13">
        <w:rPr>
          <w:rFonts w:asciiTheme="minorHAnsi" w:eastAsia="Calibri" w:hAnsiTheme="minorHAnsi" w:cs="Calibri"/>
          <w:color w:val="000000"/>
          <w:sz w:val="22"/>
          <w:szCs w:val="22"/>
        </w:rPr>
        <w:t xml:space="preserve"> devono assumere questo medicinale</w:t>
      </w:r>
      <w:r>
        <w:rPr>
          <w:rFonts w:asciiTheme="minorHAnsi" w:eastAsia="Calibri" w:hAnsiTheme="minorHAnsi" w:cs="Calibri"/>
          <w:color w:val="000000"/>
          <w:sz w:val="22"/>
          <w:szCs w:val="22"/>
        </w:rPr>
        <w:t>.</w:t>
      </w:r>
    </w:p>
    <w:p w:rsidR="00BB2AF8" w:rsidRPr="00963A13" w:rsidRDefault="001C15DF" w:rsidP="00730AAF">
      <w:pPr>
        <w:tabs>
          <w:tab w:val="left" w:pos="284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 w:rsidRPr="00963A13">
        <w:t>Le c</w:t>
      </w:r>
      <w:r w:rsidR="00BF5F63" w:rsidRPr="00963A13">
        <w:t>apsule</w:t>
      </w:r>
      <w:r w:rsidRPr="00963A13">
        <w:t xml:space="preserve"> </w:t>
      </w:r>
      <w:r w:rsidR="00BF5F63" w:rsidRPr="00963A13">
        <w:t xml:space="preserve">possono essere assunte </w:t>
      </w:r>
      <w:r w:rsidRPr="00963A13">
        <w:t>con un po’ d’acqua</w:t>
      </w:r>
      <w:r w:rsidR="00BF5F63" w:rsidRPr="00963A13">
        <w:t>, indipendentemente dai pasti.</w:t>
      </w:r>
      <w:r w:rsidR="00BB215D" w:rsidRPr="00963A13">
        <w:t xml:space="preserve"> Le capsule non devono essere masticate o frantumate</w:t>
      </w:r>
      <w:r w:rsidR="00963A13" w:rsidRPr="00963A13">
        <w:t xml:space="preserve"> poiché il contatto con il contenuto della capsula può provocare un’irritazione della mucosa orofaringea</w:t>
      </w:r>
      <w:r w:rsidR="00BB215D" w:rsidRPr="00963A13">
        <w:t>.</w:t>
      </w:r>
    </w:p>
    <w:p w:rsidR="008A6FEC" w:rsidRPr="00730AAF" w:rsidRDefault="008A6FEC" w:rsidP="00730AAF">
      <w:pPr>
        <w:tabs>
          <w:tab w:val="left" w:pos="0"/>
        </w:tabs>
        <w:spacing w:after="0" w:line="240" w:lineRule="auto"/>
        <w:jc w:val="both"/>
        <w:rPr>
          <w:iCs/>
        </w:rPr>
      </w:pPr>
    </w:p>
    <w:p w:rsidR="00F96473" w:rsidRPr="00730AAF" w:rsidRDefault="00F96473" w:rsidP="00730AA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BB2AF8" w:rsidRPr="00730AAF" w:rsidRDefault="00BB2AF8" w:rsidP="00730AA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730AAF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730AAF" w:rsidRPr="00730AAF">
        <w:rPr>
          <w:rFonts w:eastAsia="Calibri" w:cs="Calibri"/>
          <w:b/>
          <w:color w:val="000000"/>
          <w:lang w:eastAsia="it-IT"/>
        </w:rPr>
        <w:t>Dutasteride</w:t>
      </w:r>
      <w:proofErr w:type="spellEnd"/>
      <w:r w:rsidR="00730AAF" w:rsidRPr="00730AAF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730AAF" w:rsidRPr="00730AAF">
        <w:rPr>
          <w:rFonts w:eastAsia="Calibri" w:cs="Calibri"/>
          <w:b/>
          <w:color w:val="000000"/>
          <w:lang w:eastAsia="it-IT"/>
        </w:rPr>
        <w:t>Sagaem</w:t>
      </w:r>
      <w:proofErr w:type="spellEnd"/>
      <w:r w:rsidRPr="00730AAF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BB2AF8" w:rsidRPr="00F96473" w:rsidRDefault="00730AAF" w:rsidP="00BB2A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i/>
          <w:color w:val="000000"/>
          <w:sz w:val="20"/>
          <w:shd w:val="clear" w:color="auto" w:fill="FFFFFF"/>
        </w:rPr>
      </w:pPr>
      <w:proofErr w:type="spellStart"/>
      <w:r w:rsidRPr="00963A13">
        <w:rPr>
          <w:rFonts w:eastAsia="Calibri" w:cs="Calibri"/>
          <w:color w:val="000000"/>
          <w:lang w:eastAsia="it-IT"/>
        </w:rPr>
        <w:t>Dutasteride</w:t>
      </w:r>
      <w:proofErr w:type="spellEnd"/>
      <w:r w:rsidRPr="00963A1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963A13">
        <w:rPr>
          <w:rFonts w:eastAsia="Calibri" w:cs="Calibri"/>
          <w:color w:val="000000"/>
          <w:lang w:eastAsia="it-IT"/>
        </w:rPr>
        <w:t>Sagaem</w:t>
      </w:r>
      <w:proofErr w:type="spellEnd"/>
      <w:r w:rsidR="00BB2AF8" w:rsidRPr="00963A13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="00963A13" w:rsidRPr="00963A13">
        <w:t>G04CB02</w:t>
      </w:r>
      <w:r w:rsidR="00BB2AF8" w:rsidRPr="00963A13">
        <w:rPr>
          <w:rFonts w:eastAsia="DejaVuSans" w:cs="DejaVuSans"/>
        </w:rPr>
        <w:t xml:space="preserve"> </w:t>
      </w:r>
      <w:r w:rsidR="00BB2AF8" w:rsidRPr="00963A13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Pr="00963A13">
        <w:rPr>
          <w:rFonts w:eastAsia="Calibri" w:cs="Calibri"/>
          <w:color w:val="000000"/>
          <w:lang w:eastAsia="it-IT"/>
        </w:rPr>
        <w:t>dutasteride</w:t>
      </w:r>
      <w:proofErr w:type="spellEnd"/>
      <w:r w:rsidR="00F96473" w:rsidRPr="00963A13">
        <w:rPr>
          <w:rFonts w:eastAsia="Calibri" w:cs="Calibri"/>
          <w:color w:val="000000"/>
          <w:lang w:eastAsia="it-IT"/>
        </w:rPr>
        <w:t xml:space="preserve"> </w:t>
      </w:r>
      <w:r w:rsidR="00BB2AF8" w:rsidRPr="00963A13">
        <w:rPr>
          <w:rFonts w:eastAsia="DejaVuSans" w:cs="DejaVuSans"/>
        </w:rPr>
        <w:t xml:space="preserve">che </w:t>
      </w:r>
      <w:r w:rsidR="00BF5F63" w:rsidRPr="00963A13">
        <w:t>appartiene alla classe degli</w:t>
      </w:r>
      <w:r w:rsidR="00BB2AF8" w:rsidRPr="00963A13">
        <w:t xml:space="preserve"> </w:t>
      </w:r>
      <w:r w:rsidR="00BF5F63" w:rsidRPr="00963A13">
        <w:t xml:space="preserve">inibitori </w:t>
      </w:r>
      <w:r w:rsidR="00963A13" w:rsidRPr="00963A13">
        <w:t>dell’enzima testosterone-5-alfa-reduttasi</w:t>
      </w:r>
      <w:r w:rsidR="00BF5F63" w:rsidRPr="00963A13">
        <w:t>.</w:t>
      </w:r>
      <w:r w:rsidR="00963A13" w:rsidRPr="00963A13">
        <w:t xml:space="preserve"> Questo enzima è necessario per la sintesi del </w:t>
      </w:r>
      <w:proofErr w:type="spellStart"/>
      <w:r w:rsidR="00963A13">
        <w:t>diidrotestosterone</w:t>
      </w:r>
      <w:proofErr w:type="spellEnd"/>
      <w:r w:rsidR="00963A13">
        <w:t xml:space="preserve"> a partire dal </w:t>
      </w:r>
      <w:r w:rsidR="00963A13" w:rsidRPr="00963A13">
        <w:t xml:space="preserve">testosterone nell’organismo; il blocco della sintesi del </w:t>
      </w:r>
      <w:proofErr w:type="spellStart"/>
      <w:r w:rsidR="00963A13">
        <w:t>diidro</w:t>
      </w:r>
      <w:r w:rsidR="00963A13" w:rsidRPr="00963A13">
        <w:t>testosterone</w:t>
      </w:r>
      <w:proofErr w:type="spellEnd"/>
      <w:r w:rsidR="00963A13" w:rsidRPr="00963A13">
        <w:t xml:space="preserve"> ha un effetto positivo sull’ingrossamento della prostata e sui problemi urinari connessi a questo.</w:t>
      </w: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4B4170">
        <w:rPr>
          <w:rFonts w:cs="Arial"/>
          <w:color w:val="000000"/>
          <w:shd w:val="clear" w:color="auto" w:fill="FFFFFF"/>
        </w:rPr>
        <w:br/>
      </w: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B4170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730AAF">
        <w:rPr>
          <w:rFonts w:eastAsia="Calibri" w:cs="Calibri"/>
          <w:b/>
          <w:color w:val="000000"/>
          <w:lang w:eastAsia="it-IT"/>
        </w:rPr>
        <w:t>Dutasteride</w:t>
      </w:r>
      <w:proofErr w:type="spellEnd"/>
      <w:r w:rsidR="00730AAF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730AAF">
        <w:rPr>
          <w:rFonts w:eastAsia="Calibri" w:cs="Calibri"/>
          <w:b/>
          <w:color w:val="000000"/>
          <w:lang w:eastAsia="it-IT"/>
        </w:rPr>
        <w:t>Sagaem</w:t>
      </w:r>
      <w:proofErr w:type="spellEnd"/>
      <w:r w:rsidRPr="004B4170">
        <w:rPr>
          <w:rFonts w:eastAsia="Calibri" w:cs="Calibri"/>
          <w:b/>
          <w:bCs/>
          <w:lang w:eastAsia="it-IT"/>
        </w:rPr>
        <w:t xml:space="preserve">? </w:t>
      </w:r>
    </w:p>
    <w:p w:rsidR="00F96473" w:rsidRDefault="00F96473" w:rsidP="00F96473">
      <w:pPr>
        <w:spacing w:after="0" w:line="240" w:lineRule="auto"/>
        <w:jc w:val="both"/>
        <w:rPr>
          <w:rFonts w:ascii="Calibri" w:hAnsi="Calibri" w:cs="Arial"/>
        </w:rPr>
      </w:pPr>
      <w:r w:rsidRPr="00D85E7D">
        <w:rPr>
          <w:rFonts w:cs="Arial"/>
        </w:rPr>
        <w:t xml:space="preserve">Poiché </w:t>
      </w:r>
      <w:proofErr w:type="spellStart"/>
      <w:r w:rsidR="00730AAF">
        <w:rPr>
          <w:rFonts w:cs="Arial"/>
        </w:rPr>
        <w:t>Dutasteride</w:t>
      </w:r>
      <w:proofErr w:type="spellEnd"/>
      <w:r w:rsidR="00730AAF">
        <w:rPr>
          <w:rFonts w:cs="Arial"/>
        </w:rPr>
        <w:t xml:space="preserve"> </w:t>
      </w:r>
      <w:proofErr w:type="spellStart"/>
      <w:r w:rsidR="00730AAF">
        <w:rPr>
          <w:rFonts w:cs="Arial"/>
        </w:rPr>
        <w:t>Sagaem</w:t>
      </w:r>
      <w:proofErr w:type="spellEnd"/>
      <w:r w:rsidR="00BF5F63" w:rsidRPr="00BF5F63">
        <w:rPr>
          <w:rFonts w:eastAsia="Calibri" w:cs="Calibri"/>
          <w:color w:val="000000"/>
          <w:lang w:eastAsia="it-IT"/>
        </w:rPr>
        <w:t xml:space="preserve"> </w:t>
      </w:r>
      <w:r w:rsidRPr="00D85E7D">
        <w:rPr>
          <w:rFonts w:cs="Arial"/>
        </w:rPr>
        <w:t>è un medicinale generico, è stato sufficiente effettuare prove cliniche per determinare</w:t>
      </w:r>
      <w:r w:rsidRPr="00D85E7D">
        <w:rPr>
          <w:rFonts w:cs="Arial"/>
          <w:b/>
        </w:rPr>
        <w:t xml:space="preserve"> </w:t>
      </w:r>
      <w:r w:rsidRPr="00D85E7D">
        <w:rPr>
          <w:rFonts w:cs="Arial"/>
        </w:rPr>
        <w:t xml:space="preserve">la bioequivalenza rispetto al medicinale di riferimento </w:t>
      </w:r>
      <w:proofErr w:type="spellStart"/>
      <w:r w:rsidR="00730AAF">
        <w:rPr>
          <w:rFonts w:cs="Arial"/>
        </w:rPr>
        <w:t>Avodart</w:t>
      </w:r>
      <w:proofErr w:type="spellEnd"/>
      <w:r w:rsidR="0010395C">
        <w:rPr>
          <w:rFonts w:cs="Arial"/>
        </w:rPr>
        <w:t>.</w:t>
      </w:r>
      <w:r w:rsidRPr="00D85E7D">
        <w:rPr>
          <w:rFonts w:cs="Arial"/>
        </w:rPr>
        <w:t xml:space="preserve"> Due medicinali sono</w:t>
      </w:r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bioequivalenti</w:t>
      </w:r>
      <w:proofErr w:type="spellEnd"/>
      <w:r>
        <w:rPr>
          <w:rFonts w:ascii="Calibri" w:hAnsi="Calibri" w:cs="Arial"/>
        </w:rPr>
        <w:t xml:space="preserve"> quando producono gli stessi livelli di principio attivo nell’organismo</w:t>
      </w:r>
      <w:r w:rsidRPr="004E389D">
        <w:rPr>
          <w:rFonts w:ascii="Calibri" w:hAnsi="Calibri" w:cs="Arial"/>
        </w:rPr>
        <w:t xml:space="preserve">. </w:t>
      </w:r>
    </w:p>
    <w:p w:rsidR="006B311C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6B311C" w:rsidRPr="00666CCE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Pr="002A3F14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730AAF">
        <w:rPr>
          <w:rFonts w:eastAsia="Calibri" w:cs="Calibri"/>
          <w:b/>
          <w:color w:val="000000"/>
          <w:lang w:eastAsia="it-IT"/>
        </w:rPr>
        <w:t>Dutasteride</w:t>
      </w:r>
      <w:proofErr w:type="spellEnd"/>
      <w:r w:rsidR="00730AAF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730AAF">
        <w:rPr>
          <w:rFonts w:eastAsia="Calibri" w:cs="Calibri"/>
          <w:b/>
          <w:color w:val="000000"/>
          <w:lang w:eastAsia="it-IT"/>
        </w:rPr>
        <w:t>Sagaem</w:t>
      </w:r>
      <w:proofErr w:type="spellEnd"/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BB2AF8" w:rsidRPr="002A3F14" w:rsidRDefault="00730AAF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Dutasteride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Sagaem</w:t>
      </w:r>
      <w:proofErr w:type="spellEnd"/>
      <w:r w:rsidR="0010395C" w:rsidRPr="0010395C">
        <w:rPr>
          <w:rFonts w:eastAsia="Calibri" w:cs="Calibri"/>
          <w:color w:val="000000"/>
          <w:lang w:eastAsia="it-IT"/>
        </w:rPr>
        <w:t xml:space="preserve"> </w:t>
      </w:r>
      <w:r w:rsidR="00BB2AF8" w:rsidRPr="004241AC">
        <w:rPr>
          <w:rFonts w:eastAsia="Calibri" w:cs="Calibri"/>
          <w:lang w:eastAsia="it-IT"/>
        </w:rPr>
        <w:t xml:space="preserve">è un medicinale </w:t>
      </w:r>
      <w:r w:rsidR="00BB2AF8">
        <w:rPr>
          <w:rFonts w:eastAsia="Calibri" w:cs="Calibri"/>
          <w:lang w:eastAsia="it-IT"/>
        </w:rPr>
        <w:t xml:space="preserve">generico ed è </w:t>
      </w:r>
      <w:proofErr w:type="spellStart"/>
      <w:r w:rsidR="00BB2AF8">
        <w:rPr>
          <w:rFonts w:eastAsia="Calibri" w:cs="Calibri"/>
          <w:lang w:eastAsia="it-IT"/>
        </w:rPr>
        <w:t>bioequivalente</w:t>
      </w:r>
      <w:proofErr w:type="spellEnd"/>
      <w:r w:rsidR="00BB2AF8">
        <w:rPr>
          <w:rFonts w:eastAsia="Calibri" w:cs="Calibri"/>
          <w:lang w:eastAsia="it-IT"/>
        </w:rPr>
        <w:t xml:space="preserve"> al medicinale di riferimento; pertanto,</w:t>
      </w:r>
      <w:r w:rsidR="00BB2AF8" w:rsidRPr="002A3F14">
        <w:rPr>
          <w:rFonts w:eastAsia="Calibri" w:cs="Calibri"/>
          <w:lang w:eastAsia="it-IT"/>
        </w:rPr>
        <w:t xml:space="preserve"> </w:t>
      </w:r>
      <w:r w:rsidR="00BB2AF8">
        <w:rPr>
          <w:rFonts w:eastAsia="Calibri" w:cs="Calibri"/>
          <w:lang w:eastAsia="it-IT"/>
        </w:rPr>
        <w:t>i suoi</w:t>
      </w:r>
      <w:r w:rsidR="00BB2AF8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BB2AF8">
        <w:rPr>
          <w:rFonts w:eastAsia="Calibri" w:cs="Calibri"/>
          <w:lang w:eastAsia="it-IT"/>
        </w:rPr>
        <w:t>l</w:t>
      </w:r>
      <w:r w:rsidR="00BB2AF8" w:rsidRPr="002A3F14">
        <w:rPr>
          <w:rFonts w:eastAsia="Calibri" w:cs="Calibri"/>
          <w:lang w:eastAsia="it-IT"/>
        </w:rPr>
        <w:t xml:space="preserve"> </w:t>
      </w:r>
      <w:r w:rsidR="00BB2AF8">
        <w:rPr>
          <w:rFonts w:eastAsia="Calibri" w:cs="Calibri"/>
          <w:lang w:eastAsia="it-IT"/>
        </w:rPr>
        <w:t>medicinale</w:t>
      </w:r>
      <w:r w:rsidR="00BB2AF8" w:rsidRPr="002A3F14">
        <w:rPr>
          <w:rFonts w:eastAsia="Calibri" w:cs="Calibri"/>
          <w:lang w:eastAsia="it-IT"/>
        </w:rPr>
        <w:t xml:space="preserve"> di riferimento. </w:t>
      </w:r>
    </w:p>
    <w:p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D4005D" w:rsidRPr="00666CCE" w:rsidRDefault="00D4005D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730AAF">
        <w:rPr>
          <w:rFonts w:eastAsia="Calibri" w:cs="Calibri"/>
          <w:b/>
          <w:color w:val="000000"/>
          <w:lang w:eastAsia="it-IT"/>
        </w:rPr>
        <w:t>Dutasteride</w:t>
      </w:r>
      <w:proofErr w:type="spellEnd"/>
      <w:r w:rsidR="00730AAF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730AAF">
        <w:rPr>
          <w:rFonts w:eastAsia="Calibri" w:cs="Calibri"/>
          <w:b/>
          <w:color w:val="000000"/>
          <w:lang w:eastAsia="it-IT"/>
        </w:rPr>
        <w:t>Sagaem</w:t>
      </w:r>
      <w:proofErr w:type="spellEnd"/>
      <w:r w:rsidR="0010395C" w:rsidRPr="00666CCE">
        <w:rPr>
          <w:rFonts w:eastAsia="Calibri" w:cs="Calibri"/>
          <w:b/>
          <w:bCs/>
          <w:lang w:eastAsia="it-IT"/>
        </w:rPr>
        <w:t xml:space="preserve"> </w:t>
      </w:r>
      <w:r w:rsidRPr="00666CCE">
        <w:rPr>
          <w:rFonts w:eastAsia="Calibri" w:cs="Calibri"/>
          <w:b/>
          <w:bCs/>
          <w:lang w:eastAsia="it-IT"/>
        </w:rPr>
        <w:t xml:space="preserve">E’ STATO APPROVATO? </w:t>
      </w:r>
    </w:p>
    <w:p w:rsidR="00BB2AF8" w:rsidRPr="00CB3303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lang w:eastAsia="it-IT"/>
        </w:rPr>
        <w:t xml:space="preserve">La </w:t>
      </w:r>
      <w:r w:rsidRPr="009F1B70">
        <w:rPr>
          <w:rFonts w:eastAsia="Calibri" w:cs="Calibri"/>
          <w:color w:val="000000"/>
          <w:lang w:eastAsia="it-IT"/>
        </w:rPr>
        <w:t xml:space="preserve">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666CCE">
        <w:rPr>
          <w:rFonts w:eastAsia="Calibri" w:cs="Calibri"/>
          <w:lang w:eastAsia="it-IT"/>
        </w:rPr>
        <w:t>,</w:t>
      </w:r>
      <w:r w:rsidR="00997BE6">
        <w:rPr>
          <w:rFonts w:eastAsia="Calibri" w:cs="Calibri"/>
          <w:lang w:eastAsia="it-IT"/>
        </w:rPr>
        <w:t xml:space="preserve"> nella riunione del </w:t>
      </w:r>
      <w:r w:rsidR="00730AAF">
        <w:rPr>
          <w:rFonts w:eastAsia="Calibri" w:cs="Calibri"/>
          <w:lang w:eastAsia="it-IT"/>
        </w:rPr>
        <w:t>9-11 ottobre</w:t>
      </w:r>
      <w:r w:rsidR="00997BE6">
        <w:rPr>
          <w:rFonts w:eastAsia="Calibri" w:cs="Calibri"/>
          <w:lang w:eastAsia="it-IT"/>
        </w:rPr>
        <w:t xml:space="preserve"> 2017</w:t>
      </w:r>
      <w:r>
        <w:rPr>
          <w:rFonts w:eastAsia="Calibri" w:cs="Calibri"/>
          <w:lang w:eastAsia="it-IT"/>
        </w:rPr>
        <w:t>,</w:t>
      </w:r>
      <w:r w:rsidRPr="00666CCE">
        <w:rPr>
          <w:rFonts w:eastAsia="Calibri" w:cs="Calibri"/>
          <w:lang w:eastAsia="it-IT"/>
        </w:rPr>
        <w:t xml:space="preserve"> ha concluso che, conformemente ai requisiti della normativa vigente, </w:t>
      </w:r>
      <w:r>
        <w:rPr>
          <w:rFonts w:eastAsia="Calibri" w:cs="Calibri"/>
          <w:lang w:eastAsia="it-IT"/>
        </w:rPr>
        <w:t xml:space="preserve">come nel caso del medicinale di riferimento </w:t>
      </w:r>
      <w:proofErr w:type="spellStart"/>
      <w:r w:rsidR="00730AAF">
        <w:rPr>
          <w:rFonts w:eastAsia="Calibri" w:cs="Calibri"/>
          <w:lang w:eastAsia="it-IT"/>
        </w:rPr>
        <w:t>Avodart</w:t>
      </w:r>
      <w:proofErr w:type="spellEnd"/>
      <w:r>
        <w:rPr>
          <w:rFonts w:eastAsia="Calibri" w:cs="Calibri"/>
          <w:lang w:eastAsia="it-IT"/>
        </w:rPr>
        <w:t xml:space="preserve">, </w:t>
      </w:r>
      <w:r w:rsidRPr="00666CCE">
        <w:rPr>
          <w:rFonts w:eastAsia="Calibri" w:cs="Calibri"/>
          <w:lang w:eastAsia="it-IT"/>
        </w:rPr>
        <w:t xml:space="preserve">i benefici di </w:t>
      </w:r>
      <w:proofErr w:type="spellStart"/>
      <w:r w:rsidR="00730AAF">
        <w:rPr>
          <w:rFonts w:eastAsia="Calibri" w:cs="Calibri"/>
          <w:color w:val="000000"/>
          <w:lang w:eastAsia="it-IT"/>
        </w:rPr>
        <w:t>Dutasteride</w:t>
      </w:r>
      <w:proofErr w:type="spellEnd"/>
      <w:r w:rsidR="00730AAF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730AAF">
        <w:rPr>
          <w:rFonts w:eastAsia="Calibri" w:cs="Calibri"/>
          <w:color w:val="000000"/>
          <w:lang w:eastAsia="it-IT"/>
        </w:rPr>
        <w:t>Sagaem</w:t>
      </w:r>
      <w:proofErr w:type="spellEnd"/>
      <w:r w:rsidR="00997BE6" w:rsidRPr="00997BE6">
        <w:rPr>
          <w:rFonts w:eastAsia="Calibri" w:cs="Calibri"/>
          <w:color w:val="000000"/>
          <w:lang w:eastAsia="it-IT"/>
        </w:rPr>
        <w:t xml:space="preserve"> </w:t>
      </w:r>
      <w:r w:rsidRPr="00666CCE">
        <w:rPr>
          <w:rFonts w:eastAsia="Calibri" w:cs="Calibri"/>
          <w:lang w:eastAsia="it-IT"/>
        </w:rPr>
        <w:t xml:space="preserve">sono superiori ai rischi individuati. La </w:t>
      </w:r>
      <w:r>
        <w:rPr>
          <w:rFonts w:eastAsia="Calibri" w:cs="Calibri"/>
          <w:lang w:eastAsia="it-IT"/>
        </w:rPr>
        <w:t>CTS</w:t>
      </w:r>
      <w:r w:rsidRPr="00666CCE">
        <w:rPr>
          <w:rFonts w:eastAsia="Calibri" w:cs="Calibri"/>
          <w:lang w:eastAsia="it-IT"/>
        </w:rPr>
        <w:t xml:space="preserve"> ha, inoltre, definito le modalità d</w:t>
      </w:r>
      <w:r>
        <w:rPr>
          <w:rFonts w:eastAsia="Calibri" w:cs="Calibri"/>
          <w:lang w:eastAsia="it-IT"/>
        </w:rPr>
        <w:t xml:space="preserve">i prescrizione di cui al punto </w:t>
      </w:r>
      <w:r w:rsidRPr="00666CCE">
        <w:rPr>
          <w:rFonts w:eastAsia="Calibri" w:cs="Calibri"/>
          <w:lang w:eastAsia="it-IT"/>
        </w:rPr>
        <w:t>2) di questo Riassunto e la</w:t>
      </w:r>
      <w:r w:rsidRPr="00CB3303">
        <w:rPr>
          <w:rFonts w:eastAsia="Calibri" w:cs="Calibri"/>
          <w:lang w:eastAsia="it-IT"/>
        </w:rPr>
        <w:t xml:space="preserve"> classe di rimborsabilità del </w:t>
      </w:r>
      <w:r w:rsidR="0066030D" w:rsidRPr="00CB3303">
        <w:rPr>
          <w:rFonts w:eastAsia="Calibri" w:cs="Calibri"/>
          <w:lang w:eastAsia="it-IT"/>
        </w:rPr>
        <w:t>medicinale</w:t>
      </w:r>
      <w:r w:rsidR="0066030D">
        <w:rPr>
          <w:rFonts w:eastAsia="Calibri" w:cs="Calibri"/>
          <w:sz w:val="20"/>
          <w:lang w:eastAsia="it-IT"/>
        </w:rPr>
        <w:t xml:space="preserve"> </w:t>
      </w:r>
      <w:r w:rsidR="0066030D" w:rsidRPr="00437701">
        <w:rPr>
          <w:rFonts w:eastAsia="Calibri" w:cs="Calibri"/>
          <w:sz w:val="20"/>
          <w:lang w:eastAsia="it-IT"/>
        </w:rPr>
        <w:t>(</w:t>
      </w:r>
      <w:r w:rsidR="007170D7" w:rsidRPr="00437701">
        <w:rPr>
          <w:rFonts w:eastAsia="Calibri" w:cs="Calibri"/>
          <w:lang w:eastAsia="it-IT"/>
        </w:rPr>
        <w:t>A</w:t>
      </w:r>
      <w:r w:rsidR="00437701">
        <w:rPr>
          <w:rFonts w:eastAsia="Calibri" w:cs="Calibri"/>
          <w:lang w:eastAsia="it-IT"/>
        </w:rPr>
        <w:t>).</w:t>
      </w:r>
      <w:r w:rsidRPr="00437701">
        <w:rPr>
          <w:rFonts w:eastAsia="Calibri" w:cs="Calibri"/>
          <w:color w:val="FF0000"/>
          <w:lang w:eastAsia="it-IT"/>
        </w:rPr>
        <w:t xml:space="preserve">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BB2AF8" w:rsidRPr="002A3F14" w:rsidRDefault="00BB2AF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730AAF">
        <w:rPr>
          <w:rFonts w:eastAsia="Calibri" w:cs="Calibri"/>
          <w:b/>
          <w:color w:val="000000"/>
          <w:lang w:eastAsia="it-IT"/>
        </w:rPr>
        <w:t>Dutasteride</w:t>
      </w:r>
      <w:proofErr w:type="spellEnd"/>
      <w:r w:rsidR="00730AAF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730AAF">
        <w:rPr>
          <w:rFonts w:eastAsia="Calibri" w:cs="Calibri"/>
          <w:b/>
          <w:color w:val="000000"/>
          <w:lang w:eastAsia="it-IT"/>
        </w:rPr>
        <w:t>Sagaem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730AAF">
        <w:rPr>
          <w:rFonts w:eastAsia="Calibri" w:cs="Calibri"/>
          <w:lang w:eastAsia="it-IT"/>
        </w:rPr>
        <w:t>Dutasteride</w:t>
      </w:r>
      <w:proofErr w:type="spellEnd"/>
      <w:r w:rsidR="00730AAF">
        <w:rPr>
          <w:rFonts w:eastAsia="Calibri" w:cs="Calibri"/>
          <w:lang w:eastAsia="it-IT"/>
        </w:rPr>
        <w:t xml:space="preserve"> </w:t>
      </w:r>
      <w:proofErr w:type="spellStart"/>
      <w:r w:rsidR="00730AAF">
        <w:rPr>
          <w:rFonts w:eastAsia="Calibri" w:cs="Calibri"/>
          <w:lang w:eastAsia="it-IT"/>
        </w:rPr>
        <w:t>Sagaem</w:t>
      </w:r>
      <w:proofErr w:type="spellEnd"/>
      <w:r w:rsidR="00997BE6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730AAF">
        <w:rPr>
          <w:rFonts w:eastAsia="Calibri" w:cs="Calibri"/>
          <w:b/>
          <w:color w:val="000000"/>
          <w:lang w:eastAsia="it-IT"/>
        </w:rPr>
        <w:t>Dutasteride</w:t>
      </w:r>
      <w:proofErr w:type="spellEnd"/>
      <w:r w:rsidR="00730AAF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730AAF">
        <w:rPr>
          <w:rFonts w:eastAsia="Calibri" w:cs="Calibri"/>
          <w:b/>
          <w:color w:val="000000"/>
          <w:lang w:eastAsia="it-IT"/>
        </w:rPr>
        <w:t>Sagaem</w:t>
      </w:r>
      <w:proofErr w:type="spellEnd"/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B2AF8">
        <w:rPr>
          <w:rFonts w:eastAsia="Calibri" w:cs="Calibri"/>
          <w:bCs/>
          <w:iCs/>
          <w:lang w:eastAsia="it-IT"/>
        </w:rPr>
        <w:t xml:space="preserve">Il </w:t>
      </w:r>
      <w:r w:rsidR="00437701">
        <w:rPr>
          <w:rFonts w:eastAsia="Calibri" w:cs="Calibri"/>
          <w:bCs/>
          <w:iCs/>
          <w:lang w:eastAsia="it-IT"/>
        </w:rPr>
        <w:t>28/03/2018</w:t>
      </w:r>
      <w:r w:rsidRPr="00BB2AF8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730AAF">
        <w:rPr>
          <w:rFonts w:eastAsia="Calibri" w:cs="Calibri"/>
          <w:bCs/>
          <w:iCs/>
          <w:lang w:eastAsia="it-IT"/>
        </w:rPr>
        <w:t>Dutasteride</w:t>
      </w:r>
      <w:proofErr w:type="spellEnd"/>
      <w:r w:rsidR="00730AAF">
        <w:rPr>
          <w:rFonts w:eastAsia="Calibri" w:cs="Calibri"/>
          <w:bCs/>
          <w:iCs/>
          <w:lang w:eastAsia="it-IT"/>
        </w:rPr>
        <w:t xml:space="preserve"> </w:t>
      </w:r>
      <w:proofErr w:type="spellStart"/>
      <w:r w:rsidR="00730AAF">
        <w:rPr>
          <w:rFonts w:eastAsia="Calibri" w:cs="Calibri"/>
          <w:bCs/>
          <w:iCs/>
          <w:lang w:eastAsia="it-IT"/>
        </w:rPr>
        <w:t>Sagaem</w:t>
      </w:r>
      <w:proofErr w:type="spellEnd"/>
      <w:r w:rsidRPr="00997BE6">
        <w:rPr>
          <w:rFonts w:eastAsia="Calibri" w:cs="Calibri"/>
          <w:bCs/>
          <w:i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E5A39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730AAF">
        <w:rPr>
          <w:rFonts w:eastAsia="Calibri" w:cs="Calibri"/>
          <w:bCs/>
          <w:iCs/>
          <w:lang w:eastAsia="it-IT"/>
        </w:rPr>
        <w:t>Dutasteride</w:t>
      </w:r>
      <w:proofErr w:type="spellEnd"/>
      <w:r w:rsidR="00730AAF">
        <w:rPr>
          <w:rFonts w:eastAsia="Calibri" w:cs="Calibri"/>
          <w:bCs/>
          <w:iCs/>
          <w:lang w:eastAsia="it-IT"/>
        </w:rPr>
        <w:t xml:space="preserve"> </w:t>
      </w:r>
      <w:proofErr w:type="spellStart"/>
      <w:r w:rsidR="00730AAF">
        <w:rPr>
          <w:rFonts w:eastAsia="Calibri" w:cs="Calibri"/>
          <w:bCs/>
          <w:iCs/>
          <w:lang w:eastAsia="it-IT"/>
        </w:rPr>
        <w:t>Sagaem</w:t>
      </w:r>
      <w:proofErr w:type="spellEnd"/>
      <w:r w:rsidR="00997BE6" w:rsidRPr="00CA3A1E">
        <w:rPr>
          <w:rFonts w:eastAsia="Calibri" w:cs="Calibri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67615">
        <w:rPr>
          <w:rFonts w:eastAsia="Calibri" w:cs="Calibri"/>
          <w:lang w:eastAsia="it-IT"/>
        </w:rPr>
        <w:t>(</w:t>
      </w:r>
      <w:hyperlink r:id="rId8" w:history="1">
        <w:r w:rsidR="0056761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67615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</w:t>
      </w:r>
      <w:r w:rsidR="00B1186F" w:rsidRPr="00074B05">
        <w:rPr>
          <w:rFonts w:eastAsia="Calibri" w:cs="Calibri"/>
          <w:lang w:eastAsia="it-IT"/>
        </w:rPr>
        <w:t xml:space="preserve">data </w:t>
      </w:r>
      <w:r w:rsidR="00D4005D" w:rsidRPr="00074B05">
        <w:rPr>
          <w:rFonts w:eastAsia="Calibri" w:cs="Calibri"/>
          <w:lang w:eastAsia="it-IT"/>
        </w:rPr>
        <w:t>1</w:t>
      </w:r>
      <w:r w:rsidR="00074B05" w:rsidRPr="00074B05">
        <w:rPr>
          <w:rFonts w:eastAsia="Calibri" w:cs="Calibri"/>
          <w:lang w:eastAsia="it-IT"/>
        </w:rPr>
        <w:t>9</w:t>
      </w:r>
      <w:r w:rsidR="00D4005D" w:rsidRPr="00074B05">
        <w:rPr>
          <w:rFonts w:eastAsia="Calibri" w:cs="Calibri"/>
          <w:lang w:eastAsia="it-IT"/>
        </w:rPr>
        <w:t>.</w:t>
      </w:r>
      <w:r w:rsidR="00074B05" w:rsidRPr="00074B05">
        <w:rPr>
          <w:rFonts w:eastAsia="Calibri" w:cs="Calibri"/>
          <w:lang w:eastAsia="it-IT"/>
        </w:rPr>
        <w:t>10</w:t>
      </w:r>
      <w:r w:rsidR="00D4005D" w:rsidRPr="00074B05">
        <w:rPr>
          <w:rFonts w:eastAsia="Calibri" w:cs="Calibri"/>
          <w:lang w:eastAsia="it-IT"/>
        </w:rPr>
        <w:t>.</w:t>
      </w:r>
      <w:r w:rsidR="00C93824" w:rsidRPr="00074B05">
        <w:rPr>
          <w:rFonts w:eastAsia="Calibri" w:cs="Calibri"/>
          <w:lang w:eastAsia="it-IT"/>
        </w:rPr>
        <w:t>2017</w:t>
      </w: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4E5A39" w:rsidRDefault="004E5A39" w:rsidP="004E5A3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Pr="008206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4E5A39" w:rsidRPr="002A3F14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Pr="002E4DC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4E5A39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4E5A39" w:rsidRPr="00BC23E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EF6711" w:rsidRDefault="00EF6711" w:rsidP="004E5A39"/>
    <w:p w:rsidR="00EF6711" w:rsidRDefault="00EF6711" w:rsidP="004E5A39"/>
    <w:p w:rsidR="00EF6711" w:rsidRDefault="00EF6711" w:rsidP="004E5A39"/>
    <w:p w:rsidR="00CC52A3" w:rsidRDefault="00CC52A3" w:rsidP="004E5A39"/>
    <w:p w:rsidR="00CC52A3" w:rsidRDefault="00CC52A3" w:rsidP="004E5A39"/>
    <w:p w:rsidR="004E5A39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EF6711">
        <w:rPr>
          <w:b/>
        </w:rPr>
        <w:lastRenderedPageBreak/>
        <w:t>INTRODUZIONE</w:t>
      </w:r>
    </w:p>
    <w:p w:rsidR="006E425C" w:rsidRPr="00EF6711" w:rsidRDefault="006E425C" w:rsidP="006E425C">
      <w:pPr>
        <w:pStyle w:val="Paragrafoelenco"/>
        <w:spacing w:after="0" w:line="240" w:lineRule="auto"/>
        <w:ind w:left="1800"/>
        <w:rPr>
          <w:b/>
        </w:rPr>
      </w:pPr>
    </w:p>
    <w:p w:rsidR="004E5A39" w:rsidRPr="00EF6711" w:rsidRDefault="004E5A39" w:rsidP="00EF6711">
      <w:pPr>
        <w:autoSpaceDE w:val="0"/>
        <w:autoSpaceDN w:val="0"/>
        <w:adjustRightInd w:val="0"/>
        <w:spacing w:after="0" w:line="240" w:lineRule="auto"/>
        <w:jc w:val="both"/>
      </w:pPr>
      <w:r w:rsidRPr="00EF6711">
        <w:t xml:space="preserve">Sulla base dei dati di qualità, sicurezza ed efficacia, l’AIFA ha rilasciato a </w:t>
      </w:r>
      <w:proofErr w:type="spellStart"/>
      <w:r w:rsidR="00730AAF" w:rsidRPr="00730AAF">
        <w:t>Sagaem</w:t>
      </w:r>
      <w:proofErr w:type="spellEnd"/>
      <w:r w:rsidR="00730AAF" w:rsidRPr="00730AAF">
        <w:t xml:space="preserve"> </w:t>
      </w:r>
      <w:proofErr w:type="spellStart"/>
      <w:r w:rsidR="00730AAF" w:rsidRPr="00730AAF">
        <w:t>For</w:t>
      </w:r>
      <w:proofErr w:type="spellEnd"/>
      <w:r w:rsidR="00730AAF" w:rsidRPr="00730AAF">
        <w:t xml:space="preserve"> Life</w:t>
      </w:r>
      <w:r w:rsidR="00997BE6" w:rsidRPr="00730AAF">
        <w:t xml:space="preserve"> </w:t>
      </w:r>
      <w:r w:rsidRPr="00730AAF">
        <w:t>l’a</w:t>
      </w:r>
      <w:r w:rsidRPr="00EF6711">
        <w:t xml:space="preserve">utorizzazione all’immissione in commercio (AIC) per il medicinale </w:t>
      </w:r>
      <w:proofErr w:type="spellStart"/>
      <w:r w:rsidR="00730AAF">
        <w:rPr>
          <w:rFonts w:eastAsia="Calibri" w:cs="Calibri"/>
          <w:bCs/>
          <w:iCs/>
          <w:color w:val="000000"/>
          <w:lang w:eastAsia="it-IT"/>
        </w:rPr>
        <w:t>Dutasteride</w:t>
      </w:r>
      <w:proofErr w:type="spellEnd"/>
      <w:r w:rsidR="00730AAF">
        <w:rPr>
          <w:rFonts w:eastAsia="Calibri" w:cs="Calibri"/>
          <w:bCs/>
          <w:iCs/>
          <w:color w:val="000000"/>
          <w:lang w:eastAsia="it-IT"/>
        </w:rPr>
        <w:t xml:space="preserve"> </w:t>
      </w:r>
      <w:proofErr w:type="spellStart"/>
      <w:r w:rsidR="00730AAF">
        <w:rPr>
          <w:rFonts w:eastAsia="Calibri" w:cs="Calibri"/>
          <w:bCs/>
          <w:iCs/>
          <w:color w:val="000000"/>
          <w:lang w:eastAsia="it-IT"/>
        </w:rPr>
        <w:t>Sagaem</w:t>
      </w:r>
      <w:proofErr w:type="spellEnd"/>
      <w:r w:rsidR="00997BE6" w:rsidRPr="00997BE6">
        <w:rPr>
          <w:rFonts w:eastAsia="Calibri" w:cs="Calibri"/>
          <w:bCs/>
          <w:iCs/>
          <w:color w:val="000000"/>
          <w:lang w:eastAsia="it-IT"/>
        </w:rPr>
        <w:t xml:space="preserve"> </w:t>
      </w:r>
      <w:r w:rsidRPr="00EF6711">
        <w:rPr>
          <w:rFonts w:eastAsia="Calibri" w:cs="Calibri"/>
          <w:bCs/>
          <w:iCs/>
          <w:lang w:eastAsia="it-IT"/>
        </w:rPr>
        <w:t xml:space="preserve">il </w:t>
      </w:r>
      <w:r w:rsidR="00437701">
        <w:rPr>
          <w:rFonts w:eastAsia="Calibri" w:cs="Calibri"/>
          <w:bCs/>
          <w:iCs/>
          <w:lang w:eastAsia="it-IT"/>
        </w:rPr>
        <w:t>28/03/2018.</w:t>
      </w:r>
      <w:r w:rsidRPr="00EF6711">
        <w:t xml:space="preserve">  </w:t>
      </w:r>
    </w:p>
    <w:p w:rsidR="004E5A39" w:rsidRPr="00EF6711" w:rsidRDefault="004E5A39" w:rsidP="00EF6711">
      <w:pPr>
        <w:spacing w:after="0" w:line="240" w:lineRule="auto"/>
        <w:jc w:val="both"/>
      </w:pPr>
    </w:p>
    <w:p w:rsidR="00EF6711" w:rsidRDefault="00730AAF" w:rsidP="00EF67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>
        <w:rPr>
          <w:rFonts w:eastAsia="Calibri" w:cs="Calibri"/>
          <w:bCs/>
          <w:iCs/>
          <w:lang w:eastAsia="it-IT"/>
        </w:rPr>
        <w:t>Dutasteride</w:t>
      </w:r>
      <w:proofErr w:type="spellEnd"/>
      <w:r>
        <w:rPr>
          <w:rFonts w:eastAsia="Calibri" w:cs="Calibri"/>
          <w:bCs/>
          <w:iCs/>
          <w:lang w:eastAsia="it-IT"/>
        </w:rPr>
        <w:t xml:space="preserve"> </w:t>
      </w:r>
      <w:proofErr w:type="spellStart"/>
      <w:r>
        <w:rPr>
          <w:rFonts w:eastAsia="Calibri" w:cs="Calibri"/>
          <w:bCs/>
          <w:iCs/>
          <w:lang w:eastAsia="it-IT"/>
        </w:rPr>
        <w:t>Sagaem</w:t>
      </w:r>
      <w:proofErr w:type="spellEnd"/>
      <w:r w:rsidR="00997BE6" w:rsidRPr="00B7597D">
        <w:rPr>
          <w:rFonts w:eastAsia="Calibri" w:cs="Calibri"/>
          <w:color w:val="000000"/>
          <w:lang w:eastAsia="it-IT"/>
        </w:rPr>
        <w:t xml:space="preserve"> </w:t>
      </w:r>
      <w:r w:rsidR="00EF6711" w:rsidRPr="00B7597D">
        <w:rPr>
          <w:rFonts w:eastAsia="Calibri" w:cs="Calibri"/>
          <w:color w:val="000000"/>
          <w:lang w:eastAsia="it-IT"/>
        </w:rPr>
        <w:t xml:space="preserve">può essere ottenuto solo su </w:t>
      </w:r>
      <w:r w:rsidR="00997BE6" w:rsidRPr="001C15DF">
        <w:rPr>
          <w:rFonts w:eastAsia="Calibri" w:cs="Calibri"/>
          <w:color w:val="000000"/>
        </w:rPr>
        <w:t>prescrizione da parte</w:t>
      </w:r>
      <w:r w:rsidR="00997BE6">
        <w:rPr>
          <w:rFonts w:eastAsia="Calibri" w:cs="Calibri"/>
          <w:color w:val="000000"/>
        </w:rPr>
        <w:t xml:space="preserve"> del medico (ricetta ripetibile).</w:t>
      </w:r>
    </w:p>
    <w:p w:rsidR="00997BE6" w:rsidRPr="00EF6711" w:rsidRDefault="00997BE6" w:rsidP="00EF6711">
      <w:pPr>
        <w:autoSpaceDE w:val="0"/>
        <w:autoSpaceDN w:val="0"/>
        <w:adjustRightInd w:val="0"/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Questa procedura è stata presentata ai sensi dell’art. </w:t>
      </w:r>
      <w:r w:rsidR="00997BE6">
        <w:t>10.</w:t>
      </w:r>
      <w:r w:rsidR="006406D4">
        <w:t>1</w:t>
      </w:r>
      <w:r w:rsidRPr="00EF6711">
        <w:t xml:space="preserve"> della Direttiva 2001/83/EU </w:t>
      </w:r>
      <w:proofErr w:type="spellStart"/>
      <w:r w:rsidRPr="00EF6711">
        <w:t>s.m.i.</w:t>
      </w:r>
      <w:proofErr w:type="spellEnd"/>
    </w:p>
    <w:p w:rsidR="004E5A39" w:rsidRDefault="004E5A39" w:rsidP="00EF6711">
      <w:pPr>
        <w:widowControl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:rsidR="004E5A39" w:rsidRPr="00EF6711" w:rsidRDefault="00730AAF" w:rsidP="00EF6711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iCs/>
          <w:lang w:eastAsia="it-IT"/>
        </w:rPr>
        <w:t>Dutasteride</w:t>
      </w:r>
      <w:proofErr w:type="spellEnd"/>
      <w:r>
        <w:rPr>
          <w:rFonts w:eastAsia="Calibri" w:cs="Calibri"/>
          <w:bCs/>
          <w:iCs/>
          <w:lang w:eastAsia="it-IT"/>
        </w:rPr>
        <w:t xml:space="preserve"> </w:t>
      </w:r>
      <w:proofErr w:type="spellStart"/>
      <w:r>
        <w:rPr>
          <w:rFonts w:eastAsia="Calibri" w:cs="Calibri"/>
          <w:bCs/>
          <w:iCs/>
          <w:lang w:eastAsia="it-IT"/>
        </w:rPr>
        <w:t>Sagaem</w:t>
      </w:r>
      <w:proofErr w:type="spellEnd"/>
      <w:r w:rsidR="00997BE6" w:rsidRPr="00B7597D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>è un medicinale contenente un principio attivo</w:t>
      </w:r>
      <w:r w:rsidR="00C42AAC" w:rsidRPr="00EF6711">
        <w:rPr>
          <w:rFonts w:eastAsia="Calibri" w:cs="Calibri"/>
          <w:lang w:eastAsia="it-IT"/>
        </w:rPr>
        <w:t xml:space="preserve"> </w:t>
      </w:r>
      <w:proofErr w:type="spellStart"/>
      <w:r>
        <w:rPr>
          <w:rFonts w:eastAsia="Calibri" w:cs="Calibri"/>
          <w:lang w:eastAsia="it-IT"/>
        </w:rPr>
        <w:t>dutasteride</w:t>
      </w:r>
      <w:proofErr w:type="spellEnd"/>
      <w:r w:rsidR="004E5A39" w:rsidRPr="00EF6711">
        <w:rPr>
          <w:rFonts w:eastAsia="Calibri" w:cs="Calibri"/>
          <w:lang w:eastAsia="it-IT"/>
        </w:rPr>
        <w:t xml:space="preserve"> noto</w:t>
      </w:r>
      <w:r w:rsidR="00997BE6">
        <w:rPr>
          <w:rFonts w:eastAsia="Calibri" w:cs="Calibri"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>e present</w:t>
      </w:r>
      <w:r w:rsidR="00C42AAC" w:rsidRPr="00EF6711">
        <w:rPr>
          <w:rFonts w:eastAsia="Calibri" w:cs="Calibri"/>
          <w:lang w:eastAsia="it-IT"/>
        </w:rPr>
        <w:t>e</w:t>
      </w:r>
      <w:r w:rsidR="004E5A39" w:rsidRPr="00EF6711">
        <w:rPr>
          <w:rFonts w:eastAsia="Calibri" w:cs="Calibri"/>
          <w:lang w:eastAsia="it-IT"/>
        </w:rPr>
        <w:t xml:space="preserve"> nel medicinale di riferimento </w:t>
      </w:r>
      <w:proofErr w:type="spellStart"/>
      <w:r>
        <w:rPr>
          <w:rFonts w:eastAsia="Calibri" w:cs="Calibri"/>
          <w:lang w:eastAsia="it-IT"/>
        </w:rPr>
        <w:t>Avodart</w:t>
      </w:r>
      <w:proofErr w:type="spellEnd"/>
      <w:r w:rsidR="00997BE6">
        <w:rPr>
          <w:rFonts w:eastAsia="Calibri" w:cs="Calibri"/>
          <w:lang w:eastAsia="it-IT"/>
        </w:rPr>
        <w:t xml:space="preserve"> </w:t>
      </w:r>
      <w:r w:rsidR="0042214D">
        <w:rPr>
          <w:rFonts w:eastAsia="Calibri" w:cs="Calibri"/>
          <w:lang w:eastAsia="it-IT"/>
        </w:rPr>
        <w:t>aut</w:t>
      </w:r>
      <w:r w:rsidR="004E5A39" w:rsidRPr="00EF6711">
        <w:rPr>
          <w:rFonts w:eastAsia="Calibri" w:cs="Calibri"/>
          <w:lang w:eastAsia="it-IT"/>
        </w:rPr>
        <w:t>orizzato in Italia da più di 10 anni.</w:t>
      </w:r>
    </w:p>
    <w:p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:rsidR="00963A13" w:rsidRPr="00F96473" w:rsidRDefault="00963A13" w:rsidP="00963A1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i/>
          <w:color w:val="000000"/>
          <w:sz w:val="20"/>
          <w:shd w:val="clear" w:color="auto" w:fill="FFFFFF"/>
        </w:rPr>
      </w:pPr>
      <w:proofErr w:type="spellStart"/>
      <w:r w:rsidRPr="00963A13">
        <w:rPr>
          <w:rFonts w:eastAsia="Calibri" w:cs="Calibri"/>
          <w:color w:val="000000"/>
          <w:lang w:eastAsia="it-IT"/>
        </w:rPr>
        <w:t>Dutasteride</w:t>
      </w:r>
      <w:proofErr w:type="spellEnd"/>
      <w:r w:rsidRPr="00963A1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963A13">
        <w:rPr>
          <w:rFonts w:eastAsia="Calibri" w:cs="Calibri"/>
          <w:color w:val="000000"/>
          <w:lang w:eastAsia="it-IT"/>
        </w:rPr>
        <w:t>Sagaem</w:t>
      </w:r>
      <w:proofErr w:type="spellEnd"/>
      <w:r w:rsidRPr="00963A13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Pr="00963A13">
        <w:t>G04CB02</w:t>
      </w:r>
      <w:r w:rsidRPr="00963A13">
        <w:rPr>
          <w:rFonts w:eastAsia="DejaVuSans" w:cs="DejaVuSans"/>
        </w:rPr>
        <w:t xml:space="preserve"> </w:t>
      </w:r>
      <w:r w:rsidRPr="00963A13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Pr="00963A13">
        <w:rPr>
          <w:rFonts w:eastAsia="Calibri" w:cs="Calibri"/>
          <w:color w:val="000000"/>
          <w:lang w:eastAsia="it-IT"/>
        </w:rPr>
        <w:t>dutasteride</w:t>
      </w:r>
      <w:proofErr w:type="spellEnd"/>
      <w:r w:rsidRPr="00963A13">
        <w:rPr>
          <w:rFonts w:eastAsia="Calibri" w:cs="Calibri"/>
          <w:color w:val="000000"/>
          <w:lang w:eastAsia="it-IT"/>
        </w:rPr>
        <w:t xml:space="preserve"> </w:t>
      </w:r>
      <w:r w:rsidRPr="00963A13">
        <w:rPr>
          <w:rFonts w:eastAsia="DejaVuSans" w:cs="DejaVuSans"/>
        </w:rPr>
        <w:t xml:space="preserve">che </w:t>
      </w:r>
      <w:r w:rsidRPr="00963A13">
        <w:t xml:space="preserve">appartiene alla classe degli inibitori dell’enzima testosterone-5-alfa-reduttasi. Questo enzima è necessario per la sintesi del </w:t>
      </w:r>
      <w:proofErr w:type="spellStart"/>
      <w:r w:rsidRPr="00963A13">
        <w:t>diidrotestosterone</w:t>
      </w:r>
      <w:proofErr w:type="spellEnd"/>
      <w:r w:rsidRPr="00963A13">
        <w:t xml:space="preserve"> a partire dal testosterone nell’organismo; il blocco della sintesi del </w:t>
      </w:r>
      <w:proofErr w:type="spellStart"/>
      <w:r w:rsidRPr="00963A13">
        <w:t>diidrotestosterone</w:t>
      </w:r>
      <w:proofErr w:type="spellEnd"/>
      <w:r w:rsidRPr="00963A13">
        <w:t xml:space="preserve"> ha un effetto positivo sull’ingrossamento della prostata e sui problemi urinari connessi a questo.</w:t>
      </w:r>
    </w:p>
    <w:p w:rsidR="00EF6711" w:rsidRDefault="00EF671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730AAF" w:rsidRPr="00730AAF" w:rsidRDefault="00730AAF" w:rsidP="00730AA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proofErr w:type="spellStart"/>
      <w:r w:rsidRPr="00730AAF">
        <w:rPr>
          <w:rFonts w:eastAsia="Calibri" w:cs="Calibri"/>
          <w:bCs/>
          <w:iCs/>
          <w:lang w:eastAsia="it-IT"/>
        </w:rPr>
        <w:t>Dutasteride</w:t>
      </w:r>
      <w:proofErr w:type="spellEnd"/>
      <w:r w:rsidRPr="00730AAF">
        <w:rPr>
          <w:rFonts w:eastAsia="Calibri" w:cs="Calibri"/>
          <w:bCs/>
          <w:iCs/>
          <w:lang w:eastAsia="it-IT"/>
        </w:rPr>
        <w:t xml:space="preserve"> </w:t>
      </w:r>
      <w:proofErr w:type="spellStart"/>
      <w:r w:rsidRPr="00730AAF">
        <w:rPr>
          <w:rFonts w:eastAsia="Calibri" w:cs="Calibri"/>
          <w:bCs/>
          <w:iCs/>
          <w:lang w:eastAsia="it-IT"/>
        </w:rPr>
        <w:t>Sagaem</w:t>
      </w:r>
      <w:proofErr w:type="spellEnd"/>
      <w:r w:rsidR="006D6D08" w:rsidRPr="00730AAF">
        <w:t xml:space="preserve"> </w:t>
      </w:r>
      <w:r w:rsidR="00265B61" w:rsidRPr="00730AAF">
        <w:t xml:space="preserve">è utilizzato </w:t>
      </w:r>
      <w:r w:rsidRPr="00730AAF">
        <w:rPr>
          <w:rFonts w:eastAsia="Calibri" w:cs="Calibri"/>
          <w:lang w:eastAsia="it-IT"/>
        </w:rPr>
        <w:t xml:space="preserve">per il </w:t>
      </w:r>
      <w:r w:rsidRPr="00730AAF">
        <w:rPr>
          <w:rFonts w:cs="TimesNewRomanPSMT"/>
          <w:lang w:eastAsia="it-IT"/>
        </w:rPr>
        <w:t>trattamento dei sintomi da moderati a gravi dell’iperplasia prostatica benigna (IPB) e per la riduzione del rischio di ritenzione urinaria acuta e dell’intervento chirurgico in pazienti con sintomi da moderati a gravi dell’iperplasia prostatica benigna.</w:t>
      </w:r>
    </w:p>
    <w:p w:rsidR="006D6D08" w:rsidRPr="00D23DF7" w:rsidRDefault="006D6D08" w:rsidP="00730AA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i/>
          <w:iCs/>
        </w:rPr>
      </w:pPr>
    </w:p>
    <w:p w:rsidR="0042214D" w:rsidRPr="00900C91" w:rsidRDefault="0042214D" w:rsidP="0042214D">
      <w:pPr>
        <w:spacing w:after="0" w:line="240" w:lineRule="auto"/>
        <w:jc w:val="both"/>
      </w:pPr>
      <w:r w:rsidRPr="00D23DF7">
        <w:t xml:space="preserve">La richiesta di AIC è supportata da uno studio di bioequivalenza che ha confrontato i profili farmacocinetici del medicinale test </w:t>
      </w:r>
      <w:proofErr w:type="spellStart"/>
      <w:r w:rsidR="00730AAF">
        <w:t>Dutasteride</w:t>
      </w:r>
      <w:proofErr w:type="spellEnd"/>
      <w:r w:rsidR="00730AAF">
        <w:t xml:space="preserve"> </w:t>
      </w:r>
      <w:proofErr w:type="spellStart"/>
      <w:r w:rsidR="00730AAF">
        <w:t>Sagaem</w:t>
      </w:r>
      <w:proofErr w:type="spellEnd"/>
      <w:r w:rsidR="006D6D08" w:rsidRPr="00D23DF7">
        <w:t xml:space="preserve"> </w:t>
      </w:r>
      <w:r w:rsidRPr="00D23DF7">
        <w:t xml:space="preserve">e quelli del medicinale di riferimento </w:t>
      </w:r>
      <w:proofErr w:type="spellStart"/>
      <w:r w:rsidR="00730AAF">
        <w:t>Avodart</w:t>
      </w:r>
      <w:proofErr w:type="spellEnd"/>
      <w:r w:rsidRPr="00D23DF7">
        <w:t xml:space="preserve"> autorizzato</w:t>
      </w:r>
      <w:r>
        <w:t xml:space="preserve"> in Italia</w:t>
      </w:r>
      <w:r w:rsidRPr="00900C91">
        <w:t>.</w:t>
      </w:r>
    </w:p>
    <w:p w:rsidR="0042214D" w:rsidRDefault="0042214D" w:rsidP="0042214D">
      <w:pPr>
        <w:spacing w:after="0" w:line="240" w:lineRule="auto"/>
        <w:jc w:val="both"/>
      </w:pPr>
      <w:r w:rsidRPr="00900C91">
        <w:t>Lo studio di bioequivalenza è stato condotto in conformità alle linee guida di Buona Pratica Clinica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Clinical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GCP).</w:t>
      </w:r>
    </w:p>
    <w:p w:rsidR="0042214D" w:rsidRDefault="0042214D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CC2AD6">
        <w:t>Le officine coinvolte nella produzione sono conformi alle linee guida di Buona Pratica di Fabbricazione (</w:t>
      </w:r>
      <w:proofErr w:type="spellStart"/>
      <w:r w:rsidRPr="00CC2AD6">
        <w:rPr>
          <w:i/>
        </w:rPr>
        <w:t>Good</w:t>
      </w:r>
      <w:proofErr w:type="spellEnd"/>
      <w:r w:rsidRPr="00CC2AD6">
        <w:rPr>
          <w:i/>
        </w:rPr>
        <w:t xml:space="preserve"> Manufacturing </w:t>
      </w:r>
      <w:proofErr w:type="spellStart"/>
      <w:r w:rsidRPr="00CC2AD6">
        <w:rPr>
          <w:i/>
        </w:rPr>
        <w:t>Practice</w:t>
      </w:r>
      <w:proofErr w:type="spellEnd"/>
      <w:r w:rsidRPr="00CC2AD6">
        <w:t xml:space="preserve"> - GMP). Le autorità regolatore competenti hanno rilasciato i certificati GMP per i siti di produzione sul territorio dell’Unione Europea.</w:t>
      </w:r>
    </w:p>
    <w:p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EF6711">
        <w:rPr>
          <w:i/>
        </w:rPr>
        <w:t>Risk</w:t>
      </w:r>
      <w:proofErr w:type="spellEnd"/>
      <w:r w:rsidRPr="00EF6711">
        <w:rPr>
          <w:i/>
        </w:rPr>
        <w:t xml:space="preserve"> Management </w:t>
      </w:r>
      <w:proofErr w:type="spellStart"/>
      <w:r w:rsidRPr="00EF6711">
        <w:rPr>
          <w:i/>
        </w:rPr>
        <w:t>Plan</w:t>
      </w:r>
      <w:proofErr w:type="spellEnd"/>
      <w:r w:rsidRPr="00EF6711">
        <w:t xml:space="preserve"> – RMP) accettabile.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CC2AD6">
        <w:t>Il titolare di AIC ha presentato una adeguata giustificazione della non presentazione della Valutazione del Rischio ambientale; questo approccio è accettabile in quanto</w:t>
      </w:r>
      <w:r w:rsidR="00CC2AD6" w:rsidRPr="00CC2AD6">
        <w:t xml:space="preserve"> </w:t>
      </w:r>
      <w:proofErr w:type="spellStart"/>
      <w:r w:rsidR="00730AAF">
        <w:t>Dutasteride</w:t>
      </w:r>
      <w:proofErr w:type="spellEnd"/>
      <w:r w:rsidR="00730AAF">
        <w:t xml:space="preserve"> </w:t>
      </w:r>
      <w:proofErr w:type="spellStart"/>
      <w:r w:rsidR="00730AAF">
        <w:t>Sagaem</w:t>
      </w:r>
      <w:proofErr w:type="spellEnd"/>
      <w:r w:rsidR="00CC2AD6" w:rsidRPr="00CC2AD6">
        <w:t xml:space="preserve"> </w:t>
      </w:r>
      <w:r w:rsidRPr="00CC2AD6">
        <w:t xml:space="preserve">contiene </w:t>
      </w:r>
      <w:r w:rsidR="00265B61" w:rsidRPr="00CC2AD6">
        <w:t xml:space="preserve">un </w:t>
      </w:r>
      <w:r w:rsidRPr="00CC2AD6">
        <w:t>principi</w:t>
      </w:r>
      <w:r w:rsidR="00265B61" w:rsidRPr="00CC2AD6">
        <w:t>o</w:t>
      </w:r>
      <w:r w:rsidRPr="00CC2AD6">
        <w:t xml:space="preserve"> attiv</w:t>
      </w:r>
      <w:r w:rsidR="00265B61" w:rsidRPr="00CC2AD6">
        <w:t>o</w:t>
      </w:r>
      <w:r w:rsidRPr="00CC2AD6">
        <w:t xml:space="preserve"> not</w:t>
      </w:r>
      <w:r w:rsidR="00265B61" w:rsidRPr="00CC2AD6">
        <w:t>o</w:t>
      </w:r>
      <w:r w:rsidRPr="00CC2AD6">
        <w:t xml:space="preserve"> present</w:t>
      </w:r>
      <w:r w:rsidR="00265B61" w:rsidRPr="00CC2AD6">
        <w:t>e</w:t>
      </w:r>
      <w:r w:rsidRPr="00CC2AD6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6406D4" w:rsidRDefault="004E5A39" w:rsidP="00EF6711">
      <w:pPr>
        <w:spacing w:after="0" w:line="240" w:lineRule="auto"/>
        <w:jc w:val="both"/>
      </w:pPr>
    </w:p>
    <w:p w:rsidR="004E5A39" w:rsidRPr="00730AAF" w:rsidRDefault="004E5A39" w:rsidP="00730AAF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730AAF">
        <w:rPr>
          <w:b/>
        </w:rPr>
        <w:t xml:space="preserve">ASPETTI </w:t>
      </w:r>
      <w:proofErr w:type="spellStart"/>
      <w:r w:rsidRPr="00730AAF">
        <w:rPr>
          <w:b/>
        </w:rPr>
        <w:t>DI</w:t>
      </w:r>
      <w:proofErr w:type="spellEnd"/>
      <w:r w:rsidRPr="00730AAF">
        <w:rPr>
          <w:b/>
        </w:rPr>
        <w:t xml:space="preserve"> QUALITA’</w:t>
      </w:r>
    </w:p>
    <w:p w:rsidR="004E5A39" w:rsidRPr="00730AAF" w:rsidRDefault="004E5A39" w:rsidP="00730AAF">
      <w:pPr>
        <w:spacing w:after="0" w:line="240" w:lineRule="auto"/>
        <w:jc w:val="both"/>
      </w:pPr>
      <w:r w:rsidRPr="00730AAF">
        <w:rPr>
          <w:b/>
        </w:rPr>
        <w:t xml:space="preserve">II.1 PRINCIPIO ATTIVO </w:t>
      </w:r>
      <w:proofErr w:type="spellStart"/>
      <w:r w:rsidR="00730AAF" w:rsidRPr="00730AAF">
        <w:rPr>
          <w:b/>
        </w:rPr>
        <w:t>Dutasteride</w:t>
      </w:r>
      <w:proofErr w:type="spellEnd"/>
      <w:r w:rsidR="00F44326" w:rsidRPr="00730AAF">
        <w:rPr>
          <w:b/>
        </w:rPr>
        <w:t xml:space="preserve"> sale sodico</w:t>
      </w:r>
    </w:p>
    <w:p w:rsidR="004E5A39" w:rsidRPr="00730AAF" w:rsidRDefault="004E5A39" w:rsidP="00730AAF">
      <w:pPr>
        <w:pStyle w:val="Default"/>
        <w:rPr>
          <w:rFonts w:asciiTheme="minorHAnsi" w:hAnsiTheme="minorHAnsi"/>
          <w:sz w:val="22"/>
          <w:szCs w:val="22"/>
        </w:rPr>
      </w:pPr>
      <w:r w:rsidRPr="00730AAF">
        <w:rPr>
          <w:rFonts w:asciiTheme="minorHAnsi" w:hAnsiTheme="minorHAnsi"/>
          <w:sz w:val="22"/>
          <w:szCs w:val="22"/>
          <w:u w:val="single"/>
        </w:rPr>
        <w:t>Nome chimico</w:t>
      </w:r>
      <w:r w:rsidR="000E4494" w:rsidRPr="00730AAF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356284" w:rsidRPr="00730AAF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730AAF" w:rsidRPr="00730AAF">
        <w:rPr>
          <w:rFonts w:asciiTheme="minorHAnsi" w:hAnsiTheme="minorHAnsi" w:cs="TimesNewRomanPSMT"/>
          <w:sz w:val="22"/>
          <w:szCs w:val="22"/>
          <w:lang w:val="pt-BR" w:eastAsia="it-IT"/>
        </w:rPr>
        <w:t>17</w:t>
      </w:r>
      <w:r w:rsidR="00730AAF" w:rsidRPr="00730AAF">
        <w:rPr>
          <w:rFonts w:asciiTheme="minorHAnsi" w:hAnsiTheme="minorHAnsi" w:cs="SymbolMT"/>
          <w:sz w:val="22"/>
          <w:szCs w:val="22"/>
          <w:lang w:eastAsia="it-IT"/>
        </w:rPr>
        <w:t>β</w:t>
      </w:r>
      <w:r w:rsidR="00730AAF" w:rsidRPr="00730AAF">
        <w:rPr>
          <w:rFonts w:asciiTheme="minorHAnsi" w:hAnsiTheme="minorHAnsi" w:cs="TimesNewRomanPSMT"/>
          <w:sz w:val="22"/>
          <w:szCs w:val="22"/>
          <w:lang w:val="pt-BR" w:eastAsia="it-IT"/>
        </w:rPr>
        <w:t>-N-[2,5-Bis (trifluoromethyl) phenyl] Carbamoyl-4-aza-5</w:t>
      </w:r>
      <w:r w:rsidR="00730AAF" w:rsidRPr="00730AAF">
        <w:rPr>
          <w:rFonts w:asciiTheme="minorHAnsi" w:hAnsiTheme="minorHAnsi" w:cs="SymbolMT"/>
          <w:sz w:val="22"/>
          <w:szCs w:val="22"/>
          <w:lang w:eastAsia="it-IT"/>
        </w:rPr>
        <w:t>α</w:t>
      </w:r>
      <w:r w:rsidR="00730AAF" w:rsidRPr="00730AAF">
        <w:rPr>
          <w:rFonts w:asciiTheme="minorHAnsi" w:hAnsiTheme="minorHAnsi" w:cs="TimesNewRomanPSMT"/>
          <w:sz w:val="22"/>
          <w:szCs w:val="22"/>
          <w:lang w:val="pt-BR" w:eastAsia="it-IT"/>
        </w:rPr>
        <w:t>–androst-1-en-3-one</w:t>
      </w:r>
    </w:p>
    <w:p w:rsidR="004E5A39" w:rsidRPr="00730AAF" w:rsidRDefault="004E5A39" w:rsidP="00730AAF">
      <w:pPr>
        <w:spacing w:after="0" w:line="240" w:lineRule="auto"/>
        <w:jc w:val="both"/>
      </w:pPr>
      <w:r w:rsidRPr="00730AAF">
        <w:rPr>
          <w:u w:val="single"/>
        </w:rPr>
        <w:t>Struttura</w:t>
      </w:r>
      <w:r w:rsidRPr="00730AAF">
        <w:t>:</w:t>
      </w:r>
    </w:p>
    <w:p w:rsidR="004E5A39" w:rsidRPr="00730AAF" w:rsidRDefault="00730AAF" w:rsidP="00730AAF">
      <w:pPr>
        <w:spacing w:after="0" w:line="240" w:lineRule="auto"/>
        <w:jc w:val="center"/>
      </w:pPr>
      <w:r w:rsidRPr="00730AAF">
        <w:rPr>
          <w:noProof/>
          <w:lang w:eastAsia="it-IT"/>
        </w:rPr>
        <w:drawing>
          <wp:inline distT="0" distB="0" distL="0" distR="0">
            <wp:extent cx="1365179" cy="975815"/>
            <wp:effectExtent l="19050" t="0" r="6421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950" cy="98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0AAF" w:rsidRPr="00730AAF" w:rsidRDefault="004E5A39" w:rsidP="00730AAF">
      <w:pPr>
        <w:autoSpaceDE w:val="0"/>
        <w:autoSpaceDN w:val="0"/>
        <w:adjustRightInd w:val="0"/>
        <w:spacing w:after="0" w:line="240" w:lineRule="auto"/>
        <w:rPr>
          <w:rFonts w:cs="TimesNewRomanPSMT"/>
          <w:lang w:eastAsia="it-IT"/>
        </w:rPr>
      </w:pPr>
      <w:r w:rsidRPr="00963A13">
        <w:rPr>
          <w:u w:val="single"/>
        </w:rPr>
        <w:t>Formula molecolare</w:t>
      </w:r>
      <w:r w:rsidRPr="00963A13">
        <w:t>:</w:t>
      </w:r>
      <w:r w:rsidRPr="00963A13">
        <w:rPr>
          <w:rStyle w:val="s1"/>
          <w:rFonts w:asciiTheme="minorHAnsi" w:hAnsiTheme="minorHAnsi"/>
        </w:rPr>
        <w:t xml:space="preserve"> </w:t>
      </w:r>
      <w:r w:rsidR="00730AAF" w:rsidRPr="00963A13">
        <w:rPr>
          <w:rFonts w:cs="TimesNewRomanPSMT"/>
          <w:lang w:eastAsia="it-IT"/>
        </w:rPr>
        <w:t>C</w:t>
      </w:r>
      <w:r w:rsidR="00730AAF" w:rsidRPr="00963A13">
        <w:rPr>
          <w:rFonts w:cs="TimesNewRomanPSMT"/>
          <w:vertAlign w:val="subscript"/>
          <w:lang w:eastAsia="it-IT"/>
        </w:rPr>
        <w:t>27</w:t>
      </w:r>
      <w:r w:rsidR="00730AAF" w:rsidRPr="00963A13">
        <w:rPr>
          <w:rFonts w:cs="TimesNewRomanPSMT"/>
          <w:lang w:eastAsia="it-IT"/>
        </w:rPr>
        <w:t>H</w:t>
      </w:r>
      <w:r w:rsidR="00730AAF" w:rsidRPr="00963A13">
        <w:rPr>
          <w:rFonts w:cs="TimesNewRomanPSMT"/>
          <w:vertAlign w:val="subscript"/>
          <w:lang w:eastAsia="it-IT"/>
        </w:rPr>
        <w:t>30</w:t>
      </w:r>
      <w:r w:rsidR="00730AAF" w:rsidRPr="00963A13">
        <w:rPr>
          <w:rFonts w:cs="TimesNewRomanPSMT"/>
          <w:lang w:eastAsia="it-IT"/>
        </w:rPr>
        <w:t>F</w:t>
      </w:r>
      <w:r w:rsidR="00730AAF" w:rsidRPr="00963A13">
        <w:rPr>
          <w:rFonts w:cs="TimesNewRomanPSMT"/>
          <w:vertAlign w:val="subscript"/>
          <w:lang w:eastAsia="it-IT"/>
        </w:rPr>
        <w:t>6</w:t>
      </w:r>
      <w:r w:rsidR="00730AAF" w:rsidRPr="00963A13">
        <w:rPr>
          <w:rFonts w:cs="TimesNewRomanPSMT"/>
          <w:lang w:eastAsia="it-IT"/>
        </w:rPr>
        <w:t>N</w:t>
      </w:r>
      <w:r w:rsidR="00730AAF" w:rsidRPr="00963A13">
        <w:rPr>
          <w:rFonts w:cs="TimesNewRomanPSMT"/>
          <w:vertAlign w:val="subscript"/>
          <w:lang w:eastAsia="it-IT"/>
        </w:rPr>
        <w:t>2</w:t>
      </w:r>
      <w:r w:rsidR="00730AAF" w:rsidRPr="00963A13">
        <w:rPr>
          <w:rFonts w:cs="TimesNewRomanPSMT"/>
          <w:lang w:eastAsia="it-IT"/>
        </w:rPr>
        <w:t>O</w:t>
      </w:r>
      <w:r w:rsidR="00730AAF" w:rsidRPr="00963A13">
        <w:rPr>
          <w:rFonts w:cs="TimesNewRomanPSMT"/>
          <w:vertAlign w:val="subscript"/>
          <w:lang w:eastAsia="it-IT"/>
        </w:rPr>
        <w:t>2</w:t>
      </w:r>
    </w:p>
    <w:p w:rsidR="004E5A39" w:rsidRPr="00730AAF" w:rsidRDefault="004E5A39" w:rsidP="00730AAF">
      <w:pPr>
        <w:pStyle w:val="Default"/>
        <w:rPr>
          <w:rFonts w:asciiTheme="minorHAnsi" w:hAnsiTheme="minorHAnsi"/>
          <w:sz w:val="22"/>
          <w:szCs w:val="22"/>
        </w:rPr>
      </w:pPr>
      <w:r w:rsidRPr="00730AAF">
        <w:rPr>
          <w:rFonts w:asciiTheme="minorHAnsi" w:hAnsiTheme="minorHAnsi"/>
          <w:sz w:val="22"/>
          <w:szCs w:val="22"/>
          <w:u w:val="single"/>
        </w:rPr>
        <w:t>Peso molecolare</w:t>
      </w:r>
      <w:r w:rsidRPr="00730AAF">
        <w:rPr>
          <w:rFonts w:asciiTheme="minorHAnsi" w:hAnsiTheme="minorHAnsi"/>
          <w:sz w:val="22"/>
          <w:szCs w:val="22"/>
        </w:rPr>
        <w:t>:</w:t>
      </w:r>
      <w:r w:rsidRPr="00730AAF">
        <w:rPr>
          <w:rFonts w:asciiTheme="minorHAnsi" w:hAnsiTheme="minorHAnsi" w:cs="Arial"/>
          <w:color w:val="252525"/>
          <w:sz w:val="22"/>
          <w:szCs w:val="22"/>
          <w:shd w:val="clear" w:color="auto" w:fill="F9F9F9"/>
        </w:rPr>
        <w:t xml:space="preserve"> </w:t>
      </w:r>
      <w:r w:rsidR="00730AAF" w:rsidRPr="00730AAF">
        <w:rPr>
          <w:rFonts w:asciiTheme="minorHAnsi" w:hAnsiTheme="minorHAnsi" w:cs="TimesNewRomanPSMT"/>
          <w:sz w:val="22"/>
          <w:szCs w:val="22"/>
          <w:lang w:eastAsia="it-IT"/>
        </w:rPr>
        <w:t>528.53</w:t>
      </w:r>
      <w:r w:rsidR="00356284" w:rsidRPr="00730AAF">
        <w:rPr>
          <w:rFonts w:asciiTheme="minorHAnsi" w:hAnsiTheme="minorHAnsi"/>
          <w:sz w:val="22"/>
          <w:szCs w:val="22"/>
        </w:rPr>
        <w:t xml:space="preserve"> </w:t>
      </w:r>
      <w:r w:rsidR="009A23DE" w:rsidRPr="00730AAF">
        <w:rPr>
          <w:rFonts w:asciiTheme="minorHAnsi" w:hAnsiTheme="minorHAnsi" w:cs="Calibri"/>
          <w:sz w:val="22"/>
          <w:szCs w:val="22"/>
        </w:rPr>
        <w:t xml:space="preserve"> </w:t>
      </w:r>
      <w:r w:rsidRPr="00730AAF">
        <w:rPr>
          <w:rStyle w:val="s1"/>
          <w:rFonts w:asciiTheme="minorHAnsi" w:hAnsiTheme="minorHAnsi"/>
          <w:sz w:val="22"/>
          <w:szCs w:val="22"/>
        </w:rPr>
        <w:t>g/mol</w:t>
      </w:r>
    </w:p>
    <w:p w:rsidR="004E5A39" w:rsidRPr="00730AAF" w:rsidRDefault="004E5A39" w:rsidP="00730AAF">
      <w:pPr>
        <w:pStyle w:val="Default"/>
        <w:rPr>
          <w:rFonts w:asciiTheme="minorHAnsi" w:hAnsiTheme="minorHAnsi"/>
          <w:sz w:val="22"/>
          <w:szCs w:val="22"/>
        </w:rPr>
      </w:pPr>
      <w:r w:rsidRPr="00730AAF">
        <w:rPr>
          <w:rFonts w:asciiTheme="minorHAnsi" w:hAnsiTheme="minorHAnsi"/>
          <w:sz w:val="22"/>
          <w:szCs w:val="22"/>
          <w:u w:val="single"/>
        </w:rPr>
        <w:t>CAS</w:t>
      </w:r>
      <w:r w:rsidRPr="00730AAF">
        <w:rPr>
          <w:rFonts w:asciiTheme="minorHAnsi" w:hAnsiTheme="minorHAnsi"/>
          <w:sz w:val="22"/>
          <w:szCs w:val="22"/>
        </w:rPr>
        <w:t>:</w:t>
      </w:r>
      <w:r w:rsidR="00356284" w:rsidRPr="00730AAF">
        <w:rPr>
          <w:rFonts w:asciiTheme="minorHAnsi" w:hAnsiTheme="minorHAnsi"/>
          <w:sz w:val="22"/>
          <w:szCs w:val="22"/>
        </w:rPr>
        <w:t xml:space="preserve">  [</w:t>
      </w:r>
      <w:r w:rsidR="00730AAF" w:rsidRPr="00730AAF">
        <w:rPr>
          <w:rFonts w:asciiTheme="minorHAnsi" w:hAnsiTheme="minorHAnsi" w:cs="TimesNewRomanPSMT"/>
          <w:sz w:val="22"/>
          <w:szCs w:val="22"/>
          <w:lang w:eastAsia="it-IT"/>
        </w:rPr>
        <w:t>164656-23-9</w:t>
      </w:r>
      <w:r w:rsidR="00356284" w:rsidRPr="00730AAF">
        <w:rPr>
          <w:rFonts w:asciiTheme="minorHAnsi" w:hAnsiTheme="minorHAnsi"/>
          <w:sz w:val="22"/>
          <w:szCs w:val="22"/>
        </w:rPr>
        <w:t>]</w:t>
      </w:r>
    </w:p>
    <w:p w:rsidR="004E5A39" w:rsidRPr="00730AAF" w:rsidRDefault="004E5A39" w:rsidP="00EF6711">
      <w:pPr>
        <w:spacing w:after="0" w:line="240" w:lineRule="auto"/>
        <w:jc w:val="both"/>
      </w:pPr>
      <w:r w:rsidRPr="00730AAF">
        <w:rPr>
          <w:u w:val="single"/>
        </w:rPr>
        <w:lastRenderedPageBreak/>
        <w:t>Aspetto</w:t>
      </w:r>
      <w:r w:rsidRPr="00730AAF">
        <w:t xml:space="preserve">: </w:t>
      </w:r>
      <w:r w:rsidR="00730AAF" w:rsidRPr="00730AAF">
        <w:t>polvere bianca o quasi bianca</w:t>
      </w:r>
    </w:p>
    <w:p w:rsidR="004E5A39" w:rsidRPr="006406D4" w:rsidRDefault="004E5A39" w:rsidP="00EF6711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6406D4">
        <w:rPr>
          <w:u w:val="single"/>
        </w:rPr>
        <w:t>Solubilità</w:t>
      </w:r>
      <w:r w:rsidRPr="006406D4">
        <w:t xml:space="preserve">: </w:t>
      </w:r>
      <w:r w:rsidR="00356284" w:rsidRPr="006406D4">
        <w:t xml:space="preserve">solubile in </w:t>
      </w:r>
      <w:r w:rsidR="00730AAF">
        <w:t>m</w:t>
      </w:r>
      <w:r w:rsidR="00356284" w:rsidRPr="006406D4">
        <w:t>etanolo</w:t>
      </w:r>
    </w:p>
    <w:p w:rsidR="004E5A39" w:rsidRDefault="004E5A39" w:rsidP="00EF6711">
      <w:pPr>
        <w:spacing w:after="0" w:line="240" w:lineRule="auto"/>
        <w:jc w:val="both"/>
        <w:rPr>
          <w:highlight w:val="yellow"/>
        </w:rPr>
      </w:pPr>
    </w:p>
    <w:p w:rsidR="004E3BF0" w:rsidRPr="004E3BF0" w:rsidRDefault="004E3BF0" w:rsidP="00EF6711">
      <w:pPr>
        <w:spacing w:after="0" w:line="240" w:lineRule="auto"/>
        <w:jc w:val="both"/>
      </w:pPr>
      <w:r w:rsidRPr="004E3BF0">
        <w:t>Il princi</w:t>
      </w:r>
      <w:r>
        <w:t>p</w:t>
      </w:r>
      <w:r w:rsidRPr="004E3BF0">
        <w:t>io attivo è presente</w:t>
      </w:r>
      <w:r>
        <w:t xml:space="preserve"> </w:t>
      </w:r>
      <w:r w:rsidRPr="004E3BF0">
        <w:t xml:space="preserve">in </w:t>
      </w:r>
      <w:r>
        <w:t>F</w:t>
      </w:r>
      <w:r w:rsidRPr="004E3BF0">
        <w:t>armacopea Europea</w:t>
      </w:r>
      <w:r>
        <w:t>.</w:t>
      </w:r>
    </w:p>
    <w:p w:rsidR="00265B61" w:rsidRPr="004E3BF0" w:rsidRDefault="004E3BF0" w:rsidP="00265B61">
      <w:pPr>
        <w:spacing w:after="0" w:line="240" w:lineRule="auto"/>
        <w:jc w:val="both"/>
      </w:pPr>
      <w:r w:rsidRPr="004E3BF0">
        <w:t>Uno dei</w:t>
      </w:r>
      <w:r w:rsidR="00356284" w:rsidRPr="004E3BF0">
        <w:t xml:space="preserve"> produttori d</w:t>
      </w:r>
      <w:r w:rsidRPr="004E3BF0">
        <w:t>i</w:t>
      </w:r>
      <w:r w:rsidR="00356284" w:rsidRPr="004E3BF0">
        <w:t xml:space="preserve"> principio attivo</w:t>
      </w:r>
      <w:r w:rsidRPr="004E3BF0">
        <w:t xml:space="preserve"> </w:t>
      </w:r>
      <w:r w:rsidR="00265B61" w:rsidRPr="004E3BF0">
        <w:t xml:space="preserve">ha presentato un ASMF. </w:t>
      </w:r>
    </w:p>
    <w:p w:rsidR="00265B61" w:rsidRPr="004E3BF0" w:rsidRDefault="00265B61" w:rsidP="00265B61">
      <w:pPr>
        <w:spacing w:after="0" w:line="240" w:lineRule="auto"/>
        <w:jc w:val="both"/>
      </w:pPr>
      <w:r w:rsidRPr="004E3BF0">
        <w:t>La sintesi del principio attivo è stata adeguatamente descritta a partire da idonei materiali di partenza; sono utilizzati appropriati controlli di processo e intermedi di sintesi.</w:t>
      </w:r>
    </w:p>
    <w:p w:rsidR="00265B61" w:rsidRPr="004E3BF0" w:rsidRDefault="00265B61" w:rsidP="00265B61">
      <w:pPr>
        <w:spacing w:after="0" w:line="240" w:lineRule="auto"/>
        <w:jc w:val="both"/>
      </w:pPr>
      <w:r w:rsidRPr="004E3BF0">
        <w:t>I materiali e i reagenti utilizzati nella sintesi sono di qualità adeguata.</w:t>
      </w:r>
    </w:p>
    <w:p w:rsidR="00265B61" w:rsidRPr="004E3BF0" w:rsidRDefault="00265B61" w:rsidP="00265B61">
      <w:pPr>
        <w:spacing w:after="0" w:line="240" w:lineRule="auto"/>
        <w:jc w:val="both"/>
      </w:pPr>
      <w:r w:rsidRPr="004E3BF0">
        <w:t>I materiali, gli intermedi, i reagenti utilizzati nella sintesi non sono di origine umana, biologica o geneticamente modificata. Sono state fornite prove adeguate della struttura isolata. Tutte le potenziali impurezze note sono state identificate e caratterizzate.</w:t>
      </w:r>
    </w:p>
    <w:p w:rsidR="00265B61" w:rsidRPr="00665C97" w:rsidRDefault="00265B61" w:rsidP="00265B61">
      <w:pPr>
        <w:spacing w:after="0" w:line="240" w:lineRule="auto"/>
        <w:jc w:val="both"/>
      </w:pPr>
      <w:r w:rsidRPr="004E3BF0">
        <w:t xml:space="preserve">Le specifiche del principio attivo sono appropriate e controllate con metodi analitici adeguatamente </w:t>
      </w:r>
      <w:r w:rsidRPr="00665C97">
        <w:t>convalidati. Sono stati forniti certificati analitici che confermano la qualità del principio attivo.</w:t>
      </w:r>
    </w:p>
    <w:p w:rsidR="00665C97" w:rsidRPr="00665C97" w:rsidRDefault="00265B61" w:rsidP="00265B61">
      <w:pPr>
        <w:spacing w:after="0" w:line="240" w:lineRule="auto"/>
        <w:jc w:val="both"/>
      </w:pPr>
      <w:r w:rsidRPr="00665C97">
        <w:t xml:space="preserve">Il principio attivo è confezionato in un adeguato contenitore, per il quale sono stati forniti specifiche e certificati analitici. Il confezionamento primario è costituito da </w:t>
      </w:r>
      <w:r w:rsidR="002E2018">
        <w:t xml:space="preserve">una </w:t>
      </w:r>
      <w:proofErr w:type="spellStart"/>
      <w:r w:rsidR="002E2018">
        <w:t>poly-bag</w:t>
      </w:r>
      <w:proofErr w:type="spellEnd"/>
      <w:r w:rsidR="002E2018">
        <w:t xml:space="preserve"> </w:t>
      </w:r>
      <w:r w:rsidR="00665C97" w:rsidRPr="00665C97">
        <w:t>chiara contenuta in un</w:t>
      </w:r>
      <w:r w:rsidR="002E2018">
        <w:t>a</w:t>
      </w:r>
      <w:r w:rsidR="00665C97" w:rsidRPr="00665C97">
        <w:t xml:space="preserve"> seconda sacca scura a loro volta poste in una sacca in triplo laminato ed, infine, in un contenitore in HDPE</w:t>
      </w:r>
      <w:r w:rsidR="002E2018">
        <w:t>.</w:t>
      </w:r>
    </w:p>
    <w:p w:rsidR="00265B61" w:rsidRPr="006406D4" w:rsidRDefault="00265B61" w:rsidP="00265B61">
      <w:pPr>
        <w:spacing w:after="0" w:line="240" w:lineRule="auto"/>
        <w:jc w:val="both"/>
      </w:pPr>
      <w:r w:rsidRPr="00665C97"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 w:rsidRPr="00665C97">
        <w:t>retest</w:t>
      </w:r>
      <w:proofErr w:type="spellEnd"/>
      <w:r w:rsidRPr="00665C97">
        <w:t xml:space="preserve"> di </w:t>
      </w:r>
      <w:r w:rsidR="004E3BF0" w:rsidRPr="00665C97">
        <w:t>48</w:t>
      </w:r>
      <w:r w:rsidR="002C2011" w:rsidRPr="00665C97">
        <w:t xml:space="preserve"> </w:t>
      </w:r>
      <w:r w:rsidRPr="00665C97">
        <w:t>mesi</w:t>
      </w:r>
      <w:r w:rsidR="001E28EB" w:rsidRPr="00665C97">
        <w:t>.</w:t>
      </w:r>
    </w:p>
    <w:p w:rsidR="00B30431" w:rsidRDefault="00B30431" w:rsidP="00EF6711">
      <w:pPr>
        <w:spacing w:after="0" w:line="240" w:lineRule="auto"/>
        <w:jc w:val="both"/>
        <w:rPr>
          <w:highlight w:val="yellow"/>
        </w:rPr>
      </w:pPr>
    </w:p>
    <w:p w:rsidR="00665C97" w:rsidRPr="009D2C68" w:rsidRDefault="00665C97" w:rsidP="00665C97">
      <w:pPr>
        <w:spacing w:after="0" w:line="240" w:lineRule="auto"/>
        <w:jc w:val="both"/>
      </w:pPr>
      <w:r w:rsidRPr="00665C97">
        <w:t>A</w:t>
      </w:r>
      <w:r w:rsidR="004E3BF0" w:rsidRPr="00665C97">
        <w:t>l secondo produttore</w:t>
      </w:r>
      <w:r w:rsidRPr="00665C97">
        <w:t xml:space="preserve"> di principio attivo,</w:t>
      </w:r>
      <w:r w:rsidR="004E3BF0" w:rsidRPr="00665C97">
        <w:t xml:space="preserve"> </w:t>
      </w:r>
      <w:r w:rsidRPr="00665C97">
        <w:t xml:space="preserve">il </w:t>
      </w:r>
      <w:proofErr w:type="spellStart"/>
      <w:r w:rsidRPr="00665C97">
        <w:t>Direttorato</w:t>
      </w:r>
      <w:proofErr w:type="spellEnd"/>
      <w:r w:rsidRPr="00665C97">
        <w:t xml:space="preserve"> Europeo per la Qualità dei Medicinali (</w:t>
      </w:r>
      <w:proofErr w:type="spellStart"/>
      <w:r w:rsidRPr="00665C97">
        <w:rPr>
          <w:i/>
        </w:rPr>
        <w:t>European</w:t>
      </w:r>
      <w:proofErr w:type="spellEnd"/>
      <w:r>
        <w:rPr>
          <w:i/>
        </w:rPr>
        <w:t xml:space="preserve"> </w:t>
      </w:r>
      <w:proofErr w:type="spellStart"/>
      <w:r w:rsidRPr="009D2C68">
        <w:rPr>
          <w:i/>
        </w:rPr>
        <w:t>Directorate</w:t>
      </w:r>
      <w:proofErr w:type="spellEnd"/>
      <w:r w:rsidRPr="009D2C68">
        <w:rPr>
          <w:i/>
        </w:rPr>
        <w:t xml:space="preserve"> </w:t>
      </w:r>
      <w:proofErr w:type="spellStart"/>
      <w:r w:rsidRPr="009D2C68">
        <w:rPr>
          <w:i/>
        </w:rPr>
        <w:t>for</w:t>
      </w:r>
      <w:proofErr w:type="spellEnd"/>
      <w:r w:rsidRPr="009D2C68">
        <w:rPr>
          <w:i/>
        </w:rPr>
        <w:t xml:space="preserve"> </w:t>
      </w:r>
      <w:proofErr w:type="spellStart"/>
      <w:r w:rsidRPr="009D2C68">
        <w:rPr>
          <w:i/>
        </w:rPr>
        <w:t>Quality</w:t>
      </w:r>
      <w:proofErr w:type="spellEnd"/>
      <w:r w:rsidRPr="009D2C68">
        <w:rPr>
          <w:i/>
        </w:rPr>
        <w:t xml:space="preserve"> </w:t>
      </w:r>
      <w:proofErr w:type="spellStart"/>
      <w:r w:rsidRPr="009D2C68">
        <w:rPr>
          <w:i/>
        </w:rPr>
        <w:t>of</w:t>
      </w:r>
      <w:proofErr w:type="spellEnd"/>
      <w:r w:rsidRPr="009D2C68">
        <w:rPr>
          <w:i/>
        </w:rPr>
        <w:t xml:space="preserve"> </w:t>
      </w:r>
      <w:proofErr w:type="spellStart"/>
      <w:r w:rsidRPr="009D2C68">
        <w:rPr>
          <w:i/>
        </w:rPr>
        <w:t>Medic</w:t>
      </w:r>
      <w:r>
        <w:rPr>
          <w:i/>
        </w:rPr>
        <w:t>i</w:t>
      </w:r>
      <w:r w:rsidRPr="009D2C68">
        <w:rPr>
          <w:i/>
        </w:rPr>
        <w:t>nals</w:t>
      </w:r>
      <w:proofErr w:type="spellEnd"/>
      <w:r w:rsidRPr="009D2C68">
        <w:t xml:space="preserve"> – EDQM) ha </w:t>
      </w:r>
      <w:r w:rsidRPr="00902C13">
        <w:t>rilasciato il certificato di conformità alla Farmacopea Europea.</w:t>
      </w:r>
    </w:p>
    <w:p w:rsidR="00665C97" w:rsidRPr="00951F94" w:rsidRDefault="00665C97" w:rsidP="00665C97">
      <w:pPr>
        <w:spacing w:after="0" w:line="240" w:lineRule="auto"/>
        <w:jc w:val="both"/>
      </w:pPr>
      <w:r w:rsidRPr="009D2C68">
        <w:t>Tutti gli aspetti di produzione e controllo sono coperti dal certificato di conformità alla Farmacopea Europea</w:t>
      </w:r>
      <w:r w:rsidRPr="000A10DF">
        <w:t xml:space="preserve">. Il principio attivo è confezionato in </w:t>
      </w:r>
      <w:r>
        <w:t xml:space="preserve">sacche in triplo laminato poste in contenitori di polietilene; il un </w:t>
      </w:r>
      <w:r w:rsidRPr="000A10DF">
        <w:t xml:space="preserve">periodo di </w:t>
      </w:r>
      <w:proofErr w:type="spellStart"/>
      <w:r w:rsidRPr="000A10DF">
        <w:t>retest</w:t>
      </w:r>
      <w:proofErr w:type="spellEnd"/>
      <w:r w:rsidRPr="000A10DF">
        <w:t xml:space="preserve"> è stabilito in </w:t>
      </w:r>
      <w:r>
        <w:t>60 mesi.</w:t>
      </w:r>
    </w:p>
    <w:p w:rsidR="000B7AC8" w:rsidRPr="00665C97" w:rsidRDefault="000B7AC8" w:rsidP="004E3BF0">
      <w:pPr>
        <w:spacing w:after="0" w:line="240" w:lineRule="auto"/>
        <w:jc w:val="both"/>
        <w:rPr>
          <w:highlight w:val="yellow"/>
        </w:rPr>
      </w:pPr>
    </w:p>
    <w:p w:rsidR="004E5A39" w:rsidRPr="004E3BF0" w:rsidRDefault="004E5A39" w:rsidP="004E3BF0">
      <w:pPr>
        <w:spacing w:after="0" w:line="240" w:lineRule="auto"/>
        <w:jc w:val="both"/>
        <w:rPr>
          <w:b/>
        </w:rPr>
      </w:pPr>
      <w:r w:rsidRPr="004E3BF0">
        <w:rPr>
          <w:b/>
        </w:rPr>
        <w:t>II.2 PRODOTTO FINITO</w:t>
      </w:r>
    </w:p>
    <w:p w:rsidR="004E5A39" w:rsidRPr="004E3BF0" w:rsidRDefault="004E5A39" w:rsidP="004E3BF0">
      <w:pPr>
        <w:spacing w:after="0" w:line="240" w:lineRule="auto"/>
        <w:jc w:val="both"/>
        <w:rPr>
          <w:b/>
        </w:rPr>
      </w:pPr>
      <w:r w:rsidRPr="004E3BF0">
        <w:rPr>
          <w:b/>
        </w:rPr>
        <w:t>Descrizione e composizione</w:t>
      </w:r>
    </w:p>
    <w:p w:rsidR="00E87CCD" w:rsidRPr="004E3BF0" w:rsidRDefault="00730AAF" w:rsidP="004E3BF0">
      <w:pPr>
        <w:spacing w:after="0" w:line="240" w:lineRule="auto"/>
        <w:jc w:val="both"/>
      </w:pPr>
      <w:proofErr w:type="spellStart"/>
      <w:r w:rsidRPr="004E3BF0">
        <w:t>Dutasteride</w:t>
      </w:r>
      <w:proofErr w:type="spellEnd"/>
      <w:r w:rsidRPr="004E3BF0">
        <w:t xml:space="preserve"> </w:t>
      </w:r>
      <w:proofErr w:type="spellStart"/>
      <w:r w:rsidRPr="004E3BF0">
        <w:t>Sagaem</w:t>
      </w:r>
      <w:proofErr w:type="spellEnd"/>
      <w:r w:rsidR="00E87CCD" w:rsidRPr="004E3BF0">
        <w:t xml:space="preserve"> è disponibile come capsule</w:t>
      </w:r>
      <w:r w:rsidR="00D75828" w:rsidRPr="004E3BF0">
        <w:t xml:space="preserve"> </w:t>
      </w:r>
      <w:r w:rsidR="004E3BF0" w:rsidRPr="004E3BF0">
        <w:t xml:space="preserve">molli </w:t>
      </w:r>
      <w:r w:rsidR="00E87CCD" w:rsidRPr="004E3BF0">
        <w:t xml:space="preserve">contenenti </w:t>
      </w:r>
      <w:r w:rsidR="004E3BF0" w:rsidRPr="004E3BF0">
        <w:t>0,5</w:t>
      </w:r>
      <w:r w:rsidR="00E87CCD" w:rsidRPr="004E3BF0">
        <w:t xml:space="preserve"> mg di </w:t>
      </w:r>
      <w:proofErr w:type="spellStart"/>
      <w:r w:rsidR="004E3BF0" w:rsidRPr="004E3BF0">
        <w:t>dutasteride</w:t>
      </w:r>
      <w:proofErr w:type="spellEnd"/>
      <w:r w:rsidR="00E87CCD" w:rsidRPr="004E3BF0">
        <w:t>.</w:t>
      </w:r>
    </w:p>
    <w:p w:rsidR="004E3BF0" w:rsidRPr="004E3BF0" w:rsidRDefault="004E5A39" w:rsidP="006E2A4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color w:val="000000"/>
        </w:rPr>
      </w:pPr>
      <w:r w:rsidRPr="004E3BF0">
        <w:t xml:space="preserve">Gli eccipienti </w:t>
      </w:r>
      <w:r w:rsidR="0066030D" w:rsidRPr="004E3BF0">
        <w:t xml:space="preserve">sono: </w:t>
      </w:r>
      <w:proofErr w:type="spellStart"/>
      <w:r w:rsidR="004E3BF0" w:rsidRPr="004E3BF0">
        <w:rPr>
          <w:rFonts w:ascii="Calibri" w:hAnsi="Calibri" w:cs="TimesNewRomanPSMT"/>
        </w:rPr>
        <w:t>Gli</w:t>
      </w:r>
      <w:r w:rsidR="004E3BF0">
        <w:rPr>
          <w:rFonts w:ascii="Calibri" w:hAnsi="Calibri" w:cs="TimesNewRomanPSMT"/>
        </w:rPr>
        <w:t>cerol</w:t>
      </w:r>
      <w:proofErr w:type="spellEnd"/>
      <w:r w:rsidR="004E3BF0">
        <w:rPr>
          <w:rFonts w:ascii="Calibri" w:hAnsi="Calibri" w:cs="TimesNewRomanPSMT"/>
        </w:rPr>
        <w:t xml:space="preserve"> </w:t>
      </w:r>
      <w:proofErr w:type="spellStart"/>
      <w:r w:rsidR="004E3BF0">
        <w:rPr>
          <w:rFonts w:ascii="Calibri" w:hAnsi="Calibri" w:cs="TimesNewRomanPSMT"/>
        </w:rPr>
        <w:t>monocaprilocaprato</w:t>
      </w:r>
      <w:proofErr w:type="spellEnd"/>
      <w:r w:rsidR="004E3BF0">
        <w:rPr>
          <w:rFonts w:ascii="Calibri" w:hAnsi="Calibri" w:cs="TimesNewRomanPSMT"/>
        </w:rPr>
        <w:t xml:space="preserve"> Tipo I, </w:t>
      </w:r>
      <w:proofErr w:type="spellStart"/>
      <w:r w:rsidR="004E3BF0">
        <w:rPr>
          <w:rFonts w:ascii="Calibri" w:hAnsi="Calibri" w:cs="TimesNewRomanPSMT"/>
        </w:rPr>
        <w:t>Butilidrissitoluene</w:t>
      </w:r>
      <w:proofErr w:type="spellEnd"/>
      <w:r w:rsidR="004E3BF0">
        <w:rPr>
          <w:rFonts w:ascii="Calibri" w:hAnsi="Calibri" w:cs="TimesNewRomanPSMT"/>
        </w:rPr>
        <w:t xml:space="preserve"> (E-321), </w:t>
      </w:r>
      <w:r w:rsidR="004E3BF0">
        <w:rPr>
          <w:rFonts w:ascii="Calibri" w:hAnsi="Calibri" w:cs="TimesNewRomanPSMT"/>
          <w:color w:val="000000"/>
        </w:rPr>
        <w:t>Gelatina, Glicerolo,</w:t>
      </w:r>
      <w:r w:rsidR="006E2A4B">
        <w:rPr>
          <w:rFonts w:ascii="Calibri" w:hAnsi="Calibri" w:cs="TimesNewRomanPSMT"/>
          <w:color w:val="000000"/>
        </w:rPr>
        <w:t xml:space="preserve"> </w:t>
      </w:r>
      <w:r w:rsidR="004E3BF0" w:rsidRPr="004E3BF0">
        <w:rPr>
          <w:rFonts w:ascii="Calibri" w:hAnsi="Calibri" w:cs="TimesNewRomanPSMT"/>
          <w:color w:val="000000"/>
        </w:rPr>
        <w:t>Titanio Dio</w:t>
      </w:r>
      <w:r w:rsidR="004E3BF0">
        <w:rPr>
          <w:rFonts w:ascii="Calibri" w:hAnsi="Calibri" w:cs="TimesNewRomanPSMT"/>
          <w:color w:val="000000"/>
        </w:rPr>
        <w:t xml:space="preserve">ssido (E-171), Ferro ossido giallo (E-172), </w:t>
      </w:r>
      <w:r w:rsidR="004E3BF0" w:rsidRPr="004E3BF0">
        <w:rPr>
          <w:rFonts w:ascii="Calibri" w:hAnsi="Calibri" w:cs="TimesNewRomanPSMT"/>
          <w:color w:val="000000"/>
        </w:rPr>
        <w:t>Trigliceridi a catena media</w:t>
      </w:r>
      <w:r w:rsidR="004E3BF0">
        <w:rPr>
          <w:rFonts w:ascii="Calibri" w:hAnsi="Calibri" w:cs="TimesNewRomanPSMT"/>
          <w:color w:val="000000"/>
        </w:rPr>
        <w:t xml:space="preserve">, </w:t>
      </w:r>
      <w:r w:rsidR="004E3BF0" w:rsidRPr="004E3BF0">
        <w:rPr>
          <w:rFonts w:ascii="Calibri" w:hAnsi="Calibri" w:cs="TimesNewRomanPSMT"/>
          <w:color w:val="000000"/>
        </w:rPr>
        <w:t xml:space="preserve">Lecitina di soia </w:t>
      </w:r>
      <w:r w:rsidR="002E2018">
        <w:rPr>
          <w:rFonts w:ascii="Calibri" w:hAnsi="Calibri" w:cs="TimesNewRomanPSMT"/>
          <w:color w:val="000000"/>
        </w:rPr>
        <w:t>(E-322).</w:t>
      </w:r>
    </w:p>
    <w:p w:rsidR="000B7AC8" w:rsidRPr="004E3BF0" w:rsidRDefault="000B7AC8" w:rsidP="006E2A4B">
      <w:pPr>
        <w:spacing w:after="0" w:line="240" w:lineRule="auto"/>
        <w:ind w:right="13"/>
        <w:jc w:val="both"/>
      </w:pPr>
      <w:r w:rsidRPr="004E3BF0">
        <w:t>Tutti gli eccipienti sono conformi alla relativa monografia di Farm</w:t>
      </w:r>
      <w:r w:rsidR="00CD6263" w:rsidRPr="004E3BF0">
        <w:t xml:space="preserve">acopea Europea, ad eccezione </w:t>
      </w:r>
      <w:r w:rsidR="004E3BF0">
        <w:t>della lecitina di soia e del ferro ossido giallo</w:t>
      </w:r>
      <w:r w:rsidRPr="004E3BF0">
        <w:t xml:space="preserve"> per i</w:t>
      </w:r>
      <w:r w:rsidR="00CD6263" w:rsidRPr="004E3BF0">
        <w:t xml:space="preserve"> qual</w:t>
      </w:r>
      <w:r w:rsidR="004E3BF0">
        <w:t>i</w:t>
      </w:r>
      <w:r w:rsidRPr="004E3BF0">
        <w:t xml:space="preserve"> i</w:t>
      </w:r>
      <w:r w:rsidR="00CD6263" w:rsidRPr="004E3BF0">
        <w:t>l</w:t>
      </w:r>
      <w:r w:rsidRPr="004E3BF0">
        <w:t xml:space="preserve"> produttore ha proposto specifiche di controllo accettabili</w:t>
      </w:r>
      <w:r w:rsidR="00CD6263" w:rsidRPr="004E3BF0">
        <w:t>.</w:t>
      </w:r>
    </w:p>
    <w:p w:rsidR="004E5A39" w:rsidRPr="004E3BF0" w:rsidRDefault="004E5A39" w:rsidP="004E3BF0">
      <w:pPr>
        <w:spacing w:after="0" w:line="240" w:lineRule="auto"/>
        <w:jc w:val="both"/>
      </w:pPr>
      <w:r w:rsidRPr="004E3BF0">
        <w:t>Nessun eccipiente è ottenuto da organismi geneticamente modificati; non sono presenti eccipienti mai utilizzati nell’uomo.</w:t>
      </w:r>
    </w:p>
    <w:p w:rsidR="004E5A39" w:rsidRPr="006D6D08" w:rsidRDefault="004E5A39" w:rsidP="00EF6711">
      <w:pPr>
        <w:spacing w:after="0" w:line="240" w:lineRule="auto"/>
        <w:jc w:val="both"/>
        <w:rPr>
          <w:highlight w:val="yellow"/>
        </w:rPr>
      </w:pPr>
    </w:p>
    <w:p w:rsidR="004E5A39" w:rsidRPr="007479B4" w:rsidRDefault="004E5A39" w:rsidP="00EF6711">
      <w:pPr>
        <w:spacing w:after="0" w:line="240" w:lineRule="auto"/>
        <w:jc w:val="both"/>
        <w:rPr>
          <w:b/>
        </w:rPr>
      </w:pPr>
      <w:r w:rsidRPr="007479B4">
        <w:rPr>
          <w:b/>
        </w:rPr>
        <w:t>Sviluppo farmaceutico</w:t>
      </w:r>
    </w:p>
    <w:p w:rsidR="004E5A39" w:rsidRPr="007479B4" w:rsidRDefault="004E5A39" w:rsidP="00EF6711">
      <w:pPr>
        <w:spacing w:after="0" w:line="240" w:lineRule="auto"/>
        <w:jc w:val="both"/>
      </w:pPr>
      <w:r w:rsidRPr="007479B4">
        <w:t>Sono stati forniti dettagli dello sviluppo farmaceutico e questi sono stati ritenuti soddisfacenti.</w:t>
      </w:r>
    </w:p>
    <w:p w:rsidR="004E5A39" w:rsidRPr="007479B4" w:rsidRDefault="004E5A39" w:rsidP="00EF6711">
      <w:pPr>
        <w:spacing w:after="0" w:line="240" w:lineRule="auto"/>
        <w:jc w:val="both"/>
      </w:pPr>
      <w:r w:rsidRPr="007479B4">
        <w:t xml:space="preserve">Sono stati forniti dati comparativi relativi al profilo </w:t>
      </w:r>
      <w:r w:rsidR="007479B4" w:rsidRPr="007479B4">
        <w:t>qualitativo</w:t>
      </w:r>
      <w:r w:rsidRPr="007479B4">
        <w:t xml:space="preserve"> rispetto al medicinale di riferimento</w:t>
      </w:r>
      <w:r w:rsidR="00B30431" w:rsidRPr="007479B4">
        <w:rPr>
          <w:rFonts w:eastAsia="Calibri" w:cs="Calibri"/>
          <w:lang w:eastAsia="it-IT"/>
        </w:rPr>
        <w:t xml:space="preserve"> </w:t>
      </w:r>
      <w:proofErr w:type="spellStart"/>
      <w:r w:rsidR="00730AAF">
        <w:rPr>
          <w:rFonts w:eastAsia="Calibri" w:cs="Calibri"/>
          <w:lang w:eastAsia="it-IT"/>
        </w:rPr>
        <w:t>Avodart</w:t>
      </w:r>
      <w:proofErr w:type="spellEnd"/>
      <w:r w:rsidR="006406D4">
        <w:rPr>
          <w:rFonts w:eastAsia="Calibri" w:cs="Calibri"/>
          <w:lang w:eastAsia="it-IT"/>
        </w:rPr>
        <w:t xml:space="preserve">; </w:t>
      </w:r>
      <w:r w:rsidR="007479B4" w:rsidRPr="007479B4">
        <w:t xml:space="preserve">i </w:t>
      </w:r>
      <w:r w:rsidRPr="007479B4">
        <w:t>dati sono soddisfacenti.</w:t>
      </w:r>
    </w:p>
    <w:p w:rsidR="004E5A39" w:rsidRPr="007479B4" w:rsidRDefault="004E5A39" w:rsidP="00EF6711">
      <w:pPr>
        <w:spacing w:after="0" w:line="240" w:lineRule="auto"/>
        <w:jc w:val="both"/>
      </w:pPr>
    </w:p>
    <w:p w:rsidR="004E5A39" w:rsidRPr="007479B4" w:rsidRDefault="004E5A39" w:rsidP="00EF6711">
      <w:pPr>
        <w:spacing w:after="0" w:line="240" w:lineRule="auto"/>
        <w:jc w:val="both"/>
        <w:rPr>
          <w:b/>
        </w:rPr>
      </w:pPr>
      <w:r w:rsidRPr="007479B4">
        <w:rPr>
          <w:b/>
        </w:rPr>
        <w:t xml:space="preserve">Produzione </w:t>
      </w:r>
    </w:p>
    <w:p w:rsidR="004E5A39" w:rsidRPr="007479B4" w:rsidRDefault="004E5A39" w:rsidP="00EF6711">
      <w:pPr>
        <w:spacing w:after="0" w:line="240" w:lineRule="auto"/>
        <w:jc w:val="both"/>
      </w:pPr>
      <w:r w:rsidRPr="007479B4">
        <w:t>Sono stati forniti una descrizione del metodo di produzione e la relativa flow-chart.</w:t>
      </w:r>
    </w:p>
    <w:p w:rsidR="004E5A39" w:rsidRPr="007479B4" w:rsidRDefault="004E5A39" w:rsidP="00EF6711">
      <w:pPr>
        <w:spacing w:after="0" w:line="240" w:lineRule="auto"/>
        <w:jc w:val="both"/>
      </w:pPr>
      <w:r w:rsidRPr="007479B4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4E5A39" w:rsidRPr="007479B4" w:rsidRDefault="004E5A39" w:rsidP="00EF6711">
      <w:pPr>
        <w:spacing w:after="0" w:line="240" w:lineRule="auto"/>
        <w:jc w:val="both"/>
      </w:pPr>
    </w:p>
    <w:p w:rsidR="004E5A39" w:rsidRPr="007479B4" w:rsidRDefault="004E5A39" w:rsidP="00EF6711">
      <w:pPr>
        <w:spacing w:after="0" w:line="240" w:lineRule="auto"/>
        <w:jc w:val="both"/>
        <w:rPr>
          <w:b/>
        </w:rPr>
      </w:pPr>
      <w:r w:rsidRPr="007479B4">
        <w:rPr>
          <w:b/>
        </w:rPr>
        <w:t>Specifiche del prodotto finito</w:t>
      </w:r>
    </w:p>
    <w:p w:rsidR="004E5A39" w:rsidRPr="007479B4" w:rsidRDefault="004E5A39" w:rsidP="00EF6711">
      <w:pPr>
        <w:spacing w:after="0" w:line="240" w:lineRule="auto"/>
        <w:jc w:val="both"/>
      </w:pPr>
      <w:r w:rsidRPr="007479B4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7479B4">
        <w:t>il</w:t>
      </w:r>
      <w:r w:rsidRPr="007479B4">
        <w:t xml:space="preserve"> prodotto finito</w:t>
      </w:r>
      <w:r w:rsidR="0066030D" w:rsidRPr="007479B4">
        <w:t>:</w:t>
      </w:r>
      <w:r w:rsidRPr="007479B4">
        <w:t xml:space="preserve"> questi dati dimostrano che i lotti prodotti sono in accordo alle specifiche proposte. Sono stati forniti, infine, certificati analitici per gli standard di riferimento utilizzati.</w:t>
      </w:r>
    </w:p>
    <w:p w:rsidR="004E5A39" w:rsidRDefault="004E5A39" w:rsidP="00EF6711">
      <w:pPr>
        <w:spacing w:after="0" w:line="240" w:lineRule="auto"/>
        <w:jc w:val="both"/>
        <w:rPr>
          <w:b/>
          <w:highlight w:val="yellow"/>
        </w:rPr>
      </w:pPr>
    </w:p>
    <w:p w:rsidR="00665C97" w:rsidRPr="006D6D08" w:rsidRDefault="00665C97" w:rsidP="00EF6711">
      <w:pPr>
        <w:spacing w:after="0" w:line="240" w:lineRule="auto"/>
        <w:jc w:val="both"/>
        <w:rPr>
          <w:b/>
          <w:highlight w:val="yellow"/>
        </w:rPr>
      </w:pPr>
    </w:p>
    <w:p w:rsidR="004E5A39" w:rsidRPr="009A62CF" w:rsidRDefault="004E5A39" w:rsidP="00EF6711">
      <w:pPr>
        <w:spacing w:after="0" w:line="240" w:lineRule="auto"/>
        <w:jc w:val="both"/>
        <w:rPr>
          <w:b/>
        </w:rPr>
      </w:pPr>
      <w:r w:rsidRPr="009A62CF">
        <w:rPr>
          <w:b/>
        </w:rPr>
        <w:t>Contenitore</w:t>
      </w:r>
    </w:p>
    <w:p w:rsidR="00BA0ACD" w:rsidRPr="009A62CF" w:rsidRDefault="00730AAF" w:rsidP="00EF6711">
      <w:pPr>
        <w:spacing w:after="0" w:line="240" w:lineRule="auto"/>
        <w:jc w:val="both"/>
      </w:pPr>
      <w:proofErr w:type="spellStart"/>
      <w:r>
        <w:t>Dutasteride</w:t>
      </w:r>
      <w:proofErr w:type="spellEnd"/>
      <w:r>
        <w:t xml:space="preserve"> </w:t>
      </w:r>
      <w:proofErr w:type="spellStart"/>
      <w:r>
        <w:t>Sagaem</w:t>
      </w:r>
      <w:proofErr w:type="spellEnd"/>
      <w:r w:rsidR="003B3E63" w:rsidRPr="009A62CF">
        <w:t xml:space="preserve"> </w:t>
      </w:r>
      <w:r w:rsidR="004E5A39" w:rsidRPr="009A62CF">
        <w:t xml:space="preserve">è confezionato in </w:t>
      </w:r>
      <w:r w:rsidR="009A62CF" w:rsidRPr="009A62CF">
        <w:rPr>
          <w:rFonts w:ascii="Calibri" w:eastAsia="Calibri" w:hAnsi="Calibri" w:cs="Arial"/>
        </w:rPr>
        <w:t xml:space="preserve">blister </w:t>
      </w:r>
      <w:r w:rsidR="004E3BF0">
        <w:rPr>
          <w:rFonts w:ascii="Calibri" w:eastAsia="Calibri" w:hAnsi="Calibri" w:cs="Arial"/>
        </w:rPr>
        <w:t>PVC/PVDC</w:t>
      </w:r>
      <w:r w:rsidR="006406D4">
        <w:rPr>
          <w:rFonts w:ascii="Calibri" w:eastAsia="Calibri" w:hAnsi="Calibri" w:cs="Arial"/>
        </w:rPr>
        <w:t>.</w:t>
      </w:r>
    </w:p>
    <w:p w:rsidR="004E5A39" w:rsidRPr="009A62CF" w:rsidRDefault="004E5A39" w:rsidP="00EF6711">
      <w:pPr>
        <w:spacing w:after="0" w:line="240" w:lineRule="auto"/>
        <w:jc w:val="both"/>
      </w:pPr>
      <w:r w:rsidRPr="009A62CF">
        <w:t>Sono state fornite specifiche e certificati analitici per tutti i componenti del confezionamento primario, che è adeguato per il medicinale.</w:t>
      </w:r>
    </w:p>
    <w:p w:rsidR="00BA0ACD" w:rsidRPr="0032205D" w:rsidRDefault="00BA0ACD" w:rsidP="00EF6711">
      <w:pPr>
        <w:spacing w:after="0" w:line="240" w:lineRule="auto"/>
        <w:jc w:val="both"/>
      </w:pPr>
    </w:p>
    <w:p w:rsidR="004E5A39" w:rsidRPr="0032205D" w:rsidRDefault="004E5A39" w:rsidP="00EF6711">
      <w:pPr>
        <w:spacing w:after="0" w:line="240" w:lineRule="auto"/>
        <w:jc w:val="both"/>
        <w:rPr>
          <w:b/>
        </w:rPr>
      </w:pPr>
      <w:r w:rsidRPr="0032205D">
        <w:rPr>
          <w:b/>
        </w:rPr>
        <w:t>Stabilità</w:t>
      </w:r>
    </w:p>
    <w:p w:rsidR="004E5A39" w:rsidRPr="0032205D" w:rsidRDefault="004E5A39" w:rsidP="00EF6711">
      <w:pPr>
        <w:spacing w:after="0" w:line="240" w:lineRule="auto"/>
        <w:jc w:val="both"/>
      </w:pPr>
      <w:r w:rsidRPr="0032205D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4E3BF0">
        <w:t>3</w:t>
      </w:r>
      <w:r w:rsidR="0032205D" w:rsidRPr="0032205D">
        <w:t xml:space="preserve"> </w:t>
      </w:r>
      <w:r w:rsidR="00265B61" w:rsidRPr="0032205D">
        <w:t>anni</w:t>
      </w:r>
      <w:r w:rsidRPr="0032205D">
        <w:t xml:space="preserve"> </w:t>
      </w:r>
      <w:r w:rsidR="0032205D" w:rsidRPr="0032205D">
        <w:t xml:space="preserve">con </w:t>
      </w:r>
      <w:r w:rsidR="000808A3" w:rsidRPr="0032205D">
        <w:t>conservazione a</w:t>
      </w:r>
      <w:r w:rsidR="0032205D" w:rsidRPr="0032205D">
        <w:t xml:space="preserve"> temperatura non superiore a </w:t>
      </w:r>
      <w:r w:rsidR="004E3BF0">
        <w:t>30</w:t>
      </w:r>
      <w:r w:rsidR="0032205D" w:rsidRPr="0032205D">
        <w:t>°C</w:t>
      </w:r>
      <w:r w:rsidR="000808A3" w:rsidRPr="0032205D">
        <w:t xml:space="preserve">, </w:t>
      </w:r>
      <w:r w:rsidR="0032205D" w:rsidRPr="0032205D">
        <w:t>al riparo dall’umidità.</w:t>
      </w:r>
    </w:p>
    <w:p w:rsidR="004E5A39" w:rsidRPr="006D6D08" w:rsidRDefault="004E5A39" w:rsidP="00EF6711">
      <w:pPr>
        <w:spacing w:after="0" w:line="240" w:lineRule="auto"/>
        <w:jc w:val="both"/>
        <w:rPr>
          <w:highlight w:val="yellow"/>
        </w:rPr>
      </w:pPr>
    </w:p>
    <w:p w:rsidR="004E5A39" w:rsidRPr="00915BEE" w:rsidRDefault="004E5A39" w:rsidP="00EF6711">
      <w:pPr>
        <w:spacing w:after="0" w:line="240" w:lineRule="auto"/>
        <w:jc w:val="both"/>
        <w:rPr>
          <w:b/>
        </w:rPr>
      </w:pPr>
      <w:r w:rsidRPr="00915BEE">
        <w:rPr>
          <w:b/>
        </w:rPr>
        <w:t>II.3 Discussione sugli aspetti di qualità</w:t>
      </w:r>
    </w:p>
    <w:p w:rsidR="006406D4" w:rsidRDefault="004E5A39" w:rsidP="00EF6711">
      <w:pPr>
        <w:spacing w:after="0" w:line="240" w:lineRule="auto"/>
        <w:jc w:val="both"/>
      </w:pPr>
      <w:r w:rsidRPr="00915BEE">
        <w:t xml:space="preserve">Tutte le criticità evidenziate nel corso della valutazione sono state risolte e la qualità di </w:t>
      </w:r>
      <w:proofErr w:type="spellStart"/>
      <w:r w:rsidR="00730AAF">
        <w:t>Dutasteride</w:t>
      </w:r>
      <w:proofErr w:type="spellEnd"/>
      <w:r w:rsidR="00730AAF">
        <w:t xml:space="preserve"> </w:t>
      </w:r>
      <w:proofErr w:type="spellStart"/>
      <w:r w:rsidR="00730AAF">
        <w:t>Sagaem</w:t>
      </w:r>
      <w:proofErr w:type="spellEnd"/>
      <w:r w:rsidR="00915BEE" w:rsidRPr="00915BEE">
        <w:t xml:space="preserve"> </w:t>
      </w:r>
      <w:r w:rsidRPr="00915BEE">
        <w:t xml:space="preserve">è considerata adeguata. </w:t>
      </w:r>
    </w:p>
    <w:p w:rsidR="004E5A39" w:rsidRPr="00EF6711" w:rsidRDefault="004E5A39" w:rsidP="00EF6711">
      <w:pPr>
        <w:spacing w:after="0" w:line="240" w:lineRule="auto"/>
        <w:jc w:val="both"/>
      </w:pPr>
      <w:r w:rsidRPr="00915BEE">
        <w:t xml:space="preserve">Non ci sono obiezioni per l’approvazione di </w:t>
      </w:r>
      <w:proofErr w:type="spellStart"/>
      <w:r w:rsidR="00730AAF">
        <w:t>Dutasteride</w:t>
      </w:r>
      <w:proofErr w:type="spellEnd"/>
      <w:r w:rsidR="00730AAF">
        <w:t xml:space="preserve"> </w:t>
      </w:r>
      <w:proofErr w:type="spellStart"/>
      <w:r w:rsidR="00730AAF">
        <w:t>Sagaem</w:t>
      </w:r>
      <w:proofErr w:type="spellEnd"/>
      <w:r w:rsidR="00915BEE" w:rsidRPr="00915BEE">
        <w:t xml:space="preserve"> </w:t>
      </w:r>
      <w:r w:rsidRPr="00915BEE">
        <w:t>dal punto di vista chimico-</w:t>
      </w:r>
      <w:r w:rsidRPr="00F44326">
        <w:t>farmaceutico.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NON CLINICI</w:t>
      </w:r>
    </w:p>
    <w:p w:rsidR="000808A3" w:rsidRDefault="004E5A39" w:rsidP="00EF6711">
      <w:pPr>
        <w:spacing w:after="0" w:line="240" w:lineRule="auto"/>
        <w:jc w:val="both"/>
      </w:pPr>
      <w:r w:rsidRPr="00EF6711">
        <w:t xml:space="preserve">Non sono stati condotti specifici studi non clinici, in quanto </w:t>
      </w:r>
      <w:proofErr w:type="spellStart"/>
      <w:r w:rsidR="00730AAF">
        <w:t>Dutasteride</w:t>
      </w:r>
      <w:proofErr w:type="spellEnd"/>
      <w:r w:rsidR="00730AAF">
        <w:t xml:space="preserve"> </w:t>
      </w:r>
      <w:proofErr w:type="spellStart"/>
      <w:r w:rsidR="00730AAF">
        <w:t>Sagaem</w:t>
      </w:r>
      <w:proofErr w:type="spellEnd"/>
      <w:r w:rsidR="006D6D08" w:rsidRPr="006D6D08">
        <w:t xml:space="preserve"> </w:t>
      </w:r>
      <w:r w:rsidRPr="00EF6711">
        <w:t xml:space="preserve">contiene </w:t>
      </w:r>
      <w:r w:rsidR="00BA0ACD" w:rsidRPr="00EF6711">
        <w:t>un</w:t>
      </w:r>
      <w:r w:rsidRPr="00EF6711">
        <w:t xml:space="preserve"> principi</w:t>
      </w:r>
      <w:r w:rsidR="00BA0ACD" w:rsidRPr="00EF6711">
        <w:t>o</w:t>
      </w:r>
      <w:r w:rsidRPr="00EF6711">
        <w:t xml:space="preserve"> attiv</w:t>
      </w:r>
      <w:r w:rsidR="00BA0ACD" w:rsidRPr="00EF6711">
        <w:t>o</w:t>
      </w:r>
      <w:r w:rsidRPr="00EF6711">
        <w:t xml:space="preserve"> not</w:t>
      </w:r>
      <w:r w:rsidR="00BA0ACD" w:rsidRPr="00EF6711">
        <w:t>o</w:t>
      </w:r>
      <w:r w:rsidRPr="00EF6711">
        <w:t xml:space="preserve"> </w:t>
      </w:r>
      <w:r w:rsidR="00BA0ACD" w:rsidRPr="00EF6711">
        <w:t>presente nel medicinale di riferimento</w:t>
      </w:r>
      <w:r w:rsidRPr="00EF6711">
        <w:t xml:space="preserve">: questo approccio è accettabile poiché il medicinale di riferimento </w:t>
      </w:r>
      <w:proofErr w:type="spellStart"/>
      <w:r w:rsidR="00730AAF">
        <w:rPr>
          <w:rFonts w:eastAsia="Calibri" w:cs="Calibri"/>
          <w:lang w:eastAsia="it-IT"/>
        </w:rPr>
        <w:t>Avodart</w:t>
      </w:r>
      <w:proofErr w:type="spellEnd"/>
      <w:r w:rsidR="006D6D08">
        <w:rPr>
          <w:rFonts w:eastAsia="Calibri" w:cs="Calibri"/>
          <w:lang w:eastAsia="it-IT"/>
        </w:rPr>
        <w:t xml:space="preserve"> </w:t>
      </w:r>
      <w:r w:rsidRPr="00EF6711">
        <w:t>è autorizzato in Italia da oltre 10 anni</w:t>
      </w:r>
      <w:r w:rsidR="000808A3">
        <w:t>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Non ci sono obiezioni per l’approvazione dal punto di vista non clinico.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CLINICI</w:t>
      </w:r>
    </w:p>
    <w:p w:rsidR="004E3BF0" w:rsidRPr="00730AAF" w:rsidRDefault="004E3BF0" w:rsidP="004E3BF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proofErr w:type="spellStart"/>
      <w:r w:rsidRPr="00730AAF">
        <w:rPr>
          <w:rFonts w:eastAsia="Calibri" w:cs="Calibri"/>
          <w:bCs/>
          <w:iCs/>
          <w:lang w:eastAsia="it-IT"/>
        </w:rPr>
        <w:t>Dutasteride</w:t>
      </w:r>
      <w:proofErr w:type="spellEnd"/>
      <w:r w:rsidRPr="00730AAF">
        <w:rPr>
          <w:rFonts w:eastAsia="Calibri" w:cs="Calibri"/>
          <w:bCs/>
          <w:iCs/>
          <w:lang w:eastAsia="it-IT"/>
        </w:rPr>
        <w:t xml:space="preserve"> </w:t>
      </w:r>
      <w:proofErr w:type="spellStart"/>
      <w:r w:rsidRPr="00730AAF">
        <w:rPr>
          <w:rFonts w:eastAsia="Calibri" w:cs="Calibri"/>
          <w:bCs/>
          <w:iCs/>
          <w:lang w:eastAsia="it-IT"/>
        </w:rPr>
        <w:t>Sagaem</w:t>
      </w:r>
      <w:proofErr w:type="spellEnd"/>
      <w:r w:rsidRPr="00730AAF">
        <w:t xml:space="preserve"> è utilizzato </w:t>
      </w:r>
      <w:r w:rsidRPr="00730AAF">
        <w:rPr>
          <w:rFonts w:eastAsia="Calibri" w:cs="Calibri"/>
          <w:lang w:eastAsia="it-IT"/>
        </w:rPr>
        <w:t xml:space="preserve">per il </w:t>
      </w:r>
      <w:r w:rsidRPr="00730AAF">
        <w:rPr>
          <w:rFonts w:cs="TimesNewRomanPSMT"/>
          <w:lang w:eastAsia="it-IT"/>
        </w:rPr>
        <w:t>trattamento dei sintomi da moderati a gravi dell’iperplasia prostatica benigna (IPB) e per la riduzione del rischio di ritenzione urinaria acuta e dell’intervento chirurgico in pazienti con sintomi da moderati a gravi dell’iperplasia prostatica benigna.</w:t>
      </w:r>
    </w:p>
    <w:p w:rsidR="004E3BF0" w:rsidRPr="00EF6711" w:rsidRDefault="004E3BF0" w:rsidP="00EF6711">
      <w:pPr>
        <w:spacing w:after="0" w:line="240" w:lineRule="auto"/>
        <w:ind w:right="6"/>
        <w:jc w:val="both"/>
      </w:pPr>
    </w:p>
    <w:p w:rsidR="004E5A39" w:rsidRPr="00EF6711" w:rsidRDefault="004E5A39" w:rsidP="00EF6711">
      <w:pPr>
        <w:spacing w:after="0" w:line="240" w:lineRule="auto"/>
        <w:ind w:right="6"/>
        <w:jc w:val="both"/>
        <w:rPr>
          <w:b/>
        </w:rPr>
      </w:pPr>
      <w:r w:rsidRPr="00EF6711">
        <w:rPr>
          <w:b/>
        </w:rPr>
        <w:t>Posologia e modalità di somministrazione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t>Le informazioni sulla posologia e sulle modalità di somministrazione sono riportate nel Riassunto delle Caratteristiche del Prodotto pubblicato sul sito dell’Agenzia Italiana del Farmaco - AIFA /</w:t>
      </w:r>
      <w:r w:rsidRPr="00EF6711">
        <w:rPr>
          <w:rFonts w:eastAsia="Calibri" w:cs="Calibri"/>
          <w:lang w:eastAsia="it-IT"/>
        </w:rPr>
        <w:t>(</w:t>
      </w:r>
      <w:hyperlink r:id="rId10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EF6711">
        <w:rPr>
          <w:rFonts w:eastAsia="Calibri" w:cs="Calibri"/>
          <w:b/>
          <w:lang w:eastAsia="it-IT"/>
        </w:rPr>
        <w:t>Tossicologia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rPr>
          <w:rFonts w:eastAsia="Calibri" w:cs="Calibri"/>
          <w:lang w:eastAsia="it-IT"/>
        </w:rPr>
        <w:t xml:space="preserve">La tossicologia di </w:t>
      </w:r>
      <w:proofErr w:type="spellStart"/>
      <w:r w:rsidR="00730AAF">
        <w:t>dutasteride</w:t>
      </w:r>
      <w:proofErr w:type="spellEnd"/>
      <w:r w:rsidRPr="00EF6711">
        <w:t xml:space="preserve"> </w:t>
      </w:r>
      <w:r w:rsidRPr="00EF6711">
        <w:rPr>
          <w:rFonts w:eastAsia="Calibri" w:cs="Calibri"/>
          <w:lang w:eastAsia="it-IT"/>
        </w:rPr>
        <w:t>è ben conosciuta; non è stato necessario presentare ulteriori dati.</w:t>
      </w:r>
    </w:p>
    <w:p w:rsidR="004E5A39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E5A39" w:rsidRPr="006727BD" w:rsidRDefault="004E5A39" w:rsidP="00EF671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727BD">
        <w:rPr>
          <w:rFonts w:eastAsia="Times New Roman" w:cs="Times New Roman"/>
          <w:b/>
        </w:rPr>
        <w:t>Farmacologia clinica</w:t>
      </w:r>
    </w:p>
    <w:p w:rsidR="00BE7CDB" w:rsidRPr="006727BD" w:rsidRDefault="004E5A39" w:rsidP="00BE7CDB">
      <w:pPr>
        <w:spacing w:after="0" w:line="240" w:lineRule="auto"/>
        <w:jc w:val="both"/>
      </w:pPr>
      <w:r w:rsidRPr="006727BD">
        <w:rPr>
          <w:rFonts w:eastAsia="Calibri" w:cs="Calibri"/>
          <w:lang w:eastAsia="it-IT"/>
        </w:rPr>
        <w:t xml:space="preserve">La farmacologia clinica di </w:t>
      </w:r>
      <w:proofErr w:type="spellStart"/>
      <w:r w:rsidR="00730AAF">
        <w:t>dutasteride</w:t>
      </w:r>
      <w:proofErr w:type="spellEnd"/>
      <w:r w:rsidR="0066030D">
        <w:t xml:space="preserve"> </w:t>
      </w:r>
      <w:r w:rsidR="0066030D" w:rsidRPr="006727BD">
        <w:t>è</w:t>
      </w:r>
      <w:r w:rsidRPr="006727BD">
        <w:rPr>
          <w:rFonts w:eastAsia="Calibri" w:cs="Calibri"/>
          <w:lang w:eastAsia="it-IT"/>
        </w:rPr>
        <w:t xml:space="preserve"> ben conosciuta.</w:t>
      </w:r>
      <w:r w:rsidRPr="006727BD">
        <w:t xml:space="preserve"> </w:t>
      </w:r>
      <w:proofErr w:type="spellStart"/>
      <w:r w:rsidR="00730AAF">
        <w:t>Dutasteride</w:t>
      </w:r>
      <w:proofErr w:type="spellEnd"/>
      <w:r w:rsidR="00730AAF">
        <w:t xml:space="preserve"> </w:t>
      </w:r>
      <w:proofErr w:type="spellStart"/>
      <w:r w:rsidR="00730AAF">
        <w:t>Sagaem</w:t>
      </w:r>
      <w:proofErr w:type="spellEnd"/>
      <w:r w:rsidR="006D6D08" w:rsidRPr="006D6D08">
        <w:t xml:space="preserve"> </w:t>
      </w:r>
      <w:r w:rsidRPr="006727BD">
        <w:t xml:space="preserve">contiene </w:t>
      </w:r>
      <w:r w:rsidR="00BA0ACD" w:rsidRPr="006727BD">
        <w:t>un</w:t>
      </w:r>
      <w:r w:rsidRPr="006727BD">
        <w:t xml:space="preserve"> principi</w:t>
      </w:r>
      <w:r w:rsidR="00BA0ACD" w:rsidRPr="006727BD">
        <w:t>o</w:t>
      </w:r>
      <w:r w:rsidRPr="006727BD">
        <w:t xml:space="preserve"> attiv</w:t>
      </w:r>
      <w:r w:rsidR="00BA0ACD" w:rsidRPr="006727BD">
        <w:t>o</w:t>
      </w:r>
      <w:r w:rsidRPr="006727BD">
        <w:t xml:space="preserve"> not</w:t>
      </w:r>
      <w:r w:rsidR="00BA0ACD" w:rsidRPr="006727BD">
        <w:t>o</w:t>
      </w:r>
      <w:r w:rsidRPr="006727BD">
        <w:t xml:space="preserve"> present</w:t>
      </w:r>
      <w:r w:rsidR="00BA0ACD" w:rsidRPr="006727BD">
        <w:t>e</w:t>
      </w:r>
      <w:r w:rsidRPr="006727BD">
        <w:t xml:space="preserve"> nel medicinale </w:t>
      </w:r>
      <w:r w:rsidR="00BA0ACD" w:rsidRPr="006727BD">
        <w:t xml:space="preserve">di riferimento </w:t>
      </w:r>
      <w:proofErr w:type="spellStart"/>
      <w:r w:rsidR="00730AAF">
        <w:t>Avodart</w:t>
      </w:r>
      <w:proofErr w:type="spellEnd"/>
      <w:r w:rsidRPr="006727BD">
        <w:t xml:space="preserve"> autorizzato in Italia da più di 10 anni.</w:t>
      </w:r>
      <w:r w:rsidR="006727BD" w:rsidRPr="006727BD">
        <w:t xml:space="preserve"> </w:t>
      </w:r>
      <w:r w:rsidR="00BE7CDB" w:rsidRPr="006727BD">
        <w:t xml:space="preserve">Con l’eccezione dello studio di bioequivalenza, non sono stati condotti nuovi studi clinici di farmacodinamica e farmacocinetica, in quanto </w:t>
      </w:r>
      <w:proofErr w:type="spellStart"/>
      <w:r w:rsidR="00730AAF">
        <w:t>Dutasteride</w:t>
      </w:r>
      <w:proofErr w:type="spellEnd"/>
      <w:r w:rsidR="00730AAF">
        <w:t xml:space="preserve"> </w:t>
      </w:r>
      <w:proofErr w:type="spellStart"/>
      <w:r w:rsidR="00730AAF">
        <w:t>Sagaem</w:t>
      </w:r>
      <w:proofErr w:type="spellEnd"/>
      <w:r w:rsidR="006D6D08" w:rsidRPr="006D6D08">
        <w:t xml:space="preserve"> </w:t>
      </w:r>
      <w:r w:rsidR="00BE7CDB" w:rsidRPr="006727BD">
        <w:t xml:space="preserve">contiene un principio attivo noto e presente nel medicinale </w:t>
      </w:r>
      <w:r w:rsidR="006727BD">
        <w:t xml:space="preserve">di riferimento </w:t>
      </w:r>
      <w:proofErr w:type="spellStart"/>
      <w:r w:rsidR="00730AAF">
        <w:t>Avodart</w:t>
      </w:r>
      <w:proofErr w:type="spellEnd"/>
      <w:r w:rsidR="00BE7CDB" w:rsidRPr="006727BD">
        <w:t xml:space="preserve"> autorizzato in Italia da più di 10 anni.</w:t>
      </w:r>
    </w:p>
    <w:p w:rsidR="004E5A39" w:rsidRDefault="004E5A39" w:rsidP="00EF6711">
      <w:pPr>
        <w:spacing w:after="0" w:line="240" w:lineRule="auto"/>
        <w:jc w:val="both"/>
        <w:rPr>
          <w:highlight w:val="cyan"/>
        </w:rPr>
      </w:pPr>
    </w:p>
    <w:p w:rsidR="006727BD" w:rsidRPr="009F16FA" w:rsidRDefault="006727BD" w:rsidP="006727BD">
      <w:pPr>
        <w:spacing w:after="0" w:line="240" w:lineRule="auto"/>
        <w:jc w:val="both"/>
        <w:rPr>
          <w:b/>
        </w:rPr>
      </w:pPr>
      <w:r w:rsidRPr="006727BD">
        <w:rPr>
          <w:b/>
        </w:rPr>
        <w:t>Studio di bioequivalenza</w:t>
      </w:r>
    </w:p>
    <w:p w:rsidR="005049A1" w:rsidRPr="00074B05" w:rsidRDefault="005049A1" w:rsidP="005049A1">
      <w:pPr>
        <w:spacing w:after="0" w:line="240" w:lineRule="auto"/>
        <w:jc w:val="both"/>
      </w:pPr>
      <w:r w:rsidRPr="00074B05">
        <w:t xml:space="preserve">La richiesta di AIC è supportata da </w:t>
      </w:r>
      <w:r w:rsidR="00BA5F3A" w:rsidRPr="00074B05">
        <w:t>uno</w:t>
      </w:r>
      <w:r w:rsidR="0066030D" w:rsidRPr="00074B05">
        <w:t xml:space="preserve"> studi</w:t>
      </w:r>
      <w:r w:rsidR="002E2018">
        <w:t>o</w:t>
      </w:r>
      <w:r w:rsidRPr="00074B05">
        <w:t xml:space="preserve"> di </w:t>
      </w:r>
      <w:proofErr w:type="spellStart"/>
      <w:r w:rsidRPr="00074B05">
        <w:t>bioequivalenza</w:t>
      </w:r>
      <w:proofErr w:type="spellEnd"/>
      <w:r w:rsidRPr="00074B05">
        <w:t xml:space="preserve"> che </w:t>
      </w:r>
      <w:proofErr w:type="spellStart"/>
      <w:r w:rsidRPr="00074B05">
        <w:t>ha</w:t>
      </w:r>
      <w:r w:rsidR="002E2018">
        <w:t>o</w:t>
      </w:r>
      <w:proofErr w:type="spellEnd"/>
      <w:r w:rsidRPr="00074B05">
        <w:t xml:space="preserve"> confrontato i profili farmacocinetici di </w:t>
      </w:r>
      <w:proofErr w:type="spellStart"/>
      <w:r w:rsidR="00730AAF" w:rsidRPr="00074B05">
        <w:t>Dutasteride</w:t>
      </w:r>
      <w:proofErr w:type="spellEnd"/>
      <w:r w:rsidR="00730AAF" w:rsidRPr="00074B05">
        <w:t xml:space="preserve"> </w:t>
      </w:r>
      <w:proofErr w:type="spellStart"/>
      <w:r w:rsidR="00730AAF" w:rsidRPr="00074B05">
        <w:t>Sagaem</w:t>
      </w:r>
      <w:proofErr w:type="spellEnd"/>
      <w:r w:rsidR="006D6D08" w:rsidRPr="00074B05">
        <w:t xml:space="preserve"> </w:t>
      </w:r>
      <w:r w:rsidRPr="00074B05">
        <w:t xml:space="preserve">e quelli del medicinale di riferimento </w:t>
      </w:r>
      <w:proofErr w:type="spellStart"/>
      <w:r w:rsidR="00730AAF" w:rsidRPr="00074B05">
        <w:t>Avodart</w:t>
      </w:r>
      <w:proofErr w:type="spellEnd"/>
      <w:r w:rsidR="006D6D08" w:rsidRPr="00074B05">
        <w:t xml:space="preserve">, in condizioni di </w:t>
      </w:r>
      <w:r w:rsidR="00BA5F3A" w:rsidRPr="00074B05">
        <w:t>digiuno.</w:t>
      </w:r>
    </w:p>
    <w:p w:rsidR="005049A1" w:rsidRPr="00074B05" w:rsidRDefault="00074B05" w:rsidP="005049A1">
      <w:pPr>
        <w:pStyle w:val="Paragrafoelenco"/>
        <w:spacing w:after="0" w:line="240" w:lineRule="auto"/>
        <w:ind w:left="0"/>
        <w:jc w:val="both"/>
      </w:pPr>
      <w:r w:rsidRPr="00074B05">
        <w:t xml:space="preserve">Lo </w:t>
      </w:r>
      <w:r w:rsidR="006D6D08" w:rsidRPr="00074B05">
        <w:t>studi</w:t>
      </w:r>
      <w:r w:rsidRPr="00074B05">
        <w:t>o</w:t>
      </w:r>
      <w:r w:rsidR="005049A1" w:rsidRPr="00074B05">
        <w:t xml:space="preserve"> era caratterizzat</w:t>
      </w:r>
      <w:r w:rsidRPr="00074B05">
        <w:t>o</w:t>
      </w:r>
      <w:r w:rsidR="005049A1" w:rsidRPr="00074B05">
        <w:t xml:space="preserve"> da un appropriato disegno </w:t>
      </w:r>
      <w:r w:rsidR="0066030D" w:rsidRPr="00074B05">
        <w:t>e</w:t>
      </w:r>
      <w:r w:rsidRPr="00074B05">
        <w:t>d è</w:t>
      </w:r>
      <w:r w:rsidR="005049A1" w:rsidRPr="00074B05">
        <w:t xml:space="preserve"> stat</w:t>
      </w:r>
      <w:r w:rsidRPr="00074B05">
        <w:t>o</w:t>
      </w:r>
      <w:r w:rsidR="005049A1" w:rsidRPr="00074B05">
        <w:t xml:space="preserve"> condott</w:t>
      </w:r>
      <w:r w:rsidRPr="00074B05">
        <w:t>o</w:t>
      </w:r>
      <w:r w:rsidR="005049A1" w:rsidRPr="00074B05">
        <w:t xml:space="preserve"> in accordo ai principi GCP.</w:t>
      </w:r>
    </w:p>
    <w:p w:rsidR="005049A1" w:rsidRPr="00074B05" w:rsidRDefault="005049A1" w:rsidP="005049A1">
      <w:pPr>
        <w:pStyle w:val="Paragrafoelenco"/>
        <w:spacing w:after="0" w:line="240" w:lineRule="auto"/>
        <w:ind w:left="0"/>
        <w:jc w:val="both"/>
      </w:pPr>
      <w:r w:rsidRPr="00074B05">
        <w:t>Sono stati forniti certificati analitici per medicinale test e medicinale di riferimento.</w:t>
      </w:r>
    </w:p>
    <w:p w:rsidR="005049A1" w:rsidRPr="00074B05" w:rsidRDefault="00BA5F3A" w:rsidP="005049A1">
      <w:pPr>
        <w:spacing w:after="0" w:line="240" w:lineRule="auto"/>
        <w:jc w:val="both"/>
        <w:rPr>
          <w:rFonts w:ascii="Calibri" w:hAnsi="Calibri" w:cs="Arial"/>
        </w:rPr>
      </w:pPr>
      <w:r w:rsidRPr="00074B05">
        <w:rPr>
          <w:rFonts w:ascii="Calibri" w:hAnsi="Calibri"/>
        </w:rPr>
        <w:t>Lo</w:t>
      </w:r>
      <w:r w:rsidR="006D6D08" w:rsidRPr="00074B05">
        <w:rPr>
          <w:rFonts w:ascii="Calibri" w:hAnsi="Calibri"/>
        </w:rPr>
        <w:t xml:space="preserve"> studi</w:t>
      </w:r>
      <w:r w:rsidRPr="00074B05">
        <w:rPr>
          <w:rFonts w:ascii="Calibri" w:hAnsi="Calibri"/>
        </w:rPr>
        <w:t xml:space="preserve">o </w:t>
      </w:r>
      <w:r w:rsidR="005049A1" w:rsidRPr="00074B05">
        <w:rPr>
          <w:rFonts w:ascii="Calibri" w:hAnsi="Calibri"/>
        </w:rPr>
        <w:t xml:space="preserve">di </w:t>
      </w:r>
      <w:proofErr w:type="spellStart"/>
      <w:r w:rsidR="005049A1" w:rsidRPr="00074B05">
        <w:rPr>
          <w:rFonts w:ascii="Calibri" w:hAnsi="Calibri"/>
        </w:rPr>
        <w:t>bioequivalenza</w:t>
      </w:r>
      <w:proofErr w:type="spellEnd"/>
      <w:r w:rsidR="005049A1" w:rsidRPr="00074B05">
        <w:rPr>
          <w:rFonts w:ascii="Calibri" w:hAnsi="Calibri"/>
        </w:rPr>
        <w:t xml:space="preserve"> </w:t>
      </w:r>
      <w:r w:rsidRPr="00074B05">
        <w:rPr>
          <w:rFonts w:ascii="Calibri" w:hAnsi="Calibri"/>
        </w:rPr>
        <w:t>è uno</w:t>
      </w:r>
      <w:r w:rsidR="0066030D" w:rsidRPr="00074B05">
        <w:rPr>
          <w:rFonts w:ascii="Calibri" w:hAnsi="Calibri"/>
        </w:rPr>
        <w:t xml:space="preserve"> studi</w:t>
      </w:r>
      <w:r w:rsidRPr="00074B05">
        <w:rPr>
          <w:rFonts w:ascii="Calibri" w:hAnsi="Calibri"/>
        </w:rPr>
        <w:t>o</w:t>
      </w:r>
      <w:r w:rsidR="005049A1" w:rsidRPr="00074B05">
        <w:rPr>
          <w:rFonts w:ascii="Calibri" w:hAnsi="Calibri"/>
        </w:rPr>
        <w:t xml:space="preserve"> comparativ</w:t>
      </w:r>
      <w:r w:rsidRPr="00074B05">
        <w:rPr>
          <w:rFonts w:ascii="Calibri" w:hAnsi="Calibri"/>
        </w:rPr>
        <w:t>o</w:t>
      </w:r>
      <w:r w:rsidR="005049A1" w:rsidRPr="00074B05">
        <w:rPr>
          <w:rFonts w:ascii="Calibri" w:hAnsi="Calibri"/>
        </w:rPr>
        <w:t>, randomizzat</w:t>
      </w:r>
      <w:r w:rsidRPr="00074B05">
        <w:rPr>
          <w:rFonts w:ascii="Calibri" w:hAnsi="Calibri"/>
        </w:rPr>
        <w:t>o, a dose singola</w:t>
      </w:r>
      <w:r w:rsidR="006D6D08" w:rsidRPr="00074B05">
        <w:rPr>
          <w:rFonts w:ascii="Calibri" w:hAnsi="Calibri"/>
        </w:rPr>
        <w:t xml:space="preserve">, </w:t>
      </w:r>
      <w:r w:rsidRPr="00074B05">
        <w:rPr>
          <w:rFonts w:ascii="Calibri" w:hAnsi="Calibri"/>
        </w:rPr>
        <w:t>2</w:t>
      </w:r>
      <w:r w:rsidR="005049A1" w:rsidRPr="00074B05">
        <w:rPr>
          <w:rFonts w:ascii="Calibri" w:hAnsi="Calibri"/>
        </w:rPr>
        <w:t xml:space="preserve">-periodi, </w:t>
      </w:r>
      <w:r w:rsidRPr="00074B05">
        <w:rPr>
          <w:rFonts w:ascii="Calibri" w:hAnsi="Calibri"/>
        </w:rPr>
        <w:t xml:space="preserve">2 sequenze, </w:t>
      </w:r>
      <w:r w:rsidR="005049A1" w:rsidRPr="00074B05">
        <w:rPr>
          <w:rFonts w:ascii="Calibri" w:hAnsi="Calibri"/>
        </w:rPr>
        <w:t>crossover condott</w:t>
      </w:r>
      <w:r w:rsidRPr="00074B05">
        <w:rPr>
          <w:rFonts w:ascii="Calibri" w:hAnsi="Calibri"/>
        </w:rPr>
        <w:t>o</w:t>
      </w:r>
      <w:r w:rsidR="005049A1" w:rsidRPr="00074B05">
        <w:rPr>
          <w:rFonts w:ascii="Calibri" w:hAnsi="Calibri"/>
        </w:rPr>
        <w:t xml:space="preserve"> in </w:t>
      </w:r>
      <w:r w:rsidRPr="00074B05">
        <w:rPr>
          <w:rFonts w:ascii="Calibri" w:hAnsi="Calibri"/>
        </w:rPr>
        <w:t>24</w:t>
      </w:r>
      <w:r w:rsidR="005049A1" w:rsidRPr="00074B05">
        <w:rPr>
          <w:rFonts w:ascii="Calibri" w:hAnsi="Calibri"/>
        </w:rPr>
        <w:t xml:space="preserve"> volontari sani. </w:t>
      </w:r>
      <w:r w:rsidR="005049A1" w:rsidRPr="00074B05">
        <w:rPr>
          <w:rFonts w:ascii="Calibri" w:hAnsi="Calibri" w:cs="Arial"/>
        </w:rPr>
        <w:t xml:space="preserve">Dopo una notte di digiuno, il medicinale è stato somministrato con acqua. </w:t>
      </w:r>
      <w:r w:rsidR="005049A1" w:rsidRPr="00074B05">
        <w:rPr>
          <w:rFonts w:ascii="Calibri" w:hAnsi="Calibri"/>
        </w:rPr>
        <w:t xml:space="preserve">Un soddisfacente periodo di wash-out di </w:t>
      </w:r>
      <w:r w:rsidR="00074B05" w:rsidRPr="00074B05">
        <w:rPr>
          <w:rFonts w:ascii="Calibri" w:hAnsi="Calibri" w:cs="Arial"/>
        </w:rPr>
        <w:t>21</w:t>
      </w:r>
      <w:r w:rsidR="005049A1" w:rsidRPr="00074B05">
        <w:rPr>
          <w:rFonts w:ascii="Calibri" w:hAnsi="Calibri" w:cs="Arial"/>
        </w:rPr>
        <w:t xml:space="preserve"> giorni è stato previsto tra le somministrazioni in ogni gruppo.</w:t>
      </w:r>
    </w:p>
    <w:p w:rsidR="005049A1" w:rsidRPr="00074B05" w:rsidRDefault="00BA5F3A" w:rsidP="005049A1">
      <w:pPr>
        <w:spacing w:after="0" w:line="240" w:lineRule="auto"/>
        <w:jc w:val="both"/>
        <w:rPr>
          <w:rFonts w:ascii="Calibri" w:hAnsi="Calibri" w:cs="Arial"/>
        </w:rPr>
      </w:pPr>
      <w:r w:rsidRPr="00074B05">
        <w:rPr>
          <w:rFonts w:ascii="Calibri" w:hAnsi="Calibri" w:cs="Arial"/>
        </w:rPr>
        <w:lastRenderedPageBreak/>
        <w:t>C</w:t>
      </w:r>
      <w:r w:rsidR="005049A1" w:rsidRPr="00074B05">
        <w:rPr>
          <w:rFonts w:ascii="Calibri" w:hAnsi="Calibri" w:cs="Arial"/>
        </w:rPr>
        <w:t>ampioni di sangue sono stati prelevati al tempo zero (</w:t>
      </w:r>
      <w:proofErr w:type="spellStart"/>
      <w:r w:rsidR="005049A1" w:rsidRPr="00074B05">
        <w:rPr>
          <w:rFonts w:ascii="Calibri" w:hAnsi="Calibri" w:cs="Arial"/>
        </w:rPr>
        <w:t>pre-dose</w:t>
      </w:r>
      <w:proofErr w:type="spellEnd"/>
      <w:r w:rsidR="005049A1" w:rsidRPr="00074B05">
        <w:rPr>
          <w:rFonts w:ascii="Calibri" w:hAnsi="Calibri" w:cs="Arial"/>
        </w:rPr>
        <w:t xml:space="preserve">) e a specificati tempi fino a </w:t>
      </w:r>
      <w:r w:rsidRPr="00074B05">
        <w:rPr>
          <w:rFonts w:ascii="Calibri" w:hAnsi="Calibri" w:cs="Arial"/>
        </w:rPr>
        <w:t xml:space="preserve">72 </w:t>
      </w:r>
      <w:r w:rsidR="005049A1" w:rsidRPr="00074B05">
        <w:rPr>
          <w:rFonts w:ascii="Calibri" w:hAnsi="Calibri" w:cs="Arial"/>
        </w:rPr>
        <w:t xml:space="preserve">ore dopo la somministrazione. I livelli plasmatici di </w:t>
      </w:r>
      <w:proofErr w:type="spellStart"/>
      <w:r w:rsidRPr="00074B05">
        <w:t>dutasteride</w:t>
      </w:r>
      <w:proofErr w:type="spellEnd"/>
      <w:r w:rsidRPr="00074B05">
        <w:rPr>
          <w:rFonts w:ascii="Calibri" w:hAnsi="Calibri" w:cs="Arial"/>
        </w:rPr>
        <w:t xml:space="preserve"> </w:t>
      </w:r>
      <w:r w:rsidR="005049A1" w:rsidRPr="00074B05">
        <w:rPr>
          <w:rFonts w:ascii="Calibri" w:hAnsi="Calibri" w:cs="Arial"/>
        </w:rPr>
        <w:t>sono stati determinati mediante un metodo analitico</w:t>
      </w:r>
      <w:r w:rsidR="007156D1" w:rsidRPr="00074B05">
        <w:rPr>
          <w:bCs/>
        </w:rPr>
        <w:t xml:space="preserve"> </w:t>
      </w:r>
      <w:r w:rsidR="007156D1" w:rsidRPr="00074B05">
        <w:rPr>
          <w:rFonts w:ascii="Calibri" w:eastAsia="Calibri" w:hAnsi="Calibri" w:cs="Times New Roman"/>
          <w:bCs/>
        </w:rPr>
        <w:t xml:space="preserve">LC/MS/MS </w:t>
      </w:r>
      <w:r w:rsidR="005049A1" w:rsidRPr="00074B05">
        <w:rPr>
          <w:rFonts w:ascii="Calibri" w:hAnsi="Calibri" w:cs="Arial"/>
        </w:rPr>
        <w:t>opportunamente convalidato.</w:t>
      </w:r>
    </w:p>
    <w:p w:rsidR="005049A1" w:rsidRPr="00074B05" w:rsidRDefault="005049A1" w:rsidP="005049A1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074B05">
        <w:rPr>
          <w:rFonts w:ascii="Calibri" w:hAnsi="Calibri" w:cs="Arial"/>
        </w:rPr>
        <w:t xml:space="preserve">Per </w:t>
      </w:r>
      <w:proofErr w:type="spellStart"/>
      <w:r w:rsidR="00730AAF" w:rsidRPr="00074B05">
        <w:rPr>
          <w:rFonts w:ascii="Calibri" w:hAnsi="Calibri" w:cs="Arial"/>
        </w:rPr>
        <w:t>dutasteride</w:t>
      </w:r>
      <w:proofErr w:type="spellEnd"/>
      <w:r w:rsidR="0066030D" w:rsidRPr="00074B05">
        <w:rPr>
          <w:rFonts w:ascii="Calibri" w:hAnsi="Calibri" w:cs="Arial"/>
        </w:rPr>
        <w:t xml:space="preserve"> sono</w:t>
      </w:r>
      <w:r w:rsidRPr="00074B05">
        <w:rPr>
          <w:rFonts w:ascii="Calibri" w:hAnsi="Calibri" w:cs="Arial"/>
        </w:rPr>
        <w:t xml:space="preserve"> state definite le seguenti variabili farmacocinetiche: </w:t>
      </w:r>
      <w:proofErr w:type="spellStart"/>
      <w:r w:rsidRPr="00074B05">
        <w:rPr>
          <w:rFonts w:ascii="Calibri" w:hAnsi="Calibri" w:cs="Arial"/>
        </w:rPr>
        <w:t>C</w:t>
      </w:r>
      <w:r w:rsidRPr="00074B05">
        <w:rPr>
          <w:rFonts w:ascii="Calibri" w:hAnsi="Calibri" w:cs="Arial"/>
          <w:vertAlign w:val="subscript"/>
        </w:rPr>
        <w:t>max</w:t>
      </w:r>
      <w:proofErr w:type="spellEnd"/>
      <w:r w:rsidRPr="00074B05">
        <w:rPr>
          <w:rFonts w:ascii="Calibri" w:hAnsi="Calibri" w:cs="Arial"/>
        </w:rPr>
        <w:t>, AUC</w:t>
      </w:r>
      <w:r w:rsidRPr="00074B05">
        <w:rPr>
          <w:rFonts w:ascii="Calibri" w:hAnsi="Calibri" w:cs="Arial"/>
          <w:vertAlign w:val="subscript"/>
        </w:rPr>
        <w:t>0-</w:t>
      </w:r>
      <w:r w:rsidR="00BA5F3A" w:rsidRPr="00074B05">
        <w:rPr>
          <w:rFonts w:ascii="Calibri" w:hAnsi="Calibri" w:cs="Arial"/>
          <w:vertAlign w:val="subscript"/>
        </w:rPr>
        <w:t>72</w:t>
      </w:r>
      <w:r w:rsidRPr="00074B05">
        <w:rPr>
          <w:rFonts w:ascii="Calibri" w:hAnsi="Calibri" w:cs="Arial"/>
        </w:rPr>
        <w:t xml:space="preserve">, </w:t>
      </w:r>
      <w:proofErr w:type="spellStart"/>
      <w:r w:rsidRPr="00074B05">
        <w:rPr>
          <w:rFonts w:ascii="Calibri" w:hAnsi="Calibri" w:cs="Arial"/>
        </w:rPr>
        <w:t>t½</w:t>
      </w:r>
      <w:proofErr w:type="spellEnd"/>
      <w:r w:rsidRPr="00074B05">
        <w:rPr>
          <w:rFonts w:ascii="Calibri" w:hAnsi="Calibri" w:cs="Arial"/>
        </w:rPr>
        <w:t xml:space="preserve"> e AUC estrapolata. La bioequivalenza tra medicinale test e medicinale di riferimento è dimostrata se gli intervalli di confidenza al 90% per la trasformata logaritmica di </w:t>
      </w:r>
      <w:proofErr w:type="spellStart"/>
      <w:r w:rsidRPr="00074B05">
        <w:rPr>
          <w:rFonts w:ascii="Calibri" w:hAnsi="Calibri" w:cs="Arial"/>
        </w:rPr>
        <w:t>C</w:t>
      </w:r>
      <w:r w:rsidRPr="00074B05">
        <w:rPr>
          <w:rFonts w:ascii="Calibri" w:hAnsi="Calibri" w:cs="Arial"/>
          <w:vertAlign w:val="subscript"/>
        </w:rPr>
        <w:t>max</w:t>
      </w:r>
      <w:proofErr w:type="spellEnd"/>
      <w:r w:rsidRPr="00074B05">
        <w:rPr>
          <w:rFonts w:ascii="Calibri" w:hAnsi="Calibri" w:cs="Arial"/>
        </w:rPr>
        <w:t xml:space="preserve"> e AUC</w:t>
      </w:r>
      <w:r w:rsidRPr="00074B05">
        <w:rPr>
          <w:rFonts w:ascii="Calibri" w:hAnsi="Calibri" w:cs="Arial"/>
          <w:vertAlign w:val="subscript"/>
        </w:rPr>
        <w:t>0-</w:t>
      </w:r>
      <w:r w:rsidR="00BA5F3A" w:rsidRPr="00074B05">
        <w:rPr>
          <w:rFonts w:ascii="Calibri" w:hAnsi="Calibri" w:cs="Arial"/>
          <w:vertAlign w:val="subscript"/>
        </w:rPr>
        <w:t>72</w:t>
      </w:r>
      <w:r w:rsidRPr="00074B05">
        <w:rPr>
          <w:rFonts w:ascii="Calibri" w:hAnsi="Calibri" w:cs="Arial"/>
        </w:rPr>
        <w:t xml:space="preserve">,,  cadono nel </w:t>
      </w:r>
      <w:proofErr w:type="spellStart"/>
      <w:r w:rsidRPr="00074B05">
        <w:rPr>
          <w:rFonts w:ascii="Calibri" w:hAnsi="Calibri" w:cs="Arial"/>
        </w:rPr>
        <w:t>range</w:t>
      </w:r>
      <w:proofErr w:type="spellEnd"/>
      <w:r w:rsidRPr="00074B05">
        <w:rPr>
          <w:rFonts w:ascii="Calibri" w:hAnsi="Calibri" w:cs="Arial"/>
        </w:rPr>
        <w:t xml:space="preserve"> di accettabilità di 0.80-1.25 (80%-125%).</w:t>
      </w:r>
    </w:p>
    <w:p w:rsidR="006406D4" w:rsidRPr="00074B05" w:rsidRDefault="006406D4" w:rsidP="005049A1">
      <w:pPr>
        <w:pStyle w:val="Paragrafoelenco"/>
        <w:spacing w:after="0" w:line="240" w:lineRule="auto"/>
        <w:ind w:left="0"/>
        <w:jc w:val="both"/>
      </w:pPr>
    </w:p>
    <w:p w:rsidR="005049A1" w:rsidRPr="00074B05" w:rsidRDefault="005049A1" w:rsidP="005049A1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074B05">
        <w:rPr>
          <w:u w:val="single"/>
        </w:rPr>
        <w:t>Risultati</w:t>
      </w:r>
    </w:p>
    <w:p w:rsidR="005049A1" w:rsidRPr="00074B05" w:rsidRDefault="00BA5F3A" w:rsidP="005049A1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074B05">
        <w:rPr>
          <w:rFonts w:ascii="Calibri" w:hAnsi="Calibri" w:cs="Arial"/>
        </w:rPr>
        <w:t>24</w:t>
      </w:r>
      <w:r w:rsidR="0066030D" w:rsidRPr="00074B05">
        <w:rPr>
          <w:rFonts w:ascii="Calibri" w:hAnsi="Calibri" w:cs="Arial"/>
        </w:rPr>
        <w:t xml:space="preserve"> volontari</w:t>
      </w:r>
      <w:r w:rsidR="005049A1" w:rsidRPr="00074B05">
        <w:rPr>
          <w:rFonts w:ascii="Calibri" w:hAnsi="Calibri" w:cs="Arial"/>
        </w:rPr>
        <w:t xml:space="preserve"> sani sono stati arruolati </w:t>
      </w:r>
      <w:r w:rsidRPr="00074B05">
        <w:rPr>
          <w:rFonts w:ascii="Calibri" w:hAnsi="Calibri" w:cs="Arial"/>
        </w:rPr>
        <w:t xml:space="preserve">nello studio di </w:t>
      </w:r>
      <w:proofErr w:type="spellStart"/>
      <w:r w:rsidRPr="00074B05">
        <w:rPr>
          <w:rFonts w:ascii="Calibri" w:hAnsi="Calibri" w:cs="Arial"/>
        </w:rPr>
        <w:t>bioequivalenza</w:t>
      </w:r>
      <w:proofErr w:type="spellEnd"/>
      <w:r w:rsidR="005049A1" w:rsidRPr="00074B05">
        <w:rPr>
          <w:rFonts w:ascii="Calibri" w:hAnsi="Calibri" w:cs="Arial"/>
        </w:rPr>
        <w:t xml:space="preserve">. </w:t>
      </w:r>
      <w:r w:rsidRPr="00074B05">
        <w:rPr>
          <w:rFonts w:ascii="Calibri" w:hAnsi="Calibri" w:cs="Arial"/>
        </w:rPr>
        <w:t xml:space="preserve">23 </w:t>
      </w:r>
      <w:r w:rsidR="00B55C5D" w:rsidRPr="00074B05">
        <w:rPr>
          <w:rFonts w:ascii="Calibri" w:hAnsi="Calibri" w:cs="Arial"/>
        </w:rPr>
        <w:t xml:space="preserve">soggetti </w:t>
      </w:r>
      <w:r w:rsidR="005049A1" w:rsidRPr="00074B05">
        <w:t xml:space="preserve">hanno completato la fase </w:t>
      </w:r>
      <w:r w:rsidR="0066030D" w:rsidRPr="00074B05">
        <w:t>clinica e</w:t>
      </w:r>
      <w:r w:rsidR="005049A1" w:rsidRPr="00074B05">
        <w:t xml:space="preserve"> </w:t>
      </w:r>
      <w:r w:rsidR="005049A1" w:rsidRPr="00074B05">
        <w:rPr>
          <w:rFonts w:ascii="Calibri" w:hAnsi="Calibri" w:cs="Arial"/>
        </w:rPr>
        <w:t>sono stati inclusi nell’analisi farmacocinetica.</w:t>
      </w:r>
    </w:p>
    <w:p w:rsidR="005049A1" w:rsidRPr="00074B05" w:rsidRDefault="005049A1" w:rsidP="005049A1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lang w:val="it-IT"/>
        </w:rPr>
      </w:pPr>
    </w:p>
    <w:p w:rsidR="005049A1" w:rsidRPr="00074B05" w:rsidRDefault="005049A1" w:rsidP="005049A1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074B05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5049A1" w:rsidRPr="00074B05" w:rsidRDefault="005049A1" w:rsidP="00D23DF7">
      <w:pPr>
        <w:autoSpaceDE w:val="0"/>
        <w:autoSpaceDN w:val="0"/>
        <w:adjustRightInd w:val="0"/>
        <w:spacing w:after="0" w:line="240" w:lineRule="auto"/>
        <w:jc w:val="both"/>
      </w:pPr>
      <w:r w:rsidRPr="00074B05">
        <w:rPr>
          <w:rFonts w:ascii="Calibri" w:hAnsi="Calibri" w:cs="Arial"/>
        </w:rPr>
        <w:t>Nel corso dello studio</w:t>
      </w:r>
      <w:r w:rsidR="00B55C5D" w:rsidRPr="00074B05">
        <w:rPr>
          <w:rFonts w:ascii="Calibri" w:hAnsi="Calibri" w:cs="Arial"/>
        </w:rPr>
        <w:t xml:space="preserve"> </w:t>
      </w:r>
      <w:r w:rsidRPr="00074B05">
        <w:rPr>
          <w:rFonts w:ascii="Calibri" w:hAnsi="Calibri" w:cs="Arial"/>
        </w:rPr>
        <w:t xml:space="preserve">si sono manifestati </w:t>
      </w:r>
      <w:r w:rsidR="00BA5F3A" w:rsidRPr="00074B05">
        <w:t xml:space="preserve">2 </w:t>
      </w:r>
      <w:r w:rsidRPr="00074B05">
        <w:t xml:space="preserve">eventi avversi </w:t>
      </w:r>
      <w:r w:rsidRPr="00074B05">
        <w:rPr>
          <w:rFonts w:ascii="Calibri" w:hAnsi="Calibri" w:cs="Arial"/>
        </w:rPr>
        <w:t xml:space="preserve">correlati al trattamento in </w:t>
      </w:r>
      <w:r w:rsidR="00BA5F3A" w:rsidRPr="00074B05">
        <w:rPr>
          <w:rFonts w:ascii="Calibri" w:hAnsi="Calibri" w:cs="Arial"/>
        </w:rPr>
        <w:t>2</w:t>
      </w:r>
      <w:r w:rsidR="00B55C5D" w:rsidRPr="00074B05">
        <w:rPr>
          <w:rFonts w:ascii="Calibri" w:hAnsi="Calibri" w:cs="Arial"/>
        </w:rPr>
        <w:t xml:space="preserve"> </w:t>
      </w:r>
      <w:r w:rsidRPr="00074B05">
        <w:rPr>
          <w:rFonts w:ascii="Calibri" w:hAnsi="Calibri" w:cs="Arial"/>
        </w:rPr>
        <w:t>soggetti</w:t>
      </w:r>
      <w:r w:rsidRPr="00074B05">
        <w:t xml:space="preserve">. </w:t>
      </w:r>
      <w:r w:rsidRPr="00074B05">
        <w:rPr>
          <w:rFonts w:ascii="Calibri" w:hAnsi="Calibri" w:cs="Arial"/>
        </w:rPr>
        <w:t xml:space="preserve">In particolare, </w:t>
      </w:r>
      <w:r w:rsidR="00B55C5D" w:rsidRPr="00074B05">
        <w:rPr>
          <w:rFonts w:ascii="Calibri" w:hAnsi="Calibri" w:cs="Arial"/>
        </w:rPr>
        <w:t>sono</w:t>
      </w:r>
      <w:r w:rsidRPr="00074B05">
        <w:rPr>
          <w:rFonts w:ascii="Calibri" w:hAnsi="Calibri" w:cs="Arial"/>
        </w:rPr>
        <w:t xml:space="preserve"> stat</w:t>
      </w:r>
      <w:r w:rsidR="00B55C5D" w:rsidRPr="00074B05">
        <w:rPr>
          <w:rFonts w:ascii="Calibri" w:hAnsi="Calibri" w:cs="Arial"/>
        </w:rPr>
        <w:t>i</w:t>
      </w:r>
      <w:r w:rsidRPr="00074B05">
        <w:rPr>
          <w:rFonts w:ascii="Calibri" w:hAnsi="Calibri" w:cs="Arial"/>
        </w:rPr>
        <w:t xml:space="preserve"> riscontrat</w:t>
      </w:r>
      <w:r w:rsidR="00B55C5D" w:rsidRPr="00074B05">
        <w:rPr>
          <w:rFonts w:ascii="Calibri" w:hAnsi="Calibri" w:cs="Arial"/>
        </w:rPr>
        <w:t>i</w:t>
      </w:r>
      <w:r w:rsidRPr="00074B05">
        <w:rPr>
          <w:rFonts w:ascii="Calibri" w:hAnsi="Calibri" w:cs="Arial"/>
        </w:rPr>
        <w:t xml:space="preserve"> </w:t>
      </w:r>
      <w:r w:rsidR="00BA5F3A" w:rsidRPr="00074B05">
        <w:t>sonnolenza e mal di testa</w:t>
      </w:r>
      <w:r w:rsidR="00B55C5D" w:rsidRPr="00074B05">
        <w:t xml:space="preserve">. </w:t>
      </w:r>
      <w:r w:rsidRPr="00074B05">
        <w:t xml:space="preserve"> </w:t>
      </w:r>
    </w:p>
    <w:p w:rsidR="00B55C5D" w:rsidRPr="00074B05" w:rsidRDefault="00B55C5D" w:rsidP="00D23DF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/>
        </w:rPr>
      </w:pPr>
    </w:p>
    <w:p w:rsidR="005049A1" w:rsidRPr="00074B05" w:rsidRDefault="005049A1" w:rsidP="00D23DF7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074B05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074B05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5049A1" w:rsidRDefault="005049A1" w:rsidP="00D23DF7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074B05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D23DF7" w:rsidRPr="00D23DF7" w:rsidRDefault="00D23DF7" w:rsidP="00D23DF7">
      <w:pPr>
        <w:spacing w:after="0" w:line="240" w:lineRule="auto"/>
      </w:pPr>
    </w:p>
    <w:tbl>
      <w:tblPr>
        <w:tblW w:w="7597" w:type="dxa"/>
        <w:jc w:val="center"/>
        <w:tblInd w:w="6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97"/>
        <w:gridCol w:w="1621"/>
        <w:gridCol w:w="1622"/>
        <w:gridCol w:w="1253"/>
        <w:gridCol w:w="1604"/>
      </w:tblGrid>
      <w:tr w:rsidR="00B55C5D" w:rsidRPr="00926C13" w:rsidTr="00926C13">
        <w:trPr>
          <w:trHeight w:val="230"/>
          <w:jc w:val="center"/>
        </w:trPr>
        <w:tc>
          <w:tcPr>
            <w:tcW w:w="759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noWrap/>
            <w:vAlign w:val="bottom"/>
            <w:hideMark/>
          </w:tcPr>
          <w:p w:rsidR="00B55C5D" w:rsidRPr="00926C13" w:rsidRDefault="00730AAF" w:rsidP="00D23DF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proofErr w:type="spellStart"/>
            <w:r w:rsidRPr="00926C13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Dutasteride</w:t>
            </w:r>
            <w:proofErr w:type="spellEnd"/>
            <w:r w:rsidR="00B55C5D" w:rsidRPr="00926C13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55C5D" w:rsidRPr="00926C13" w:rsidTr="00926C13">
        <w:trPr>
          <w:trHeight w:val="194"/>
          <w:jc w:val="center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55C5D" w:rsidRPr="00926C13" w:rsidRDefault="00B55C5D" w:rsidP="00926C1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926C13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Parametro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55C5D" w:rsidRPr="00926C13" w:rsidRDefault="006E26B6" w:rsidP="00D23DF7">
            <w:pPr>
              <w:spacing w:after="0" w:line="240" w:lineRule="auto"/>
              <w:ind w:left="102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926C13">
              <w:rPr>
                <w:b/>
                <w:bCs/>
                <w:sz w:val="20"/>
                <w:szCs w:val="20"/>
              </w:rPr>
              <w:t>Test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55C5D" w:rsidRPr="00926C13" w:rsidRDefault="006E26B6" w:rsidP="00D23DF7">
            <w:pPr>
              <w:spacing w:after="0" w:line="240" w:lineRule="auto"/>
              <w:ind w:left="102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proofErr w:type="spellStart"/>
            <w:r w:rsidRPr="00926C13">
              <w:rPr>
                <w:b/>
                <w:bCs/>
                <w:sz w:val="20"/>
                <w:szCs w:val="20"/>
              </w:rPr>
              <w:t>Reference</w:t>
            </w:r>
            <w:proofErr w:type="spellEnd"/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55C5D" w:rsidRPr="00926C13" w:rsidRDefault="00B55C5D" w:rsidP="00D23DF7">
            <w:pPr>
              <w:spacing w:after="0" w:line="240" w:lineRule="auto"/>
              <w:ind w:left="102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926C13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 xml:space="preserve">T/R </w:t>
            </w:r>
            <w:proofErr w:type="spellStart"/>
            <w:r w:rsidRPr="00926C13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55C5D" w:rsidRPr="00926C13" w:rsidRDefault="00B55C5D" w:rsidP="00D23DF7">
            <w:pPr>
              <w:spacing w:after="0" w:line="240" w:lineRule="auto"/>
              <w:ind w:left="102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926C13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90% C.I.</w:t>
            </w:r>
          </w:p>
        </w:tc>
      </w:tr>
      <w:tr w:rsidR="00B55C5D" w:rsidRPr="00926C13" w:rsidTr="00926C13">
        <w:trPr>
          <w:jc w:val="center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5C5D" w:rsidRPr="00926C13" w:rsidRDefault="00B55C5D" w:rsidP="00926C1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926C13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AUC</w:t>
            </w:r>
            <w:r w:rsidRPr="00926C13">
              <w:rPr>
                <w:rFonts w:ascii="Calibri" w:eastAsia="Calibri" w:hAnsi="Calibri" w:cs="Times New Roman"/>
                <w:b/>
                <w:bCs/>
                <w:sz w:val="20"/>
                <w:szCs w:val="20"/>
                <w:vertAlign w:val="subscript"/>
              </w:rPr>
              <w:t>0-</w:t>
            </w:r>
            <w:r w:rsidR="00926C13" w:rsidRPr="00926C13">
              <w:rPr>
                <w:rFonts w:ascii="Calibri" w:eastAsia="Calibri" w:hAnsi="Calibri" w:cs="Times New Roman"/>
                <w:b/>
                <w:bCs/>
                <w:sz w:val="20"/>
                <w:szCs w:val="20"/>
                <w:vertAlign w:val="subscript"/>
              </w:rPr>
              <w:t>72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55C5D" w:rsidRPr="00926C13" w:rsidRDefault="00926C13" w:rsidP="00D23DF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926C13">
              <w:rPr>
                <w:rFonts w:ascii="Calibri" w:eastAsia="Calibri" w:hAnsi="Calibri" w:cs="Times New Roman"/>
                <w:bCs/>
                <w:sz w:val="20"/>
                <w:szCs w:val="20"/>
              </w:rPr>
              <w:t>40238.75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55C5D" w:rsidRPr="00926C13" w:rsidRDefault="00926C13" w:rsidP="00D23DF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926C13">
              <w:rPr>
                <w:rFonts w:ascii="Calibri" w:eastAsia="Calibri" w:hAnsi="Calibri" w:cs="Times New Roman"/>
                <w:bCs/>
                <w:sz w:val="20"/>
                <w:szCs w:val="20"/>
              </w:rPr>
              <w:t>41911.56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55C5D" w:rsidRPr="00926C13" w:rsidRDefault="00926C13" w:rsidP="00D23DF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926C13">
              <w:rPr>
                <w:rFonts w:ascii="Calibri" w:eastAsia="Calibri" w:hAnsi="Calibri" w:cs="Times New Roman"/>
                <w:bCs/>
                <w:sz w:val="20"/>
                <w:szCs w:val="20"/>
              </w:rPr>
              <w:t>96.01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55C5D" w:rsidRPr="00926C13" w:rsidRDefault="006E26B6" w:rsidP="00D23DF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926C13">
              <w:rPr>
                <w:bCs/>
                <w:sz w:val="20"/>
                <w:szCs w:val="20"/>
              </w:rPr>
              <w:t xml:space="preserve"> </w:t>
            </w:r>
            <w:r w:rsidR="00926C13" w:rsidRPr="00926C13">
              <w:rPr>
                <w:rFonts w:ascii="Calibri" w:eastAsia="Calibri" w:hAnsi="Calibri" w:cs="Times New Roman"/>
                <w:bCs/>
                <w:sz w:val="20"/>
                <w:szCs w:val="20"/>
              </w:rPr>
              <w:t>92.86</w:t>
            </w:r>
            <w:r w:rsidR="00926C13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</w:t>
            </w:r>
            <w:r w:rsidR="00926C13" w:rsidRPr="00926C13">
              <w:rPr>
                <w:rFonts w:ascii="Calibri" w:eastAsia="Calibri" w:hAnsi="Calibri" w:cs="Times New Roman"/>
                <w:bCs/>
                <w:sz w:val="20"/>
                <w:szCs w:val="20"/>
                <w:lang w:val="en-GB"/>
              </w:rPr>
              <w:t xml:space="preserve">– </w:t>
            </w:r>
            <w:r w:rsidR="00926C13" w:rsidRPr="00926C13">
              <w:rPr>
                <w:rFonts w:ascii="Calibri" w:eastAsia="Calibri" w:hAnsi="Calibri" w:cs="Times New Roman"/>
                <w:bCs/>
                <w:sz w:val="20"/>
                <w:szCs w:val="20"/>
              </w:rPr>
              <w:t>99.26</w:t>
            </w:r>
          </w:p>
        </w:tc>
      </w:tr>
      <w:tr w:rsidR="00B55C5D" w:rsidRPr="002361B9" w:rsidTr="00926C13">
        <w:trPr>
          <w:jc w:val="center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5C5D" w:rsidRPr="00926C13" w:rsidRDefault="00B55C5D" w:rsidP="00926C1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proofErr w:type="spellStart"/>
            <w:r w:rsidRPr="00926C13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Cmax</w:t>
            </w:r>
            <w:proofErr w:type="spellEnd"/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55C5D" w:rsidRPr="00926C13" w:rsidRDefault="00926C13" w:rsidP="00D23DF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926C13">
              <w:rPr>
                <w:rFonts w:ascii="Calibri" w:eastAsia="Calibri" w:hAnsi="Calibri" w:cs="Times New Roman"/>
                <w:bCs/>
                <w:sz w:val="20"/>
                <w:szCs w:val="20"/>
              </w:rPr>
              <w:t>2487.03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55C5D" w:rsidRPr="00926C13" w:rsidRDefault="00926C13" w:rsidP="00D23DF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926C13">
              <w:rPr>
                <w:rFonts w:ascii="Calibri" w:eastAsia="Calibri" w:hAnsi="Calibri" w:cs="Times New Roman"/>
                <w:bCs/>
                <w:sz w:val="20"/>
                <w:szCs w:val="20"/>
              </w:rPr>
              <w:t>2413.35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55C5D" w:rsidRPr="00926C13" w:rsidRDefault="00926C13" w:rsidP="00D23DF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926C13">
              <w:rPr>
                <w:rFonts w:ascii="Calibri" w:eastAsia="Calibri" w:hAnsi="Calibri" w:cs="Times New Roman"/>
                <w:bCs/>
                <w:sz w:val="20"/>
                <w:szCs w:val="20"/>
              </w:rPr>
              <w:t>103.05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55C5D" w:rsidRPr="00926C13" w:rsidRDefault="00926C13" w:rsidP="00D23DF7">
            <w:pPr>
              <w:spacing w:after="0" w:line="240" w:lineRule="auto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</w:t>
            </w:r>
            <w:r w:rsidRPr="00926C13">
              <w:rPr>
                <w:bCs/>
                <w:sz w:val="20"/>
                <w:szCs w:val="20"/>
              </w:rPr>
              <w:t>95.95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26C13">
              <w:rPr>
                <w:bCs/>
                <w:sz w:val="20"/>
                <w:szCs w:val="20"/>
              </w:rPr>
              <w:t>– 110.68</w:t>
            </w:r>
          </w:p>
        </w:tc>
      </w:tr>
    </w:tbl>
    <w:p w:rsidR="005049A1" w:rsidRDefault="005049A1" w:rsidP="00D23DF7">
      <w:pPr>
        <w:spacing w:after="0" w:line="240" w:lineRule="auto"/>
        <w:rPr>
          <w:rFonts w:cs="Arial"/>
          <w:i/>
        </w:rPr>
      </w:pPr>
    </w:p>
    <w:p w:rsidR="005049A1" w:rsidRPr="009F5FC7" w:rsidRDefault="005049A1" w:rsidP="00D23DF7">
      <w:pPr>
        <w:spacing w:after="0" w:line="240" w:lineRule="auto"/>
        <w:rPr>
          <w:rFonts w:cs="Arial"/>
        </w:rPr>
      </w:pPr>
      <w:r w:rsidRPr="009F5FC7">
        <w:rPr>
          <w:rFonts w:cs="Arial"/>
          <w:i/>
        </w:rPr>
        <w:t>Conclusioni sulla bioequivalenza</w:t>
      </w:r>
      <w:r w:rsidRPr="009F5FC7">
        <w:rPr>
          <w:rFonts w:cs="Arial"/>
        </w:rPr>
        <w:t>.</w:t>
      </w:r>
    </w:p>
    <w:p w:rsidR="005049A1" w:rsidRPr="009F5FC7" w:rsidRDefault="005049A1" w:rsidP="00D23DF7">
      <w:pPr>
        <w:spacing w:after="0" w:line="240" w:lineRule="auto"/>
        <w:jc w:val="both"/>
        <w:rPr>
          <w:rFonts w:cs="Arial"/>
        </w:rPr>
      </w:pPr>
      <w:r w:rsidRPr="009F5FC7">
        <w:rPr>
          <w:rFonts w:cs="Arial"/>
        </w:rPr>
        <w:t xml:space="preserve">I risultati degli studi di bioequivalenza mostrano che gli intervalli di confidenza dei parametri farmacocinetici studiati cadono nel </w:t>
      </w:r>
      <w:proofErr w:type="spellStart"/>
      <w:r w:rsidRPr="009F5FC7">
        <w:rPr>
          <w:rFonts w:cs="Arial"/>
        </w:rPr>
        <w:t>range</w:t>
      </w:r>
      <w:proofErr w:type="spellEnd"/>
      <w:r w:rsidRPr="009F5FC7">
        <w:rPr>
          <w:rFonts w:cs="Arial"/>
        </w:rPr>
        <w:t xml:space="preserve"> di accettabilità di 80-125%, in accordo con le linee guida correnti.</w:t>
      </w:r>
    </w:p>
    <w:p w:rsidR="005049A1" w:rsidRPr="009F5FC7" w:rsidRDefault="005049A1" w:rsidP="00D23DF7">
      <w:pPr>
        <w:spacing w:after="0" w:line="240" w:lineRule="auto"/>
        <w:jc w:val="both"/>
        <w:rPr>
          <w:rFonts w:cs="Arial"/>
        </w:rPr>
      </w:pPr>
    </w:p>
    <w:p w:rsidR="004E5A39" w:rsidRPr="00EF6711" w:rsidRDefault="004E5A39" w:rsidP="00D23DF7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proofErr w:type="spellStart"/>
      <w:r w:rsidRPr="00EF6711">
        <w:rPr>
          <w:b/>
          <w:i/>
        </w:rPr>
        <w:t>Risk</w:t>
      </w:r>
      <w:proofErr w:type="spellEnd"/>
      <w:r w:rsidRPr="00EF6711">
        <w:rPr>
          <w:b/>
          <w:i/>
        </w:rPr>
        <w:t xml:space="preserve"> Management </w:t>
      </w:r>
      <w:proofErr w:type="spellStart"/>
      <w:r w:rsidRPr="00EF6711">
        <w:rPr>
          <w:b/>
          <w:i/>
        </w:rPr>
        <w:t>Plan</w:t>
      </w:r>
      <w:proofErr w:type="spellEnd"/>
      <w:r w:rsidRPr="00EF6711">
        <w:rPr>
          <w:b/>
        </w:rPr>
        <w:t xml:space="preserve"> - RMP)</w:t>
      </w:r>
    </w:p>
    <w:p w:rsidR="004E5A39" w:rsidRPr="00EF6711" w:rsidRDefault="0066030D" w:rsidP="00D23DF7">
      <w:pPr>
        <w:pStyle w:val="Paragrafoelenco"/>
        <w:spacing w:after="0" w:line="240" w:lineRule="auto"/>
        <w:ind w:left="0"/>
        <w:jc w:val="both"/>
      </w:pPr>
      <w:r w:rsidRPr="00EF6711">
        <w:t>È</w:t>
      </w:r>
      <w:r w:rsidR="004E5A39" w:rsidRPr="00EF6711">
        <w:t xml:space="preserve"> stato presentato un RMP in accordo a quanto previsto dalla Direttiva 2001/83/EU </w:t>
      </w:r>
      <w:proofErr w:type="spellStart"/>
      <w:r w:rsidR="004E5A39" w:rsidRPr="00EF6711">
        <w:t>s.m.i.</w:t>
      </w:r>
      <w:proofErr w:type="spellEnd"/>
      <w:r w:rsidR="004E5A39" w:rsidRPr="00EF6711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730AAF">
        <w:t>Dutasteride</w:t>
      </w:r>
      <w:proofErr w:type="spellEnd"/>
      <w:r w:rsidR="00730AAF">
        <w:t xml:space="preserve"> </w:t>
      </w:r>
      <w:proofErr w:type="spellStart"/>
      <w:r w:rsidR="00730AAF">
        <w:t>Sagaem</w:t>
      </w:r>
      <w:proofErr w:type="spellEnd"/>
      <w:r w:rsidR="00CC2AD6">
        <w:t>.</w:t>
      </w:r>
    </w:p>
    <w:p w:rsidR="00265B61" w:rsidRDefault="00265B61" w:rsidP="00D23DF7">
      <w:pPr>
        <w:pStyle w:val="Paragrafoelenco"/>
        <w:spacing w:after="0" w:line="240" w:lineRule="auto"/>
        <w:ind w:left="0"/>
        <w:jc w:val="both"/>
      </w:pPr>
      <w:r w:rsidRPr="008E4526">
        <w:t>Il riassunto delle problematiche di sicurezza è riportato nella tabella seguente.</w:t>
      </w:r>
    </w:p>
    <w:p w:rsidR="00265B61" w:rsidRPr="008E4526" w:rsidRDefault="00265B61" w:rsidP="00D23DF7">
      <w:pPr>
        <w:pStyle w:val="Paragrafoelenco"/>
        <w:spacing w:after="0" w:line="240" w:lineRule="auto"/>
        <w:ind w:left="0"/>
        <w:jc w:val="both"/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/>
      </w:tblPr>
      <w:tblGrid>
        <w:gridCol w:w="2732"/>
        <w:gridCol w:w="6024"/>
      </w:tblGrid>
      <w:tr w:rsidR="00265B61" w:rsidRPr="00D51EC0" w:rsidTr="0042214D">
        <w:trPr>
          <w:jc w:val="center"/>
        </w:trPr>
        <w:tc>
          <w:tcPr>
            <w:tcW w:w="1560" w:type="pct"/>
            <w:shd w:val="clear" w:color="auto" w:fill="auto"/>
          </w:tcPr>
          <w:p w:rsidR="00265B61" w:rsidRPr="00A207D4" w:rsidRDefault="00265B61" w:rsidP="00D23DF7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A207D4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A207D4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207D4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A207D4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207D4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440" w:type="pct"/>
            <w:shd w:val="clear" w:color="auto" w:fill="auto"/>
          </w:tcPr>
          <w:p w:rsidR="006E2A4B" w:rsidRPr="00A207D4" w:rsidRDefault="00D51EC0" w:rsidP="00D23DF7">
            <w:pPr>
              <w:spacing w:after="0" w:line="240" w:lineRule="auto"/>
              <w:rPr>
                <w:sz w:val="20"/>
                <w:szCs w:val="20"/>
              </w:rPr>
            </w:pPr>
            <w:r w:rsidRPr="00A207D4">
              <w:rPr>
                <w:sz w:val="20"/>
                <w:szCs w:val="20"/>
              </w:rPr>
              <w:t>D</w:t>
            </w:r>
            <w:r w:rsidR="006E2A4B" w:rsidRPr="00A207D4">
              <w:rPr>
                <w:sz w:val="20"/>
                <w:szCs w:val="20"/>
              </w:rPr>
              <w:t>iminuzione della libido, impotenza, problem</w:t>
            </w:r>
            <w:r w:rsidRPr="00A207D4">
              <w:rPr>
                <w:sz w:val="20"/>
                <w:szCs w:val="20"/>
              </w:rPr>
              <w:t>i</w:t>
            </w:r>
            <w:r w:rsidR="006E2A4B" w:rsidRPr="00A207D4">
              <w:rPr>
                <w:sz w:val="20"/>
                <w:szCs w:val="20"/>
              </w:rPr>
              <w:t xml:space="preserve"> di eiaculazione, </w:t>
            </w:r>
            <w:r w:rsidR="004E3BF0" w:rsidRPr="00A207D4">
              <w:rPr>
                <w:sz w:val="20"/>
                <w:szCs w:val="20"/>
              </w:rPr>
              <w:t xml:space="preserve"> </w:t>
            </w:r>
            <w:r w:rsidRPr="00A207D4">
              <w:rPr>
                <w:sz w:val="20"/>
                <w:szCs w:val="20"/>
              </w:rPr>
              <w:t>anche dopo l’interruzione del trattamento, aumento e rammollimento della mammella</w:t>
            </w:r>
            <w:r w:rsidR="004E3BF0" w:rsidRPr="00A207D4">
              <w:rPr>
                <w:sz w:val="20"/>
                <w:szCs w:val="20"/>
              </w:rPr>
              <w:t xml:space="preserve"> </w:t>
            </w:r>
          </w:p>
          <w:p w:rsidR="00D51EC0" w:rsidRPr="00A207D4" w:rsidRDefault="00D51EC0" w:rsidP="00D23DF7">
            <w:pPr>
              <w:spacing w:after="0" w:line="240" w:lineRule="auto"/>
              <w:rPr>
                <w:sz w:val="20"/>
                <w:szCs w:val="20"/>
              </w:rPr>
            </w:pPr>
            <w:r w:rsidRPr="00A207D4">
              <w:rPr>
                <w:sz w:val="20"/>
                <w:szCs w:val="20"/>
              </w:rPr>
              <w:t xml:space="preserve">Reazioni allergiche, compreso </w:t>
            </w:r>
            <w:proofErr w:type="spellStart"/>
            <w:r w:rsidRPr="00A207D4">
              <w:rPr>
                <w:sz w:val="20"/>
                <w:szCs w:val="20"/>
              </w:rPr>
              <w:t>rash</w:t>
            </w:r>
            <w:proofErr w:type="spellEnd"/>
            <w:r w:rsidRPr="00A207D4">
              <w:rPr>
                <w:sz w:val="20"/>
                <w:szCs w:val="20"/>
              </w:rPr>
              <w:t xml:space="preserve"> cutaneo, prurito, orticaria, edema localizzato e </w:t>
            </w:r>
            <w:proofErr w:type="spellStart"/>
            <w:r w:rsidRPr="00A207D4">
              <w:rPr>
                <w:sz w:val="20"/>
                <w:szCs w:val="20"/>
              </w:rPr>
              <w:t>angioedema</w:t>
            </w:r>
            <w:proofErr w:type="spellEnd"/>
          </w:p>
          <w:p w:rsidR="006E2A4B" w:rsidRPr="00A207D4" w:rsidRDefault="00A207D4" w:rsidP="00D23DF7">
            <w:pPr>
              <w:spacing w:after="0" w:line="240" w:lineRule="auto"/>
              <w:rPr>
                <w:sz w:val="20"/>
                <w:szCs w:val="20"/>
              </w:rPr>
            </w:pPr>
            <w:r w:rsidRPr="00A207D4">
              <w:rPr>
                <w:sz w:val="20"/>
                <w:szCs w:val="20"/>
              </w:rPr>
              <w:t>Insufficienza cardiaca</w:t>
            </w:r>
          </w:p>
          <w:p w:rsidR="00CB73AB" w:rsidRPr="00A207D4" w:rsidRDefault="00A207D4" w:rsidP="00D23DF7">
            <w:pPr>
              <w:spacing w:after="0" w:line="240" w:lineRule="auto"/>
              <w:rPr>
                <w:sz w:val="20"/>
                <w:szCs w:val="20"/>
              </w:rPr>
            </w:pPr>
            <w:r w:rsidRPr="00A207D4">
              <w:rPr>
                <w:sz w:val="20"/>
                <w:szCs w:val="20"/>
              </w:rPr>
              <w:t xml:space="preserve">Depressione </w:t>
            </w:r>
          </w:p>
        </w:tc>
      </w:tr>
      <w:tr w:rsidR="00265B61" w:rsidRPr="00772F87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5B61" w:rsidRPr="00A207D4" w:rsidRDefault="00265B61" w:rsidP="00D23DF7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A207D4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A207D4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207D4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A207D4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207D4">
              <w:rPr>
                <w:rFonts w:asciiTheme="minorHAnsi" w:hAnsiTheme="minorHAnsi"/>
                <w:sz w:val="20"/>
                <w:szCs w:val="20"/>
                <w:lang w:eastAsia="en-GB"/>
              </w:rPr>
              <w:t>potenziali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207D4" w:rsidRPr="00A207D4" w:rsidRDefault="00A207D4" w:rsidP="00D23DF7">
            <w:pPr>
              <w:spacing w:after="0" w:line="240" w:lineRule="auto"/>
              <w:rPr>
                <w:sz w:val="20"/>
                <w:szCs w:val="20"/>
              </w:rPr>
            </w:pPr>
            <w:r w:rsidRPr="00A207D4">
              <w:rPr>
                <w:sz w:val="20"/>
                <w:szCs w:val="20"/>
              </w:rPr>
              <w:t>Problemi cardiovascolari</w:t>
            </w:r>
          </w:p>
          <w:p w:rsidR="00A207D4" w:rsidRPr="00A207D4" w:rsidRDefault="00A207D4" w:rsidP="00D23DF7">
            <w:pPr>
              <w:spacing w:after="0" w:line="240" w:lineRule="auto"/>
              <w:rPr>
                <w:sz w:val="20"/>
                <w:szCs w:val="20"/>
              </w:rPr>
            </w:pPr>
            <w:r w:rsidRPr="00A207D4">
              <w:rPr>
                <w:sz w:val="20"/>
                <w:szCs w:val="20"/>
              </w:rPr>
              <w:t>Cancro della mammella maschile</w:t>
            </w:r>
          </w:p>
          <w:p w:rsidR="00A207D4" w:rsidRPr="00A207D4" w:rsidRDefault="00A207D4" w:rsidP="00D23DF7">
            <w:pPr>
              <w:spacing w:after="0" w:line="240" w:lineRule="auto"/>
              <w:rPr>
                <w:sz w:val="20"/>
                <w:szCs w:val="20"/>
              </w:rPr>
            </w:pPr>
            <w:r w:rsidRPr="00A207D4">
              <w:rPr>
                <w:sz w:val="20"/>
                <w:szCs w:val="20"/>
              </w:rPr>
              <w:t>Cancro della prostata di grado elevato</w:t>
            </w:r>
          </w:p>
          <w:p w:rsidR="00CB73AB" w:rsidRPr="00772F87" w:rsidRDefault="00772F87" w:rsidP="00772F87">
            <w:pPr>
              <w:spacing w:after="0" w:line="240" w:lineRule="auto"/>
              <w:rPr>
                <w:sz w:val="20"/>
                <w:szCs w:val="20"/>
                <w:highlight w:val="green"/>
                <w:lang w:eastAsia="en-GB"/>
              </w:rPr>
            </w:pPr>
            <w:r w:rsidRPr="00772F87">
              <w:rPr>
                <w:sz w:val="20"/>
                <w:szCs w:val="20"/>
              </w:rPr>
              <w:t>Interferenz</w:t>
            </w:r>
            <w:r>
              <w:rPr>
                <w:sz w:val="20"/>
                <w:szCs w:val="20"/>
              </w:rPr>
              <w:t>a</w:t>
            </w:r>
            <w:r w:rsidRPr="00772F8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nella</w:t>
            </w:r>
            <w:r w:rsidRPr="00772F87">
              <w:rPr>
                <w:sz w:val="20"/>
                <w:szCs w:val="20"/>
              </w:rPr>
              <w:t xml:space="preserve"> formazione di</w:t>
            </w:r>
            <w:r>
              <w:rPr>
                <w:sz w:val="20"/>
                <w:szCs w:val="20"/>
              </w:rPr>
              <w:t xml:space="preserve"> </w:t>
            </w:r>
            <w:r w:rsidRPr="00772F87">
              <w:rPr>
                <w:sz w:val="20"/>
                <w:szCs w:val="20"/>
              </w:rPr>
              <w:t>genitali maschili esterni nel</w:t>
            </w:r>
            <w:r>
              <w:rPr>
                <w:sz w:val="20"/>
                <w:szCs w:val="20"/>
              </w:rPr>
              <w:t xml:space="preserve"> </w:t>
            </w:r>
            <w:r w:rsidRPr="00772F87">
              <w:rPr>
                <w:sz w:val="20"/>
                <w:szCs w:val="20"/>
              </w:rPr>
              <w:t>feto</w:t>
            </w:r>
          </w:p>
        </w:tc>
      </w:tr>
      <w:tr w:rsidR="00265B61" w:rsidRPr="00A207D4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5B61" w:rsidRPr="00A207D4" w:rsidRDefault="00265B61" w:rsidP="00D23DF7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A207D4">
              <w:rPr>
                <w:rFonts w:asciiTheme="minorHAnsi" w:hAnsiTheme="minorHAnsi"/>
                <w:sz w:val="20"/>
                <w:szCs w:val="20"/>
                <w:lang w:eastAsia="en-GB"/>
              </w:rPr>
              <w:t>Informazioni</w:t>
            </w:r>
            <w:proofErr w:type="spellEnd"/>
            <w:r w:rsidRPr="00A207D4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207D4">
              <w:rPr>
                <w:rFonts w:asciiTheme="minorHAnsi" w:hAnsiTheme="minorHAnsi"/>
                <w:sz w:val="20"/>
                <w:szCs w:val="20"/>
                <w:lang w:eastAsia="en-GB"/>
              </w:rPr>
              <w:t>mancanti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7D4" w:rsidRPr="00A207D4" w:rsidRDefault="00A207D4" w:rsidP="00D23DF7">
            <w:pPr>
              <w:spacing w:after="0" w:line="240" w:lineRule="auto"/>
              <w:rPr>
                <w:sz w:val="20"/>
                <w:szCs w:val="20"/>
              </w:rPr>
            </w:pPr>
            <w:r w:rsidRPr="00A207D4">
              <w:rPr>
                <w:sz w:val="20"/>
                <w:szCs w:val="20"/>
              </w:rPr>
              <w:t xml:space="preserve">Uso in pazienti con </w:t>
            </w:r>
            <w:r w:rsidR="00665C97" w:rsidRPr="00A207D4">
              <w:rPr>
                <w:sz w:val="20"/>
                <w:szCs w:val="20"/>
              </w:rPr>
              <w:t>insufficienza</w:t>
            </w:r>
            <w:r w:rsidRPr="00A207D4">
              <w:rPr>
                <w:sz w:val="20"/>
                <w:szCs w:val="20"/>
              </w:rPr>
              <w:t xml:space="preserve"> epatica grave</w:t>
            </w:r>
          </w:p>
          <w:p w:rsidR="00CB73AB" w:rsidRPr="00A207D4" w:rsidRDefault="00A207D4" w:rsidP="00665C97">
            <w:pPr>
              <w:spacing w:after="0" w:line="240" w:lineRule="auto"/>
              <w:rPr>
                <w:sz w:val="20"/>
                <w:szCs w:val="20"/>
              </w:rPr>
            </w:pPr>
            <w:r w:rsidRPr="00A207D4">
              <w:rPr>
                <w:sz w:val="20"/>
                <w:szCs w:val="20"/>
              </w:rPr>
              <w:t xml:space="preserve">Uso in pazienti con condizioni mediche instabili, come </w:t>
            </w:r>
            <w:r w:rsidR="00665C97" w:rsidRPr="00A207D4">
              <w:rPr>
                <w:sz w:val="20"/>
                <w:szCs w:val="20"/>
              </w:rPr>
              <w:t>recente</w:t>
            </w:r>
            <w:r w:rsidRPr="00A207D4">
              <w:rPr>
                <w:sz w:val="20"/>
                <w:szCs w:val="20"/>
              </w:rPr>
              <w:t xml:space="preserve"> inf</w:t>
            </w:r>
            <w:r w:rsidR="00665C97">
              <w:rPr>
                <w:sz w:val="20"/>
                <w:szCs w:val="20"/>
              </w:rPr>
              <w:t>a</w:t>
            </w:r>
            <w:r w:rsidRPr="00A207D4">
              <w:rPr>
                <w:sz w:val="20"/>
                <w:szCs w:val="20"/>
              </w:rPr>
              <w:t>rto del miocardio, impianto di bypass coronarici, angina instabile, aritmie cardiache</w:t>
            </w:r>
            <w:r w:rsidR="004E3BF0" w:rsidRPr="00A207D4">
              <w:rPr>
                <w:sz w:val="20"/>
                <w:szCs w:val="20"/>
              </w:rPr>
              <w:t xml:space="preserve">, </w:t>
            </w:r>
            <w:r w:rsidR="00665C97" w:rsidRPr="00665C97">
              <w:rPr>
                <w:sz w:val="20"/>
                <w:szCs w:val="20"/>
              </w:rPr>
              <w:t xml:space="preserve">insufficienza cardiaca congestizia o </w:t>
            </w:r>
            <w:r w:rsidR="00665C97">
              <w:rPr>
                <w:sz w:val="20"/>
                <w:szCs w:val="20"/>
              </w:rPr>
              <w:t>ictus</w:t>
            </w:r>
            <w:r w:rsidR="00665C97" w:rsidRPr="00665C97">
              <w:rPr>
                <w:sz w:val="20"/>
                <w:szCs w:val="20"/>
              </w:rPr>
              <w:t xml:space="preserve"> cerebrovascolare, cancro</w:t>
            </w:r>
            <w:r w:rsidR="00665C97">
              <w:rPr>
                <w:sz w:val="20"/>
                <w:szCs w:val="20"/>
              </w:rPr>
              <w:t>,</w:t>
            </w:r>
            <w:r w:rsidR="00665C97" w:rsidRPr="00665C97">
              <w:rPr>
                <w:sz w:val="20"/>
                <w:szCs w:val="20"/>
              </w:rPr>
              <w:t xml:space="preserve"> diabete incontrollato</w:t>
            </w:r>
            <w:r w:rsidR="00665C97">
              <w:rPr>
                <w:sz w:val="20"/>
                <w:szCs w:val="20"/>
              </w:rPr>
              <w:t>,</w:t>
            </w:r>
            <w:r w:rsidR="00665C97" w:rsidRPr="00665C97">
              <w:rPr>
                <w:sz w:val="20"/>
                <w:szCs w:val="20"/>
              </w:rPr>
              <w:t xml:space="preserve"> malattia da ulcera peptica</w:t>
            </w:r>
          </w:p>
        </w:tc>
      </w:tr>
    </w:tbl>
    <w:p w:rsidR="00265B61" w:rsidRPr="00A207D4" w:rsidRDefault="00265B61" w:rsidP="00265B6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Azioni </w:t>
      </w:r>
      <w:proofErr w:type="spellStart"/>
      <w:r w:rsidRPr="00EF6711">
        <w:t>routinarie</w:t>
      </w:r>
      <w:proofErr w:type="spellEnd"/>
      <w:r w:rsidRPr="00EF6711">
        <w:t xml:space="preserve"> di farmacovigilanza e di minimizzazione del rischio sono proposte per tutte le problematiche di sicurezza.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lastRenderedPageBreak/>
        <w:t>Oltre le misure previste nel Riassunto delle caratteristiche del prodotto non sono previste attività addizionali di minimizzazione del rischio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Conclusioni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Per la richiesta di AIC di </w:t>
      </w:r>
      <w:proofErr w:type="spellStart"/>
      <w:r w:rsidR="00730AAF">
        <w:t>Dutasteride</w:t>
      </w:r>
      <w:proofErr w:type="spellEnd"/>
      <w:r w:rsidR="00730AAF">
        <w:t xml:space="preserve"> </w:t>
      </w:r>
      <w:proofErr w:type="spellStart"/>
      <w:r w:rsidR="00730AAF">
        <w:t>Sagaem</w:t>
      </w:r>
      <w:proofErr w:type="spellEnd"/>
      <w:r w:rsidR="00CC2AD6" w:rsidRPr="006D6D08">
        <w:t xml:space="preserve"> </w:t>
      </w:r>
      <w:r w:rsidRPr="00EF6711">
        <w:t>sono state presentate sufficienti informazioni cliniche.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Il rapporto beneficio/rischio di </w:t>
      </w:r>
      <w:proofErr w:type="spellStart"/>
      <w:r w:rsidR="00730AAF">
        <w:t>Dutasteride</w:t>
      </w:r>
      <w:proofErr w:type="spellEnd"/>
      <w:r w:rsidR="00730AAF">
        <w:t xml:space="preserve"> </w:t>
      </w:r>
      <w:proofErr w:type="spellStart"/>
      <w:r w:rsidR="00730AAF">
        <w:t>Sagaem</w:t>
      </w:r>
      <w:proofErr w:type="spellEnd"/>
      <w:r w:rsidR="00CC2AD6" w:rsidRPr="006D6D08">
        <w:t xml:space="preserve"> </w:t>
      </w:r>
      <w:r w:rsidRPr="00EF6711">
        <w:t>è considerato favorevole dal punto di vista clinico.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CONSULTAZIONE SUL FOGLIO ILLUSTRATIVO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Il foglio illustrativo è stato sottoposto al test di leggibilità in accordo ai requisiti</w:t>
      </w:r>
      <w:r w:rsidR="002E2018">
        <w:t xml:space="preserve"> dell’art. 59(3) e 61(1) della D</w:t>
      </w:r>
      <w:r w:rsidRPr="00EF6711">
        <w:t xml:space="preserve">irettiva 2001/83/EU </w:t>
      </w:r>
      <w:proofErr w:type="spellStart"/>
      <w:r w:rsidRPr="00EF6711">
        <w:t>s.m.i.</w:t>
      </w:r>
      <w:proofErr w:type="spellEnd"/>
      <w:r w:rsidRPr="00EF6711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CONCLUSIONI, VALUTAZIONE DEL RAPPORTO BENEFICIO/RISCHIO E RACCOMANDAZIONI</w:t>
      </w:r>
    </w:p>
    <w:p w:rsidR="004E5A39" w:rsidRDefault="004E5A39" w:rsidP="00EF6711">
      <w:pPr>
        <w:spacing w:after="0" w:line="240" w:lineRule="auto"/>
        <w:jc w:val="both"/>
      </w:pPr>
      <w:r w:rsidRPr="00EF6711">
        <w:t xml:space="preserve">La qualità di </w:t>
      </w:r>
      <w:proofErr w:type="spellStart"/>
      <w:r w:rsidR="00730AAF">
        <w:t>Dutasteride</w:t>
      </w:r>
      <w:proofErr w:type="spellEnd"/>
      <w:r w:rsidR="00730AAF">
        <w:t xml:space="preserve"> </w:t>
      </w:r>
      <w:proofErr w:type="spellStart"/>
      <w:r w:rsidR="00730AAF">
        <w:t>Sagaem</w:t>
      </w:r>
      <w:proofErr w:type="spellEnd"/>
      <w:r w:rsidR="00EB16B7" w:rsidRPr="006D6D08">
        <w:t xml:space="preserve"> </w:t>
      </w:r>
      <w:r w:rsidRPr="00EF6711">
        <w:t>è accettabile e non sono state rilevate criticità da un punto di vista non clinico e clinico.</w:t>
      </w:r>
    </w:p>
    <w:p w:rsidR="00BE7CDB" w:rsidRDefault="00A03C9B" w:rsidP="00BE7CDB">
      <w:pPr>
        <w:spacing w:after="0" w:line="240" w:lineRule="auto"/>
        <w:jc w:val="both"/>
      </w:pPr>
      <w:r>
        <w:t>Gli studi</w:t>
      </w:r>
      <w:r w:rsidR="00BE7CDB">
        <w:t xml:space="preserve"> di bioequivalenza e le sue conclusioni confermano che </w:t>
      </w:r>
      <w:proofErr w:type="spellStart"/>
      <w:r w:rsidR="00730AAF">
        <w:t>Dutasteride</w:t>
      </w:r>
      <w:proofErr w:type="spellEnd"/>
      <w:r w:rsidR="00730AAF">
        <w:t xml:space="preserve"> </w:t>
      </w:r>
      <w:proofErr w:type="spellStart"/>
      <w:r w:rsidR="00730AAF">
        <w:t>Sagaem</w:t>
      </w:r>
      <w:proofErr w:type="spellEnd"/>
      <w:r w:rsidRPr="006D6D08">
        <w:t xml:space="preserve"> </w:t>
      </w:r>
      <w:r w:rsidR="00BE7CDB">
        <w:t xml:space="preserve">e il medicinale di riferimento </w:t>
      </w:r>
      <w:proofErr w:type="spellStart"/>
      <w:r w:rsidR="00730AAF">
        <w:t>Avodart</w:t>
      </w:r>
      <w:proofErr w:type="spellEnd"/>
      <w:r>
        <w:t xml:space="preserve"> sono </w:t>
      </w:r>
      <w:proofErr w:type="spellStart"/>
      <w:r>
        <w:t>bioequivalenti</w:t>
      </w:r>
      <w:proofErr w:type="spellEnd"/>
      <w:r w:rsidR="00BE7CDB">
        <w:t>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Il rapporto beneficio/rischio è considerato positivo.</w:t>
      </w:r>
    </w:p>
    <w:p w:rsidR="006B311C" w:rsidRDefault="004E5A39" w:rsidP="00EF67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EF671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EF6711">
        <w:rPr>
          <w:rFonts w:eastAsia="Calibri" w:cs="Calibri"/>
          <w:lang w:eastAsia="it-IT"/>
        </w:rPr>
        <w:t>(</w:t>
      </w:r>
      <w:hyperlink r:id="rId11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sectPr w:rsidR="006B311C" w:rsidSect="00D4005D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004D5F" w16cid:durableId="1D132E28"/>
  <w16cid:commentId w16cid:paraId="6BA4F0B4" w16cid:durableId="1D132E94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jaVu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MT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59D6"/>
    <w:multiLevelType w:val="hybridMultilevel"/>
    <w:tmpl w:val="98E03F12"/>
    <w:lvl w:ilvl="0" w:tplc="9B408C2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B91B91"/>
    <w:multiLevelType w:val="hybridMultilevel"/>
    <w:tmpl w:val="2EE8F000"/>
    <w:lvl w:ilvl="0" w:tplc="7A4C5B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83422F"/>
    <w:multiLevelType w:val="hybridMultilevel"/>
    <w:tmpl w:val="E4A4F43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A04D57"/>
    <w:multiLevelType w:val="hybridMultilevel"/>
    <w:tmpl w:val="AF92283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8F5A47"/>
    <w:multiLevelType w:val="hybridMultilevel"/>
    <w:tmpl w:val="F516CDAC"/>
    <w:lvl w:ilvl="0" w:tplc="2D8A840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1B4926"/>
    <w:multiLevelType w:val="hybridMultilevel"/>
    <w:tmpl w:val="FAF6716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1A5DCA"/>
    <w:multiLevelType w:val="hybridMultilevel"/>
    <w:tmpl w:val="401CFB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4A4CD2"/>
    <w:multiLevelType w:val="hybridMultilevel"/>
    <w:tmpl w:val="9BFA2FD2"/>
    <w:lvl w:ilvl="0" w:tplc="6B32BBF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F9663C"/>
    <w:multiLevelType w:val="hybridMultilevel"/>
    <w:tmpl w:val="9214767C"/>
    <w:lvl w:ilvl="0" w:tplc="6B32BBF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2131E6"/>
    <w:multiLevelType w:val="hybridMultilevel"/>
    <w:tmpl w:val="16B4616A"/>
    <w:lvl w:ilvl="0" w:tplc="6B32BBF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C017F3A"/>
    <w:multiLevelType w:val="hybridMultilevel"/>
    <w:tmpl w:val="4FD4C85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4A2C54"/>
    <w:multiLevelType w:val="hybridMultilevel"/>
    <w:tmpl w:val="E77AC084"/>
    <w:lvl w:ilvl="0" w:tplc="6B32BBF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5"/>
  </w:num>
  <w:num w:numId="4">
    <w:abstractNumId w:val="8"/>
  </w:num>
  <w:num w:numId="5">
    <w:abstractNumId w:val="5"/>
  </w:num>
  <w:num w:numId="6">
    <w:abstractNumId w:val="4"/>
  </w:num>
  <w:num w:numId="7">
    <w:abstractNumId w:val="16"/>
  </w:num>
  <w:num w:numId="8">
    <w:abstractNumId w:val="14"/>
  </w:num>
  <w:num w:numId="9">
    <w:abstractNumId w:val="1"/>
  </w:num>
  <w:num w:numId="10">
    <w:abstractNumId w:val="2"/>
  </w:num>
  <w:num w:numId="11">
    <w:abstractNumId w:val="6"/>
  </w:num>
  <w:num w:numId="12">
    <w:abstractNumId w:val="11"/>
  </w:num>
  <w:num w:numId="13">
    <w:abstractNumId w:val="0"/>
  </w:num>
  <w:num w:numId="14">
    <w:abstractNumId w:val="10"/>
  </w:num>
  <w:num w:numId="15">
    <w:abstractNumId w:val="9"/>
  </w:num>
  <w:num w:numId="16">
    <w:abstractNumId w:val="7"/>
  </w:num>
  <w:num w:numId="17">
    <w:abstractNumId w:val="1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aolo Biffignandi">
    <w15:presenceInfo w15:providerId="AD" w15:userId="S-1-5-21-208016289-1936469370-3039446168-115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241AC"/>
    <w:rsid w:val="00013020"/>
    <w:rsid w:val="00014743"/>
    <w:rsid w:val="00022511"/>
    <w:rsid w:val="00023CEA"/>
    <w:rsid w:val="00062636"/>
    <w:rsid w:val="00074B05"/>
    <w:rsid w:val="000808A3"/>
    <w:rsid w:val="000A4BA1"/>
    <w:rsid w:val="000B7AC8"/>
    <w:rsid w:val="000E1F86"/>
    <w:rsid w:val="000E4494"/>
    <w:rsid w:val="000F658F"/>
    <w:rsid w:val="0010395C"/>
    <w:rsid w:val="00111E9E"/>
    <w:rsid w:val="001460CA"/>
    <w:rsid w:val="001B2932"/>
    <w:rsid w:val="001C15DF"/>
    <w:rsid w:val="001E28EB"/>
    <w:rsid w:val="00265B61"/>
    <w:rsid w:val="00277A0E"/>
    <w:rsid w:val="002B5100"/>
    <w:rsid w:val="002C2011"/>
    <w:rsid w:val="002C61C7"/>
    <w:rsid w:val="002E2018"/>
    <w:rsid w:val="002F2543"/>
    <w:rsid w:val="002F4000"/>
    <w:rsid w:val="00300BEA"/>
    <w:rsid w:val="003061E0"/>
    <w:rsid w:val="0032205D"/>
    <w:rsid w:val="00356284"/>
    <w:rsid w:val="00367CE0"/>
    <w:rsid w:val="00396DFA"/>
    <w:rsid w:val="003B3E63"/>
    <w:rsid w:val="003C4A7F"/>
    <w:rsid w:val="0042214D"/>
    <w:rsid w:val="00423A97"/>
    <w:rsid w:val="004241AC"/>
    <w:rsid w:val="00437701"/>
    <w:rsid w:val="004609F8"/>
    <w:rsid w:val="004819F1"/>
    <w:rsid w:val="004B20A8"/>
    <w:rsid w:val="004E3BF0"/>
    <w:rsid w:val="004E5A39"/>
    <w:rsid w:val="00500ACA"/>
    <w:rsid w:val="005049A1"/>
    <w:rsid w:val="00504FC1"/>
    <w:rsid w:val="0056372C"/>
    <w:rsid w:val="00567615"/>
    <w:rsid w:val="005950D6"/>
    <w:rsid w:val="00621AE2"/>
    <w:rsid w:val="006406D4"/>
    <w:rsid w:val="00642D6A"/>
    <w:rsid w:val="0064646C"/>
    <w:rsid w:val="00654D9E"/>
    <w:rsid w:val="0066030D"/>
    <w:rsid w:val="00664931"/>
    <w:rsid w:val="00665C97"/>
    <w:rsid w:val="006727BD"/>
    <w:rsid w:val="006B311C"/>
    <w:rsid w:val="006B3E12"/>
    <w:rsid w:val="006B7B48"/>
    <w:rsid w:val="006D6D08"/>
    <w:rsid w:val="006D7B8C"/>
    <w:rsid w:val="006E26B6"/>
    <w:rsid w:val="006E2A4B"/>
    <w:rsid w:val="006E425C"/>
    <w:rsid w:val="007156D1"/>
    <w:rsid w:val="00716DF5"/>
    <w:rsid w:val="007170D7"/>
    <w:rsid w:val="007221B6"/>
    <w:rsid w:val="00730AAF"/>
    <w:rsid w:val="00741838"/>
    <w:rsid w:val="007479B4"/>
    <w:rsid w:val="00766E26"/>
    <w:rsid w:val="00772F87"/>
    <w:rsid w:val="00797416"/>
    <w:rsid w:val="00823F4C"/>
    <w:rsid w:val="008445DF"/>
    <w:rsid w:val="008547B3"/>
    <w:rsid w:val="008819D4"/>
    <w:rsid w:val="0088216F"/>
    <w:rsid w:val="0088525A"/>
    <w:rsid w:val="008A6FEC"/>
    <w:rsid w:val="008B60D7"/>
    <w:rsid w:val="008C3D30"/>
    <w:rsid w:val="008D1529"/>
    <w:rsid w:val="008D2E6D"/>
    <w:rsid w:val="0091148E"/>
    <w:rsid w:val="00915BEE"/>
    <w:rsid w:val="00926C13"/>
    <w:rsid w:val="00943785"/>
    <w:rsid w:val="00957832"/>
    <w:rsid w:val="00963A13"/>
    <w:rsid w:val="00964948"/>
    <w:rsid w:val="00997BE6"/>
    <w:rsid w:val="009A23DE"/>
    <w:rsid w:val="009A260F"/>
    <w:rsid w:val="009A62CF"/>
    <w:rsid w:val="009B03DB"/>
    <w:rsid w:val="009C3B6B"/>
    <w:rsid w:val="009C4F90"/>
    <w:rsid w:val="009D3446"/>
    <w:rsid w:val="009E0140"/>
    <w:rsid w:val="009E2BC0"/>
    <w:rsid w:val="009F3867"/>
    <w:rsid w:val="00A01AB1"/>
    <w:rsid w:val="00A03C9B"/>
    <w:rsid w:val="00A207D4"/>
    <w:rsid w:val="00A40FF3"/>
    <w:rsid w:val="00A62D55"/>
    <w:rsid w:val="00A908B9"/>
    <w:rsid w:val="00A966D1"/>
    <w:rsid w:val="00AD279A"/>
    <w:rsid w:val="00AD327E"/>
    <w:rsid w:val="00AF2F25"/>
    <w:rsid w:val="00AF58B0"/>
    <w:rsid w:val="00B023E9"/>
    <w:rsid w:val="00B1186F"/>
    <w:rsid w:val="00B157B2"/>
    <w:rsid w:val="00B30431"/>
    <w:rsid w:val="00B55C5D"/>
    <w:rsid w:val="00B65222"/>
    <w:rsid w:val="00BA0ACD"/>
    <w:rsid w:val="00BA5F3A"/>
    <w:rsid w:val="00BB215D"/>
    <w:rsid w:val="00BB2AF8"/>
    <w:rsid w:val="00BB4A3B"/>
    <w:rsid w:val="00BB4FB9"/>
    <w:rsid w:val="00BB7B54"/>
    <w:rsid w:val="00BC74C2"/>
    <w:rsid w:val="00BE74C0"/>
    <w:rsid w:val="00BE7CDB"/>
    <w:rsid w:val="00BF55B9"/>
    <w:rsid w:val="00BF5F63"/>
    <w:rsid w:val="00BF7A42"/>
    <w:rsid w:val="00C2565A"/>
    <w:rsid w:val="00C32134"/>
    <w:rsid w:val="00C42AAC"/>
    <w:rsid w:val="00C579D7"/>
    <w:rsid w:val="00C603C3"/>
    <w:rsid w:val="00C66597"/>
    <w:rsid w:val="00C673ED"/>
    <w:rsid w:val="00C70453"/>
    <w:rsid w:val="00C73CF8"/>
    <w:rsid w:val="00C93824"/>
    <w:rsid w:val="00CB73AB"/>
    <w:rsid w:val="00CC2AD6"/>
    <w:rsid w:val="00CC52A3"/>
    <w:rsid w:val="00CC7AFF"/>
    <w:rsid w:val="00CD6263"/>
    <w:rsid w:val="00CE62A1"/>
    <w:rsid w:val="00D20170"/>
    <w:rsid w:val="00D212AA"/>
    <w:rsid w:val="00D23DF7"/>
    <w:rsid w:val="00D32756"/>
    <w:rsid w:val="00D4005D"/>
    <w:rsid w:val="00D51EC0"/>
    <w:rsid w:val="00D54779"/>
    <w:rsid w:val="00D60600"/>
    <w:rsid w:val="00D75828"/>
    <w:rsid w:val="00DB359A"/>
    <w:rsid w:val="00E10D6C"/>
    <w:rsid w:val="00E43089"/>
    <w:rsid w:val="00E61CBC"/>
    <w:rsid w:val="00E83F8D"/>
    <w:rsid w:val="00E87CCD"/>
    <w:rsid w:val="00EA610A"/>
    <w:rsid w:val="00EB16B7"/>
    <w:rsid w:val="00EC3589"/>
    <w:rsid w:val="00EF062E"/>
    <w:rsid w:val="00EF6711"/>
    <w:rsid w:val="00F07673"/>
    <w:rsid w:val="00F14DD4"/>
    <w:rsid w:val="00F400A0"/>
    <w:rsid w:val="00F44326"/>
    <w:rsid w:val="00F52AFB"/>
    <w:rsid w:val="00F640C3"/>
    <w:rsid w:val="00F66767"/>
    <w:rsid w:val="00F85989"/>
    <w:rsid w:val="00F86155"/>
    <w:rsid w:val="00F96473"/>
    <w:rsid w:val="00FA2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3562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9649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6494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6494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649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64948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hyperlink" Target="http://www.lakemedelsverket.se/" TargetMode="Externa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15" Type="http://schemas.microsoft.com/office/2016/09/relationships/commentsIds" Target="commentsId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2884</Words>
  <Characters>16439</Characters>
  <Application>Microsoft Office Word</Application>
  <DocSecurity>0</DocSecurity>
  <Lines>136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14</cp:revision>
  <dcterms:created xsi:type="dcterms:W3CDTF">2017-09-07T14:23:00Z</dcterms:created>
  <dcterms:modified xsi:type="dcterms:W3CDTF">2018-05-17T09:48:00Z</dcterms:modified>
</cp:coreProperties>
</file>