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D1BE6" w:rsidRDefault="00ED1BE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0E742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ENALAPRIL E LERCANIDIPINA</w:t>
      </w:r>
      <w:r w:rsidR="00ED1BE6">
        <w:rPr>
          <w:b/>
          <w:sz w:val="32"/>
        </w:rPr>
        <w:t xml:space="preserve"> </w:t>
      </w:r>
      <w:r w:rsidR="002B07D4">
        <w:rPr>
          <w:b/>
          <w:sz w:val="32"/>
        </w:rPr>
        <w:t>SAGAEM</w:t>
      </w:r>
    </w:p>
    <w:p w:rsidR="0009520C" w:rsidRDefault="0009520C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F12EF9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F12EF9">
        <w:rPr>
          <w:snapToGrid w:val="0"/>
        </w:rPr>
        <w:t>(</w:t>
      </w:r>
      <w:proofErr w:type="spellStart"/>
      <w:r w:rsidR="000E742B" w:rsidRPr="00F12EF9">
        <w:rPr>
          <w:snapToGrid w:val="0"/>
        </w:rPr>
        <w:t>enalapril</w:t>
      </w:r>
      <w:proofErr w:type="spellEnd"/>
      <w:r w:rsidR="000E742B" w:rsidRPr="00F12EF9">
        <w:rPr>
          <w:snapToGrid w:val="0"/>
        </w:rPr>
        <w:t xml:space="preserve"> e </w:t>
      </w:r>
      <w:proofErr w:type="spellStart"/>
      <w:r w:rsidR="000E742B" w:rsidRPr="00F12EF9">
        <w:rPr>
          <w:snapToGrid w:val="0"/>
        </w:rPr>
        <w:t>lercanidipina</w:t>
      </w:r>
      <w:proofErr w:type="spellEnd"/>
      <w:r w:rsidRPr="00F12EF9">
        <w:rPr>
          <w:snapToGrid w:val="0"/>
        </w:rPr>
        <w:t>)</w:t>
      </w:r>
    </w:p>
    <w:p w:rsidR="004241AC" w:rsidRPr="00F12EF9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E2E4C" w:rsidRPr="00F12EF9" w:rsidRDefault="004E2E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03E03" w:rsidRPr="00F12EF9" w:rsidRDefault="002B07D4" w:rsidP="00A03E03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F12EF9">
        <w:rPr>
          <w:b/>
        </w:rPr>
        <w:t>Sagaem</w:t>
      </w:r>
      <w:proofErr w:type="spellEnd"/>
      <w:r w:rsidRPr="00F12EF9">
        <w:rPr>
          <w:b/>
        </w:rPr>
        <w:t xml:space="preserve"> </w:t>
      </w:r>
      <w:proofErr w:type="spellStart"/>
      <w:r w:rsidRPr="00F12EF9">
        <w:rPr>
          <w:b/>
        </w:rPr>
        <w:t>For</w:t>
      </w:r>
      <w:proofErr w:type="spellEnd"/>
      <w:r w:rsidRPr="00F12EF9">
        <w:rPr>
          <w:b/>
        </w:rPr>
        <w:t xml:space="preserve"> Life</w:t>
      </w:r>
    </w:p>
    <w:p w:rsidR="00BB4CC4" w:rsidRPr="00F12EF9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E2E4C" w:rsidRPr="00F12EF9" w:rsidRDefault="004E2E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0E742B" w:rsidRPr="000E742B">
        <w:rPr>
          <w:rFonts w:cs="Helvetica"/>
          <w:b/>
        </w:rPr>
        <w:t>044923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ED1BE6" w:rsidRPr="00062636" w:rsidRDefault="00ED1BE6" w:rsidP="004241AC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E742B">
        <w:rPr>
          <w:rFonts w:eastAsia="Calibri" w:cs="Calibri"/>
          <w:color w:val="000000"/>
          <w:lang w:eastAsia="it-IT"/>
        </w:rPr>
        <w:t>Enalapril</w:t>
      </w:r>
      <w:proofErr w:type="spellEnd"/>
      <w:r w:rsidR="000E742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E742B">
        <w:rPr>
          <w:rFonts w:eastAsia="Calibri" w:cs="Calibri"/>
          <w:color w:val="000000"/>
          <w:lang w:eastAsia="it-IT"/>
        </w:rPr>
        <w:t>lercanidipina</w:t>
      </w:r>
      <w:proofErr w:type="spellEnd"/>
      <w:r w:rsidR="000E742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color w:val="000000"/>
          <w:lang w:eastAsia="it-IT"/>
        </w:rPr>
        <w:t>Sagaem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E742B">
        <w:rPr>
          <w:rFonts w:eastAsia="Calibri" w:cs="Calibri"/>
          <w:color w:val="000000"/>
          <w:lang w:eastAsia="it-IT"/>
        </w:rPr>
        <w:t>Enalapril</w:t>
      </w:r>
      <w:proofErr w:type="spellEnd"/>
      <w:r w:rsidR="000E742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E742B">
        <w:rPr>
          <w:rFonts w:eastAsia="Calibri" w:cs="Calibri"/>
          <w:color w:val="000000"/>
          <w:lang w:eastAsia="it-IT"/>
        </w:rPr>
        <w:t>lercanidipina</w:t>
      </w:r>
      <w:proofErr w:type="spellEnd"/>
      <w:r w:rsidR="000E742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742B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0E742B">
        <w:rPr>
          <w:rFonts w:eastAsia="Calibri" w:cs="Calibri"/>
          <w:color w:val="000000"/>
          <w:lang w:eastAsia="it-IT"/>
        </w:rPr>
        <w:t>Enalapril</w:t>
      </w:r>
      <w:proofErr w:type="spellEnd"/>
      <w:r w:rsidR="000E742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E742B">
        <w:rPr>
          <w:rFonts w:eastAsia="Calibri" w:cs="Calibri"/>
          <w:color w:val="000000"/>
          <w:lang w:eastAsia="it-IT"/>
        </w:rPr>
        <w:t>lercanidipina</w:t>
      </w:r>
      <w:proofErr w:type="spellEnd"/>
      <w:r w:rsidR="000E742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742B">
        <w:rPr>
          <w:rFonts w:eastAsia="Calibri" w:cs="Calibri"/>
          <w:color w:val="000000"/>
          <w:lang w:eastAsia="it-IT"/>
        </w:rPr>
        <w:t>Sagaem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E36CE0" w:rsidRDefault="004241AC" w:rsidP="00E36C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E742B">
        <w:rPr>
          <w:rFonts w:eastAsia="Calibri" w:cs="Calibri"/>
          <w:color w:val="000000"/>
          <w:lang w:eastAsia="it-IT"/>
        </w:rPr>
        <w:t>Enalapril</w:t>
      </w:r>
      <w:proofErr w:type="spellEnd"/>
      <w:r w:rsidR="000E742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0E742B">
        <w:rPr>
          <w:rFonts w:eastAsia="Calibri" w:cs="Calibri"/>
          <w:color w:val="000000"/>
          <w:lang w:eastAsia="it-IT"/>
        </w:rPr>
        <w:t>lercanidipina</w:t>
      </w:r>
      <w:proofErr w:type="spellEnd"/>
      <w:r w:rsidR="000E742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742B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</w:t>
      </w:r>
      <w:r w:rsidRPr="00E36CE0">
        <w:rPr>
          <w:rFonts w:eastAsia="Calibri" w:cs="Calibri"/>
          <w:color w:val="000000"/>
          <w:lang w:eastAsia="it-IT"/>
        </w:rPr>
        <w:t xml:space="preserve">illustrativo o contattare il loro medico o </w:t>
      </w:r>
      <w:r w:rsidR="009B03DB" w:rsidRPr="00E36CE0">
        <w:rPr>
          <w:rFonts w:eastAsia="Calibri" w:cs="Calibri"/>
          <w:color w:val="000000"/>
          <w:lang w:eastAsia="it-IT"/>
        </w:rPr>
        <w:t xml:space="preserve">il </w:t>
      </w:r>
      <w:r w:rsidRPr="00E36CE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E36CE0" w:rsidRDefault="004241AC" w:rsidP="00E36C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E36CE0" w:rsidRDefault="004241AC" w:rsidP="00E36C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E36CE0" w:rsidRDefault="004241AC" w:rsidP="00E36C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E36CE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E742B" w:rsidRPr="00E36CE0">
        <w:rPr>
          <w:rFonts w:eastAsia="Calibri" w:cs="Calibri"/>
          <w:b/>
          <w:color w:val="000000"/>
          <w:lang w:eastAsia="it-IT"/>
        </w:rPr>
        <w:t>Enalapril</w:t>
      </w:r>
      <w:proofErr w:type="spellEnd"/>
      <w:r w:rsidR="000E742B" w:rsidRPr="00E36CE0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0E742B" w:rsidRPr="00E36CE0">
        <w:rPr>
          <w:rFonts w:eastAsia="Calibri" w:cs="Calibri"/>
          <w:b/>
          <w:color w:val="000000"/>
          <w:lang w:eastAsia="it-IT"/>
        </w:rPr>
        <w:t>lercanidipina</w:t>
      </w:r>
      <w:proofErr w:type="spellEnd"/>
      <w:r w:rsidR="000E742B" w:rsidRPr="00E36CE0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0E742B" w:rsidRPr="00E36CE0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="00B9671B" w:rsidRPr="00E36CE0">
        <w:rPr>
          <w:rFonts w:eastAsia="Calibri" w:cs="Calibri"/>
          <w:b/>
          <w:color w:val="000000"/>
          <w:lang w:eastAsia="it-IT"/>
        </w:rPr>
        <w:t xml:space="preserve"> </w:t>
      </w:r>
      <w:r w:rsidR="0009520C" w:rsidRPr="00E36CE0">
        <w:rPr>
          <w:rFonts w:eastAsia="Calibri" w:cs="Calibri"/>
          <w:b/>
          <w:bCs/>
          <w:color w:val="000000"/>
          <w:lang w:eastAsia="it-IT"/>
        </w:rPr>
        <w:t>E A COSA SERVE</w:t>
      </w:r>
      <w:r w:rsidRPr="00E36C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E36CE0" w:rsidRDefault="000E742B" w:rsidP="00E36CE0">
      <w:pPr>
        <w:widowControl w:val="0"/>
        <w:spacing w:after="0" w:line="240" w:lineRule="auto"/>
        <w:jc w:val="both"/>
      </w:pPr>
      <w:proofErr w:type="spellStart"/>
      <w:r w:rsidRPr="00E36CE0">
        <w:rPr>
          <w:rFonts w:eastAsia="Calibri" w:cs="Calibri"/>
          <w:color w:val="000000"/>
          <w:lang w:eastAsia="it-IT"/>
        </w:rPr>
        <w:t>Enalapril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36CE0">
        <w:rPr>
          <w:rFonts w:eastAsia="Calibri" w:cs="Calibri"/>
          <w:color w:val="000000"/>
          <w:lang w:eastAsia="it-IT"/>
        </w:rPr>
        <w:t>lercanidipina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36CE0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E36CE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36CE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36CE0">
        <w:rPr>
          <w:rFonts w:eastAsia="Calibri" w:cs="Calibri"/>
          <w:color w:val="000000"/>
          <w:lang w:eastAsia="it-IT"/>
        </w:rPr>
        <w:t>i</w:t>
      </w:r>
      <w:r w:rsidR="004241AC" w:rsidRPr="00E36CE0">
        <w:rPr>
          <w:rFonts w:eastAsia="Calibri" w:cs="Calibri"/>
          <w:color w:val="000000"/>
          <w:lang w:eastAsia="it-IT"/>
        </w:rPr>
        <w:t xml:space="preserve"> principi attiv</w:t>
      </w:r>
      <w:r w:rsidR="00ED1BE6" w:rsidRPr="00E36CE0">
        <w:rPr>
          <w:rFonts w:eastAsia="Calibri" w:cs="Calibri"/>
          <w:color w:val="000000"/>
          <w:lang w:eastAsia="it-IT"/>
        </w:rPr>
        <w:t>i</w:t>
      </w:r>
      <w:r w:rsidR="004241AC" w:rsidRPr="00E36C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36CE0">
        <w:rPr>
          <w:rFonts w:eastAsia="Calibri" w:cs="Calibri"/>
          <w:color w:val="000000"/>
          <w:lang w:eastAsia="it-IT"/>
        </w:rPr>
        <w:t>enalapril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36CE0">
        <w:rPr>
          <w:rFonts w:eastAsia="Calibri" w:cs="Calibri"/>
          <w:color w:val="000000"/>
          <w:lang w:eastAsia="it-IT"/>
        </w:rPr>
        <w:t>lercanidipina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</w:t>
      </w:r>
      <w:r w:rsidR="00BB4CC4" w:rsidRPr="00E36CE0">
        <w:rPr>
          <w:rFonts w:eastAsia="Calibri" w:cs="Calibri"/>
          <w:color w:val="000000"/>
          <w:lang w:eastAsia="it-IT"/>
        </w:rPr>
        <w:t xml:space="preserve">ed è </w:t>
      </w:r>
      <w:r w:rsidR="004241AC" w:rsidRPr="00E36CE0">
        <w:rPr>
          <w:rFonts w:eastAsia="Calibri" w:cs="Calibri"/>
          <w:color w:val="000000"/>
          <w:lang w:eastAsia="it-IT"/>
        </w:rPr>
        <w:t xml:space="preserve">disponibile in </w:t>
      </w:r>
      <w:r w:rsidR="0030600B" w:rsidRPr="00E36CE0">
        <w:rPr>
          <w:rFonts w:eastAsia="Calibri" w:cs="Calibri"/>
          <w:color w:val="000000"/>
          <w:lang w:eastAsia="it-IT"/>
        </w:rPr>
        <w:t xml:space="preserve">compresse </w:t>
      </w:r>
      <w:r w:rsidR="002A26AF" w:rsidRPr="00E36CE0">
        <w:rPr>
          <w:rFonts w:eastAsia="Calibri" w:cs="Calibri"/>
          <w:color w:val="000000"/>
          <w:lang w:eastAsia="it-IT"/>
        </w:rPr>
        <w:t xml:space="preserve">rivestite con film </w:t>
      </w:r>
      <w:r w:rsidR="00A61113" w:rsidRPr="00E36CE0">
        <w:rPr>
          <w:rFonts w:eastAsia="Calibri" w:cs="Calibri"/>
          <w:color w:val="000000"/>
          <w:lang w:eastAsia="it-IT"/>
        </w:rPr>
        <w:t xml:space="preserve">contenenti </w:t>
      </w:r>
      <w:r w:rsidR="00ED1BE6" w:rsidRPr="00E36CE0">
        <w:rPr>
          <w:rFonts w:eastAsia="Calibri" w:cs="Calibri"/>
          <w:color w:val="000000"/>
          <w:lang w:eastAsia="it-IT"/>
        </w:rPr>
        <w:t>2</w:t>
      </w:r>
      <w:r w:rsidR="002B07D4" w:rsidRPr="00E36CE0">
        <w:rPr>
          <w:rFonts w:eastAsia="Calibri" w:cs="Calibri"/>
          <w:color w:val="000000"/>
          <w:lang w:eastAsia="it-IT"/>
        </w:rPr>
        <w:t>0 mg</w:t>
      </w:r>
      <w:r w:rsidR="002A26AF" w:rsidRPr="00E36CE0">
        <w:rPr>
          <w:rFonts w:eastAsia="Calibri" w:cs="Calibri"/>
          <w:color w:val="000000"/>
          <w:lang w:eastAsia="it-IT"/>
        </w:rPr>
        <w:t xml:space="preserve"> e </w:t>
      </w:r>
      <w:r w:rsidRPr="00E36CE0">
        <w:rPr>
          <w:rFonts w:eastAsia="Calibri" w:cs="Calibri"/>
          <w:color w:val="000000"/>
          <w:lang w:eastAsia="it-IT"/>
        </w:rPr>
        <w:t>1</w:t>
      </w:r>
      <w:r w:rsidR="002A26AF" w:rsidRPr="00E36CE0">
        <w:rPr>
          <w:rFonts w:eastAsia="Calibri" w:cs="Calibri"/>
          <w:color w:val="000000"/>
          <w:lang w:eastAsia="it-IT"/>
        </w:rPr>
        <w:t>0</w:t>
      </w:r>
      <w:r w:rsidR="00A61113" w:rsidRPr="00E36CE0">
        <w:rPr>
          <w:rFonts w:eastAsia="Calibri" w:cs="Calibri"/>
          <w:color w:val="000000"/>
          <w:lang w:eastAsia="it-IT"/>
        </w:rPr>
        <w:t xml:space="preserve"> mg</w:t>
      </w:r>
      <w:r w:rsidR="00ED1BE6" w:rsidRPr="00E36CE0">
        <w:rPr>
          <w:rFonts w:eastAsia="Calibri" w:cs="Calibri"/>
          <w:color w:val="000000"/>
          <w:lang w:eastAsia="it-IT"/>
        </w:rPr>
        <w:t xml:space="preserve"> rispettivamente di </w:t>
      </w:r>
      <w:proofErr w:type="spellStart"/>
      <w:r w:rsidRPr="00E36CE0">
        <w:rPr>
          <w:rFonts w:eastAsia="Calibri" w:cs="Calibri"/>
          <w:color w:val="000000"/>
          <w:lang w:eastAsia="it-IT"/>
        </w:rPr>
        <w:t>enalapril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36CE0">
        <w:rPr>
          <w:rFonts w:eastAsia="Calibri" w:cs="Calibri"/>
          <w:color w:val="000000"/>
          <w:lang w:eastAsia="it-IT"/>
        </w:rPr>
        <w:t>lercanidipina</w:t>
      </w:r>
      <w:proofErr w:type="spellEnd"/>
      <w:r w:rsidR="004241AC" w:rsidRPr="00E36CE0">
        <w:t>.</w:t>
      </w:r>
    </w:p>
    <w:p w:rsidR="0030600B" w:rsidRPr="00E36CE0" w:rsidRDefault="000E742B" w:rsidP="00E36CE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36CE0">
        <w:rPr>
          <w:rFonts w:eastAsia="Calibri" w:cs="Calibri"/>
          <w:color w:val="000000"/>
          <w:lang w:eastAsia="it-IT"/>
        </w:rPr>
        <w:t>Enalapril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36CE0">
        <w:rPr>
          <w:rFonts w:eastAsia="Calibri" w:cs="Calibri"/>
          <w:color w:val="000000"/>
          <w:lang w:eastAsia="it-IT"/>
        </w:rPr>
        <w:t>lercanidipina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36CE0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E36CE0">
        <w:rPr>
          <w:rFonts w:eastAsia="Calibri" w:cs="Calibri"/>
          <w:color w:val="000000"/>
          <w:lang w:eastAsia="it-IT"/>
        </w:rPr>
        <w:t xml:space="preserve"> </w:t>
      </w:r>
      <w:r w:rsidR="00013020" w:rsidRPr="00E36CE0">
        <w:rPr>
          <w:rFonts w:eastAsia="Calibri" w:cs="Calibri"/>
          <w:color w:val="000000"/>
          <w:lang w:eastAsia="it-IT"/>
        </w:rPr>
        <w:t>è un “medicinale generico”, cioè è analogo ad un “medicinale di riferimento”</w:t>
      </w:r>
      <w:r w:rsidR="0030600B" w:rsidRPr="00E36CE0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E36CE0">
        <w:rPr>
          <w:rFonts w:eastAsia="Calibri" w:cs="Calibri"/>
          <w:color w:val="000000"/>
          <w:lang w:eastAsia="it-IT"/>
        </w:rPr>
        <w:t>Zanipril</w:t>
      </w:r>
      <w:proofErr w:type="spellEnd"/>
      <w:r w:rsidR="0030600B" w:rsidRPr="00E36CE0">
        <w:rPr>
          <w:rFonts w:eastAsia="Calibri" w:cs="Calibri"/>
          <w:color w:val="000000"/>
          <w:lang w:eastAsia="it-IT"/>
        </w:rPr>
        <w:t>,</w:t>
      </w:r>
      <w:r w:rsidR="00A61113" w:rsidRPr="00E36CE0">
        <w:rPr>
          <w:rFonts w:eastAsia="Calibri" w:cs="Calibri"/>
          <w:color w:val="000000"/>
          <w:lang w:eastAsia="it-IT"/>
        </w:rPr>
        <w:t xml:space="preserve"> </w:t>
      </w:r>
      <w:r w:rsidR="00013020" w:rsidRPr="00E36CE0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E36CE0">
        <w:rPr>
          <w:rFonts w:eastAsia="Calibri" w:cs="Calibri"/>
          <w:color w:val="000000"/>
          <w:lang w:eastAsia="it-IT"/>
        </w:rPr>
        <w:t>Italia</w:t>
      </w:r>
      <w:r w:rsidR="00A61113" w:rsidRPr="00E36CE0">
        <w:rPr>
          <w:rFonts w:eastAsia="Calibri" w:cs="Calibri"/>
          <w:color w:val="000000"/>
          <w:lang w:eastAsia="it-IT"/>
        </w:rPr>
        <w:t xml:space="preserve"> con procedura </w:t>
      </w:r>
      <w:r w:rsidR="0030600B" w:rsidRPr="00E36CE0">
        <w:rPr>
          <w:rFonts w:eastAsia="Calibri" w:cs="Calibri"/>
          <w:color w:val="000000"/>
          <w:lang w:eastAsia="it-IT"/>
        </w:rPr>
        <w:t xml:space="preserve">decentrata con la Germania come stato di riferimento </w:t>
      </w:r>
      <w:r w:rsidR="00DC2CA3" w:rsidRPr="00E36CE0">
        <w:rPr>
          <w:rFonts w:eastAsia="Calibri" w:cs="Calibri"/>
          <w:color w:val="000000"/>
          <w:lang w:eastAsia="it-IT"/>
        </w:rPr>
        <w:t>(</w:t>
      </w:r>
      <w:hyperlink r:id="rId7" w:history="1">
        <w:r w:rsidR="00DC2CA3" w:rsidRPr="00E36CE0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DC2CA3" w:rsidRPr="00E36CE0">
        <w:rPr>
          <w:rFonts w:eastAsia="Calibri" w:cs="Calibri"/>
          <w:color w:val="000000"/>
          <w:lang w:eastAsia="it-IT"/>
        </w:rPr>
        <w:t>)</w:t>
      </w:r>
      <w:r w:rsidR="0030600B" w:rsidRPr="00E36CE0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8" w:history="1">
        <w:r w:rsidR="0030600B" w:rsidRPr="00E36CE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600B" w:rsidRPr="00E36CE0">
        <w:rPr>
          <w:rFonts w:eastAsia="Calibri" w:cs="Calibri"/>
          <w:lang w:eastAsia="it-IT"/>
        </w:rPr>
        <w:t>)</w:t>
      </w:r>
      <w:r w:rsidR="0030600B" w:rsidRPr="00E36CE0">
        <w:t xml:space="preserve"> </w:t>
      </w:r>
      <w:r w:rsidR="0030600B" w:rsidRPr="00E36CE0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E36CE0">
        <w:rPr>
          <w:rFonts w:eastAsia="Calibri" w:cs="Calibri"/>
          <w:color w:val="000000"/>
          <w:lang w:eastAsia="it-IT"/>
        </w:rPr>
        <w:t>Zanipril</w:t>
      </w:r>
      <w:proofErr w:type="spellEnd"/>
      <w:r w:rsidR="0030600B" w:rsidRPr="00E36CE0">
        <w:rPr>
          <w:rFonts w:eastAsia="Calibri" w:cs="Calibri"/>
          <w:color w:val="000000"/>
          <w:lang w:eastAsia="it-IT"/>
        </w:rPr>
        <w:t>.</w:t>
      </w:r>
    </w:p>
    <w:p w:rsidR="004241AC" w:rsidRPr="00E36CE0" w:rsidRDefault="000E742B" w:rsidP="00E36CE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proofErr w:type="spellStart"/>
      <w:r w:rsidRPr="00E36CE0">
        <w:rPr>
          <w:rFonts w:eastAsia="Calibri" w:cs="Calibri"/>
          <w:color w:val="000000"/>
          <w:lang w:eastAsia="it-IT"/>
        </w:rPr>
        <w:t>Enalapril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36CE0">
        <w:rPr>
          <w:rFonts w:eastAsia="Calibri" w:cs="Calibri"/>
          <w:color w:val="000000"/>
          <w:lang w:eastAsia="it-IT"/>
        </w:rPr>
        <w:t>lercanidipina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36CE0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E36CE0">
        <w:rPr>
          <w:rFonts w:eastAsia="Calibri" w:cs="Calibri"/>
          <w:color w:val="000000"/>
          <w:lang w:eastAsia="it-IT"/>
        </w:rPr>
        <w:t xml:space="preserve"> </w:t>
      </w:r>
      <w:r w:rsidR="00452364" w:rsidRPr="00E36CE0">
        <w:rPr>
          <w:rFonts w:eastAsia="Calibri" w:cs="Calibri"/>
          <w:color w:val="000000"/>
          <w:lang w:eastAsia="it-IT"/>
        </w:rPr>
        <w:t>si usa</w:t>
      </w:r>
      <w:r w:rsidR="007B6648">
        <w:rPr>
          <w:rFonts w:eastAsia="Calibri" w:cs="Calibri"/>
          <w:color w:val="000000"/>
          <w:lang w:eastAsia="it-IT"/>
        </w:rPr>
        <w:t xml:space="preserve"> negli adulti </w:t>
      </w:r>
      <w:r w:rsidR="002556B9" w:rsidRPr="00E36CE0">
        <w:rPr>
          <w:rFonts w:eastAsia="Calibri" w:cs="Calibri"/>
          <w:color w:val="000000"/>
          <w:lang w:eastAsia="it-IT"/>
        </w:rPr>
        <w:t xml:space="preserve">per il </w:t>
      </w:r>
      <w:r w:rsidR="00E36CE0" w:rsidRPr="00E36CE0">
        <w:rPr>
          <w:rFonts w:eastAsia="TimesNewRoman" w:cs="TimesNewRoman"/>
        </w:rPr>
        <w:t>trattamento della pressione alta</w:t>
      </w:r>
      <w:r w:rsidR="00E36CE0">
        <w:rPr>
          <w:rFonts w:eastAsia="TimesNewRoman" w:cs="TimesNewRoman"/>
        </w:rPr>
        <w:t xml:space="preserve"> </w:t>
      </w:r>
      <w:r w:rsidR="00E36CE0" w:rsidRPr="00E36CE0">
        <w:rPr>
          <w:rFonts w:eastAsia="TimesNewRoman" w:cs="TimesNewRoman"/>
        </w:rPr>
        <w:t>(ipertensione) nei pazienti in cui non si è raggiunto un adeguato controllo della pressione tramite la sola</w:t>
      </w:r>
      <w:r w:rsidR="00E36CE0">
        <w:rPr>
          <w:rFonts w:eastAsia="TimesNewRoman" w:cs="TimesNewRoman"/>
        </w:rPr>
        <w:t xml:space="preserve"> </w:t>
      </w:r>
      <w:r w:rsidR="00E36CE0" w:rsidRPr="00E36CE0">
        <w:rPr>
          <w:rFonts w:eastAsia="TimesNewRoman" w:cs="TimesNewRoman"/>
        </w:rPr>
        <w:t xml:space="preserve">somministrazione di 20 mg di </w:t>
      </w:r>
      <w:proofErr w:type="spellStart"/>
      <w:r w:rsidR="00E36CE0" w:rsidRPr="00E36CE0">
        <w:rPr>
          <w:rFonts w:eastAsia="TimesNewRoman" w:cs="TimesNewRoman"/>
        </w:rPr>
        <w:t>enalapril</w:t>
      </w:r>
      <w:proofErr w:type="spellEnd"/>
      <w:r w:rsidR="00E36CE0" w:rsidRPr="00E36CE0">
        <w:rPr>
          <w:rFonts w:eastAsia="TimesNewRoman" w:cs="TimesNewRoman"/>
        </w:rPr>
        <w:t xml:space="preserve">. </w:t>
      </w:r>
      <w:proofErr w:type="spellStart"/>
      <w:r w:rsidR="00E36CE0">
        <w:rPr>
          <w:rFonts w:eastAsia="TimesNewRoman" w:cs="TimesNewRoman"/>
        </w:rPr>
        <w:t>Enalapril</w:t>
      </w:r>
      <w:proofErr w:type="spellEnd"/>
      <w:r w:rsidR="00E36CE0">
        <w:rPr>
          <w:rFonts w:eastAsia="TimesNewRoman" w:cs="TimesNewRoman"/>
        </w:rPr>
        <w:t xml:space="preserve"> e </w:t>
      </w:r>
      <w:proofErr w:type="spellStart"/>
      <w:r w:rsidR="00E36CE0">
        <w:rPr>
          <w:rFonts w:eastAsia="TimesNewRoman" w:cs="TimesNewRoman"/>
        </w:rPr>
        <w:t>l</w:t>
      </w:r>
      <w:r w:rsidR="00E36CE0" w:rsidRPr="00E36CE0">
        <w:rPr>
          <w:rFonts w:eastAsia="TimesNewRoman" w:cs="TimesNewRoman"/>
        </w:rPr>
        <w:t>ercanidipina</w:t>
      </w:r>
      <w:proofErr w:type="spellEnd"/>
      <w:r w:rsidR="00E36CE0" w:rsidRPr="00E36CE0">
        <w:rPr>
          <w:rFonts w:eastAsia="TimesNewRoman" w:cs="TimesNewRoman"/>
        </w:rPr>
        <w:t xml:space="preserve"> </w:t>
      </w:r>
      <w:proofErr w:type="spellStart"/>
      <w:r w:rsidR="00E36CE0" w:rsidRPr="00E36CE0">
        <w:rPr>
          <w:rFonts w:eastAsia="TimesNewRoman" w:cs="TimesNewRoman"/>
        </w:rPr>
        <w:t>Sagaem</w:t>
      </w:r>
      <w:proofErr w:type="spellEnd"/>
      <w:r w:rsidR="00E36CE0" w:rsidRPr="00E36CE0">
        <w:rPr>
          <w:rFonts w:eastAsia="TimesNewRoman" w:cs="TimesNewRoman"/>
        </w:rPr>
        <w:t xml:space="preserve"> non deve essere</w:t>
      </w:r>
      <w:r w:rsidR="00E36CE0">
        <w:rPr>
          <w:rFonts w:eastAsia="TimesNewRoman" w:cs="TimesNewRoman"/>
        </w:rPr>
        <w:t xml:space="preserve"> </w:t>
      </w:r>
      <w:r w:rsidR="00E36CE0" w:rsidRPr="00E36CE0">
        <w:rPr>
          <w:rFonts w:eastAsia="TimesNewRoman" w:cs="TimesNewRoman"/>
        </w:rPr>
        <w:t>usato per il trattamento iniziale dell’ipertensione.</w:t>
      </w:r>
    </w:p>
    <w:p w:rsidR="002556B9" w:rsidRDefault="002556B9" w:rsidP="00E36CE0">
      <w:pPr>
        <w:pStyle w:val="Paragraph"/>
        <w:spacing w:after="0"/>
        <w:jc w:val="both"/>
        <w:rPr>
          <w:rFonts w:asciiTheme="minorHAnsi" w:eastAsia="Calibri" w:hAnsiTheme="minorHAnsi" w:cs="Calibri"/>
          <w:b/>
          <w:bCs/>
          <w:color w:val="000000"/>
          <w:sz w:val="22"/>
          <w:szCs w:val="22"/>
          <w:lang w:val="it-IT" w:eastAsia="it-IT"/>
        </w:rPr>
      </w:pPr>
    </w:p>
    <w:p w:rsidR="00E36CE0" w:rsidRPr="00E36CE0" w:rsidRDefault="00E36CE0" w:rsidP="00E36CE0">
      <w:pPr>
        <w:pStyle w:val="Paragraph"/>
        <w:spacing w:after="0"/>
        <w:jc w:val="both"/>
        <w:rPr>
          <w:rFonts w:asciiTheme="minorHAnsi" w:eastAsia="Calibri" w:hAnsiTheme="minorHAnsi" w:cs="Calibri"/>
          <w:b/>
          <w:bCs/>
          <w:color w:val="000000"/>
          <w:sz w:val="22"/>
          <w:szCs w:val="22"/>
          <w:lang w:val="it-IT" w:eastAsia="it-IT"/>
        </w:rPr>
      </w:pPr>
    </w:p>
    <w:p w:rsidR="004241AC" w:rsidRPr="00F12EF9" w:rsidRDefault="004241AC" w:rsidP="00E36CE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12EF9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12EF9" w:rsidRPr="00F12EF9">
        <w:rPr>
          <w:rFonts w:eastAsia="Calibri" w:cs="Calibri"/>
          <w:b/>
          <w:color w:val="000000"/>
          <w:lang w:eastAsia="it-IT"/>
        </w:rPr>
        <w:t>Enalapril</w:t>
      </w:r>
      <w:proofErr w:type="spellEnd"/>
      <w:r w:rsidR="00F12EF9" w:rsidRPr="00F12EF9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F12EF9" w:rsidRPr="00F12EF9">
        <w:rPr>
          <w:rFonts w:eastAsia="Calibri" w:cs="Calibri"/>
          <w:b/>
          <w:color w:val="000000"/>
          <w:lang w:eastAsia="it-IT"/>
        </w:rPr>
        <w:t>lercanidipina</w:t>
      </w:r>
      <w:proofErr w:type="spellEnd"/>
      <w:r w:rsidR="00F12EF9" w:rsidRPr="00F12EF9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12EF9" w:rsidRPr="00F12EF9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F12EF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0E742B" w:rsidRDefault="000E742B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E742B">
        <w:rPr>
          <w:rFonts w:eastAsia="Calibri" w:cs="Calibri"/>
          <w:color w:val="000000"/>
          <w:lang w:eastAsia="it-IT"/>
        </w:rPr>
        <w:t>Enalapril</w:t>
      </w:r>
      <w:proofErr w:type="spellEnd"/>
      <w:r w:rsidRPr="000E742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0E742B">
        <w:rPr>
          <w:rFonts w:eastAsia="Calibri" w:cs="Calibri"/>
          <w:color w:val="000000"/>
          <w:lang w:eastAsia="it-IT"/>
        </w:rPr>
        <w:t>lercanidipina</w:t>
      </w:r>
      <w:proofErr w:type="spellEnd"/>
      <w:r w:rsidRPr="000E742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0E742B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0E742B">
        <w:rPr>
          <w:rFonts w:eastAsia="Calibri" w:cs="Calibri"/>
          <w:color w:val="000000"/>
          <w:lang w:eastAsia="it-IT"/>
        </w:rPr>
        <w:t xml:space="preserve"> </w:t>
      </w:r>
      <w:r w:rsidR="004241AC" w:rsidRPr="000E742B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A26AF" w:rsidRPr="002556B9" w:rsidRDefault="007B6648" w:rsidP="004E2E4C">
      <w:pPr>
        <w:pStyle w:val="Corpotesto"/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  <w:shd w:val="clear" w:color="auto" w:fill="FFFFFF"/>
          <w:lang w:val="it-IT"/>
        </w:rPr>
      </w:pPr>
      <w:r>
        <w:rPr>
          <w:rFonts w:asciiTheme="minorHAnsi" w:hAnsiTheme="minorHAnsi"/>
          <w:sz w:val="22"/>
          <w:szCs w:val="22"/>
        </w:rPr>
        <w:t>L</w:t>
      </w:r>
      <w:r w:rsidR="004241AC" w:rsidRPr="002556B9">
        <w:rPr>
          <w:rFonts w:asciiTheme="minorHAnsi" w:hAnsiTheme="minorHAnsi"/>
          <w:sz w:val="22"/>
          <w:szCs w:val="22"/>
        </w:rPr>
        <w:t xml:space="preserve">a dose </w:t>
      </w:r>
      <w:proofErr w:type="spellStart"/>
      <w:r w:rsidR="00F6357B" w:rsidRPr="002556B9">
        <w:rPr>
          <w:rFonts w:asciiTheme="minorHAnsi" w:hAnsiTheme="minorHAnsi"/>
          <w:sz w:val="22"/>
          <w:szCs w:val="22"/>
        </w:rPr>
        <w:t>giornaliera</w:t>
      </w:r>
      <w:proofErr w:type="spellEnd"/>
      <w:r w:rsidR="00F6357B" w:rsidRPr="002556B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74733" w:rsidRPr="002556B9">
        <w:rPr>
          <w:rFonts w:asciiTheme="minorHAnsi" w:hAnsiTheme="minorHAnsi"/>
          <w:sz w:val="22"/>
          <w:szCs w:val="22"/>
        </w:rPr>
        <w:t>raccomandata</w:t>
      </w:r>
      <w:proofErr w:type="spellEnd"/>
      <w:r w:rsidR="00874733" w:rsidRPr="002556B9">
        <w:rPr>
          <w:rFonts w:asciiTheme="minorHAnsi" w:hAnsiTheme="minorHAnsi"/>
          <w:sz w:val="22"/>
          <w:szCs w:val="22"/>
        </w:rPr>
        <w:t xml:space="preserve"> </w:t>
      </w:r>
      <w:r w:rsidR="00F6357B" w:rsidRPr="002556B9">
        <w:rPr>
          <w:rFonts w:asciiTheme="minorHAnsi" w:hAnsiTheme="minorHAnsi"/>
          <w:sz w:val="22"/>
          <w:szCs w:val="22"/>
        </w:rPr>
        <w:t xml:space="preserve">è di </w:t>
      </w:r>
      <w:proofErr w:type="spellStart"/>
      <w:r w:rsidR="0030600B" w:rsidRPr="002556B9">
        <w:rPr>
          <w:rFonts w:asciiTheme="minorHAnsi" w:hAnsiTheme="minorHAnsi"/>
          <w:sz w:val="22"/>
          <w:szCs w:val="22"/>
        </w:rPr>
        <w:t>un</w:t>
      </w:r>
      <w:r w:rsidR="005A6CF4">
        <w:rPr>
          <w:rFonts w:asciiTheme="minorHAnsi" w:hAnsiTheme="minorHAnsi"/>
          <w:sz w:val="22"/>
          <w:szCs w:val="22"/>
        </w:rPr>
        <w:t>a</w:t>
      </w:r>
      <w:proofErr w:type="spellEnd"/>
      <w:r w:rsidR="0030600B" w:rsidRPr="002556B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0600B" w:rsidRPr="002556B9">
        <w:rPr>
          <w:rFonts w:asciiTheme="minorHAnsi" w:hAnsiTheme="minorHAnsi"/>
          <w:sz w:val="22"/>
          <w:szCs w:val="22"/>
        </w:rPr>
        <w:t>compressa</w:t>
      </w:r>
      <w:proofErr w:type="spellEnd"/>
      <w:r w:rsidR="00E36CE0">
        <w:rPr>
          <w:rFonts w:asciiTheme="minorHAnsi" w:hAnsiTheme="minorHAnsi"/>
          <w:sz w:val="22"/>
          <w:szCs w:val="22"/>
        </w:rPr>
        <w:t xml:space="preserve"> da </w:t>
      </w:r>
      <w:proofErr w:type="spellStart"/>
      <w:r w:rsidR="00E36CE0">
        <w:rPr>
          <w:rFonts w:asciiTheme="minorHAnsi" w:hAnsiTheme="minorHAnsi"/>
          <w:sz w:val="22"/>
          <w:szCs w:val="22"/>
        </w:rPr>
        <w:t>assumere</w:t>
      </w:r>
      <w:proofErr w:type="spellEnd"/>
      <w:r w:rsidR="00E36CE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36CE0">
        <w:rPr>
          <w:rFonts w:asciiTheme="minorHAnsi" w:hAnsiTheme="minorHAnsi"/>
          <w:sz w:val="22"/>
          <w:szCs w:val="22"/>
        </w:rPr>
        <w:t>almeno</w:t>
      </w:r>
      <w:proofErr w:type="spellEnd"/>
      <w:r w:rsidR="00E36CE0">
        <w:rPr>
          <w:rFonts w:asciiTheme="minorHAnsi" w:hAnsiTheme="minorHAnsi"/>
          <w:sz w:val="22"/>
          <w:szCs w:val="22"/>
        </w:rPr>
        <w:t xml:space="preserve"> 15 </w:t>
      </w:r>
      <w:proofErr w:type="spellStart"/>
      <w:r w:rsidR="00E36CE0">
        <w:rPr>
          <w:rFonts w:asciiTheme="minorHAnsi" w:hAnsiTheme="minorHAnsi"/>
          <w:sz w:val="22"/>
          <w:szCs w:val="22"/>
        </w:rPr>
        <w:t>minuti</w:t>
      </w:r>
      <w:proofErr w:type="spellEnd"/>
      <w:r w:rsidR="00E36CE0">
        <w:rPr>
          <w:rFonts w:asciiTheme="minorHAnsi" w:hAnsiTheme="minorHAnsi"/>
          <w:sz w:val="22"/>
          <w:szCs w:val="22"/>
        </w:rPr>
        <w:t xml:space="preserve"> prima </w:t>
      </w:r>
      <w:proofErr w:type="spellStart"/>
      <w:r w:rsidR="00E36CE0">
        <w:rPr>
          <w:rFonts w:asciiTheme="minorHAnsi" w:hAnsiTheme="minorHAnsi"/>
          <w:sz w:val="22"/>
          <w:szCs w:val="22"/>
        </w:rPr>
        <w:t>dei</w:t>
      </w:r>
      <w:proofErr w:type="spellEnd"/>
      <w:r w:rsidR="00E36CE0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36CE0">
        <w:rPr>
          <w:rFonts w:asciiTheme="minorHAnsi" w:hAnsiTheme="minorHAnsi"/>
          <w:sz w:val="22"/>
          <w:szCs w:val="22"/>
        </w:rPr>
        <w:t>pasti</w:t>
      </w:r>
      <w:proofErr w:type="spellEnd"/>
      <w:r w:rsidR="00F6357B" w:rsidRPr="002556B9">
        <w:rPr>
          <w:rFonts w:asciiTheme="minorHAnsi" w:hAnsiTheme="minorHAnsi"/>
          <w:sz w:val="22"/>
          <w:szCs w:val="22"/>
        </w:rPr>
        <w:t xml:space="preserve">. </w:t>
      </w:r>
    </w:p>
    <w:p w:rsidR="004241AC" w:rsidRPr="00ED1BE6" w:rsidRDefault="00E36CE0" w:rsidP="004E2E4C">
      <w:pPr>
        <w:tabs>
          <w:tab w:val="left" w:pos="0"/>
        </w:tabs>
        <w:spacing w:after="0" w:line="240" w:lineRule="auto"/>
        <w:jc w:val="both"/>
      </w:pPr>
      <w:r>
        <w:t xml:space="preserve">Il medicinale deve essere usato con cautela nei </w:t>
      </w:r>
      <w:r w:rsidR="0030600B" w:rsidRPr="00ED1BE6">
        <w:t xml:space="preserve">pazienti con problemi non gravi ai reni </w:t>
      </w:r>
      <w:r w:rsidR="002A26AF" w:rsidRPr="00ED1BE6">
        <w:t>e al fegato</w:t>
      </w:r>
      <w:r w:rsidR="0030600B" w:rsidRPr="00ED1BE6">
        <w:t>.</w:t>
      </w:r>
    </w:p>
    <w:p w:rsidR="006C7E98" w:rsidRPr="00ED1BE6" w:rsidRDefault="00F6357B" w:rsidP="004E2E4C">
      <w:pPr>
        <w:tabs>
          <w:tab w:val="left" w:pos="0"/>
        </w:tabs>
        <w:spacing w:after="0" w:line="240" w:lineRule="auto"/>
        <w:jc w:val="both"/>
      </w:pPr>
      <w:r w:rsidRPr="00ED1BE6">
        <w:lastRenderedPageBreak/>
        <w:t>I</w:t>
      </w:r>
      <w:r w:rsidR="00730C29" w:rsidRPr="00ED1BE6">
        <w:t xml:space="preserve"> pazienti </w:t>
      </w:r>
      <w:r w:rsidR="006C7E98" w:rsidRPr="00ED1BE6">
        <w:t xml:space="preserve">con </w:t>
      </w:r>
      <w:r w:rsidRPr="00ED1BE6">
        <w:t xml:space="preserve">problemi </w:t>
      </w:r>
      <w:r w:rsidR="002A26AF" w:rsidRPr="00ED1BE6">
        <w:t xml:space="preserve">gravi ai reni </w:t>
      </w:r>
      <w:r w:rsidR="00E36CE0">
        <w:t xml:space="preserve">e al fegato </w:t>
      </w:r>
      <w:r w:rsidRPr="00ED1BE6">
        <w:t>non devono usare questo medicinale</w:t>
      </w:r>
      <w:r w:rsidR="006C7E98" w:rsidRPr="00ED1BE6">
        <w:t>.</w:t>
      </w:r>
    </w:p>
    <w:p w:rsidR="00F6357B" w:rsidRPr="002A26AF" w:rsidRDefault="000E742B" w:rsidP="004E2E4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0E742B">
        <w:rPr>
          <w:rFonts w:eastAsia="Calibri" w:cs="Calibri"/>
          <w:color w:val="000000"/>
          <w:lang w:eastAsia="it-IT"/>
        </w:rPr>
        <w:t>Enalapril</w:t>
      </w:r>
      <w:proofErr w:type="spellEnd"/>
      <w:r w:rsidRPr="000E742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0E742B">
        <w:rPr>
          <w:rFonts w:eastAsia="Calibri" w:cs="Calibri"/>
          <w:color w:val="000000"/>
          <w:lang w:eastAsia="it-IT"/>
        </w:rPr>
        <w:t>lercanidipina</w:t>
      </w:r>
      <w:proofErr w:type="spellEnd"/>
      <w:r w:rsidRPr="000E742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0E742B">
        <w:rPr>
          <w:rFonts w:eastAsia="Calibri" w:cs="Calibri"/>
          <w:color w:val="000000"/>
          <w:lang w:eastAsia="it-IT"/>
        </w:rPr>
        <w:t>Sagaem</w:t>
      </w:r>
      <w:proofErr w:type="spellEnd"/>
      <w:r w:rsidRPr="00ED1BE6">
        <w:t xml:space="preserve"> </w:t>
      </w:r>
      <w:r w:rsidR="00F6357B" w:rsidRPr="00ED1BE6">
        <w:t xml:space="preserve">non deve essere impiegato nei bambini e negli adolescenti di età inferiore ai 18 anni </w:t>
      </w:r>
      <w:r w:rsidR="002A26AF" w:rsidRPr="00ED1BE6">
        <w:t>poiché</w:t>
      </w:r>
      <w:r w:rsidR="00F6357B" w:rsidRPr="00ED1BE6">
        <w:t xml:space="preserve"> non ci sono dati disponibili sull</w:t>
      </w:r>
      <w:r w:rsidR="00E36CE0">
        <w:t xml:space="preserve">a sicurezza e sull’efficacia del medicinale </w:t>
      </w:r>
      <w:r w:rsidR="0030600B" w:rsidRPr="00ED1BE6">
        <w:t>in questi pazienti.</w:t>
      </w:r>
    </w:p>
    <w:p w:rsidR="00F6357B" w:rsidRPr="002A26AF" w:rsidRDefault="0030600B" w:rsidP="004E2E4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 w:rsidRPr="002A26AF">
        <w:t>Le compresse devono essere deglutite intere</w:t>
      </w:r>
      <w:r w:rsidR="002A26AF" w:rsidRPr="002A26AF">
        <w:t xml:space="preserve"> (non masticate) possibilmente </w:t>
      </w:r>
      <w:r w:rsidR="00E36CE0">
        <w:t>al mattino 15 minuti prima della colazione</w:t>
      </w:r>
      <w:r w:rsidR="002A26AF" w:rsidRPr="002A26AF">
        <w:t>,</w:t>
      </w:r>
      <w:r w:rsidRPr="002A26AF">
        <w:t xml:space="preserve"> con un po’ di acqua</w:t>
      </w:r>
      <w:r w:rsidR="00E36CE0">
        <w:t>; questo medicinale non deve essere assunto insieme al succo di pompelmo.</w:t>
      </w:r>
    </w:p>
    <w:p w:rsidR="00F6357B" w:rsidRPr="002A26AF" w:rsidRDefault="00F6357B" w:rsidP="004E2E4C">
      <w:pPr>
        <w:tabs>
          <w:tab w:val="left" w:pos="0"/>
        </w:tabs>
        <w:spacing w:after="0" w:line="240" w:lineRule="auto"/>
        <w:jc w:val="both"/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36CE0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E36CE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E36CE0" w:rsidRPr="00E36CE0">
        <w:rPr>
          <w:rFonts w:eastAsia="Calibri" w:cs="Calibri"/>
          <w:b/>
          <w:color w:val="000000"/>
          <w:lang w:eastAsia="it-IT"/>
        </w:rPr>
        <w:t>Enalapril</w:t>
      </w:r>
      <w:proofErr w:type="spellEnd"/>
      <w:r w:rsidR="00E36CE0" w:rsidRPr="00E36CE0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36CE0" w:rsidRPr="00E36CE0">
        <w:rPr>
          <w:rFonts w:eastAsia="Calibri" w:cs="Calibri"/>
          <w:b/>
          <w:color w:val="000000"/>
          <w:lang w:eastAsia="it-IT"/>
        </w:rPr>
        <w:t>lercanidipina</w:t>
      </w:r>
      <w:proofErr w:type="spellEnd"/>
      <w:r w:rsidR="00E36CE0" w:rsidRPr="00E36CE0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E36CE0" w:rsidRPr="00E36CE0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E36C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E2E4C" w:rsidRPr="00E36CE0" w:rsidRDefault="00E36CE0" w:rsidP="004E2E4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hd w:val="clear" w:color="auto" w:fill="FFFFFF"/>
        </w:rPr>
      </w:pPr>
      <w:proofErr w:type="spellStart"/>
      <w:r w:rsidRPr="00E36CE0">
        <w:rPr>
          <w:rFonts w:eastAsia="Calibri" w:cs="Calibri"/>
          <w:color w:val="000000"/>
          <w:lang w:eastAsia="it-IT"/>
        </w:rPr>
        <w:t>Enalapril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36CE0">
        <w:rPr>
          <w:rFonts w:eastAsia="Calibri" w:cs="Calibri"/>
          <w:color w:val="000000"/>
          <w:lang w:eastAsia="it-IT"/>
        </w:rPr>
        <w:t>lercanidipina</w:t>
      </w:r>
      <w:proofErr w:type="spellEnd"/>
      <w:r w:rsidRPr="00E36C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36CE0">
        <w:rPr>
          <w:rFonts w:eastAsia="Calibri" w:cs="Calibri"/>
          <w:color w:val="000000"/>
          <w:lang w:eastAsia="it-IT"/>
        </w:rPr>
        <w:t>Sagaem</w:t>
      </w:r>
      <w:proofErr w:type="spellEnd"/>
      <w:r w:rsidR="00B27F42" w:rsidRPr="00E36CE0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Pr="00E36CE0">
        <w:rPr>
          <w:rFonts w:eastAsia="TimesNewRoman" w:cs="TimesNewRoman"/>
        </w:rPr>
        <w:t>C09BB02</w:t>
      </w:r>
      <w:r w:rsidR="00B27F42" w:rsidRPr="00E36CE0">
        <w:rPr>
          <w:lang w:eastAsia="it-IT"/>
        </w:rPr>
        <w:t>,</w:t>
      </w:r>
      <w:r w:rsidR="00E43089" w:rsidRPr="00E36CE0">
        <w:rPr>
          <w:rFonts w:eastAsia="DejaVuSans" w:cs="DejaVuSans"/>
        </w:rPr>
        <w:t xml:space="preserve"> </w:t>
      </w:r>
      <w:r w:rsidR="004241AC" w:rsidRPr="00E36CE0">
        <w:rPr>
          <w:rFonts w:eastAsia="Calibri" w:cs="Calibri"/>
          <w:color w:val="000000"/>
          <w:lang w:eastAsia="it-IT"/>
        </w:rPr>
        <w:t>contiene i principi attiv</w:t>
      </w:r>
      <w:r w:rsidR="004E2E4C" w:rsidRPr="00E36CE0">
        <w:rPr>
          <w:rFonts w:eastAsia="Calibri" w:cs="Calibri"/>
          <w:color w:val="000000"/>
          <w:lang w:eastAsia="it-IT"/>
        </w:rPr>
        <w:t>i</w:t>
      </w:r>
      <w:r w:rsidR="004241AC" w:rsidRPr="00E36CE0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enalapril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maleato</w:t>
      </w:r>
      <w:proofErr w:type="spellEnd"/>
      <w:r w:rsidR="000C664F" w:rsidRPr="00E36CE0">
        <w:rPr>
          <w:shd w:val="clear" w:color="auto" w:fill="FFFFFF"/>
        </w:rPr>
        <w:t xml:space="preserve"> </w:t>
      </w:r>
      <w:r w:rsidR="004E2E4C" w:rsidRPr="00E36CE0">
        <w:rPr>
          <w:shd w:val="clear" w:color="auto" w:fill="FFFFFF"/>
        </w:rPr>
        <w:t xml:space="preserve">e </w:t>
      </w:r>
      <w:proofErr w:type="spellStart"/>
      <w:r>
        <w:rPr>
          <w:rFonts w:eastAsia="Calibri" w:cs="Calibri"/>
          <w:color w:val="000000"/>
          <w:lang w:eastAsia="it-IT"/>
        </w:rPr>
        <w:t>lercanidipina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</w:t>
      </w:r>
      <w:r w:rsidR="004E2E4C" w:rsidRPr="00E36CE0">
        <w:rPr>
          <w:shd w:val="clear" w:color="auto" w:fill="FFFFFF"/>
        </w:rPr>
        <w:t>.</w:t>
      </w:r>
    </w:p>
    <w:p w:rsidR="00E36CE0" w:rsidRPr="00A8302B" w:rsidRDefault="00E36CE0" w:rsidP="00E36CE0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Enalapril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maleato</w:t>
      </w:r>
      <w:proofErr w:type="spellEnd"/>
      <w:r w:rsidR="004E2E4C" w:rsidRPr="00E36CE0">
        <w:rPr>
          <w:shd w:val="clear" w:color="auto" w:fill="FFFFFF"/>
        </w:rPr>
        <w:t xml:space="preserve"> </w:t>
      </w:r>
      <w:r w:rsidR="000C664F" w:rsidRPr="00E36CE0">
        <w:rPr>
          <w:shd w:val="clear" w:color="auto" w:fill="FFFFFF"/>
        </w:rPr>
        <w:t xml:space="preserve">è </w:t>
      </w:r>
      <w:r w:rsidRPr="00A8302B">
        <w:rPr>
          <w:rFonts w:eastAsia="DejaVuSans" w:cs="DejaVuSans"/>
        </w:rPr>
        <w:t>un inibitore di un enzima che determina la conversione d</w:t>
      </w:r>
      <w:r>
        <w:rPr>
          <w:rFonts w:eastAsia="DejaVuSans" w:cs="DejaVuSans"/>
        </w:rPr>
        <w:t>i</w:t>
      </w:r>
      <w:r w:rsidRPr="00A8302B">
        <w:rPr>
          <w:rFonts w:eastAsia="DejaVuSans" w:cs="DejaVuSans"/>
        </w:rPr>
        <w:t xml:space="preserve">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 </w:t>
      </w:r>
      <w:r>
        <w:rPr>
          <w:rFonts w:eastAsia="DejaVuSans" w:cs="DejaVuSans"/>
        </w:rPr>
        <w:t xml:space="preserve">in </w:t>
      </w:r>
      <w:proofErr w:type="spellStart"/>
      <w:r w:rsidRPr="00A8302B">
        <w:rPr>
          <w:rFonts w:eastAsia="DejaVuSans" w:cs="DejaVuSans"/>
        </w:rPr>
        <w:t>angiotensina</w:t>
      </w:r>
      <w:proofErr w:type="spellEnd"/>
      <w:r w:rsidRPr="00A8302B">
        <w:rPr>
          <w:rFonts w:eastAsia="DejaVuSans" w:cs="DejaVuSans"/>
        </w:rPr>
        <w:t xml:space="preserve"> II</w:t>
      </w:r>
      <w:r>
        <w:rPr>
          <w:rFonts w:eastAsia="DejaVuSans" w:cs="DejaVuSans"/>
        </w:rPr>
        <w:t xml:space="preserve">, </w:t>
      </w:r>
      <w:r w:rsidRPr="00A8302B">
        <w:rPr>
          <w:rFonts w:eastAsia="DejaVuSans" w:cs="DejaVuSans"/>
        </w:rPr>
        <w:t>sostanza ad attività vasocostrittrice</w:t>
      </w:r>
      <w:r>
        <w:rPr>
          <w:rFonts w:eastAsia="DejaVuSans" w:cs="DejaVuSans"/>
        </w:rPr>
        <w:t xml:space="preserve">: la ridotta formazione di </w:t>
      </w:r>
      <w:proofErr w:type="spellStart"/>
      <w:r>
        <w:rPr>
          <w:rFonts w:eastAsia="DejaVuSans" w:cs="DejaVuSans"/>
        </w:rPr>
        <w:t>angiotensina</w:t>
      </w:r>
      <w:proofErr w:type="spellEnd"/>
      <w:r>
        <w:rPr>
          <w:rFonts w:eastAsia="DejaVuSans" w:cs="DejaVuSans"/>
        </w:rPr>
        <w:t xml:space="preserve"> II comporta vasodilatazione e un abbassamento della pressione del sangue.</w:t>
      </w:r>
    </w:p>
    <w:p w:rsidR="007B6648" w:rsidRPr="00A8302B" w:rsidRDefault="007B6648" w:rsidP="007B6648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DejaVuSans" w:cs="DejaVuSans"/>
        </w:rPr>
        <w:t>Lercanidipina</w:t>
      </w:r>
      <w:proofErr w:type="spellEnd"/>
      <w:r>
        <w:rPr>
          <w:rFonts w:eastAsia="DejaVuSans" w:cs="DejaVuSans"/>
        </w:rPr>
        <w:t xml:space="preserve"> cloridrato è un </w:t>
      </w:r>
      <w:r w:rsidRPr="00A8302B">
        <w:rPr>
          <w:rFonts w:eastAsia="DejaVuSans" w:cs="DejaVuSans"/>
        </w:rPr>
        <w:t>bloccante dei canali del calcio nelle fibre muscolari lisce</w:t>
      </w:r>
      <w:r>
        <w:rPr>
          <w:rFonts w:eastAsia="DejaVuSans" w:cs="DejaVuSans"/>
        </w:rPr>
        <w:t xml:space="preserve"> e provoca il </w:t>
      </w:r>
      <w:r w:rsidRPr="00A8302B">
        <w:rPr>
          <w:rFonts w:eastAsia="DejaVuSans" w:cs="DejaVuSans"/>
        </w:rPr>
        <w:t xml:space="preserve">rilassamento della muscolatura liscia </w:t>
      </w:r>
      <w:r>
        <w:rPr>
          <w:rFonts w:eastAsia="DejaVuSans" w:cs="DejaVuSans"/>
        </w:rPr>
        <w:t>dei vasi sanguigni</w:t>
      </w:r>
      <w:r w:rsidRPr="00FC3FD3">
        <w:rPr>
          <w:rFonts w:ascii="Calibri" w:eastAsia="Calibri" w:hAnsi="Calibri" w:cs="Times New Roman"/>
        </w:rPr>
        <w:t xml:space="preserve"> </w:t>
      </w:r>
      <w:r w:rsidRPr="005C0508">
        <w:rPr>
          <w:rFonts w:ascii="Calibri" w:eastAsia="Calibri" w:hAnsi="Calibri" w:cs="Times New Roman"/>
        </w:rPr>
        <w:t>in modo che il sangue possa defluire più facilmente</w:t>
      </w:r>
      <w:r>
        <w:rPr>
          <w:rFonts w:eastAsia="DejaVuSans" w:cs="DejaVuSans"/>
        </w:rPr>
        <w:t xml:space="preserve">, con conseguente </w:t>
      </w:r>
      <w:r w:rsidRPr="00A8302B">
        <w:rPr>
          <w:rFonts w:eastAsia="DejaVuSans" w:cs="DejaVuSans"/>
        </w:rPr>
        <w:t>azione antipertensiva.</w:t>
      </w:r>
    </w:p>
    <w:p w:rsidR="004E2E4C" w:rsidRPr="007B6648" w:rsidRDefault="00E36CE0" w:rsidP="007B664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r w:rsidRPr="007B6648">
        <w:rPr>
          <w:rFonts w:eastAsia="TimesNewRoman" w:cs="TimesNewRoman"/>
        </w:rPr>
        <w:t>La combinazione di queste due sostanze ha un effetto antiipertensivo additivo che riduce maggiormente la pressione arteriosa rispetto all’uso dei singoli componenti.</w:t>
      </w:r>
    </w:p>
    <w:p w:rsidR="00BA7D67" w:rsidRDefault="00BA7D67" w:rsidP="004E2E4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E36CE0" w:rsidRPr="002A26AF" w:rsidRDefault="00E36CE0" w:rsidP="004E2E4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Enalapril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lercanidipina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2A26AF">
        <w:rPr>
          <w:rFonts w:eastAsia="Calibri" w:cs="Calibri"/>
          <w:b/>
          <w:bCs/>
          <w:lang w:eastAsia="it-IT"/>
        </w:rPr>
        <w:t xml:space="preserve">? </w:t>
      </w:r>
    </w:p>
    <w:p w:rsidR="004241AC" w:rsidRPr="002A26AF" w:rsidRDefault="004241AC" w:rsidP="004E2E4C">
      <w:pPr>
        <w:spacing w:after="0" w:line="240" w:lineRule="auto"/>
        <w:jc w:val="both"/>
        <w:rPr>
          <w:rFonts w:cs="Arial"/>
        </w:rPr>
      </w:pPr>
      <w:r w:rsidRPr="002A26AF">
        <w:rPr>
          <w:rFonts w:cs="Arial"/>
        </w:rPr>
        <w:t xml:space="preserve">Poiché </w:t>
      </w:r>
      <w:proofErr w:type="spellStart"/>
      <w:r w:rsidR="007B6648">
        <w:rPr>
          <w:rFonts w:cs="Arial"/>
        </w:rPr>
        <w:t>E</w:t>
      </w:r>
      <w:r w:rsidR="007B6648" w:rsidRPr="00E36CE0">
        <w:rPr>
          <w:rFonts w:eastAsia="Calibri" w:cs="Calibri"/>
          <w:color w:val="000000"/>
          <w:lang w:eastAsia="it-IT"/>
        </w:rPr>
        <w:t>nalapril</w:t>
      </w:r>
      <w:proofErr w:type="spellEnd"/>
      <w:r w:rsidR="007B6648" w:rsidRPr="00E36CE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B6648" w:rsidRPr="00E36CE0">
        <w:rPr>
          <w:rFonts w:eastAsia="Calibri" w:cs="Calibri"/>
          <w:color w:val="000000"/>
          <w:lang w:eastAsia="it-IT"/>
        </w:rPr>
        <w:t>lercanidipina</w:t>
      </w:r>
      <w:proofErr w:type="spellEnd"/>
      <w:r w:rsidR="007B6648" w:rsidRPr="00E36C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6648" w:rsidRPr="00E36CE0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2A26AF">
        <w:rPr>
          <w:rFonts w:cs="Arial"/>
        </w:rPr>
        <w:t xml:space="preserve"> </w:t>
      </w:r>
      <w:r w:rsidR="00013020" w:rsidRPr="002A26AF">
        <w:rPr>
          <w:rFonts w:cs="Arial"/>
        </w:rPr>
        <w:t>è un medicinale generico</w:t>
      </w:r>
      <w:r w:rsidRPr="002A26AF">
        <w:rPr>
          <w:rFonts w:cs="Arial"/>
        </w:rPr>
        <w:t>, è stato sufficiente effettuare prove cliniche per determinare</w:t>
      </w:r>
      <w:r w:rsidRPr="002A26AF">
        <w:rPr>
          <w:rFonts w:cs="Arial"/>
          <w:b/>
        </w:rPr>
        <w:t xml:space="preserve"> </w:t>
      </w:r>
      <w:r w:rsidRPr="002A26AF">
        <w:rPr>
          <w:rFonts w:cs="Arial"/>
        </w:rPr>
        <w:t xml:space="preserve">la bioequivalenza rispetto </w:t>
      </w:r>
      <w:r w:rsidR="00013020" w:rsidRPr="002A26AF">
        <w:rPr>
          <w:rFonts w:cs="Arial"/>
        </w:rPr>
        <w:t>al</w:t>
      </w:r>
      <w:r w:rsidRPr="002A26AF">
        <w:rPr>
          <w:rFonts w:cs="Arial"/>
        </w:rPr>
        <w:t xml:space="preserve"> medicinal</w:t>
      </w:r>
      <w:r w:rsidR="00013020" w:rsidRPr="002A26AF">
        <w:rPr>
          <w:rFonts w:cs="Arial"/>
        </w:rPr>
        <w:t xml:space="preserve">e </w:t>
      </w:r>
      <w:r w:rsidRPr="002A26AF">
        <w:rPr>
          <w:rFonts w:cs="Arial"/>
        </w:rPr>
        <w:t xml:space="preserve">di riferimento </w:t>
      </w:r>
      <w:proofErr w:type="spellStart"/>
      <w:r w:rsidR="007B6648">
        <w:rPr>
          <w:rFonts w:cs="Arial"/>
        </w:rPr>
        <w:t>Zanipril</w:t>
      </w:r>
      <w:proofErr w:type="spellEnd"/>
      <w:r w:rsidR="00013020" w:rsidRPr="002A26AF">
        <w:rPr>
          <w:rFonts w:cs="Arial"/>
        </w:rPr>
        <w:t xml:space="preserve">. Due medicinali sono </w:t>
      </w:r>
      <w:proofErr w:type="spellStart"/>
      <w:r w:rsidR="00013020" w:rsidRPr="002A26AF">
        <w:rPr>
          <w:rFonts w:cs="Arial"/>
        </w:rPr>
        <w:t>bioequivalenti</w:t>
      </w:r>
      <w:proofErr w:type="spellEnd"/>
      <w:r w:rsidR="00013020" w:rsidRPr="002A26AF">
        <w:rPr>
          <w:rFonts w:cs="Arial"/>
        </w:rPr>
        <w:t xml:space="preserve"> quando producono gli stessi livelli di principio attivo nell’organismo</w:t>
      </w:r>
      <w:r w:rsidRPr="002A26AF">
        <w:rPr>
          <w:rFonts w:cs="Arial"/>
        </w:rPr>
        <w:t xml:space="preserve">. </w:t>
      </w: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Enalapril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lercanidipina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2A26AF">
        <w:rPr>
          <w:rFonts w:eastAsia="Calibri" w:cs="Calibri"/>
          <w:b/>
          <w:lang w:eastAsia="it-IT"/>
        </w:rPr>
        <w:t>?</w:t>
      </w:r>
      <w:r w:rsidRPr="002A26AF">
        <w:rPr>
          <w:rFonts w:eastAsia="Calibri" w:cs="Calibri"/>
          <w:lang w:eastAsia="it-IT"/>
        </w:rPr>
        <w:t xml:space="preserve"> </w:t>
      </w:r>
    </w:p>
    <w:p w:rsidR="004241AC" w:rsidRPr="002A26AF" w:rsidRDefault="007B6648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7B6648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A26AF">
        <w:rPr>
          <w:rFonts w:eastAsia="Calibri" w:cs="Calibri"/>
          <w:lang w:eastAsia="it-IT"/>
        </w:rPr>
        <w:t xml:space="preserve">è un medicinale </w:t>
      </w:r>
      <w:r w:rsidR="00013020" w:rsidRPr="002A26AF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2A26AF">
        <w:rPr>
          <w:rFonts w:eastAsia="Calibri" w:cs="Calibri"/>
          <w:lang w:eastAsia="it-IT"/>
        </w:rPr>
        <w:t>bioequivale</w:t>
      </w:r>
      <w:r w:rsidR="009B03DB" w:rsidRPr="002A26AF">
        <w:rPr>
          <w:rFonts w:eastAsia="Calibri" w:cs="Calibri"/>
          <w:lang w:eastAsia="it-IT"/>
        </w:rPr>
        <w:t>n</w:t>
      </w:r>
      <w:r w:rsidR="00013020" w:rsidRPr="002A26AF">
        <w:rPr>
          <w:rFonts w:eastAsia="Calibri" w:cs="Calibri"/>
          <w:lang w:eastAsia="it-IT"/>
        </w:rPr>
        <w:t>te</w:t>
      </w:r>
      <w:proofErr w:type="spellEnd"/>
      <w:r w:rsidR="00013020" w:rsidRPr="002A26AF">
        <w:rPr>
          <w:rFonts w:eastAsia="Calibri" w:cs="Calibri"/>
          <w:lang w:eastAsia="it-IT"/>
        </w:rPr>
        <w:t xml:space="preserve"> al medicinale di riferimento</w:t>
      </w:r>
      <w:r w:rsidR="00BA7D67" w:rsidRPr="002A26AF">
        <w:rPr>
          <w:rFonts w:eastAsia="Calibri" w:cs="Calibri"/>
          <w:lang w:eastAsia="it-IT"/>
        </w:rPr>
        <w:t xml:space="preserve">; pertanto, </w:t>
      </w:r>
      <w:r w:rsidR="00013020" w:rsidRPr="002A26AF">
        <w:rPr>
          <w:rFonts w:eastAsia="Calibri" w:cs="Calibri"/>
          <w:lang w:eastAsia="it-IT"/>
        </w:rPr>
        <w:t>i suoi</w:t>
      </w:r>
      <w:r w:rsidR="004241AC" w:rsidRPr="002A26AF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2A26AF">
        <w:rPr>
          <w:rFonts w:eastAsia="Calibri" w:cs="Calibri"/>
          <w:lang w:eastAsia="it-IT"/>
        </w:rPr>
        <w:t>l</w:t>
      </w:r>
      <w:r w:rsidR="004241AC" w:rsidRPr="002A26AF">
        <w:rPr>
          <w:rFonts w:eastAsia="Calibri" w:cs="Calibri"/>
          <w:lang w:eastAsia="it-IT"/>
        </w:rPr>
        <w:t xml:space="preserve"> medicinal</w:t>
      </w:r>
      <w:r w:rsidR="00013020" w:rsidRPr="002A26AF">
        <w:rPr>
          <w:rFonts w:eastAsia="Calibri" w:cs="Calibri"/>
          <w:lang w:eastAsia="it-IT"/>
        </w:rPr>
        <w:t>e</w:t>
      </w:r>
      <w:r w:rsidR="004241AC" w:rsidRPr="002A26AF">
        <w:rPr>
          <w:rFonts w:eastAsia="Calibri" w:cs="Calibri"/>
          <w:lang w:eastAsia="it-IT"/>
        </w:rPr>
        <w:t xml:space="preserve"> di riferimento. </w:t>
      </w: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Enalapril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lercanidipina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="00B9671B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26AF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lang w:eastAsia="it-IT"/>
        </w:rPr>
        <w:t xml:space="preserve">La Commissione Tecnico Scientifica (CTS), nella seduta </w:t>
      </w:r>
      <w:r w:rsidRPr="005C090A">
        <w:rPr>
          <w:rFonts w:eastAsia="Calibri" w:cs="Calibri"/>
          <w:lang w:eastAsia="it-IT"/>
        </w:rPr>
        <w:t xml:space="preserve">del </w:t>
      </w:r>
      <w:r w:rsidR="007B6648">
        <w:rPr>
          <w:rFonts w:eastAsia="Calibri" w:cs="Calibri"/>
          <w:lang w:eastAsia="it-IT"/>
        </w:rPr>
        <w:t>10-12 maggio</w:t>
      </w:r>
      <w:r w:rsidR="004E2E4C">
        <w:rPr>
          <w:rFonts w:eastAsia="Calibri" w:cs="Calibri"/>
          <w:lang w:eastAsia="it-IT"/>
        </w:rPr>
        <w:t xml:space="preserve"> 2017</w:t>
      </w:r>
      <w:r w:rsidRPr="005C090A">
        <w:rPr>
          <w:rFonts w:eastAsia="Calibri" w:cs="Calibri"/>
          <w:lang w:eastAsia="it-IT"/>
        </w:rPr>
        <w:t>, ha</w:t>
      </w:r>
      <w:r w:rsidRPr="002A26AF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2A26AF">
        <w:rPr>
          <w:rFonts w:eastAsia="Calibri" w:cs="Calibri"/>
          <w:lang w:eastAsia="it-IT"/>
        </w:rPr>
        <w:t>del</w:t>
      </w:r>
      <w:r w:rsidRPr="002A26AF">
        <w:rPr>
          <w:rFonts w:eastAsia="Calibri" w:cs="Calibri"/>
          <w:lang w:eastAsia="it-IT"/>
        </w:rPr>
        <w:t xml:space="preserve"> medicinal</w:t>
      </w:r>
      <w:r w:rsidR="00D20170" w:rsidRPr="002A26AF">
        <w:rPr>
          <w:rFonts w:eastAsia="Calibri" w:cs="Calibri"/>
          <w:lang w:eastAsia="it-IT"/>
        </w:rPr>
        <w:t>e</w:t>
      </w:r>
      <w:r w:rsidRPr="002A26AF">
        <w:rPr>
          <w:rFonts w:eastAsia="Calibri" w:cs="Calibri"/>
          <w:lang w:eastAsia="it-IT"/>
        </w:rPr>
        <w:t xml:space="preserve"> di riferimento </w:t>
      </w:r>
      <w:proofErr w:type="spellStart"/>
      <w:r w:rsidR="007B6648">
        <w:rPr>
          <w:rFonts w:eastAsia="Calibri" w:cs="Calibri"/>
          <w:lang w:eastAsia="it-IT"/>
        </w:rPr>
        <w:t>Zanipril</w:t>
      </w:r>
      <w:proofErr w:type="spellEnd"/>
      <w:r w:rsidRPr="002A26AF">
        <w:rPr>
          <w:rFonts w:eastAsia="Calibri" w:cs="Calibri"/>
          <w:lang w:eastAsia="it-IT"/>
        </w:rPr>
        <w:t xml:space="preserve">, i benefici di </w:t>
      </w:r>
      <w:proofErr w:type="spellStart"/>
      <w:r w:rsidR="007B6648">
        <w:rPr>
          <w:rFonts w:eastAsia="Calibri" w:cs="Calibri"/>
          <w:lang w:eastAsia="it-IT"/>
        </w:rPr>
        <w:t>E</w:t>
      </w:r>
      <w:r w:rsidR="007B6648" w:rsidRPr="00E36CE0">
        <w:rPr>
          <w:rFonts w:eastAsia="Calibri" w:cs="Calibri"/>
          <w:color w:val="000000"/>
          <w:lang w:eastAsia="it-IT"/>
        </w:rPr>
        <w:t>nalapril</w:t>
      </w:r>
      <w:proofErr w:type="spellEnd"/>
      <w:r w:rsidR="007B6648" w:rsidRPr="00E36CE0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B6648" w:rsidRPr="00E36CE0">
        <w:rPr>
          <w:rFonts w:eastAsia="Calibri" w:cs="Calibri"/>
          <w:color w:val="000000"/>
          <w:lang w:eastAsia="it-IT"/>
        </w:rPr>
        <w:t>lercanidipina</w:t>
      </w:r>
      <w:proofErr w:type="spellEnd"/>
      <w:r w:rsidR="007B6648" w:rsidRPr="00E36C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6648" w:rsidRPr="00E36CE0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2A26AF">
        <w:rPr>
          <w:rFonts w:eastAsia="Calibri" w:cs="Calibri"/>
          <w:lang w:eastAsia="it-IT"/>
        </w:rPr>
        <w:t xml:space="preserve"> </w:t>
      </w:r>
      <w:r w:rsidR="001C1A8E" w:rsidRPr="002A26AF">
        <w:rPr>
          <w:rFonts w:eastAsia="Calibri" w:cs="Calibri"/>
          <w:lang w:eastAsia="it-IT"/>
        </w:rPr>
        <w:t>sono</w:t>
      </w:r>
      <w:r w:rsidRPr="002A26AF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2A26AF">
        <w:rPr>
          <w:rFonts w:eastAsia="Calibri" w:cs="Calibri"/>
          <w:lang w:eastAsia="it-IT"/>
        </w:rPr>
        <w:t>i prescriz</w:t>
      </w:r>
      <w:r w:rsidR="00BB4CC4">
        <w:rPr>
          <w:rFonts w:eastAsia="Calibri" w:cs="Calibri"/>
          <w:lang w:eastAsia="it-IT"/>
        </w:rPr>
        <w:t xml:space="preserve">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5E18C6">
        <w:rPr>
          <w:rFonts w:eastAsia="Calibri" w:cs="Calibri"/>
          <w:lang w:eastAsia="it-IT"/>
        </w:rPr>
        <w:t>medicinale</w:t>
      </w:r>
      <w:r w:rsidR="00D20170" w:rsidRPr="005E18C6">
        <w:rPr>
          <w:rFonts w:eastAsia="Calibri" w:cs="Calibri"/>
          <w:lang w:eastAsia="it-IT"/>
        </w:rPr>
        <w:t xml:space="preserve"> </w:t>
      </w:r>
      <w:r w:rsidRPr="00D362E0">
        <w:rPr>
          <w:rFonts w:eastAsia="Calibri" w:cs="Calibri"/>
          <w:lang w:eastAsia="it-IT"/>
        </w:rPr>
        <w:t>(</w:t>
      </w:r>
      <w:r w:rsidR="0011250C" w:rsidRPr="00D362E0">
        <w:rPr>
          <w:rFonts w:eastAsia="Calibri" w:cs="Calibri"/>
          <w:lang w:eastAsia="it-IT"/>
        </w:rPr>
        <w:t>A</w:t>
      </w:r>
      <w:r w:rsidRPr="00D362E0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Enalapril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lercanidipina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Enalapril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lercanidipina</w:t>
      </w:r>
      <w:proofErr w:type="spellEnd"/>
      <w:r w:rsidR="007B6648" w:rsidRPr="00E36CE0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7B6648" w:rsidRPr="00E36CE0">
        <w:rPr>
          <w:rFonts w:eastAsia="Calibri" w:cs="Calibri"/>
          <w:b/>
          <w:color w:val="000000"/>
          <w:lang w:eastAsia="it-IT"/>
        </w:rPr>
        <w:t>Sagaem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529CF">
        <w:rPr>
          <w:rFonts w:eastAsia="Calibri" w:cs="Calibri"/>
          <w:bCs/>
          <w:iCs/>
          <w:lang w:eastAsia="it-IT"/>
        </w:rPr>
        <w:t xml:space="preserve">Il </w:t>
      </w:r>
      <w:r w:rsidR="00D362E0">
        <w:rPr>
          <w:rFonts w:eastAsia="Calibri" w:cs="Calibri"/>
          <w:bCs/>
          <w:iCs/>
          <w:lang w:eastAsia="it-IT"/>
        </w:rPr>
        <w:t xml:space="preserve">07/02/2018 </w:t>
      </w:r>
      <w:r w:rsidRPr="008529CF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Pr="007B6648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7B6648" w:rsidRPr="007B6648">
        <w:rPr>
          <w:rFonts w:eastAsia="Calibri" w:cs="Calibri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9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lastRenderedPageBreak/>
        <w:t xml:space="preserve">Questo riassunto è stato redatto in data </w:t>
      </w:r>
      <w:r w:rsidR="007B6648">
        <w:rPr>
          <w:rFonts w:eastAsia="Calibri" w:cs="Calibri"/>
          <w:lang w:eastAsia="it-IT"/>
        </w:rPr>
        <w:t>29.05</w:t>
      </w:r>
      <w:r w:rsidR="00B939C2">
        <w:rPr>
          <w:rFonts w:eastAsia="Calibri" w:cs="Calibri"/>
          <w:lang w:eastAsia="it-IT"/>
        </w:rPr>
        <w:t>.2017</w:t>
      </w: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2A0D4E" w:rsidRDefault="002A0D4E" w:rsidP="00AB54C2"/>
    <w:p w:rsidR="002A0D4E" w:rsidRDefault="002A0D4E" w:rsidP="00AB54C2"/>
    <w:p w:rsidR="00AB54C2" w:rsidRDefault="00AB54C2" w:rsidP="00AB54C2"/>
    <w:p w:rsidR="00AB54C2" w:rsidRDefault="00AB54C2" w:rsidP="00AB54C2"/>
    <w:p w:rsidR="007B6648" w:rsidRDefault="007B6648" w:rsidP="00AB54C2"/>
    <w:p w:rsidR="00AB54C2" w:rsidRDefault="00AB54C2" w:rsidP="00AB54C2"/>
    <w:p w:rsidR="00AB54C2" w:rsidRPr="008206E7" w:rsidRDefault="000C664F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>I</w:t>
      </w:r>
      <w:r w:rsidR="00AB54C2" w:rsidRPr="008206E7">
        <w:rPr>
          <w:b/>
        </w:rPr>
        <w:t>NTRODUZIONE</w:t>
      </w:r>
    </w:p>
    <w:p w:rsidR="00AB54C2" w:rsidRPr="00CF5597" w:rsidRDefault="00AB54C2" w:rsidP="00CF5597">
      <w:pPr>
        <w:autoSpaceDE w:val="0"/>
        <w:autoSpaceDN w:val="0"/>
        <w:adjustRightInd w:val="0"/>
        <w:spacing w:after="0" w:line="240" w:lineRule="auto"/>
        <w:jc w:val="both"/>
      </w:pPr>
      <w:r w:rsidRPr="00CF5597">
        <w:t xml:space="preserve">Sulla base dei dati di qualità, sicurezza ed efficacia, l’AIFA ha rilasciato a </w:t>
      </w:r>
      <w:proofErr w:type="spellStart"/>
      <w:r w:rsidR="002A0D4E">
        <w:t>Sagaem</w:t>
      </w:r>
      <w:proofErr w:type="spellEnd"/>
      <w:r w:rsidR="002A0D4E">
        <w:t xml:space="preserve"> </w:t>
      </w:r>
      <w:proofErr w:type="spellStart"/>
      <w:r w:rsidR="002A0D4E">
        <w:t>For</w:t>
      </w:r>
      <w:proofErr w:type="spellEnd"/>
      <w:r w:rsidR="002A0D4E">
        <w:t xml:space="preserve"> Life</w:t>
      </w:r>
      <w:r w:rsidRPr="00CF5597">
        <w:t xml:space="preserve"> l’autorizzazione all’immissione in commercio (AIC) per il medicinale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7B6648">
        <w:t xml:space="preserve"> </w:t>
      </w:r>
      <w:r w:rsidRPr="008529CF">
        <w:rPr>
          <w:rFonts w:eastAsia="Calibri" w:cs="Calibri"/>
          <w:bCs/>
          <w:iCs/>
          <w:lang w:eastAsia="it-IT"/>
        </w:rPr>
        <w:t xml:space="preserve">il </w:t>
      </w:r>
      <w:r w:rsidR="00D362E0">
        <w:rPr>
          <w:rFonts w:eastAsia="Calibri" w:cs="Calibri"/>
          <w:bCs/>
          <w:iCs/>
          <w:lang w:eastAsia="it-IT"/>
        </w:rPr>
        <w:t>07/02/2018.</w:t>
      </w:r>
      <w:r w:rsidRPr="00CF5597">
        <w:t xml:space="preserve"> 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7B6648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Questa procedura è stata presentata ai sensi dell’art. 10(1) della Direttiva 2001/83/EU </w:t>
      </w:r>
      <w:proofErr w:type="spellStart"/>
      <w:r w:rsidRPr="00CF5597">
        <w:t>s.m.i.</w:t>
      </w:r>
      <w:proofErr w:type="spellEnd"/>
    </w:p>
    <w:p w:rsidR="00AB54C2" w:rsidRPr="00CF5597" w:rsidRDefault="00AB54C2" w:rsidP="00CF559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CF5597" w:rsidRDefault="007B6648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 xml:space="preserve">è un medicinale </w:t>
      </w:r>
      <w:r w:rsidR="00B27F42" w:rsidRPr="00CF5597">
        <w:rPr>
          <w:rFonts w:eastAsia="Calibri" w:cs="Calibri"/>
          <w:color w:val="000000"/>
          <w:lang w:eastAsia="it-IT"/>
        </w:rPr>
        <w:t xml:space="preserve">generico </w:t>
      </w:r>
      <w:r w:rsidR="004E2E4C">
        <w:rPr>
          <w:rFonts w:eastAsia="Calibri" w:cs="Calibri"/>
          <w:color w:val="000000"/>
          <w:lang w:eastAsia="it-IT"/>
        </w:rPr>
        <w:t>contenente i</w:t>
      </w:r>
      <w:r w:rsidR="00AB54C2" w:rsidRPr="00CF5597">
        <w:rPr>
          <w:rFonts w:eastAsia="Calibri" w:cs="Calibri"/>
          <w:color w:val="000000"/>
          <w:lang w:eastAsia="it-IT"/>
        </w:rPr>
        <w:t xml:space="preserve"> principi attiv</w:t>
      </w:r>
      <w:r w:rsidR="004E2E4C">
        <w:rPr>
          <w:rFonts w:eastAsia="Calibri" w:cs="Calibri"/>
          <w:color w:val="000000"/>
          <w:lang w:eastAsia="it-IT"/>
        </w:rPr>
        <w:t>i</w:t>
      </w:r>
      <w:r w:rsidR="00AB54C2" w:rsidRPr="00CF559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12EF9">
        <w:rPr>
          <w:rFonts w:eastAsia="Calibri" w:cs="Calibri"/>
          <w:color w:val="000000"/>
          <w:lang w:eastAsia="it-IT"/>
        </w:rPr>
        <w:t>e</w:t>
      </w:r>
      <w:r w:rsidR="00F12EF9" w:rsidRPr="000E742B">
        <w:rPr>
          <w:rFonts w:eastAsia="Calibri" w:cs="Calibri"/>
          <w:color w:val="000000"/>
          <w:lang w:eastAsia="it-IT"/>
        </w:rPr>
        <w:t>nalapril</w:t>
      </w:r>
      <w:proofErr w:type="spellEnd"/>
      <w:r w:rsidR="00F12EF9" w:rsidRPr="000E742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F12EF9" w:rsidRPr="000E742B">
        <w:rPr>
          <w:rFonts w:eastAsia="Calibri" w:cs="Calibri"/>
          <w:color w:val="000000"/>
          <w:lang w:eastAsia="it-IT"/>
        </w:rPr>
        <w:t>lercanidipina</w:t>
      </w:r>
      <w:proofErr w:type="spellEnd"/>
      <w:r w:rsidR="00F12EF9" w:rsidRPr="000E742B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>present</w:t>
      </w:r>
      <w:r w:rsidR="004E2E4C">
        <w:rPr>
          <w:rFonts w:eastAsia="Calibri" w:cs="Calibri"/>
          <w:color w:val="000000"/>
          <w:lang w:eastAsia="it-IT"/>
        </w:rPr>
        <w:t>i</w:t>
      </w:r>
      <w:r w:rsidR="00AB54C2" w:rsidRPr="00CF5597">
        <w:rPr>
          <w:rFonts w:eastAsia="Calibri" w:cs="Calibri"/>
          <w:color w:val="000000"/>
          <w:lang w:eastAsia="it-IT"/>
        </w:rPr>
        <w:t xml:space="preserve"> nel medicinale di riferimento </w:t>
      </w:r>
      <w:proofErr w:type="spellStart"/>
      <w:r>
        <w:rPr>
          <w:rFonts w:eastAsia="Calibri" w:cs="Calibri"/>
          <w:color w:val="000000"/>
          <w:lang w:eastAsia="it-IT"/>
        </w:rPr>
        <w:t>Zanipril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7B6648" w:rsidRPr="007B6648" w:rsidRDefault="007B6648" w:rsidP="007B6648">
      <w:pPr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AB54C2" w:rsidRPr="007B6648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7B6648">
        <w:rPr>
          <w:color w:val="000000"/>
        </w:rPr>
        <w:t>il cui c</w:t>
      </w:r>
      <w:r w:rsidR="00AB54C2" w:rsidRPr="007B6648">
        <w:rPr>
          <w:iCs/>
        </w:rPr>
        <w:t xml:space="preserve">odice ATC è </w:t>
      </w:r>
      <w:r w:rsidRPr="007B6648">
        <w:rPr>
          <w:rFonts w:eastAsia="TimesNewRoman" w:cs="TimesNewRoman"/>
        </w:rPr>
        <w:t>C09BB02</w:t>
      </w:r>
      <w:r w:rsidR="00AB54C2" w:rsidRPr="007B6648">
        <w:rPr>
          <w:rFonts w:eastAsia="DejaVuSans" w:cs="DejaVuSans"/>
        </w:rPr>
        <w:t>,</w:t>
      </w:r>
      <w:r w:rsidR="00AB54C2" w:rsidRPr="007B6648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7B6648">
        <w:rPr>
          <w:rFonts w:eastAsia="Calibri" w:cs="Calibri"/>
          <w:color w:val="000000"/>
          <w:lang w:eastAsia="it-IT"/>
        </w:rPr>
        <w:t>contiene i</w:t>
      </w:r>
      <w:r w:rsidRPr="007B6648">
        <w:rPr>
          <w:rFonts w:eastAsia="Calibri" w:cs="Calibri"/>
          <w:color w:val="000000"/>
          <w:lang w:eastAsia="it-IT"/>
        </w:rPr>
        <w:t xml:space="preserve"> principi attivi</w:t>
      </w:r>
      <w:r w:rsidR="00AB54C2"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B6648">
        <w:rPr>
          <w:rFonts w:eastAsia="Calibri" w:cs="Calibri"/>
          <w:color w:val="000000"/>
          <w:lang w:eastAsia="it-IT"/>
        </w:rPr>
        <w:t>maleato</w:t>
      </w:r>
      <w:proofErr w:type="spellEnd"/>
      <w:r w:rsidR="00AB54C2" w:rsidRPr="007B6648">
        <w:rPr>
          <w:rFonts w:eastAsia="Calibri" w:cs="Calibri"/>
          <w:bCs/>
          <w:color w:val="000000"/>
          <w:lang w:eastAsia="it-IT"/>
        </w:rPr>
        <w:t xml:space="preserve"> </w:t>
      </w:r>
      <w:r w:rsidRPr="007B6648">
        <w:rPr>
          <w:rFonts w:eastAsia="Calibri" w:cs="Calibri"/>
          <w:bCs/>
          <w:color w:val="000000"/>
          <w:lang w:eastAsia="it-IT"/>
        </w:rPr>
        <w:t xml:space="preserve">e </w:t>
      </w:r>
      <w:proofErr w:type="spellStart"/>
      <w:r w:rsidRPr="007B6648">
        <w:rPr>
          <w:rFonts w:eastAsia="Calibri" w:cs="Calibri"/>
          <w:bCs/>
          <w:color w:val="000000"/>
          <w:lang w:eastAsia="it-IT"/>
        </w:rPr>
        <w:t>lercanidipina</w:t>
      </w:r>
      <w:proofErr w:type="spellEnd"/>
      <w:r w:rsidRPr="007B6648">
        <w:rPr>
          <w:rFonts w:eastAsia="Calibri" w:cs="Calibri"/>
          <w:bCs/>
          <w:color w:val="000000"/>
          <w:lang w:eastAsia="it-IT"/>
        </w:rPr>
        <w:t xml:space="preserve"> cloridrato.</w:t>
      </w:r>
    </w:p>
    <w:p w:rsidR="007B6648" w:rsidRPr="007B6648" w:rsidRDefault="007B6648" w:rsidP="007B6648">
      <w:pPr>
        <w:spacing w:after="0" w:line="240" w:lineRule="auto"/>
        <w:jc w:val="both"/>
        <w:rPr>
          <w:rFonts w:eastAsia="Times New Roman"/>
          <w:szCs w:val="20"/>
        </w:rPr>
      </w:pPr>
      <w:proofErr w:type="spellStart"/>
      <w:r w:rsidRPr="007B6648">
        <w:rPr>
          <w:rFonts w:eastAsia="Calibri" w:cs="Calibri"/>
          <w:bCs/>
          <w:color w:val="000000"/>
          <w:lang w:eastAsia="it-IT"/>
        </w:rPr>
        <w:t>Enalapril</w:t>
      </w:r>
      <w:proofErr w:type="spellEnd"/>
      <w:r w:rsidRPr="007B6648">
        <w:rPr>
          <w:rFonts w:eastAsia="Calibri" w:cs="Calibri"/>
          <w:bCs/>
          <w:color w:val="000000"/>
          <w:lang w:eastAsia="it-IT"/>
        </w:rPr>
        <w:t xml:space="preserve"> </w:t>
      </w:r>
      <w:r w:rsidRPr="007B6648">
        <w:rPr>
          <w:rFonts w:eastAsia="Times New Roman"/>
          <w:szCs w:val="20"/>
        </w:rPr>
        <w:t xml:space="preserve">agisce inibendo l'enzima </w:t>
      </w:r>
      <w:proofErr w:type="spellStart"/>
      <w:r w:rsidRPr="007B6648">
        <w:rPr>
          <w:rFonts w:eastAsia="Times New Roman"/>
          <w:szCs w:val="20"/>
        </w:rPr>
        <w:t>dipeptidilcarbossipeptidasi</w:t>
      </w:r>
      <w:proofErr w:type="spellEnd"/>
      <w:r w:rsidRPr="007B6648">
        <w:rPr>
          <w:rFonts w:eastAsia="Times New Roman"/>
          <w:szCs w:val="20"/>
        </w:rPr>
        <w:t xml:space="preserve"> I (sinonimi: enzima di conversione della </w:t>
      </w:r>
      <w:proofErr w:type="spellStart"/>
      <w:r w:rsidRPr="007B6648">
        <w:rPr>
          <w:rFonts w:eastAsia="Times New Roman"/>
          <w:szCs w:val="20"/>
        </w:rPr>
        <w:t>angiotensina</w:t>
      </w:r>
      <w:proofErr w:type="spellEnd"/>
      <w:r w:rsidRPr="007B6648">
        <w:rPr>
          <w:rFonts w:eastAsia="Times New Roman"/>
          <w:szCs w:val="20"/>
        </w:rPr>
        <w:t xml:space="preserve">; </w:t>
      </w:r>
      <w:proofErr w:type="spellStart"/>
      <w:r w:rsidRPr="007B6648">
        <w:rPr>
          <w:rFonts w:eastAsia="Times New Roman"/>
          <w:szCs w:val="20"/>
        </w:rPr>
        <w:t>chininasi</w:t>
      </w:r>
      <w:proofErr w:type="spellEnd"/>
      <w:r w:rsidRPr="007B6648">
        <w:rPr>
          <w:rFonts w:eastAsia="Times New Roman"/>
          <w:szCs w:val="20"/>
        </w:rPr>
        <w:t xml:space="preserve"> II). Questo enzima, a livello plasmatico e tissutale, determina la conversione della </w:t>
      </w:r>
      <w:proofErr w:type="spellStart"/>
      <w:r w:rsidRPr="007B6648">
        <w:rPr>
          <w:rFonts w:eastAsia="Times New Roman"/>
          <w:szCs w:val="20"/>
        </w:rPr>
        <w:t>angiotensina</w:t>
      </w:r>
      <w:proofErr w:type="spellEnd"/>
      <w:r w:rsidRPr="007B6648">
        <w:rPr>
          <w:rFonts w:eastAsia="Times New Roman"/>
          <w:szCs w:val="20"/>
        </w:rPr>
        <w:t xml:space="preserve"> I nella sostanza ad attività vasocostrittrice </w:t>
      </w:r>
      <w:proofErr w:type="spellStart"/>
      <w:r w:rsidRPr="007B6648">
        <w:rPr>
          <w:rFonts w:eastAsia="Times New Roman"/>
          <w:szCs w:val="20"/>
        </w:rPr>
        <w:t>angiotensina</w:t>
      </w:r>
      <w:proofErr w:type="spellEnd"/>
      <w:r w:rsidRPr="007B6648">
        <w:rPr>
          <w:rFonts w:eastAsia="Times New Roman"/>
          <w:szCs w:val="20"/>
        </w:rPr>
        <w:t xml:space="preserve"> II, e la degradazione del </w:t>
      </w:r>
      <w:proofErr w:type="spellStart"/>
      <w:r w:rsidRPr="007B6648">
        <w:rPr>
          <w:rFonts w:eastAsia="Times New Roman"/>
          <w:szCs w:val="20"/>
        </w:rPr>
        <w:t>vasodilatore</w:t>
      </w:r>
      <w:proofErr w:type="spellEnd"/>
      <w:r w:rsidRPr="007B6648">
        <w:rPr>
          <w:rFonts w:eastAsia="Times New Roman"/>
          <w:szCs w:val="20"/>
        </w:rPr>
        <w:t xml:space="preserve"> bradichinina. La ridotta formazione di </w:t>
      </w:r>
      <w:proofErr w:type="spellStart"/>
      <w:r w:rsidRPr="007B6648">
        <w:rPr>
          <w:rFonts w:eastAsia="Times New Roman"/>
          <w:szCs w:val="20"/>
        </w:rPr>
        <w:t>angiotensina</w:t>
      </w:r>
      <w:proofErr w:type="spellEnd"/>
      <w:r w:rsidRPr="007B6648">
        <w:rPr>
          <w:rFonts w:eastAsia="Times New Roman"/>
          <w:szCs w:val="20"/>
        </w:rPr>
        <w:t xml:space="preserve"> II e l'inibizione della degradazione della bradichinina portano a vasodilatazione. Poiché l'</w:t>
      </w:r>
      <w:proofErr w:type="spellStart"/>
      <w:r w:rsidRPr="007B6648">
        <w:rPr>
          <w:rFonts w:eastAsia="Times New Roman"/>
          <w:szCs w:val="20"/>
        </w:rPr>
        <w:t>angiotensina</w:t>
      </w:r>
      <w:proofErr w:type="spellEnd"/>
      <w:r w:rsidRPr="007B6648">
        <w:rPr>
          <w:rFonts w:eastAsia="Times New Roman"/>
          <w:szCs w:val="20"/>
        </w:rPr>
        <w:t xml:space="preserve"> II stimola anche il rilascio di </w:t>
      </w:r>
      <w:proofErr w:type="spellStart"/>
      <w:r w:rsidRPr="007B6648">
        <w:rPr>
          <w:rFonts w:eastAsia="Times New Roman"/>
          <w:szCs w:val="20"/>
        </w:rPr>
        <w:t>aldosterone</w:t>
      </w:r>
      <w:proofErr w:type="spellEnd"/>
      <w:r w:rsidRPr="007B6648">
        <w:rPr>
          <w:rFonts w:eastAsia="Times New Roman"/>
          <w:szCs w:val="20"/>
        </w:rPr>
        <w:t xml:space="preserve">, </w:t>
      </w:r>
      <w:proofErr w:type="spellStart"/>
      <w:r w:rsidRPr="007B6648">
        <w:rPr>
          <w:rFonts w:eastAsia="Times New Roman"/>
          <w:szCs w:val="20"/>
        </w:rPr>
        <w:t>enalapril</w:t>
      </w:r>
      <w:proofErr w:type="spellEnd"/>
      <w:r w:rsidRPr="007B6648">
        <w:rPr>
          <w:rFonts w:eastAsia="Times New Roman"/>
          <w:szCs w:val="20"/>
        </w:rPr>
        <w:t xml:space="preserve"> causa una riduzione nella secrezione dell'</w:t>
      </w:r>
      <w:proofErr w:type="spellStart"/>
      <w:r w:rsidRPr="007B6648">
        <w:rPr>
          <w:rFonts w:eastAsia="Times New Roman"/>
          <w:szCs w:val="20"/>
        </w:rPr>
        <w:t>aldosterone</w:t>
      </w:r>
      <w:proofErr w:type="spellEnd"/>
      <w:r w:rsidRPr="007B6648">
        <w:rPr>
          <w:rFonts w:eastAsia="Times New Roman"/>
          <w:szCs w:val="20"/>
        </w:rPr>
        <w:t>.</w:t>
      </w:r>
    </w:p>
    <w:p w:rsidR="007B6648" w:rsidRPr="007B6648" w:rsidRDefault="007B6648" w:rsidP="007B664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spellStart"/>
      <w:r w:rsidRPr="007B6648">
        <w:rPr>
          <w:rFonts w:cs="Calibri"/>
          <w:iCs/>
          <w:szCs w:val="24"/>
        </w:rPr>
        <w:t>Lercanidipina</w:t>
      </w:r>
      <w:proofErr w:type="spellEnd"/>
      <w:r w:rsidR="004E2E4C" w:rsidRPr="007B6648">
        <w:rPr>
          <w:rFonts w:cs="Calibri"/>
          <w:iCs/>
          <w:szCs w:val="24"/>
        </w:rPr>
        <w:t xml:space="preserve"> </w:t>
      </w:r>
      <w:r w:rsidRPr="007B6648">
        <w:rPr>
          <w:rFonts w:eastAsia="TimesNewRoman" w:cs="TimesNewRoman"/>
        </w:rPr>
        <w:t xml:space="preserve">è un calcio-antagonista del gruppo delle </w:t>
      </w:r>
      <w:proofErr w:type="spellStart"/>
      <w:r w:rsidRPr="007B6648">
        <w:rPr>
          <w:rFonts w:eastAsia="TimesNewRoman" w:cs="TimesNewRoman"/>
        </w:rPr>
        <w:t>diidropiridine</w:t>
      </w:r>
      <w:proofErr w:type="spellEnd"/>
      <w:r w:rsidRPr="007B6648">
        <w:rPr>
          <w:rFonts w:eastAsia="TimesNewRoman" w:cs="TimesNewRoman"/>
        </w:rPr>
        <w:t xml:space="preserve"> ed inibisce il flusso del calcio</w:t>
      </w:r>
      <w:r>
        <w:rPr>
          <w:rFonts w:eastAsia="TimesNewRoman" w:cs="TimesNewRoman"/>
        </w:rPr>
        <w:t xml:space="preserve"> </w:t>
      </w:r>
      <w:r w:rsidRPr="007B6648">
        <w:rPr>
          <w:rFonts w:eastAsia="TimesNewRoman" w:cs="TimesNewRoman"/>
        </w:rPr>
        <w:t>attraverso la membrana cellulare della muscolatura liscia e cardiaca. Il meccanismo della sua azione</w:t>
      </w:r>
      <w:r>
        <w:rPr>
          <w:rFonts w:eastAsia="TimesNewRoman" w:cs="TimesNewRoman"/>
        </w:rPr>
        <w:t xml:space="preserve"> </w:t>
      </w:r>
      <w:r w:rsidRPr="007B6648">
        <w:rPr>
          <w:rFonts w:eastAsia="TimesNewRoman" w:cs="TimesNewRoman"/>
        </w:rPr>
        <w:t xml:space="preserve">antiipertensiva è dovuto ad un effetto rilassante diretto sulla muscolatura liscia vascolare, con conseguente riduzione delle resistenze periferiche totali. Nonostante la sua breve emivita plasmatica, la </w:t>
      </w:r>
      <w:proofErr w:type="spellStart"/>
      <w:r w:rsidRPr="007B6648">
        <w:rPr>
          <w:rFonts w:eastAsia="TimesNewRoman" w:cs="TimesNewRoman"/>
        </w:rPr>
        <w:t>lercanidipina</w:t>
      </w:r>
      <w:proofErr w:type="spellEnd"/>
      <w:r w:rsidRPr="007B6648">
        <w:rPr>
          <w:rFonts w:eastAsia="TimesNewRoman" w:cs="TimesNewRoman"/>
        </w:rPr>
        <w:t>, grazie al suo elevato coefficiente di ripartizione nella membrana, è dotata di un’</w:t>
      </w:r>
      <w:r w:rsidR="00C808CA" w:rsidRPr="007B6648">
        <w:rPr>
          <w:rFonts w:eastAsia="TimesNewRoman" w:cs="TimesNewRoman"/>
        </w:rPr>
        <w:t>attività</w:t>
      </w:r>
      <w:r w:rsidRPr="007B6648">
        <w:rPr>
          <w:rFonts w:eastAsia="TimesNewRoman" w:cs="TimesNewRoman"/>
        </w:rPr>
        <w:t xml:space="preserve"> antiipertensiva prolungata e non provoca effetti </w:t>
      </w:r>
      <w:proofErr w:type="spellStart"/>
      <w:r w:rsidRPr="007B6648">
        <w:rPr>
          <w:rFonts w:eastAsia="TimesNewRoman" w:cs="TimesNewRoman"/>
        </w:rPr>
        <w:t>inotropi</w:t>
      </w:r>
      <w:proofErr w:type="spellEnd"/>
      <w:r w:rsidRPr="007B6648">
        <w:rPr>
          <w:rFonts w:eastAsia="TimesNewRoman" w:cs="TimesNewRoman"/>
        </w:rPr>
        <w:t xml:space="preserve"> negativi a fronte della sua elevata selettività vascolare.</w:t>
      </w:r>
    </w:p>
    <w:p w:rsidR="004E2E4C" w:rsidRPr="007B6648" w:rsidRDefault="007B6648" w:rsidP="007B664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iCs/>
          <w:szCs w:val="24"/>
        </w:rPr>
      </w:pPr>
      <w:proofErr w:type="spellStart"/>
      <w:r w:rsidRPr="007B6648">
        <w:rPr>
          <w:rFonts w:cs="Calibri"/>
          <w:iCs/>
          <w:szCs w:val="24"/>
        </w:rPr>
        <w:t>Enalapril</w:t>
      </w:r>
      <w:proofErr w:type="spellEnd"/>
      <w:r w:rsidRPr="007B6648">
        <w:rPr>
          <w:rFonts w:cs="Calibri"/>
          <w:iCs/>
          <w:szCs w:val="24"/>
        </w:rPr>
        <w:t xml:space="preserve"> e </w:t>
      </w:r>
      <w:proofErr w:type="spellStart"/>
      <w:r w:rsidRPr="007B6648">
        <w:rPr>
          <w:rFonts w:cs="Calibri"/>
          <w:iCs/>
          <w:szCs w:val="24"/>
        </w:rPr>
        <w:t>lercanidipina</w:t>
      </w:r>
      <w:proofErr w:type="spellEnd"/>
      <w:r w:rsidR="004E2E4C" w:rsidRPr="007B6648">
        <w:rPr>
          <w:rFonts w:cs="Calibri"/>
          <w:iCs/>
          <w:szCs w:val="24"/>
        </w:rPr>
        <w:t xml:space="preserve"> hanno effetti antiipertensivi additivi.</w:t>
      </w:r>
    </w:p>
    <w:p w:rsidR="0009520C" w:rsidRPr="007B6648" w:rsidRDefault="0009520C" w:rsidP="007B664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</w:p>
    <w:p w:rsidR="007B6648" w:rsidRPr="007B6648" w:rsidRDefault="007B6648" w:rsidP="007B6648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spellStart"/>
      <w:r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7B6648">
        <w:rPr>
          <w:rFonts w:eastAsia="Calibri" w:cs="Calibri"/>
          <w:color w:val="000000"/>
          <w:szCs w:val="24"/>
          <w:lang w:eastAsia="it-IT"/>
        </w:rPr>
        <w:t xml:space="preserve"> </w:t>
      </w:r>
      <w:r w:rsidR="00AB54C2" w:rsidRPr="007B6648">
        <w:rPr>
          <w:rFonts w:cs="Helvetica"/>
          <w:szCs w:val="24"/>
        </w:rPr>
        <w:t>è utilizzato</w:t>
      </w:r>
      <w:r w:rsidR="00BA08FD" w:rsidRPr="007B6648">
        <w:rPr>
          <w:rFonts w:eastAsia="Calibri" w:cs="Calibri"/>
          <w:color w:val="000000"/>
          <w:szCs w:val="24"/>
          <w:lang w:eastAsia="it-IT"/>
        </w:rPr>
        <w:t xml:space="preserve"> </w:t>
      </w:r>
      <w:r w:rsidR="004E2E4C" w:rsidRPr="007B6648">
        <w:rPr>
          <w:rFonts w:eastAsia="Calibri" w:cs="Calibri"/>
          <w:color w:val="000000"/>
          <w:szCs w:val="24"/>
          <w:lang w:eastAsia="it-IT"/>
        </w:rPr>
        <w:t xml:space="preserve">negli adulti </w:t>
      </w:r>
      <w:r w:rsidRPr="007B6648">
        <w:rPr>
          <w:rFonts w:eastAsia="Calibri" w:cs="Calibri"/>
          <w:color w:val="000000"/>
          <w:szCs w:val="24"/>
          <w:lang w:eastAsia="it-IT"/>
        </w:rPr>
        <w:t>per il t</w:t>
      </w:r>
      <w:r w:rsidRPr="007B6648">
        <w:rPr>
          <w:rFonts w:eastAsia="TimesNewRoman" w:cs="TimesNewRoman"/>
        </w:rPr>
        <w:t>rattamento dell’ipertensione essenziale in pazienti con pressione arteriosa non adeguatamente controllata da</w:t>
      </w:r>
      <w:r>
        <w:rPr>
          <w:rFonts w:eastAsia="TimesNewRoman" w:cs="TimesNewRoman"/>
        </w:rPr>
        <w:t xml:space="preserve"> </w:t>
      </w:r>
      <w:r w:rsidRPr="007B6648">
        <w:rPr>
          <w:rFonts w:eastAsia="TimesNewRoman" w:cs="TimesNewRoman"/>
        </w:rPr>
        <w:t xml:space="preserve">una </w:t>
      </w:r>
      <w:proofErr w:type="spellStart"/>
      <w:r w:rsidRPr="007B6648">
        <w:rPr>
          <w:rFonts w:eastAsia="TimesNewRoman" w:cs="TimesNewRoman"/>
        </w:rPr>
        <w:t>monoterapia</w:t>
      </w:r>
      <w:proofErr w:type="spellEnd"/>
      <w:r w:rsidRPr="007B6648">
        <w:rPr>
          <w:rFonts w:eastAsia="TimesNewRoman" w:cs="TimesNewRoman"/>
        </w:rPr>
        <w:t xml:space="preserve"> con </w:t>
      </w:r>
      <w:proofErr w:type="spellStart"/>
      <w:r w:rsidRPr="007B6648">
        <w:rPr>
          <w:rFonts w:eastAsia="TimesNewRoman" w:cs="TimesNewRoman"/>
        </w:rPr>
        <w:t>enalapril</w:t>
      </w:r>
      <w:proofErr w:type="spellEnd"/>
      <w:r w:rsidRPr="007B6648">
        <w:rPr>
          <w:rFonts w:eastAsia="TimesNewRoman" w:cs="TimesNewRoman"/>
        </w:rPr>
        <w:t xml:space="preserve"> 20 mg.</w:t>
      </w:r>
    </w:p>
    <w:p w:rsidR="00BA08FD" w:rsidRPr="007B6648" w:rsidRDefault="007B6648" w:rsidP="007B6648">
      <w:pPr>
        <w:autoSpaceDE w:val="0"/>
        <w:autoSpaceDN w:val="0"/>
        <w:adjustRightInd w:val="0"/>
        <w:spacing w:after="0" w:line="240" w:lineRule="auto"/>
        <w:jc w:val="both"/>
        <w:rPr>
          <w:szCs w:val="24"/>
          <w:shd w:val="clear" w:color="auto" w:fill="FFFFFF"/>
        </w:rPr>
      </w:pPr>
      <w:r w:rsidRPr="007B6648">
        <w:rPr>
          <w:rFonts w:eastAsia="TimesNewRoman" w:cs="TimesNewRoman"/>
        </w:rPr>
        <w:t xml:space="preserve">L’associazione fissa </w:t>
      </w:r>
      <w:proofErr w:type="spellStart"/>
      <w:r w:rsidRPr="007B6648">
        <w:rPr>
          <w:rFonts w:eastAsia="TimesNewRoman" w:cs="TimesNewRoman"/>
        </w:rPr>
        <w:t>Enalapril</w:t>
      </w:r>
      <w:proofErr w:type="spellEnd"/>
      <w:r w:rsidRPr="007B6648">
        <w:rPr>
          <w:rFonts w:eastAsia="TimesNewRoman" w:cs="TimesNewRoman"/>
        </w:rPr>
        <w:t xml:space="preserve"> </w:t>
      </w:r>
      <w:r>
        <w:rPr>
          <w:rFonts w:eastAsia="TimesNewRoman" w:cs="TimesNewRoman"/>
        </w:rPr>
        <w:t>e</w:t>
      </w:r>
      <w:r w:rsidRPr="007B6648">
        <w:rPr>
          <w:rFonts w:eastAsia="TimesNewRoman" w:cs="TimesNewRoman"/>
        </w:rPr>
        <w:t xml:space="preserve"> </w:t>
      </w:r>
      <w:proofErr w:type="spellStart"/>
      <w:r>
        <w:rPr>
          <w:rFonts w:eastAsia="TimesNewRoman" w:cs="TimesNewRoman"/>
        </w:rPr>
        <w:t>l</w:t>
      </w:r>
      <w:r w:rsidRPr="007B6648">
        <w:rPr>
          <w:rFonts w:eastAsia="TimesNewRoman" w:cs="TimesNewRoman"/>
        </w:rPr>
        <w:t>ercanidipina</w:t>
      </w:r>
      <w:proofErr w:type="spellEnd"/>
      <w:r w:rsidRPr="007B6648">
        <w:rPr>
          <w:rFonts w:eastAsia="TimesNewRoman" w:cs="TimesNewRoman"/>
        </w:rPr>
        <w:t xml:space="preserve"> </w:t>
      </w:r>
      <w:proofErr w:type="spellStart"/>
      <w:r w:rsidRPr="007B6648">
        <w:rPr>
          <w:rFonts w:eastAsia="TimesNewRoman" w:cs="TimesNewRoman"/>
        </w:rPr>
        <w:t>Sagaem</w:t>
      </w:r>
      <w:proofErr w:type="spellEnd"/>
      <w:r w:rsidRPr="007B6648">
        <w:rPr>
          <w:rFonts w:eastAsia="TimesNewRoman" w:cs="TimesNewRoman"/>
        </w:rPr>
        <w:t xml:space="preserve"> 20 mg/10 mg non deve essere utilizzata</w:t>
      </w:r>
      <w:r>
        <w:rPr>
          <w:rFonts w:eastAsia="TimesNewRoman" w:cs="TimesNewRoman"/>
        </w:rPr>
        <w:t xml:space="preserve"> </w:t>
      </w:r>
      <w:r w:rsidRPr="007B6648">
        <w:rPr>
          <w:rFonts w:eastAsia="TimesNewRoman" w:cs="TimesNewRoman"/>
        </w:rPr>
        <w:t>per il trattamento iniziale dell’ipertensione.</w:t>
      </w:r>
    </w:p>
    <w:p w:rsidR="00BA08FD" w:rsidRPr="007B6648" w:rsidRDefault="00BA08FD" w:rsidP="007B6648">
      <w:pPr>
        <w:spacing w:after="0" w:line="240" w:lineRule="auto"/>
        <w:jc w:val="both"/>
        <w:rPr>
          <w:szCs w:val="24"/>
        </w:rPr>
      </w:pPr>
    </w:p>
    <w:p w:rsidR="00AB54C2" w:rsidRPr="007B6648" w:rsidRDefault="00AB54C2" w:rsidP="007B6648">
      <w:pPr>
        <w:spacing w:after="0" w:line="240" w:lineRule="auto"/>
        <w:jc w:val="both"/>
        <w:rPr>
          <w:szCs w:val="24"/>
        </w:rPr>
      </w:pPr>
      <w:r w:rsidRPr="007B6648">
        <w:rPr>
          <w:szCs w:val="24"/>
        </w:rPr>
        <w:t xml:space="preserve">Poiché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7B6648">
        <w:rPr>
          <w:szCs w:val="24"/>
        </w:rPr>
        <w:t xml:space="preserve"> </w:t>
      </w:r>
      <w:r w:rsidRPr="007B6648">
        <w:rPr>
          <w:szCs w:val="24"/>
        </w:rPr>
        <w:t>contiene principi attiv</w:t>
      </w:r>
      <w:r w:rsidR="004E2E4C" w:rsidRPr="007B6648">
        <w:rPr>
          <w:szCs w:val="24"/>
        </w:rPr>
        <w:t>i</w:t>
      </w:r>
      <w:r w:rsidRPr="007B6648">
        <w:rPr>
          <w:szCs w:val="24"/>
        </w:rPr>
        <w:t xml:space="preserve"> not</w:t>
      </w:r>
      <w:r w:rsidR="004E2E4C" w:rsidRPr="007B6648">
        <w:rPr>
          <w:szCs w:val="24"/>
        </w:rPr>
        <w:t>i</w:t>
      </w:r>
      <w:r w:rsidR="00C47386" w:rsidRPr="007B6648">
        <w:rPr>
          <w:szCs w:val="24"/>
        </w:rPr>
        <w:t>,</w:t>
      </w:r>
      <w:r w:rsidRPr="007B6648">
        <w:rPr>
          <w:szCs w:val="24"/>
        </w:rPr>
        <w:t xml:space="preserve"> non sono stati forniti nuovi dati non clinici e clinici: questo approccio è accettabile poiché il medicinale di riferimento </w:t>
      </w:r>
      <w:proofErr w:type="spellStart"/>
      <w:r w:rsidR="007B6648">
        <w:rPr>
          <w:szCs w:val="24"/>
        </w:rPr>
        <w:t>Zanipril</w:t>
      </w:r>
      <w:proofErr w:type="spellEnd"/>
      <w:r w:rsidRPr="007B6648">
        <w:rPr>
          <w:szCs w:val="24"/>
        </w:rPr>
        <w:t xml:space="preserve"> è autorizzato in Italia da oltre 10 anni.</w:t>
      </w:r>
    </w:p>
    <w:p w:rsidR="0009520C" w:rsidRPr="007B6648" w:rsidRDefault="0009520C" w:rsidP="007B6648">
      <w:pPr>
        <w:spacing w:after="0" w:line="240" w:lineRule="auto"/>
        <w:jc w:val="both"/>
        <w:rPr>
          <w:szCs w:val="24"/>
        </w:rPr>
      </w:pPr>
    </w:p>
    <w:p w:rsidR="00AB54C2" w:rsidRPr="007B6648" w:rsidRDefault="00AB54C2" w:rsidP="007B6648">
      <w:pPr>
        <w:spacing w:after="0" w:line="240" w:lineRule="auto"/>
        <w:jc w:val="both"/>
        <w:rPr>
          <w:szCs w:val="24"/>
        </w:rPr>
      </w:pPr>
      <w:r w:rsidRPr="007B6648">
        <w:rPr>
          <w:szCs w:val="24"/>
        </w:rPr>
        <w:t xml:space="preserve">La richiesta di AIC è supportata da </w:t>
      </w:r>
      <w:r w:rsidR="000746A5" w:rsidRPr="007B6648">
        <w:rPr>
          <w:szCs w:val="24"/>
        </w:rPr>
        <w:t>due</w:t>
      </w:r>
      <w:r w:rsidRPr="007B6648">
        <w:rPr>
          <w:szCs w:val="24"/>
        </w:rPr>
        <w:t xml:space="preserve"> studi di bioequivalenza che ha</w:t>
      </w:r>
      <w:r w:rsidR="000746A5" w:rsidRPr="007B6648">
        <w:rPr>
          <w:szCs w:val="24"/>
        </w:rPr>
        <w:t>nno</w:t>
      </w:r>
      <w:r w:rsidRPr="007B6648">
        <w:rPr>
          <w:szCs w:val="24"/>
        </w:rPr>
        <w:t xml:space="preserve"> confrontato i profili farmacocinetici del medicinale test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Enalapril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lercanidipina</w:t>
      </w:r>
      <w:proofErr w:type="spellEnd"/>
      <w:r w:rsidR="007B6648" w:rsidRPr="007B664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B6648" w:rsidRPr="007B6648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7B6648">
        <w:rPr>
          <w:szCs w:val="24"/>
        </w:rPr>
        <w:t xml:space="preserve"> </w:t>
      </w:r>
      <w:r w:rsidRPr="007B6648">
        <w:rPr>
          <w:szCs w:val="24"/>
        </w:rPr>
        <w:t xml:space="preserve">e quelli del medicinale di riferimento </w:t>
      </w:r>
      <w:proofErr w:type="spellStart"/>
      <w:r w:rsidR="00C808CA">
        <w:rPr>
          <w:szCs w:val="24"/>
        </w:rPr>
        <w:t>Zanipr</w:t>
      </w:r>
      <w:r w:rsidR="007B6648">
        <w:rPr>
          <w:szCs w:val="24"/>
        </w:rPr>
        <w:t>il</w:t>
      </w:r>
      <w:proofErr w:type="spellEnd"/>
      <w:r w:rsidRPr="007B6648">
        <w:rPr>
          <w:szCs w:val="24"/>
        </w:rPr>
        <w:t>.</w:t>
      </w:r>
    </w:p>
    <w:p w:rsidR="00AB54C2" w:rsidRPr="004E2E4C" w:rsidRDefault="000746A5" w:rsidP="007B6648">
      <w:pPr>
        <w:spacing w:after="0" w:line="240" w:lineRule="auto"/>
        <w:jc w:val="both"/>
        <w:rPr>
          <w:szCs w:val="24"/>
        </w:rPr>
      </w:pPr>
      <w:r w:rsidRPr="007B6648">
        <w:rPr>
          <w:szCs w:val="24"/>
        </w:rPr>
        <w:t>Gli</w:t>
      </w:r>
      <w:r w:rsidR="00AB54C2" w:rsidRPr="007B6648">
        <w:rPr>
          <w:szCs w:val="24"/>
        </w:rPr>
        <w:t xml:space="preserve"> studi</w:t>
      </w:r>
      <w:r w:rsidRPr="007B6648">
        <w:rPr>
          <w:szCs w:val="24"/>
        </w:rPr>
        <w:t xml:space="preserve"> di bioequivalenza sono stati</w:t>
      </w:r>
      <w:r w:rsidR="00AB54C2" w:rsidRPr="007B6648">
        <w:rPr>
          <w:szCs w:val="24"/>
        </w:rPr>
        <w:t xml:space="preserve"> condott</w:t>
      </w:r>
      <w:r w:rsidRPr="007B6648">
        <w:rPr>
          <w:szCs w:val="24"/>
        </w:rPr>
        <w:t>i</w:t>
      </w:r>
      <w:r w:rsidR="00AB54C2" w:rsidRPr="007B6648">
        <w:rPr>
          <w:szCs w:val="24"/>
        </w:rPr>
        <w:t xml:space="preserve"> in conformità alle linee guida di Buona Pratica Clinica (</w:t>
      </w:r>
      <w:proofErr w:type="spellStart"/>
      <w:r w:rsidR="00AB54C2" w:rsidRPr="007B6648">
        <w:rPr>
          <w:i/>
          <w:szCs w:val="24"/>
        </w:rPr>
        <w:t>Good</w:t>
      </w:r>
      <w:proofErr w:type="spellEnd"/>
      <w:r w:rsidR="00AB54C2" w:rsidRPr="007B6648">
        <w:rPr>
          <w:i/>
          <w:szCs w:val="24"/>
        </w:rPr>
        <w:t xml:space="preserve"> </w:t>
      </w:r>
      <w:proofErr w:type="spellStart"/>
      <w:r w:rsidR="00AB54C2" w:rsidRPr="007B6648">
        <w:rPr>
          <w:i/>
          <w:szCs w:val="24"/>
        </w:rPr>
        <w:t>Clinical</w:t>
      </w:r>
      <w:proofErr w:type="spellEnd"/>
      <w:r w:rsidR="00AB54C2" w:rsidRPr="004E2E4C">
        <w:rPr>
          <w:i/>
          <w:szCs w:val="24"/>
        </w:rPr>
        <w:t xml:space="preserve"> </w:t>
      </w:r>
      <w:proofErr w:type="spellStart"/>
      <w:r w:rsidR="00AB54C2" w:rsidRPr="004E2E4C">
        <w:rPr>
          <w:i/>
          <w:szCs w:val="24"/>
        </w:rPr>
        <w:t>Practice</w:t>
      </w:r>
      <w:proofErr w:type="spellEnd"/>
      <w:r w:rsidR="00AB54C2" w:rsidRPr="004E2E4C">
        <w:rPr>
          <w:szCs w:val="24"/>
        </w:rPr>
        <w:t xml:space="preserve"> - GCP).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826C22" w:rsidRPr="00CF5597" w:rsidRDefault="00AB54C2" w:rsidP="00CF5597">
      <w:pPr>
        <w:spacing w:after="0" w:line="240" w:lineRule="auto"/>
        <w:jc w:val="both"/>
      </w:pPr>
      <w:r w:rsidRPr="00CF5597">
        <w:t>Le officine coinvolte nella produzione sono conformi alle linee guida di Buona Pratica di Fabbricazione (</w:t>
      </w:r>
      <w:proofErr w:type="spellStart"/>
      <w:r w:rsidRPr="00CF5597">
        <w:rPr>
          <w:i/>
        </w:rPr>
        <w:t>Good</w:t>
      </w:r>
      <w:proofErr w:type="spellEnd"/>
      <w:r w:rsidRPr="00CF5597">
        <w:rPr>
          <w:i/>
        </w:rPr>
        <w:t xml:space="preserve"> Manufacturing </w:t>
      </w:r>
      <w:proofErr w:type="spellStart"/>
      <w:r w:rsidRPr="00CF5597">
        <w:rPr>
          <w:i/>
        </w:rPr>
        <w:t>Practice</w:t>
      </w:r>
      <w:proofErr w:type="spellEnd"/>
      <w:r w:rsidRPr="00CF5597">
        <w:t xml:space="preserve"> - GMP). </w:t>
      </w:r>
      <w:r w:rsidR="00826C22" w:rsidRPr="00CF5597">
        <w:t xml:space="preserve">Le autorità </w:t>
      </w:r>
      <w:r w:rsidR="009635D4" w:rsidRPr="00CF5597">
        <w:t>regolatorie</w:t>
      </w:r>
      <w:r w:rsidR="00826C22" w:rsidRPr="00CF5597">
        <w:t xml:space="preserve"> europee competenti hanno rilasciato i certificati GMP per i siti di produzione.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CF5597">
        <w:rPr>
          <w:i/>
        </w:rPr>
        <w:t>Risk</w:t>
      </w:r>
      <w:proofErr w:type="spellEnd"/>
      <w:r w:rsidRPr="00CF5597">
        <w:rPr>
          <w:i/>
        </w:rPr>
        <w:t xml:space="preserve"> Management </w:t>
      </w:r>
      <w:proofErr w:type="spellStart"/>
      <w:r w:rsidRPr="00CF5597">
        <w:rPr>
          <w:i/>
        </w:rPr>
        <w:t>Plan</w:t>
      </w:r>
      <w:proofErr w:type="spellEnd"/>
      <w:r w:rsidRPr="00CF5597">
        <w:t xml:space="preserve"> – RMP) accettabile.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12EF9" w:rsidRPr="000E742B">
        <w:rPr>
          <w:rFonts w:eastAsia="Calibri" w:cs="Calibri"/>
          <w:color w:val="000000"/>
          <w:lang w:eastAsia="it-IT"/>
        </w:rPr>
        <w:t>Enalapril</w:t>
      </w:r>
      <w:proofErr w:type="spellEnd"/>
      <w:r w:rsidR="00F12EF9" w:rsidRPr="000E742B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F12EF9" w:rsidRPr="000E742B">
        <w:rPr>
          <w:rFonts w:eastAsia="Calibri" w:cs="Calibri"/>
          <w:color w:val="000000"/>
          <w:lang w:eastAsia="it-IT"/>
        </w:rPr>
        <w:t>lercanidipina</w:t>
      </w:r>
      <w:proofErr w:type="spellEnd"/>
      <w:r w:rsidR="00F12EF9" w:rsidRPr="000E742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12EF9" w:rsidRPr="000E742B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CF5597">
        <w:t xml:space="preserve"> </w:t>
      </w:r>
      <w:r w:rsidRPr="00CF5597">
        <w:t>contiene</w:t>
      </w:r>
      <w:r w:rsidR="00B27F42" w:rsidRPr="00CF5597">
        <w:t xml:space="preserve"> </w:t>
      </w:r>
      <w:r w:rsidRPr="00CF5597">
        <w:t>principi attiv</w:t>
      </w:r>
      <w:r w:rsidR="00F12EF9">
        <w:t>i</w:t>
      </w:r>
      <w:r w:rsidR="00B27F42" w:rsidRPr="00CF5597">
        <w:t xml:space="preserve"> not</w:t>
      </w:r>
      <w:r w:rsidR="00F12EF9">
        <w:t>i</w:t>
      </w:r>
      <w:r w:rsidR="00B27F42" w:rsidRPr="00CF5597">
        <w:t xml:space="preserve"> present</w:t>
      </w:r>
      <w:r w:rsidR="00F12EF9">
        <w:t>i</w:t>
      </w:r>
      <w:r w:rsidRPr="00CF5597">
        <w:t xml:space="preserve"> in medicinali autorizzati; inoltre, non sono presenti componenti geneticamente </w:t>
      </w:r>
      <w:r w:rsidRPr="00CF5597">
        <w:lastRenderedPageBreak/>
        <w:t>modificati; il metodo di produzione e la formulazione del medicinale non presentano problematiche di carattere ambientale.</w:t>
      </w:r>
    </w:p>
    <w:p w:rsidR="00AB54C2" w:rsidRPr="007B6648" w:rsidRDefault="00AB54C2" w:rsidP="00EC4AE7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7B6648">
        <w:rPr>
          <w:b/>
        </w:rPr>
        <w:t xml:space="preserve">ASPETTI </w:t>
      </w:r>
      <w:proofErr w:type="spellStart"/>
      <w:r w:rsidRPr="007B6648">
        <w:rPr>
          <w:b/>
        </w:rPr>
        <w:t>DI</w:t>
      </w:r>
      <w:proofErr w:type="spellEnd"/>
      <w:r w:rsidRPr="007B6648">
        <w:rPr>
          <w:b/>
        </w:rPr>
        <w:t xml:space="preserve"> QUALITA’</w:t>
      </w:r>
    </w:p>
    <w:p w:rsidR="00AB54C2" w:rsidRPr="007B6648" w:rsidRDefault="00AB54C2" w:rsidP="00EC4AE7">
      <w:pPr>
        <w:spacing w:after="0" w:line="240" w:lineRule="auto"/>
        <w:jc w:val="both"/>
      </w:pPr>
      <w:r w:rsidRPr="007B6648">
        <w:rPr>
          <w:b/>
        </w:rPr>
        <w:t>II.1</w:t>
      </w:r>
      <w:r w:rsidR="004E2E4C" w:rsidRPr="007B6648">
        <w:rPr>
          <w:b/>
        </w:rPr>
        <w:t>a</w:t>
      </w:r>
      <w:r w:rsidRPr="007B6648">
        <w:rPr>
          <w:b/>
        </w:rPr>
        <w:t xml:space="preserve"> PRINCIPIO ATTIVO </w:t>
      </w:r>
      <w:r w:rsidR="007B6648" w:rsidRPr="007B6648">
        <w:rPr>
          <w:b/>
        </w:rPr>
        <w:t>ENALAPRIL MALEATO</w:t>
      </w:r>
    </w:p>
    <w:p w:rsidR="00EC4AE7" w:rsidRPr="00F12EF9" w:rsidRDefault="007B6648" w:rsidP="00EC4AE7">
      <w:pPr>
        <w:autoSpaceDE w:val="0"/>
        <w:autoSpaceDN w:val="0"/>
        <w:adjustRightInd w:val="0"/>
        <w:spacing w:after="0" w:line="240" w:lineRule="auto"/>
        <w:jc w:val="both"/>
        <w:rPr>
          <w:rStyle w:val="s1"/>
          <w:rFonts w:asciiTheme="minorHAnsi" w:hAnsiTheme="minorHAnsi"/>
          <w:lang w:val="en-US"/>
        </w:rPr>
      </w:pPr>
      <w:r w:rsidRPr="00F12EF9">
        <w:rPr>
          <w:u w:val="single"/>
          <w:lang w:val="en-US"/>
        </w:rPr>
        <w:t xml:space="preserve">Nome </w:t>
      </w:r>
      <w:proofErr w:type="spellStart"/>
      <w:r w:rsidRPr="00F12EF9">
        <w:rPr>
          <w:u w:val="single"/>
          <w:lang w:val="en-US"/>
        </w:rPr>
        <w:t>chimico</w:t>
      </w:r>
      <w:proofErr w:type="spellEnd"/>
      <w:r w:rsidRPr="00F12EF9">
        <w:rPr>
          <w:lang w:val="en-US"/>
        </w:rPr>
        <w:t xml:space="preserve">: </w:t>
      </w:r>
      <w:r w:rsidRPr="00F12EF9">
        <w:rPr>
          <w:rStyle w:val="s1"/>
          <w:rFonts w:asciiTheme="minorHAnsi" w:hAnsiTheme="minorHAnsi"/>
          <w:lang w:val="en-US"/>
        </w:rPr>
        <w:t>(2</w:t>
      </w:r>
      <w:r w:rsidRPr="00F12EF9">
        <w:rPr>
          <w:rStyle w:val="s1"/>
          <w:rFonts w:asciiTheme="minorHAnsi" w:hAnsiTheme="minorHAnsi"/>
          <w:iCs/>
          <w:lang w:val="en-US"/>
        </w:rPr>
        <w:t>S</w:t>
      </w:r>
      <w:r w:rsidRPr="00F12EF9">
        <w:rPr>
          <w:rStyle w:val="s1"/>
          <w:rFonts w:asciiTheme="minorHAnsi" w:hAnsiTheme="minorHAnsi"/>
          <w:lang w:val="en-US"/>
        </w:rPr>
        <w:t>)-1-[(2</w:t>
      </w:r>
      <w:r w:rsidRPr="00F12EF9">
        <w:rPr>
          <w:rStyle w:val="s1"/>
          <w:rFonts w:asciiTheme="minorHAnsi" w:hAnsiTheme="minorHAnsi"/>
          <w:iCs/>
          <w:lang w:val="en-US"/>
        </w:rPr>
        <w:t>S</w:t>
      </w:r>
      <w:r w:rsidRPr="00F12EF9">
        <w:rPr>
          <w:rStyle w:val="s1"/>
          <w:rFonts w:asciiTheme="minorHAnsi" w:hAnsiTheme="minorHAnsi"/>
          <w:lang w:val="en-US"/>
        </w:rPr>
        <w:t>)-2-[[(1</w:t>
      </w:r>
      <w:r w:rsidRPr="00F12EF9">
        <w:rPr>
          <w:rStyle w:val="s1"/>
          <w:rFonts w:asciiTheme="minorHAnsi" w:hAnsiTheme="minorHAnsi"/>
          <w:iCs/>
          <w:lang w:val="en-US"/>
        </w:rPr>
        <w:t>S</w:t>
      </w:r>
      <w:r w:rsidRPr="00F12EF9">
        <w:rPr>
          <w:rStyle w:val="s1"/>
          <w:rFonts w:asciiTheme="minorHAnsi" w:hAnsiTheme="minorHAnsi"/>
          <w:lang w:val="en-US"/>
        </w:rPr>
        <w:t>)-1-(Ethoxycarbonyl)-3-phenylpropyl]amino]propanoyl]pyrrolidine-2-</w:t>
      </w:r>
    </w:p>
    <w:p w:rsidR="007B6648" w:rsidRPr="007B6648" w:rsidRDefault="007B6648" w:rsidP="00EC4AE7">
      <w:pPr>
        <w:autoSpaceDE w:val="0"/>
        <w:autoSpaceDN w:val="0"/>
        <w:adjustRightInd w:val="0"/>
        <w:spacing w:after="0" w:line="240" w:lineRule="auto"/>
        <w:jc w:val="both"/>
        <w:rPr>
          <w:rStyle w:val="s1"/>
          <w:rFonts w:asciiTheme="minorHAnsi" w:hAnsiTheme="minorHAnsi"/>
        </w:rPr>
      </w:pPr>
      <w:proofErr w:type="spellStart"/>
      <w:r w:rsidRPr="007B6648">
        <w:rPr>
          <w:rStyle w:val="s1"/>
          <w:rFonts w:asciiTheme="minorHAnsi" w:hAnsiTheme="minorHAnsi"/>
        </w:rPr>
        <w:t>carboxylic</w:t>
      </w:r>
      <w:proofErr w:type="spellEnd"/>
      <w:r w:rsidRPr="007B6648">
        <w:rPr>
          <w:rStyle w:val="s1"/>
          <w:rFonts w:asciiTheme="minorHAnsi" w:hAnsiTheme="minorHAnsi"/>
        </w:rPr>
        <w:t xml:space="preserve"> acid (</w:t>
      </w:r>
      <w:r w:rsidRPr="007B6648">
        <w:rPr>
          <w:rStyle w:val="s1"/>
          <w:rFonts w:asciiTheme="minorHAnsi" w:hAnsiTheme="minorHAnsi"/>
          <w:iCs/>
        </w:rPr>
        <w:t>Z</w:t>
      </w:r>
      <w:r w:rsidRPr="007B6648">
        <w:rPr>
          <w:rStyle w:val="s1"/>
          <w:rFonts w:asciiTheme="minorHAnsi" w:hAnsiTheme="minorHAnsi"/>
        </w:rPr>
        <w:t>)</w:t>
      </w:r>
      <w:proofErr w:type="spellStart"/>
      <w:r w:rsidRPr="007B6648">
        <w:rPr>
          <w:rStyle w:val="s1"/>
          <w:rFonts w:asciiTheme="minorHAnsi" w:hAnsiTheme="minorHAnsi"/>
        </w:rPr>
        <w:t>-butenedioate</w:t>
      </w:r>
      <w:proofErr w:type="spellEnd"/>
    </w:p>
    <w:p w:rsidR="007B6648" w:rsidRPr="007B6648" w:rsidRDefault="007B6648" w:rsidP="00EC4AE7">
      <w:pPr>
        <w:spacing w:after="0" w:line="240" w:lineRule="auto"/>
        <w:jc w:val="both"/>
        <w:rPr>
          <w:noProof/>
          <w:lang w:eastAsia="it-IT"/>
        </w:rPr>
      </w:pPr>
      <w:r w:rsidRPr="007B6648">
        <w:rPr>
          <w:u w:val="single"/>
        </w:rPr>
        <w:t>Struttura</w:t>
      </w:r>
      <w:r w:rsidRPr="007B6648">
        <w:t>:</w:t>
      </w:r>
    </w:p>
    <w:p w:rsidR="007B6648" w:rsidRPr="007B6648" w:rsidRDefault="007B6648" w:rsidP="00EC4AE7">
      <w:pPr>
        <w:spacing w:after="0" w:line="240" w:lineRule="auto"/>
        <w:jc w:val="center"/>
        <w:rPr>
          <w:rFonts w:cs="Arial"/>
          <w:noProof/>
          <w:lang w:eastAsia="it-IT"/>
        </w:rPr>
      </w:pPr>
      <w:r w:rsidRPr="007B6648">
        <w:rPr>
          <w:rFonts w:cs="Arial"/>
          <w:noProof/>
          <w:lang w:eastAsia="it-IT"/>
        </w:rPr>
        <w:drawing>
          <wp:inline distT="0" distB="0" distL="0" distR="0">
            <wp:extent cx="1819275" cy="539689"/>
            <wp:effectExtent l="19050" t="0" r="9525" b="0"/>
            <wp:docPr id="4" name="Immagine 2" descr="cf1420-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f1420-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39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6648" w:rsidRPr="007B6648" w:rsidRDefault="007B6648" w:rsidP="00EC4AE7">
      <w:pPr>
        <w:spacing w:after="0" w:line="240" w:lineRule="auto"/>
        <w:jc w:val="both"/>
      </w:pPr>
      <w:r w:rsidRPr="007B6648">
        <w:rPr>
          <w:u w:val="single"/>
        </w:rPr>
        <w:t>Formula molecolare</w:t>
      </w:r>
      <w:r w:rsidRPr="007B6648">
        <w:t xml:space="preserve">: </w:t>
      </w:r>
      <w:r w:rsidRPr="007B6648">
        <w:rPr>
          <w:rStyle w:val="s1"/>
          <w:rFonts w:asciiTheme="minorHAnsi" w:hAnsiTheme="minorHAnsi"/>
        </w:rPr>
        <w:t>C</w:t>
      </w:r>
      <w:r w:rsidRPr="007B6648">
        <w:rPr>
          <w:rStyle w:val="s1"/>
          <w:rFonts w:asciiTheme="minorHAnsi" w:hAnsiTheme="minorHAnsi"/>
          <w:vertAlign w:val="subscript"/>
        </w:rPr>
        <w:t>24</w:t>
      </w:r>
      <w:r w:rsidRPr="007B6648">
        <w:rPr>
          <w:rStyle w:val="s1"/>
          <w:rFonts w:asciiTheme="minorHAnsi" w:hAnsiTheme="minorHAnsi"/>
        </w:rPr>
        <w:t>H</w:t>
      </w:r>
      <w:r w:rsidRPr="007B6648">
        <w:rPr>
          <w:rStyle w:val="s1"/>
          <w:rFonts w:asciiTheme="minorHAnsi" w:hAnsiTheme="minorHAnsi"/>
          <w:vertAlign w:val="subscript"/>
        </w:rPr>
        <w:t>32</w:t>
      </w:r>
      <w:r w:rsidRPr="007B6648">
        <w:rPr>
          <w:rStyle w:val="s1"/>
          <w:rFonts w:asciiTheme="minorHAnsi" w:hAnsiTheme="minorHAnsi"/>
        </w:rPr>
        <w:t>N</w:t>
      </w:r>
      <w:r w:rsidRPr="007B6648">
        <w:rPr>
          <w:rStyle w:val="s1"/>
          <w:rFonts w:asciiTheme="minorHAnsi" w:hAnsiTheme="minorHAnsi"/>
          <w:vertAlign w:val="subscript"/>
        </w:rPr>
        <w:t>2</w:t>
      </w:r>
      <w:r w:rsidRPr="007B6648">
        <w:rPr>
          <w:rStyle w:val="s1"/>
          <w:rFonts w:asciiTheme="minorHAnsi" w:hAnsiTheme="minorHAnsi"/>
        </w:rPr>
        <w:t>O</w:t>
      </w:r>
      <w:r w:rsidRPr="007B6648">
        <w:rPr>
          <w:rStyle w:val="s1"/>
          <w:rFonts w:asciiTheme="minorHAnsi" w:hAnsiTheme="minorHAnsi"/>
          <w:vertAlign w:val="subscript"/>
        </w:rPr>
        <w:t>9</w:t>
      </w:r>
    </w:p>
    <w:p w:rsidR="007B6648" w:rsidRPr="007B6648" w:rsidRDefault="007B6648" w:rsidP="00EC4AE7">
      <w:pPr>
        <w:spacing w:after="0" w:line="240" w:lineRule="auto"/>
        <w:jc w:val="both"/>
      </w:pPr>
      <w:r w:rsidRPr="007B6648">
        <w:rPr>
          <w:u w:val="single"/>
        </w:rPr>
        <w:t>Peso molecolare</w:t>
      </w:r>
      <w:r w:rsidRPr="007B6648">
        <w:t>:</w:t>
      </w:r>
      <w:r w:rsidRPr="007B6648">
        <w:rPr>
          <w:lang w:eastAsia="it-IT"/>
        </w:rPr>
        <w:t xml:space="preserve"> </w:t>
      </w:r>
      <w:r w:rsidRPr="007B6648">
        <w:t>492.5</w:t>
      </w:r>
      <w:r w:rsidRPr="007B6648">
        <w:rPr>
          <w:rStyle w:val="s1"/>
          <w:rFonts w:asciiTheme="minorHAnsi" w:hAnsiTheme="minorHAnsi"/>
        </w:rPr>
        <w:t xml:space="preserve"> g/mol</w:t>
      </w:r>
    </w:p>
    <w:p w:rsidR="007B6648" w:rsidRPr="00EC4AE7" w:rsidRDefault="007B6648" w:rsidP="00EC4AE7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i/>
          <w:sz w:val="22"/>
          <w:szCs w:val="22"/>
        </w:rPr>
      </w:pPr>
      <w:r w:rsidRPr="00EC4AE7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C4AE7">
        <w:rPr>
          <w:rFonts w:asciiTheme="minorHAnsi" w:hAnsiTheme="minorHAnsi"/>
          <w:b w:val="0"/>
          <w:sz w:val="22"/>
          <w:szCs w:val="22"/>
        </w:rPr>
        <w:t xml:space="preserve">: </w:t>
      </w:r>
      <w:r w:rsidRPr="00EC4AE7">
        <w:rPr>
          <w:rStyle w:val="s1"/>
          <w:rFonts w:asciiTheme="minorHAnsi" w:hAnsiTheme="minorHAnsi"/>
          <w:b w:val="0"/>
          <w:i/>
          <w:sz w:val="22"/>
          <w:szCs w:val="22"/>
        </w:rPr>
        <w:t>[76095-16-4]</w:t>
      </w:r>
    </w:p>
    <w:p w:rsidR="007B6648" w:rsidRPr="00EC4AE7" w:rsidRDefault="007B6648" w:rsidP="00EC4AE7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i/>
          <w:sz w:val="22"/>
          <w:szCs w:val="22"/>
        </w:rPr>
      </w:pPr>
      <w:r w:rsidRPr="00EC4AE7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EC4AE7">
        <w:rPr>
          <w:rFonts w:asciiTheme="minorHAnsi" w:hAnsiTheme="minorHAnsi"/>
          <w:b w:val="0"/>
          <w:sz w:val="22"/>
          <w:szCs w:val="22"/>
        </w:rPr>
        <w:t>: polvere cristallina bianca o quasi bianca</w:t>
      </w:r>
    </w:p>
    <w:p w:rsidR="007B6648" w:rsidRPr="007B6648" w:rsidRDefault="007B6648" w:rsidP="00EC4AE7">
      <w:pPr>
        <w:spacing w:after="0" w:line="240" w:lineRule="auto"/>
        <w:jc w:val="both"/>
      </w:pPr>
      <w:r w:rsidRPr="007B6648">
        <w:rPr>
          <w:u w:val="single"/>
        </w:rPr>
        <w:t>Solubilità</w:t>
      </w:r>
      <w:r w:rsidRPr="007B6648">
        <w:t>: scarsamente solubile in acqua, solubile in metanolo , praticamente insolubile in cloruro di metilene. Si dissolve in soluzioni diluite di idrossidi alcalini</w:t>
      </w:r>
    </w:p>
    <w:p w:rsidR="007B6648" w:rsidRPr="007B6648" w:rsidRDefault="007B6648" w:rsidP="00EC4AE7">
      <w:pPr>
        <w:spacing w:after="0" w:line="240" w:lineRule="auto"/>
        <w:jc w:val="both"/>
        <w:rPr>
          <w:highlight w:val="yellow"/>
        </w:rPr>
      </w:pPr>
    </w:p>
    <w:p w:rsidR="007B6648" w:rsidRPr="007B6648" w:rsidRDefault="007B6648" w:rsidP="00EC4AE7">
      <w:pPr>
        <w:spacing w:after="0" w:line="240" w:lineRule="auto"/>
        <w:jc w:val="both"/>
      </w:pPr>
      <w:r w:rsidRPr="007B6648">
        <w:t xml:space="preserve">Il principio attivo </w:t>
      </w:r>
      <w:proofErr w:type="spellStart"/>
      <w:r w:rsidRPr="007B6648">
        <w:t>enalapril</w:t>
      </w:r>
      <w:proofErr w:type="spellEnd"/>
      <w:r w:rsidRPr="007B6648">
        <w:t xml:space="preserve"> </w:t>
      </w:r>
      <w:proofErr w:type="spellStart"/>
      <w:r w:rsidRPr="007B6648">
        <w:t>maleato</w:t>
      </w:r>
      <w:proofErr w:type="spellEnd"/>
      <w:r w:rsidRPr="007B6648">
        <w:t xml:space="preserve"> è presente in Farmacopea Europea e il </w:t>
      </w:r>
      <w:proofErr w:type="spellStart"/>
      <w:r w:rsidRPr="007B6648">
        <w:t>Direttorato</w:t>
      </w:r>
      <w:proofErr w:type="spellEnd"/>
      <w:r w:rsidRPr="007B6648">
        <w:t xml:space="preserve"> Europeo per la Qualità dei Medicinali (</w:t>
      </w:r>
      <w:proofErr w:type="spellStart"/>
      <w:r w:rsidRPr="007B6648">
        <w:rPr>
          <w:i/>
        </w:rPr>
        <w:t>European</w:t>
      </w:r>
      <w:proofErr w:type="spellEnd"/>
      <w:r w:rsidRPr="007B6648">
        <w:rPr>
          <w:i/>
        </w:rPr>
        <w:t xml:space="preserve"> </w:t>
      </w:r>
      <w:proofErr w:type="spellStart"/>
      <w:r w:rsidRPr="007B6648">
        <w:rPr>
          <w:i/>
        </w:rPr>
        <w:t>Directorate</w:t>
      </w:r>
      <w:proofErr w:type="spellEnd"/>
      <w:r w:rsidRPr="007B6648">
        <w:rPr>
          <w:i/>
        </w:rPr>
        <w:t xml:space="preserve"> </w:t>
      </w:r>
      <w:proofErr w:type="spellStart"/>
      <w:r w:rsidRPr="007B6648">
        <w:rPr>
          <w:i/>
        </w:rPr>
        <w:t>for</w:t>
      </w:r>
      <w:proofErr w:type="spellEnd"/>
      <w:r w:rsidRPr="007B6648">
        <w:rPr>
          <w:i/>
        </w:rPr>
        <w:t xml:space="preserve"> </w:t>
      </w:r>
      <w:proofErr w:type="spellStart"/>
      <w:r w:rsidRPr="007B6648">
        <w:rPr>
          <w:i/>
        </w:rPr>
        <w:t>Quality</w:t>
      </w:r>
      <w:proofErr w:type="spellEnd"/>
      <w:r w:rsidRPr="007B6648">
        <w:rPr>
          <w:i/>
        </w:rPr>
        <w:t xml:space="preserve"> </w:t>
      </w:r>
      <w:proofErr w:type="spellStart"/>
      <w:r w:rsidRPr="007B6648">
        <w:rPr>
          <w:i/>
        </w:rPr>
        <w:t>of</w:t>
      </w:r>
      <w:proofErr w:type="spellEnd"/>
      <w:r w:rsidRPr="007B6648">
        <w:rPr>
          <w:i/>
        </w:rPr>
        <w:t xml:space="preserve"> </w:t>
      </w:r>
      <w:proofErr w:type="spellStart"/>
      <w:r w:rsidRPr="007B6648">
        <w:rPr>
          <w:i/>
        </w:rPr>
        <w:t>Medicnals</w:t>
      </w:r>
      <w:proofErr w:type="spellEnd"/>
      <w:r w:rsidRPr="007B6648">
        <w:t xml:space="preserve"> – EDQM) ha rilasciato al produttore il certificato di conformità alla Farmacopea Europea.</w:t>
      </w:r>
    </w:p>
    <w:p w:rsidR="00EC4AE7" w:rsidRDefault="00EC4AE7" w:rsidP="00EC4AE7">
      <w:pPr>
        <w:spacing w:after="0" w:line="240" w:lineRule="auto"/>
        <w:jc w:val="both"/>
      </w:pPr>
      <w:r w:rsidRPr="006C0B0D">
        <w:t xml:space="preserve">Tutti gli aspetti di produzione e controllo sono coperti dal certificato di conformità alla Farmacopea Europea. Il principio attivo è confezionato in </w:t>
      </w:r>
      <w:r>
        <w:t>busta</w:t>
      </w:r>
      <w:r w:rsidRPr="006C0B0D">
        <w:t xml:space="preserve"> in polietilene</w:t>
      </w:r>
      <w:r w:rsidR="00EA65F0">
        <w:t xml:space="preserve"> inserita in una busta di alluminio a sua volta inserita in un contenitore in fibra</w:t>
      </w:r>
      <w:r w:rsidRPr="006C0B0D">
        <w:t xml:space="preserve">. Il periodo di </w:t>
      </w:r>
      <w:proofErr w:type="spellStart"/>
      <w:r w:rsidRPr="006C0B0D">
        <w:t>retest</w:t>
      </w:r>
      <w:proofErr w:type="spellEnd"/>
      <w:r w:rsidRPr="006C0B0D">
        <w:t xml:space="preserve"> è definito in </w:t>
      </w:r>
      <w:r>
        <w:t>48 mesi.</w:t>
      </w:r>
    </w:p>
    <w:p w:rsidR="00AD5FCC" w:rsidRPr="00EC4AE7" w:rsidRDefault="00AD5FCC" w:rsidP="00EC4AE7">
      <w:pPr>
        <w:spacing w:after="0" w:line="240" w:lineRule="auto"/>
        <w:jc w:val="both"/>
      </w:pPr>
    </w:p>
    <w:p w:rsidR="004E2E4C" w:rsidRPr="00EC4AE7" w:rsidRDefault="00AD5FCC" w:rsidP="00EC4AE7">
      <w:pPr>
        <w:spacing w:after="0" w:line="240" w:lineRule="auto"/>
        <w:jc w:val="both"/>
      </w:pPr>
      <w:r w:rsidRPr="00EC4AE7">
        <w:rPr>
          <w:b/>
        </w:rPr>
        <w:t xml:space="preserve">II.1b PRINCIPIO ATTIVO </w:t>
      </w:r>
      <w:r w:rsidR="00EC4AE7" w:rsidRPr="00EC4AE7">
        <w:rPr>
          <w:b/>
        </w:rPr>
        <w:t>LERCANIDIPINA CLORIDATO</w:t>
      </w:r>
    </w:p>
    <w:p w:rsidR="00EC4AE7" w:rsidRPr="00EC4AE7" w:rsidRDefault="004E2E4C" w:rsidP="00EC4AE7">
      <w:pPr>
        <w:autoSpaceDE w:val="0"/>
        <w:autoSpaceDN w:val="0"/>
        <w:adjustRightInd w:val="0"/>
        <w:spacing w:after="0" w:line="240" w:lineRule="auto"/>
        <w:rPr>
          <w:lang w:val="pt-BR" w:eastAsia="it-IT"/>
        </w:rPr>
      </w:pPr>
      <w:r w:rsidRPr="00EC4AE7">
        <w:rPr>
          <w:u w:val="single"/>
        </w:rPr>
        <w:t>Nome chimico</w:t>
      </w:r>
      <w:r w:rsidRPr="00EC4AE7">
        <w:t xml:space="preserve">: </w:t>
      </w:r>
      <w:r w:rsidR="00EC4AE7" w:rsidRPr="00EC4AE7">
        <w:rPr>
          <w:lang w:val="pt-BR" w:eastAsia="it-IT"/>
        </w:rPr>
        <w:t>1,4 – Dihydro – 2,6 – dimethyl – 4 – (3 –nitrophenyl) – 3,5 – pyridinedicarboxylic acid – 2 –</w:t>
      </w:r>
    </w:p>
    <w:p w:rsidR="00EC4AE7" w:rsidRPr="00EC4AE7" w:rsidRDefault="00EC4AE7" w:rsidP="00EC4AE7">
      <w:pPr>
        <w:autoSpaceDE w:val="0"/>
        <w:autoSpaceDN w:val="0"/>
        <w:adjustRightInd w:val="0"/>
        <w:spacing w:after="0" w:line="240" w:lineRule="auto"/>
        <w:rPr>
          <w:lang w:val="en-US" w:eastAsia="it-IT"/>
        </w:rPr>
      </w:pPr>
      <w:r w:rsidRPr="00EC4AE7">
        <w:rPr>
          <w:lang w:val="en-US" w:eastAsia="it-IT"/>
        </w:rPr>
        <w:t xml:space="preserve">[(3,3 – </w:t>
      </w:r>
      <w:proofErr w:type="spellStart"/>
      <w:r w:rsidRPr="00EC4AE7">
        <w:rPr>
          <w:lang w:val="en-US" w:eastAsia="it-IT"/>
        </w:rPr>
        <w:t>diphenylpropyl</w:t>
      </w:r>
      <w:proofErr w:type="spellEnd"/>
      <w:r w:rsidRPr="00EC4AE7">
        <w:rPr>
          <w:lang w:val="en-US" w:eastAsia="it-IT"/>
        </w:rPr>
        <w:t>)</w:t>
      </w:r>
      <w:proofErr w:type="spellStart"/>
      <w:r w:rsidRPr="00EC4AE7">
        <w:rPr>
          <w:lang w:val="en-US" w:eastAsia="it-IT"/>
        </w:rPr>
        <w:t>methylamino</w:t>
      </w:r>
      <w:proofErr w:type="spellEnd"/>
      <w:r w:rsidRPr="00EC4AE7">
        <w:rPr>
          <w:lang w:val="en-US" w:eastAsia="it-IT"/>
        </w:rPr>
        <w:t>] – 1,1 –</w:t>
      </w:r>
      <w:proofErr w:type="spellStart"/>
      <w:r w:rsidRPr="00EC4AE7">
        <w:rPr>
          <w:lang w:val="en-US" w:eastAsia="it-IT"/>
        </w:rPr>
        <w:t>dimethylethyl</w:t>
      </w:r>
      <w:proofErr w:type="spellEnd"/>
      <w:r w:rsidRPr="00EC4AE7">
        <w:rPr>
          <w:lang w:val="en-US" w:eastAsia="it-IT"/>
        </w:rPr>
        <w:t xml:space="preserve"> methyl ester hydrochloride</w:t>
      </w:r>
    </w:p>
    <w:p w:rsidR="004E2E4C" w:rsidRPr="00EC4AE7" w:rsidRDefault="004E2E4C" w:rsidP="00EC4AE7">
      <w:pPr>
        <w:spacing w:after="0" w:line="240" w:lineRule="auto"/>
        <w:jc w:val="both"/>
        <w:rPr>
          <w:noProof/>
          <w:lang w:eastAsia="it-IT"/>
        </w:rPr>
      </w:pPr>
      <w:r w:rsidRPr="00EC4AE7">
        <w:rPr>
          <w:u w:val="single"/>
        </w:rPr>
        <w:t>Struttura</w:t>
      </w:r>
      <w:r w:rsidRPr="00EC4AE7">
        <w:t>:</w:t>
      </w:r>
    </w:p>
    <w:p w:rsidR="004E2E4C" w:rsidRPr="00EC4AE7" w:rsidRDefault="00EC4AE7" w:rsidP="00EC4AE7">
      <w:pPr>
        <w:spacing w:after="0" w:line="240" w:lineRule="auto"/>
        <w:jc w:val="center"/>
        <w:rPr>
          <w:rFonts w:cs="Arial"/>
          <w:noProof/>
          <w:lang w:eastAsia="it-IT"/>
        </w:rPr>
      </w:pPr>
      <w:r w:rsidRPr="00EC4AE7">
        <w:rPr>
          <w:rFonts w:cs="Arial"/>
          <w:noProof/>
          <w:lang w:eastAsia="it-IT"/>
        </w:rPr>
        <w:drawing>
          <wp:inline distT="0" distB="0" distL="0" distR="0">
            <wp:extent cx="3131349" cy="834887"/>
            <wp:effectExtent l="19050" t="0" r="0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9215" cy="842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E4C" w:rsidRPr="00EC4AE7" w:rsidRDefault="004E2E4C" w:rsidP="00EC4AE7">
      <w:pPr>
        <w:spacing w:after="0" w:line="240" w:lineRule="auto"/>
        <w:jc w:val="both"/>
      </w:pPr>
      <w:r w:rsidRPr="00EC4AE7">
        <w:rPr>
          <w:u w:val="single"/>
        </w:rPr>
        <w:t>Formula molecolare</w:t>
      </w:r>
      <w:r w:rsidRPr="00EC4AE7">
        <w:t xml:space="preserve">: </w:t>
      </w:r>
      <w:r w:rsidR="00EC4AE7" w:rsidRPr="00EC4AE7">
        <w:rPr>
          <w:lang w:eastAsia="it-IT"/>
        </w:rPr>
        <w:t>C</w:t>
      </w:r>
      <w:r w:rsidR="00EC4AE7" w:rsidRPr="00EC4AE7">
        <w:rPr>
          <w:vertAlign w:val="subscript"/>
          <w:lang w:eastAsia="it-IT"/>
        </w:rPr>
        <w:t>36</w:t>
      </w:r>
      <w:r w:rsidR="00EC4AE7" w:rsidRPr="00EC4AE7">
        <w:rPr>
          <w:lang w:eastAsia="it-IT"/>
        </w:rPr>
        <w:t>H</w:t>
      </w:r>
      <w:r w:rsidR="00EC4AE7" w:rsidRPr="00EC4AE7">
        <w:rPr>
          <w:vertAlign w:val="subscript"/>
          <w:lang w:eastAsia="it-IT"/>
        </w:rPr>
        <w:t>41</w:t>
      </w:r>
      <w:r w:rsidR="00EC4AE7" w:rsidRPr="00EC4AE7">
        <w:rPr>
          <w:lang w:eastAsia="it-IT"/>
        </w:rPr>
        <w:t>N</w:t>
      </w:r>
      <w:r w:rsidR="00EC4AE7" w:rsidRPr="00EC4AE7">
        <w:rPr>
          <w:vertAlign w:val="subscript"/>
          <w:lang w:eastAsia="it-IT"/>
        </w:rPr>
        <w:t>3</w:t>
      </w:r>
      <w:r w:rsidR="00EC4AE7" w:rsidRPr="00EC4AE7">
        <w:rPr>
          <w:lang w:eastAsia="it-IT"/>
        </w:rPr>
        <w:t>O</w:t>
      </w:r>
      <w:r w:rsidR="00EC4AE7" w:rsidRPr="00EC4AE7">
        <w:rPr>
          <w:vertAlign w:val="subscript"/>
          <w:lang w:eastAsia="it-IT"/>
        </w:rPr>
        <w:t>6</w:t>
      </w:r>
      <w:r w:rsidR="00EC4AE7" w:rsidRPr="00EC4AE7">
        <w:rPr>
          <w:lang w:eastAsia="it-IT"/>
        </w:rPr>
        <w:t>.HCl</w:t>
      </w:r>
    </w:p>
    <w:p w:rsidR="004E2E4C" w:rsidRPr="00EC4AE7" w:rsidRDefault="004E2E4C" w:rsidP="00EC4AE7">
      <w:pPr>
        <w:spacing w:after="0" w:line="240" w:lineRule="auto"/>
        <w:jc w:val="both"/>
      </w:pPr>
      <w:r w:rsidRPr="00EC4AE7">
        <w:rPr>
          <w:u w:val="single"/>
        </w:rPr>
        <w:t>Peso molecolare</w:t>
      </w:r>
      <w:r w:rsidRPr="00EC4AE7">
        <w:t>:</w:t>
      </w:r>
      <w:r w:rsidR="00EC4AE7" w:rsidRPr="00EC4AE7">
        <w:rPr>
          <w:lang w:eastAsia="it-IT"/>
        </w:rPr>
        <w:t xml:space="preserve"> 648.19</w:t>
      </w:r>
      <w:r w:rsidRPr="00EC4AE7">
        <w:rPr>
          <w:rStyle w:val="s1"/>
          <w:rFonts w:ascii="Calibri" w:hAnsi="Calibri"/>
        </w:rPr>
        <w:t xml:space="preserve"> g/mol</w:t>
      </w:r>
    </w:p>
    <w:p w:rsidR="004E2E4C" w:rsidRPr="00EC4AE7" w:rsidRDefault="004E2E4C" w:rsidP="00EC4AE7">
      <w:pPr>
        <w:pStyle w:val="Titolo1"/>
        <w:shd w:val="clear" w:color="auto" w:fill="FFFFFF"/>
        <w:spacing w:before="0" w:beforeAutospacing="0" w:after="0" w:afterAutospacing="0"/>
        <w:rPr>
          <w:rFonts w:ascii="Calibri" w:hAnsi="Calibri"/>
          <w:b w:val="0"/>
          <w:sz w:val="22"/>
          <w:szCs w:val="22"/>
        </w:rPr>
      </w:pPr>
      <w:r w:rsidRPr="00EC4AE7">
        <w:rPr>
          <w:rFonts w:ascii="Calibri" w:hAnsi="Calibri"/>
          <w:b w:val="0"/>
          <w:sz w:val="22"/>
          <w:szCs w:val="22"/>
          <w:u w:val="single"/>
        </w:rPr>
        <w:t>CAS</w:t>
      </w:r>
      <w:r w:rsidRPr="00EC4AE7">
        <w:rPr>
          <w:rFonts w:ascii="Calibri" w:hAnsi="Calibri"/>
          <w:b w:val="0"/>
          <w:sz w:val="22"/>
          <w:szCs w:val="22"/>
        </w:rPr>
        <w:t xml:space="preserve">: </w:t>
      </w:r>
      <w:r w:rsidRPr="00EC4AE7">
        <w:rPr>
          <w:rStyle w:val="s1"/>
          <w:rFonts w:ascii="Calibri" w:hAnsi="Calibri"/>
          <w:b w:val="0"/>
          <w:sz w:val="22"/>
          <w:szCs w:val="22"/>
        </w:rPr>
        <w:t>[</w:t>
      </w:r>
      <w:r w:rsidR="00EC4AE7" w:rsidRPr="00EC4AE7">
        <w:rPr>
          <w:rFonts w:asciiTheme="minorHAnsi" w:hAnsiTheme="minorHAnsi"/>
          <w:b w:val="0"/>
          <w:sz w:val="22"/>
          <w:szCs w:val="22"/>
        </w:rPr>
        <w:t>132866 – 11 – 6</w:t>
      </w:r>
      <w:r w:rsidRPr="00EC4AE7">
        <w:rPr>
          <w:rStyle w:val="s1"/>
          <w:rFonts w:ascii="Calibri" w:hAnsi="Calibri"/>
          <w:b w:val="0"/>
          <w:sz w:val="22"/>
          <w:szCs w:val="22"/>
        </w:rPr>
        <w:t>]</w:t>
      </w:r>
    </w:p>
    <w:p w:rsidR="004E2E4C" w:rsidRPr="00EC4AE7" w:rsidRDefault="004E2E4C" w:rsidP="00EC4AE7">
      <w:pPr>
        <w:pStyle w:val="Titolo1"/>
        <w:shd w:val="clear" w:color="auto" w:fill="FFFFFF"/>
        <w:spacing w:before="0" w:beforeAutospacing="0" w:after="0" w:afterAutospacing="0"/>
        <w:rPr>
          <w:rFonts w:ascii="Calibri" w:hAnsi="Calibri"/>
          <w:b w:val="0"/>
          <w:sz w:val="22"/>
          <w:szCs w:val="22"/>
        </w:rPr>
      </w:pPr>
      <w:r w:rsidRPr="00EC4AE7">
        <w:rPr>
          <w:rFonts w:ascii="Calibri" w:hAnsi="Calibri"/>
          <w:b w:val="0"/>
          <w:sz w:val="22"/>
          <w:szCs w:val="22"/>
          <w:u w:val="single"/>
        </w:rPr>
        <w:t>Aspetto</w:t>
      </w:r>
      <w:r w:rsidRPr="00EC4AE7">
        <w:rPr>
          <w:rFonts w:ascii="Calibri" w:hAnsi="Calibri"/>
          <w:b w:val="0"/>
          <w:sz w:val="22"/>
          <w:szCs w:val="22"/>
        </w:rPr>
        <w:t xml:space="preserve">: polvere </w:t>
      </w:r>
      <w:r w:rsidR="00EC4AE7">
        <w:rPr>
          <w:rFonts w:ascii="Calibri" w:hAnsi="Calibri"/>
          <w:b w:val="0"/>
          <w:sz w:val="22"/>
          <w:szCs w:val="22"/>
        </w:rPr>
        <w:t>gialla</w:t>
      </w:r>
    </w:p>
    <w:p w:rsidR="004E2E4C" w:rsidRPr="00EC4AE7" w:rsidRDefault="004E2E4C" w:rsidP="00064A2F">
      <w:pPr>
        <w:spacing w:after="0" w:line="240" w:lineRule="auto"/>
        <w:jc w:val="both"/>
        <w:rPr>
          <w:color w:val="222222"/>
        </w:rPr>
      </w:pPr>
      <w:r w:rsidRPr="00EC4AE7">
        <w:rPr>
          <w:u w:val="single"/>
        </w:rPr>
        <w:t>Solubilità</w:t>
      </w:r>
      <w:r w:rsidRPr="00EC4AE7">
        <w:t xml:space="preserve">: </w:t>
      </w:r>
      <w:r w:rsidR="00EC4AE7">
        <w:t xml:space="preserve">solubile in </w:t>
      </w:r>
      <w:r w:rsidR="00EC4AE7" w:rsidRPr="00EC4AE7">
        <w:rPr>
          <w:lang w:eastAsia="it-IT"/>
        </w:rPr>
        <w:t xml:space="preserve">metanolo, </w:t>
      </w:r>
      <w:r w:rsidR="00EC4AE7">
        <w:rPr>
          <w:lang w:eastAsia="it-IT"/>
        </w:rPr>
        <w:t>praticamente</w:t>
      </w:r>
      <w:r w:rsidR="00EC4AE7" w:rsidRPr="00EC4AE7">
        <w:rPr>
          <w:lang w:eastAsia="it-IT"/>
        </w:rPr>
        <w:t xml:space="preserve"> insolubile in </w:t>
      </w:r>
      <w:r w:rsidR="00EC4AE7">
        <w:rPr>
          <w:lang w:eastAsia="it-IT"/>
        </w:rPr>
        <w:t>acqua.</w:t>
      </w:r>
    </w:p>
    <w:p w:rsidR="004E2E4C" w:rsidRPr="00EC4AE7" w:rsidRDefault="004E2E4C" w:rsidP="00064A2F">
      <w:pPr>
        <w:spacing w:after="0" w:line="240" w:lineRule="auto"/>
        <w:jc w:val="both"/>
      </w:pPr>
    </w:p>
    <w:p w:rsidR="00EA65F0" w:rsidRPr="00A751F8" w:rsidRDefault="00EA65F0" w:rsidP="00EA65F0">
      <w:pPr>
        <w:spacing w:after="0" w:line="240" w:lineRule="auto"/>
        <w:jc w:val="both"/>
      </w:pPr>
      <w:r w:rsidRPr="00226B5F">
        <w:t xml:space="preserve">Il principio attivo </w:t>
      </w:r>
      <w:proofErr w:type="spellStart"/>
      <w:r w:rsidRPr="00226B5F">
        <w:t>lercanidipina</w:t>
      </w:r>
      <w:proofErr w:type="spellEnd"/>
      <w:r w:rsidRPr="00226B5F">
        <w:t xml:space="preserve"> </w:t>
      </w:r>
      <w:r w:rsidR="00226B5F" w:rsidRPr="00226B5F">
        <w:t xml:space="preserve">non </w:t>
      </w:r>
      <w:r w:rsidRPr="00226B5F">
        <w:t>è presente in Farmacopea Europea; il produttore di principio attivo ha</w:t>
      </w:r>
      <w:r w:rsidRPr="00A751F8">
        <w:t xml:space="preserve"> presentato un ASMF.</w:t>
      </w:r>
    </w:p>
    <w:p w:rsidR="00EA65F0" w:rsidRPr="00A751F8" w:rsidRDefault="00EA65F0" w:rsidP="00EA65F0">
      <w:pPr>
        <w:spacing w:after="0" w:line="240" w:lineRule="auto"/>
        <w:jc w:val="both"/>
      </w:pPr>
      <w:r>
        <w:t>L</w:t>
      </w:r>
      <w:r w:rsidRPr="00A751F8">
        <w:t>a sintesi del principio attivo è stata adeguatamente descritta a partire da idonei materiali di partenza; sono utilizzati appropriati controlli di processo e degli intermedi di sintesi.</w:t>
      </w:r>
    </w:p>
    <w:p w:rsidR="00EA65F0" w:rsidRPr="00A751F8" w:rsidRDefault="00EA65F0" w:rsidP="00EA65F0">
      <w:pPr>
        <w:spacing w:after="0" w:line="240" w:lineRule="auto"/>
        <w:jc w:val="both"/>
      </w:pPr>
      <w:r w:rsidRPr="00A751F8">
        <w:t>I materiali e i reagenti utilizzati nella sintesi sono di qualità adeguata.</w:t>
      </w:r>
    </w:p>
    <w:p w:rsidR="00EA65F0" w:rsidRPr="00A751F8" w:rsidRDefault="00EA65F0" w:rsidP="00EA65F0">
      <w:pPr>
        <w:spacing w:after="0" w:line="240" w:lineRule="auto"/>
        <w:jc w:val="both"/>
      </w:pPr>
      <w:r w:rsidRPr="00A751F8">
        <w:t>I materiali, gli intermedi, i reagenti utilizzati nella sintesi non sono di origine umana, biologica o geneticamente modificata.</w:t>
      </w:r>
    </w:p>
    <w:p w:rsidR="00EA65F0" w:rsidRPr="00A751F8" w:rsidRDefault="00EA65F0" w:rsidP="00EA65F0">
      <w:pPr>
        <w:spacing w:after="0" w:line="240" w:lineRule="auto"/>
        <w:jc w:val="both"/>
      </w:pPr>
      <w:r w:rsidRPr="00A751F8">
        <w:t>Le specifiche del principio attivo sono appropriate e controllati con metodi analitici adeguatamente convalidati. Sono stati forniti certificati analitici che confermano la qualità del principio attivo.</w:t>
      </w:r>
    </w:p>
    <w:p w:rsidR="00EA65F0" w:rsidRPr="00A751F8" w:rsidRDefault="00EA65F0" w:rsidP="00EA65F0">
      <w:pPr>
        <w:spacing w:after="0" w:line="240" w:lineRule="auto"/>
        <w:jc w:val="both"/>
      </w:pPr>
      <w:r w:rsidRPr="00A751F8">
        <w:t xml:space="preserve">Il principio attivo è confezionato in un adeguato contenitore, per il quale sono stati forniti specifiche e certificati analitici. Il confezionamento consiste in una </w:t>
      </w:r>
      <w:r>
        <w:t>s</w:t>
      </w:r>
      <w:r w:rsidRPr="00A751F8">
        <w:t xml:space="preserve">acca in polietilene </w:t>
      </w:r>
      <w:r>
        <w:t xml:space="preserve">inserita all’interno di un contenitore in alluminio </w:t>
      </w:r>
      <w:proofErr w:type="spellStart"/>
      <w:r>
        <w:t>trilaminato</w:t>
      </w:r>
      <w:proofErr w:type="spellEnd"/>
      <w:r w:rsidRPr="00A751F8">
        <w:t>.</w:t>
      </w:r>
    </w:p>
    <w:p w:rsidR="00EA65F0" w:rsidRPr="006B2954" w:rsidRDefault="00EA65F0" w:rsidP="00EA65F0">
      <w:pPr>
        <w:spacing w:after="0" w:line="240" w:lineRule="auto"/>
        <w:jc w:val="both"/>
        <w:rPr>
          <w:szCs w:val="24"/>
        </w:rPr>
      </w:pPr>
      <w:r w:rsidRPr="00A751F8">
        <w:t>Sono stati forniti adeguati studi di stabilità per il</w:t>
      </w:r>
      <w:r>
        <w:t xml:space="preserve"> principio attivo conservato nel </w:t>
      </w:r>
      <w:r w:rsidRPr="00A751F8">
        <w:t>confezionament</w:t>
      </w:r>
      <w:r>
        <w:t>o</w:t>
      </w:r>
      <w:r w:rsidRPr="00A751F8">
        <w:t xml:space="preserve"> propost</w:t>
      </w:r>
      <w:r>
        <w:t>o</w:t>
      </w:r>
      <w:r w:rsidRPr="00A751F8">
        <w:t xml:space="preserve"> </w:t>
      </w:r>
      <w:r w:rsidRPr="006B2954">
        <w:rPr>
          <w:szCs w:val="24"/>
        </w:rPr>
        <w:t xml:space="preserve">per il commercio. Sulla base di questi dati, è stato approvato un periodo di </w:t>
      </w:r>
      <w:proofErr w:type="spellStart"/>
      <w:r>
        <w:rPr>
          <w:szCs w:val="24"/>
        </w:rPr>
        <w:t>retest</w:t>
      </w:r>
      <w:proofErr w:type="spellEnd"/>
      <w:r>
        <w:rPr>
          <w:szCs w:val="24"/>
        </w:rPr>
        <w:t xml:space="preserve"> di</w:t>
      </w:r>
      <w:r w:rsidR="00226B5F">
        <w:rPr>
          <w:szCs w:val="24"/>
        </w:rPr>
        <w:t xml:space="preserve"> 48 mesi</w:t>
      </w:r>
      <w:r w:rsidRPr="006B2954">
        <w:rPr>
          <w:szCs w:val="24"/>
        </w:rPr>
        <w:t>.</w:t>
      </w:r>
    </w:p>
    <w:p w:rsidR="004E2E4C" w:rsidRDefault="004E2E4C" w:rsidP="00064A2F">
      <w:pPr>
        <w:spacing w:after="0" w:line="240" w:lineRule="auto"/>
        <w:jc w:val="both"/>
      </w:pPr>
    </w:p>
    <w:p w:rsidR="00FA483C" w:rsidRDefault="00FA483C" w:rsidP="00064A2F">
      <w:pPr>
        <w:spacing w:after="0" w:line="240" w:lineRule="auto"/>
        <w:jc w:val="both"/>
      </w:pPr>
    </w:p>
    <w:p w:rsidR="00AB54C2" w:rsidRPr="00EC4AE7" w:rsidRDefault="00AB54C2" w:rsidP="00064A2F">
      <w:pPr>
        <w:spacing w:after="0" w:line="240" w:lineRule="auto"/>
        <w:jc w:val="both"/>
        <w:rPr>
          <w:b/>
        </w:rPr>
      </w:pPr>
      <w:r w:rsidRPr="00EC4AE7">
        <w:rPr>
          <w:b/>
        </w:rPr>
        <w:t>II.2 PRODOTTO FINITO</w:t>
      </w:r>
    </w:p>
    <w:p w:rsidR="00AB54C2" w:rsidRPr="00EC4AE7" w:rsidRDefault="00AB54C2" w:rsidP="00064A2F">
      <w:pPr>
        <w:spacing w:after="0" w:line="240" w:lineRule="auto"/>
        <w:jc w:val="both"/>
        <w:rPr>
          <w:b/>
        </w:rPr>
      </w:pPr>
      <w:r w:rsidRPr="00EC4AE7">
        <w:rPr>
          <w:b/>
        </w:rPr>
        <w:t>Descrizione e composizione</w:t>
      </w:r>
    </w:p>
    <w:p w:rsidR="00064A2F" w:rsidRPr="00EC4AE7" w:rsidRDefault="00EC4AE7" w:rsidP="00064A2F">
      <w:pPr>
        <w:widowControl w:val="0"/>
        <w:spacing w:after="0" w:line="240" w:lineRule="auto"/>
        <w:jc w:val="both"/>
      </w:pPr>
      <w:proofErr w:type="spellStart"/>
      <w:r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EC4AE7">
        <w:rPr>
          <w:rFonts w:eastAsia="Calibri" w:cs="Calibri"/>
          <w:color w:val="000000"/>
          <w:lang w:eastAsia="it-IT"/>
        </w:rPr>
        <w:t xml:space="preserve"> </w:t>
      </w:r>
      <w:r w:rsidR="00AB54C2" w:rsidRPr="00EC4AE7">
        <w:rPr>
          <w:rFonts w:eastAsia="Calibri" w:cs="Calibri"/>
          <w:color w:val="000000"/>
          <w:lang w:eastAsia="it-IT"/>
        </w:rPr>
        <w:t xml:space="preserve">è disponibile in </w:t>
      </w:r>
      <w:r w:rsidR="00A14990" w:rsidRPr="00EC4AE7">
        <w:rPr>
          <w:rFonts w:eastAsia="Calibri" w:cs="Calibri"/>
          <w:color w:val="000000"/>
          <w:lang w:eastAsia="it-IT"/>
        </w:rPr>
        <w:t>compresse</w:t>
      </w:r>
      <w:r w:rsidR="002A26AF" w:rsidRPr="00EC4AE7">
        <w:rPr>
          <w:rFonts w:eastAsia="Calibri" w:cs="Calibri"/>
          <w:color w:val="000000"/>
          <w:lang w:eastAsia="it-IT"/>
        </w:rPr>
        <w:t xml:space="preserve"> rivestite con film</w:t>
      </w:r>
      <w:r w:rsidR="000062DD" w:rsidRPr="00EC4AE7">
        <w:rPr>
          <w:rFonts w:eastAsia="Calibri" w:cs="Calibri"/>
          <w:color w:val="000000"/>
          <w:lang w:eastAsia="it-IT"/>
        </w:rPr>
        <w:t xml:space="preserve"> </w:t>
      </w:r>
      <w:r w:rsidR="00064A2F" w:rsidRPr="00EC4AE7">
        <w:rPr>
          <w:rFonts w:eastAsia="Calibri" w:cs="Calibri"/>
          <w:color w:val="000000"/>
          <w:lang w:eastAsia="it-IT"/>
        </w:rPr>
        <w:t>contenenti 20 mg</w:t>
      </w:r>
      <w:r w:rsidRPr="00EC4AE7">
        <w:rPr>
          <w:rFonts w:eastAsia="Calibri" w:cs="Calibri"/>
          <w:color w:val="000000"/>
          <w:lang w:eastAsia="it-IT"/>
        </w:rPr>
        <w:t xml:space="preserve"> e 10 mg </w:t>
      </w:r>
      <w:r w:rsidR="00064A2F" w:rsidRPr="00EC4AE7">
        <w:rPr>
          <w:rFonts w:eastAsia="Calibri" w:cs="Calibri"/>
          <w:color w:val="000000"/>
          <w:lang w:eastAsia="it-IT"/>
        </w:rPr>
        <w:t xml:space="preserve">rispettivamente di </w:t>
      </w:r>
      <w:proofErr w:type="spellStart"/>
      <w:r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064A2F" w:rsidRPr="00EC4AE7">
        <w:t>.</w:t>
      </w:r>
    </w:p>
    <w:p w:rsidR="00724E1A" w:rsidRPr="00EC4AE7" w:rsidRDefault="00724E1A" w:rsidP="00EC4AE7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EC4AE7">
        <w:rPr>
          <w:lang w:eastAsia="it-IT"/>
        </w:rPr>
        <w:t>Gli e</w:t>
      </w:r>
      <w:r w:rsidR="00064A2F" w:rsidRPr="00EC4AE7">
        <w:rPr>
          <w:lang w:eastAsia="it-IT"/>
        </w:rPr>
        <w:t xml:space="preserve">ccipienti </w:t>
      </w:r>
      <w:r w:rsidRPr="00EC4AE7">
        <w:rPr>
          <w:lang w:eastAsia="it-IT"/>
        </w:rPr>
        <w:t>sono i seguenti:</w:t>
      </w:r>
    </w:p>
    <w:p w:rsidR="00064A2F" w:rsidRPr="00EC4AE7" w:rsidRDefault="00724E1A" w:rsidP="00EC4AE7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EC4AE7">
        <w:rPr>
          <w:i/>
          <w:lang w:eastAsia="it-IT"/>
        </w:rPr>
        <w:t>Nucleo</w:t>
      </w:r>
      <w:r w:rsidRPr="00EC4AE7">
        <w:rPr>
          <w:lang w:eastAsia="it-IT"/>
        </w:rPr>
        <w:t xml:space="preserve">: </w:t>
      </w:r>
      <w:r w:rsidR="00EC4AE7" w:rsidRPr="00EC4AE7">
        <w:rPr>
          <w:rFonts w:eastAsia="TimesNewRoman" w:cs="TimesNewRoman"/>
        </w:rPr>
        <w:t xml:space="preserve">Sodio idrogeno carbonato, Cellulosa microcristallina, Amido </w:t>
      </w:r>
      <w:proofErr w:type="spellStart"/>
      <w:r w:rsidR="00EC4AE7" w:rsidRPr="00EC4AE7">
        <w:rPr>
          <w:rFonts w:eastAsia="TimesNewRoman" w:cs="TimesNewRoman"/>
        </w:rPr>
        <w:t>pregelatinizzato</w:t>
      </w:r>
      <w:proofErr w:type="spellEnd"/>
      <w:r w:rsidR="00EC4AE7" w:rsidRPr="00EC4AE7">
        <w:rPr>
          <w:rFonts w:eastAsia="TimesNewRoman" w:cs="TimesNewRoman"/>
        </w:rPr>
        <w:t xml:space="preserve">, Sodio </w:t>
      </w:r>
      <w:proofErr w:type="spellStart"/>
      <w:r w:rsidR="00EC4AE7" w:rsidRPr="00EC4AE7">
        <w:rPr>
          <w:rFonts w:eastAsia="TimesNewRoman" w:cs="TimesNewRoman"/>
        </w:rPr>
        <w:t>carbossimetilamido</w:t>
      </w:r>
      <w:proofErr w:type="spellEnd"/>
      <w:r w:rsidR="00EC4AE7" w:rsidRPr="00EC4AE7">
        <w:rPr>
          <w:rFonts w:eastAsia="TimesNewRoman" w:cs="TimesNewRoman"/>
        </w:rPr>
        <w:t>, Silice colloidale anidra, Magnesio stearato</w:t>
      </w:r>
      <w:r w:rsidRPr="00EC4AE7">
        <w:rPr>
          <w:lang w:eastAsia="it-IT"/>
        </w:rPr>
        <w:t>.</w:t>
      </w:r>
    </w:p>
    <w:p w:rsidR="00064A2F" w:rsidRPr="00EC4AE7" w:rsidRDefault="00724E1A" w:rsidP="00EC4AE7">
      <w:pPr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EC4AE7">
        <w:rPr>
          <w:i/>
          <w:lang w:eastAsia="it-IT"/>
        </w:rPr>
        <w:t>R</w:t>
      </w:r>
      <w:r w:rsidR="00064A2F" w:rsidRPr="00EC4AE7">
        <w:rPr>
          <w:i/>
          <w:lang w:eastAsia="it-IT"/>
        </w:rPr>
        <w:t>ivestimento</w:t>
      </w:r>
      <w:r w:rsidRPr="00EC4AE7">
        <w:rPr>
          <w:lang w:eastAsia="it-IT"/>
        </w:rPr>
        <w:t xml:space="preserve">: </w:t>
      </w:r>
      <w:proofErr w:type="spellStart"/>
      <w:r w:rsidR="00EC4AE7" w:rsidRPr="00EC4AE7">
        <w:rPr>
          <w:rFonts w:eastAsia="TimesNewRoman" w:cs="TimesNewRoman"/>
        </w:rPr>
        <w:t>Ipromellosa</w:t>
      </w:r>
      <w:proofErr w:type="spellEnd"/>
      <w:r w:rsidR="00EC4AE7" w:rsidRPr="00EC4AE7">
        <w:rPr>
          <w:rFonts w:eastAsia="TimesNewRoman" w:cs="TimesNewRoman"/>
        </w:rPr>
        <w:t>, Macrogol 6000, Talco, Diossido di titanio (E171), Ossido di ferro giallo (E172)</w:t>
      </w:r>
      <w:r w:rsidR="00064A2F" w:rsidRPr="00EC4AE7">
        <w:rPr>
          <w:lang w:eastAsia="it-IT"/>
        </w:rPr>
        <w:t xml:space="preserve"> </w:t>
      </w:r>
    </w:p>
    <w:p w:rsidR="00070DFB" w:rsidRPr="00EC4AE7" w:rsidRDefault="009F16FA" w:rsidP="00064A2F">
      <w:pPr>
        <w:tabs>
          <w:tab w:val="left" w:pos="0"/>
        </w:tabs>
        <w:spacing w:after="0" w:line="240" w:lineRule="auto"/>
        <w:jc w:val="both"/>
      </w:pPr>
      <w:r w:rsidRPr="00EC4AE7">
        <w:t>Tutti gli eccipienti sono conformi alla relativa monografia di Farmacopea Europea</w:t>
      </w:r>
      <w:r w:rsidR="00A14990" w:rsidRPr="00EC4AE7">
        <w:t xml:space="preserve">, ad eccezione </w:t>
      </w:r>
      <w:r w:rsidR="00202FE5" w:rsidRPr="00EC4AE7">
        <w:t xml:space="preserve">di </w:t>
      </w:r>
      <w:r w:rsidR="00EC4AE7" w:rsidRPr="00EC4AE7">
        <w:rPr>
          <w:rFonts w:eastAsia="TimesNewRoman" w:cs="TimesNewRoman"/>
        </w:rPr>
        <w:t>Ossido di ferro giallo (E172)</w:t>
      </w:r>
      <w:r w:rsidR="00202FE5" w:rsidRPr="00EC4AE7">
        <w:t xml:space="preserve">, </w:t>
      </w:r>
      <w:r w:rsidR="00070DFB" w:rsidRPr="00EC4AE7">
        <w:t>le cui specifiche sono state adeguatamente definite dal produttore.</w:t>
      </w:r>
    </w:p>
    <w:p w:rsidR="00AB54C2" w:rsidRPr="00064A2F" w:rsidRDefault="00AB54C2" w:rsidP="00064A2F">
      <w:pPr>
        <w:spacing w:after="0" w:line="240" w:lineRule="auto"/>
        <w:jc w:val="both"/>
      </w:pPr>
      <w:r w:rsidRPr="00EC4AE7">
        <w:t>Nessun eccipiente è ottenuto da organismi geneticamente modificati; non sono presenti eccipienti mai utilizzati nell’uomo.</w:t>
      </w:r>
    </w:p>
    <w:p w:rsidR="00202FE5" w:rsidRPr="00064A2F" w:rsidRDefault="00202FE5" w:rsidP="00064A2F">
      <w:pPr>
        <w:spacing w:after="0" w:line="240" w:lineRule="auto"/>
        <w:jc w:val="both"/>
        <w:rPr>
          <w:b/>
        </w:rPr>
      </w:pPr>
    </w:p>
    <w:p w:rsidR="00AB54C2" w:rsidRPr="00064A2F" w:rsidRDefault="00AB54C2" w:rsidP="00064A2F">
      <w:pPr>
        <w:spacing w:after="0" w:line="240" w:lineRule="auto"/>
        <w:jc w:val="both"/>
        <w:rPr>
          <w:b/>
        </w:rPr>
      </w:pPr>
      <w:r w:rsidRPr="00064A2F">
        <w:rPr>
          <w:b/>
        </w:rPr>
        <w:t>Sviluppo farmaceutico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>Sono stati forniti dettagli dello sviluppo farmaceutico e questi sono stati ritenuti soddisfacenti.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 xml:space="preserve">Lo scopo era quello di ottenere un medicinale </w:t>
      </w:r>
      <w:proofErr w:type="spellStart"/>
      <w:r w:rsidRPr="00064A2F">
        <w:t>bioequivalente</w:t>
      </w:r>
      <w:proofErr w:type="spellEnd"/>
      <w:r w:rsidRPr="00064A2F">
        <w:t xml:space="preserve"> al medicinale di riferimento </w:t>
      </w:r>
      <w:proofErr w:type="spellStart"/>
      <w:r w:rsidR="00EC4AE7">
        <w:t>Zanipril</w:t>
      </w:r>
      <w:proofErr w:type="spellEnd"/>
      <w:r w:rsidRPr="00064A2F">
        <w:t>.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>Sono stati forniti dati comparativi relativi al profilo di dissoluzione e al profilo di impurezze rispetto al medicinale di riferimento. I dati sono soddisfacenti.</w:t>
      </w:r>
    </w:p>
    <w:p w:rsidR="00097D78" w:rsidRPr="00064A2F" w:rsidRDefault="00097D78" w:rsidP="00064A2F">
      <w:pPr>
        <w:spacing w:after="0" w:line="240" w:lineRule="auto"/>
        <w:jc w:val="both"/>
      </w:pPr>
    </w:p>
    <w:p w:rsidR="00AB54C2" w:rsidRPr="00064A2F" w:rsidRDefault="00AB54C2" w:rsidP="00064A2F">
      <w:pPr>
        <w:spacing w:after="0" w:line="240" w:lineRule="auto"/>
        <w:jc w:val="both"/>
        <w:rPr>
          <w:b/>
        </w:rPr>
      </w:pPr>
      <w:r w:rsidRPr="00064A2F">
        <w:rPr>
          <w:b/>
        </w:rPr>
        <w:t xml:space="preserve">Produzione 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>Sono stati forniti una descrizione del metodo di produzione e la relativa flow-chart.</w:t>
      </w:r>
    </w:p>
    <w:p w:rsidR="00AB54C2" w:rsidRPr="00836DD3" w:rsidRDefault="00AB54C2" w:rsidP="00064A2F">
      <w:pPr>
        <w:spacing w:after="0" w:line="240" w:lineRule="auto"/>
        <w:jc w:val="both"/>
      </w:pPr>
      <w:r w:rsidRPr="00064A2F">
        <w:t>I controlli effettuati nel corso della produzione sono appropriati per la natura del medicinale e del metodo di pr</w:t>
      </w:r>
      <w:r w:rsidRPr="00836DD3">
        <w:t>oduzione. Sono stati forniti, inoltre, dati soddisfacenti relativi alla convalida del metodo di produzione.</w:t>
      </w:r>
    </w:p>
    <w:p w:rsidR="00AB54C2" w:rsidRPr="00836DD3" w:rsidRDefault="00AB54C2" w:rsidP="00836DD3">
      <w:pPr>
        <w:spacing w:after="0" w:line="240" w:lineRule="auto"/>
        <w:jc w:val="both"/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Specifiche del prodotto finito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EC4AE7">
        <w:t xml:space="preserve">il </w:t>
      </w:r>
      <w:r w:rsidRPr="00070DFB">
        <w:t>prodotto finito: questi dati dimostrano che i lotti prodotti sono in accordo alle specifiche proposte. Sono stati forniti, infine, certificati analitici per gli standard di riferimento utilizzati.</w:t>
      </w:r>
    </w:p>
    <w:p w:rsidR="00AB54C2" w:rsidRPr="00A14990" w:rsidRDefault="00AB54C2" w:rsidP="00AB54C2">
      <w:pPr>
        <w:spacing w:after="0" w:line="240" w:lineRule="auto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Contenitore</w:t>
      </w:r>
    </w:p>
    <w:p w:rsidR="00AB54C2" w:rsidRPr="00070DFB" w:rsidRDefault="00EC4AE7" w:rsidP="00AB54C2">
      <w:pPr>
        <w:spacing w:after="0" w:line="240" w:lineRule="auto"/>
        <w:jc w:val="both"/>
      </w:pPr>
      <w:proofErr w:type="spellStart"/>
      <w:r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070DFB">
        <w:t xml:space="preserve"> </w:t>
      </w:r>
      <w:r w:rsidR="00AB54C2" w:rsidRPr="00070DFB">
        <w:t>è confezionato in</w:t>
      </w:r>
      <w:r w:rsidR="00E2236C" w:rsidRPr="00070DFB">
        <w:t xml:space="preserve"> </w:t>
      </w:r>
      <w:r w:rsidR="00E2236C" w:rsidRPr="00AD5FCC">
        <w:t>blister</w:t>
      </w:r>
      <w:r w:rsidR="00AD5FCC" w:rsidRPr="00AD5FCC">
        <w:t xml:space="preserve"> </w:t>
      </w:r>
      <w:proofErr w:type="spellStart"/>
      <w:r>
        <w:t>Poliamide</w:t>
      </w:r>
      <w:proofErr w:type="spellEnd"/>
      <w:r w:rsidR="001C7E83" w:rsidRPr="00AD5FCC">
        <w:t>/Alluminio</w:t>
      </w:r>
      <w:r>
        <w:t>/PVC</w:t>
      </w:r>
      <w:r w:rsidR="00AB54C2" w:rsidRPr="00AD5FCC">
        <w:t>. So</w:t>
      </w:r>
      <w:r w:rsidR="00AB54C2" w:rsidRPr="00070DFB">
        <w:t>no state fornite specifiche e certificati analitici per tutti i componenti del confezionamento primario, che è adeguato per il medicinale.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Stabilità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Studi di stabilità sul prodotto finito sono stati condotti in accordo alle correnti linee guida e i risultati sono </w:t>
      </w:r>
      <w:r w:rsidRPr="00AD5FCC">
        <w:t xml:space="preserve">entro i limiti delle specifiche autorizzate. Sulla base di questi risultati, è stato autorizzato un periodo di validità di </w:t>
      </w:r>
      <w:r w:rsidR="001C7E83" w:rsidRPr="00AD5FCC">
        <w:t>2</w:t>
      </w:r>
      <w:r w:rsidRPr="00AD5FCC">
        <w:t xml:space="preserve"> anni  </w:t>
      </w:r>
      <w:r w:rsidR="00EC4AE7">
        <w:t>senza nessuna precauzione per la conservazione.</w:t>
      </w:r>
    </w:p>
    <w:p w:rsidR="00FE1730" w:rsidRPr="00070DFB" w:rsidRDefault="00FE1730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II.3 Discussione sugli aspetti di qualità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Tutte le criticità evidenziate nel corso della valutazione sono state risolte e la qualità di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C4AE7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C4AE7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070DFB">
        <w:t xml:space="preserve"> </w:t>
      </w:r>
      <w:r w:rsidRPr="00070DFB">
        <w:t xml:space="preserve">è considerata adeguata. Non ci sono obiezioni per l’approvazione di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C4AE7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C4AE7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070DFB">
        <w:t xml:space="preserve"> </w:t>
      </w:r>
      <w:r w:rsidRPr="00070DFB">
        <w:t>dal punto di vista chimico-farmaceutico.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NON CLINICI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Non sono stati condotti specifici studi non clinici, in quanto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C4AE7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C4AE7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C4AE7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070DFB">
        <w:t xml:space="preserve"> </w:t>
      </w:r>
      <w:r w:rsidRPr="00070DFB">
        <w:t xml:space="preserve">contiene </w:t>
      </w:r>
      <w:r w:rsidR="00EC4AE7">
        <w:t>due</w:t>
      </w:r>
      <w:r w:rsidRPr="00070DFB">
        <w:t xml:space="preserve"> principi attiv</w:t>
      </w:r>
      <w:r w:rsidR="00EC4AE7">
        <w:t>i</w:t>
      </w:r>
      <w:r w:rsidRPr="00070DFB">
        <w:t xml:space="preserve"> not</w:t>
      </w:r>
      <w:r w:rsidR="00EC4AE7">
        <w:t>i</w:t>
      </w:r>
      <w:r w:rsidRPr="00070DFB">
        <w:t xml:space="preserve">: questo approccio è accettabile poiché il medicinale di riferimento </w:t>
      </w:r>
      <w:proofErr w:type="spellStart"/>
      <w:r w:rsidR="00EC4AE7">
        <w:t>Zanipril</w:t>
      </w:r>
      <w:proofErr w:type="spellEnd"/>
      <w:r w:rsidRPr="00070DFB">
        <w:t xml:space="preserve"> è autorizzato in Italia da oltre 10 anni.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Non ci sono obiezioni per l’approvazione dal punto di vista non clinico.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FA483C" w:rsidRPr="00070DFB" w:rsidRDefault="00FA483C" w:rsidP="00AB54C2">
      <w:pPr>
        <w:spacing w:after="0" w:line="240" w:lineRule="auto"/>
        <w:jc w:val="both"/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CLINICI</w:t>
      </w:r>
    </w:p>
    <w:p w:rsidR="00EA65F0" w:rsidRDefault="00EC4AE7" w:rsidP="00EA65F0">
      <w:pPr>
        <w:autoSpaceDE w:val="0"/>
        <w:autoSpaceDN w:val="0"/>
        <w:adjustRightInd w:val="0"/>
        <w:spacing w:after="0" w:line="240" w:lineRule="auto"/>
        <w:jc w:val="both"/>
        <w:rPr>
          <w:rFonts w:eastAsia="TimesNewRoman" w:cs="TimesNewRoman"/>
        </w:rPr>
      </w:pPr>
      <w:proofErr w:type="spellStart"/>
      <w:r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AD5FCC" w:rsidRPr="004E2E4C">
        <w:rPr>
          <w:rFonts w:eastAsia="Calibri" w:cs="Calibri"/>
          <w:color w:val="000000"/>
          <w:szCs w:val="24"/>
          <w:lang w:eastAsia="it-IT"/>
        </w:rPr>
        <w:t xml:space="preserve"> </w:t>
      </w:r>
      <w:r w:rsidR="00AD5FCC" w:rsidRPr="004E2E4C">
        <w:rPr>
          <w:rFonts w:cs="Helvetica"/>
          <w:szCs w:val="24"/>
        </w:rPr>
        <w:t>è utilizzato</w:t>
      </w:r>
      <w:r w:rsidR="00AD5FCC" w:rsidRPr="004E2E4C">
        <w:rPr>
          <w:rFonts w:eastAsia="Calibri" w:cs="Calibri"/>
          <w:color w:val="000000"/>
          <w:szCs w:val="24"/>
          <w:lang w:eastAsia="it-IT"/>
        </w:rPr>
        <w:t xml:space="preserve"> negli adulti </w:t>
      </w:r>
      <w:r w:rsidR="00EA65F0" w:rsidRPr="007B6648">
        <w:rPr>
          <w:rFonts w:eastAsia="Calibri" w:cs="Calibri"/>
          <w:color w:val="000000"/>
          <w:szCs w:val="24"/>
          <w:lang w:eastAsia="it-IT"/>
        </w:rPr>
        <w:t>per il t</w:t>
      </w:r>
      <w:r w:rsidR="00EA65F0" w:rsidRPr="007B6648">
        <w:rPr>
          <w:rFonts w:eastAsia="TimesNewRoman" w:cs="TimesNewRoman"/>
        </w:rPr>
        <w:t>rattamento dell’ipertensione essenziale in pazienti con pressione arteriosa non adeguatamente controllata da</w:t>
      </w:r>
      <w:r w:rsidR="00EA65F0">
        <w:rPr>
          <w:rFonts w:eastAsia="TimesNewRoman" w:cs="TimesNewRoman"/>
        </w:rPr>
        <w:t xml:space="preserve"> </w:t>
      </w:r>
      <w:r w:rsidR="00EA65F0" w:rsidRPr="007B6648">
        <w:rPr>
          <w:rFonts w:eastAsia="TimesNewRoman" w:cs="TimesNewRoman"/>
        </w:rPr>
        <w:t xml:space="preserve">una </w:t>
      </w:r>
      <w:proofErr w:type="spellStart"/>
      <w:r w:rsidR="00EA65F0" w:rsidRPr="007B6648">
        <w:rPr>
          <w:rFonts w:eastAsia="TimesNewRoman" w:cs="TimesNewRoman"/>
        </w:rPr>
        <w:t>monoterapia</w:t>
      </w:r>
      <w:proofErr w:type="spellEnd"/>
      <w:r w:rsidR="00EA65F0" w:rsidRPr="007B6648">
        <w:rPr>
          <w:rFonts w:eastAsia="TimesNewRoman" w:cs="TimesNewRoman"/>
        </w:rPr>
        <w:t xml:space="preserve"> con </w:t>
      </w:r>
      <w:proofErr w:type="spellStart"/>
      <w:r w:rsidR="00EA65F0" w:rsidRPr="007B6648">
        <w:rPr>
          <w:rFonts w:eastAsia="TimesNewRoman" w:cs="TimesNewRoman"/>
        </w:rPr>
        <w:t>enalapril</w:t>
      </w:r>
      <w:proofErr w:type="spellEnd"/>
      <w:r w:rsidR="00EA65F0" w:rsidRPr="007B6648">
        <w:rPr>
          <w:rFonts w:eastAsia="TimesNewRoman" w:cs="TimesNewRoman"/>
        </w:rPr>
        <w:t xml:space="preserve"> 20 mg.</w:t>
      </w:r>
    </w:p>
    <w:p w:rsidR="00EA65F0" w:rsidRPr="007B6648" w:rsidRDefault="00EA65F0" w:rsidP="00EA65F0">
      <w:pPr>
        <w:autoSpaceDE w:val="0"/>
        <w:autoSpaceDN w:val="0"/>
        <w:adjustRightInd w:val="0"/>
        <w:spacing w:after="0" w:line="240" w:lineRule="auto"/>
        <w:jc w:val="both"/>
        <w:rPr>
          <w:szCs w:val="24"/>
          <w:shd w:val="clear" w:color="auto" w:fill="FFFFFF"/>
        </w:rPr>
      </w:pPr>
      <w:r w:rsidRPr="007B6648">
        <w:rPr>
          <w:rFonts w:eastAsia="TimesNewRoman" w:cs="TimesNewRoman"/>
        </w:rPr>
        <w:t xml:space="preserve">L’associazione fissa </w:t>
      </w:r>
      <w:proofErr w:type="spellStart"/>
      <w:r w:rsidRPr="007B6648">
        <w:rPr>
          <w:rFonts w:eastAsia="TimesNewRoman" w:cs="TimesNewRoman"/>
        </w:rPr>
        <w:t>Enalapril</w:t>
      </w:r>
      <w:proofErr w:type="spellEnd"/>
      <w:r w:rsidRPr="007B6648">
        <w:rPr>
          <w:rFonts w:eastAsia="TimesNewRoman" w:cs="TimesNewRoman"/>
        </w:rPr>
        <w:t xml:space="preserve"> </w:t>
      </w:r>
      <w:r>
        <w:rPr>
          <w:rFonts w:eastAsia="TimesNewRoman" w:cs="TimesNewRoman"/>
        </w:rPr>
        <w:t>e</w:t>
      </w:r>
      <w:r w:rsidRPr="007B6648">
        <w:rPr>
          <w:rFonts w:eastAsia="TimesNewRoman" w:cs="TimesNewRoman"/>
        </w:rPr>
        <w:t xml:space="preserve"> </w:t>
      </w:r>
      <w:proofErr w:type="spellStart"/>
      <w:r>
        <w:rPr>
          <w:rFonts w:eastAsia="TimesNewRoman" w:cs="TimesNewRoman"/>
        </w:rPr>
        <w:t>l</w:t>
      </w:r>
      <w:r w:rsidRPr="007B6648">
        <w:rPr>
          <w:rFonts w:eastAsia="TimesNewRoman" w:cs="TimesNewRoman"/>
        </w:rPr>
        <w:t>ercanidipina</w:t>
      </w:r>
      <w:proofErr w:type="spellEnd"/>
      <w:r w:rsidRPr="007B6648">
        <w:rPr>
          <w:rFonts w:eastAsia="TimesNewRoman" w:cs="TimesNewRoman"/>
        </w:rPr>
        <w:t xml:space="preserve"> </w:t>
      </w:r>
      <w:proofErr w:type="spellStart"/>
      <w:r w:rsidRPr="007B6648">
        <w:rPr>
          <w:rFonts w:eastAsia="TimesNewRoman" w:cs="TimesNewRoman"/>
        </w:rPr>
        <w:t>Sagaem</w:t>
      </w:r>
      <w:proofErr w:type="spellEnd"/>
      <w:r w:rsidRPr="007B6648">
        <w:rPr>
          <w:rFonts w:eastAsia="TimesNewRoman" w:cs="TimesNewRoman"/>
        </w:rPr>
        <w:t xml:space="preserve"> 20 mg/10 mg non deve essere utilizzata</w:t>
      </w:r>
      <w:r>
        <w:rPr>
          <w:rFonts w:eastAsia="TimesNewRoman" w:cs="TimesNewRoman"/>
        </w:rPr>
        <w:t xml:space="preserve"> </w:t>
      </w:r>
      <w:r w:rsidRPr="007B6648">
        <w:rPr>
          <w:rFonts w:eastAsia="TimesNewRoman" w:cs="TimesNewRoman"/>
        </w:rPr>
        <w:t>per il trattamento iniziale dell’ipertensione.</w:t>
      </w:r>
    </w:p>
    <w:p w:rsidR="00AD5FCC" w:rsidRDefault="00AD5FCC" w:rsidP="00AB54C2">
      <w:pPr>
        <w:spacing w:after="0" w:line="240" w:lineRule="auto"/>
        <w:ind w:right="6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b/>
        </w:rPr>
      </w:pPr>
      <w:r w:rsidRPr="00070DFB">
        <w:rPr>
          <w:b/>
        </w:rPr>
        <w:t>Posologia e modalità di somministrazione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t>Le informazioni sulla posologia e sulle modalità di somministrazione sono riportate nel Riassunto delle Caratteristiche del Prodotto pubblicato sul sito dell’Agenzia Italiana del Farmaco - AIFA /</w:t>
      </w:r>
      <w:r w:rsidRPr="00070DFB">
        <w:rPr>
          <w:rFonts w:eastAsia="Calibri" w:cs="Calibri"/>
          <w:lang w:eastAsia="it-IT"/>
        </w:rPr>
        <w:t>(</w:t>
      </w:r>
      <w:hyperlink r:id="rId12" w:history="1">
        <w:r w:rsidRPr="00070DF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70DFB">
        <w:rPr>
          <w:rFonts w:eastAsia="Calibri" w:cs="Calibri"/>
          <w:lang w:eastAsia="it-IT"/>
        </w:rPr>
        <w:t>).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70DFB">
        <w:rPr>
          <w:rFonts w:eastAsia="Calibri" w:cs="Calibri"/>
          <w:b/>
          <w:lang w:eastAsia="it-IT"/>
        </w:rPr>
        <w:t>Tossicologia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rPr>
          <w:rFonts w:eastAsia="Calibri" w:cs="Calibri"/>
          <w:lang w:eastAsia="it-IT"/>
        </w:rPr>
        <w:t xml:space="preserve">La tossicologia di </w:t>
      </w:r>
      <w:proofErr w:type="spellStart"/>
      <w:r w:rsidR="00EA65F0">
        <w:t>enalapril</w:t>
      </w:r>
      <w:proofErr w:type="spellEnd"/>
      <w:r w:rsidR="00EA65F0">
        <w:t xml:space="preserve"> e </w:t>
      </w:r>
      <w:proofErr w:type="spellStart"/>
      <w:r w:rsidR="00EA65F0">
        <w:t>lercanidipina</w:t>
      </w:r>
      <w:proofErr w:type="spellEnd"/>
      <w:r w:rsidRPr="00070DFB">
        <w:t xml:space="preserve"> </w:t>
      </w:r>
      <w:r w:rsidRPr="00070DFB"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70DFB">
        <w:rPr>
          <w:rFonts w:eastAsia="Times New Roman" w:cs="Times New Roman"/>
          <w:b/>
        </w:rPr>
        <w:t>Farmacologia clinica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rPr>
          <w:rFonts w:eastAsia="Calibri" w:cs="Calibri"/>
          <w:lang w:eastAsia="it-IT"/>
        </w:rPr>
        <w:t xml:space="preserve">La </w:t>
      </w:r>
      <w:r w:rsidRPr="000746A5">
        <w:rPr>
          <w:rFonts w:eastAsia="Calibri" w:cs="Calibri"/>
          <w:lang w:eastAsia="it-IT"/>
        </w:rPr>
        <w:t xml:space="preserve">farmacologia clinica di </w:t>
      </w:r>
      <w:proofErr w:type="spellStart"/>
      <w:r w:rsidR="00EA65F0">
        <w:rPr>
          <w:rFonts w:eastAsia="Calibri" w:cs="Calibri"/>
          <w:color w:val="000000"/>
          <w:lang w:eastAsia="it-IT"/>
        </w:rPr>
        <w:t>e</w:t>
      </w:r>
      <w:r w:rsidR="00EA65F0" w:rsidRPr="00EC4AE7">
        <w:rPr>
          <w:rFonts w:eastAsia="Calibri" w:cs="Calibri"/>
          <w:color w:val="000000"/>
          <w:lang w:eastAsia="it-IT"/>
        </w:rPr>
        <w:t>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r w:rsidRPr="000746A5">
        <w:rPr>
          <w:rFonts w:eastAsia="Calibri" w:cs="Calibri"/>
          <w:lang w:eastAsia="it-IT"/>
        </w:rPr>
        <w:t>è ben conosciuta.</w:t>
      </w:r>
      <w:r w:rsidRPr="000746A5">
        <w:t xml:space="preserve"> Con l’eccezione de</w:t>
      </w:r>
      <w:r w:rsidR="000746A5" w:rsidRPr="000746A5">
        <w:t>gli</w:t>
      </w:r>
      <w:r w:rsidRPr="000746A5">
        <w:t xml:space="preserve"> studi di bioequivalenza, non sono stati condotti nuovi studi clinici di farmacodinamica e farmacocinetica, in quanto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070DFB">
        <w:t xml:space="preserve"> </w:t>
      </w:r>
      <w:r w:rsidRPr="00070DFB">
        <w:t xml:space="preserve">contiene </w:t>
      </w:r>
      <w:r w:rsidR="00AD5FCC">
        <w:t>principi</w:t>
      </w:r>
      <w:r w:rsidRPr="00070DFB">
        <w:t xml:space="preserve"> attiv</w:t>
      </w:r>
      <w:r w:rsidR="00AD5FCC">
        <w:t>i</w:t>
      </w:r>
      <w:r w:rsidRPr="00070DFB">
        <w:t xml:space="preserve"> not</w:t>
      </w:r>
      <w:r w:rsidR="00AD5FCC">
        <w:t>i</w:t>
      </w:r>
      <w:r w:rsidRPr="00070DFB">
        <w:t xml:space="preserve"> e present</w:t>
      </w:r>
      <w:r w:rsidR="00AD5FCC">
        <w:t>i</w:t>
      </w:r>
      <w:r w:rsidRPr="00070DFB">
        <w:t xml:space="preserve"> nel medicinale </w:t>
      </w:r>
      <w:proofErr w:type="spellStart"/>
      <w:r w:rsidR="00EA65F0">
        <w:t>Zanipril</w:t>
      </w:r>
      <w:proofErr w:type="spellEnd"/>
      <w:r w:rsidRPr="00070DFB">
        <w:t xml:space="preserve"> autorizzato in Italia da più di 10 anni.</w:t>
      </w:r>
    </w:p>
    <w:p w:rsidR="00FA483C" w:rsidRDefault="00FA483C" w:rsidP="00AB54C2">
      <w:pPr>
        <w:spacing w:after="0" w:line="240" w:lineRule="auto"/>
        <w:jc w:val="both"/>
        <w:rPr>
          <w:b/>
        </w:rPr>
      </w:pPr>
    </w:p>
    <w:p w:rsidR="00AB54C2" w:rsidRPr="00070DFB" w:rsidRDefault="00E713B8" w:rsidP="00AB54C2">
      <w:pPr>
        <w:spacing w:after="0" w:line="240" w:lineRule="auto"/>
        <w:jc w:val="both"/>
        <w:rPr>
          <w:b/>
        </w:rPr>
      </w:pPr>
      <w:r>
        <w:rPr>
          <w:b/>
        </w:rPr>
        <w:t>Studi</w:t>
      </w:r>
      <w:r w:rsidR="00AB54C2" w:rsidRPr="00070DFB">
        <w:rPr>
          <w:b/>
        </w:rPr>
        <w:t xml:space="preserve"> di bioequivalenza</w:t>
      </w:r>
    </w:p>
    <w:p w:rsidR="009F16FA" w:rsidRPr="00AD5FCC" w:rsidRDefault="009F16FA" w:rsidP="009F16FA">
      <w:pPr>
        <w:spacing w:after="0" w:line="240" w:lineRule="auto"/>
        <w:jc w:val="both"/>
        <w:rPr>
          <w:highlight w:val="yellow"/>
        </w:rPr>
      </w:pPr>
      <w:r w:rsidRPr="009F3EF7">
        <w:t xml:space="preserve">La richiesta di AIC è supportata </w:t>
      </w:r>
      <w:r w:rsidR="00EA65F0">
        <w:t>da uno</w:t>
      </w:r>
      <w:r w:rsidR="00B44898" w:rsidRPr="009F3EF7">
        <w:t xml:space="preserve"> studi</w:t>
      </w:r>
      <w:r w:rsidR="00EA65F0">
        <w:t xml:space="preserve">o </w:t>
      </w:r>
      <w:r w:rsidRPr="009F3EF7">
        <w:t>di bioequivalenza</w:t>
      </w:r>
      <w:r w:rsidR="00B44898" w:rsidRPr="009F3EF7">
        <w:t xml:space="preserve"> </w:t>
      </w:r>
      <w:r w:rsidRPr="009F3EF7">
        <w:t>che ha confronta</w:t>
      </w:r>
      <w:r w:rsidRPr="00E713B8">
        <w:t xml:space="preserve">to i profili farmacocinetici di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E713B8">
        <w:t xml:space="preserve"> </w:t>
      </w:r>
      <w:r w:rsidRPr="00E713B8">
        <w:t>e quell</w:t>
      </w:r>
      <w:r w:rsidR="00E713B8" w:rsidRPr="00E713B8">
        <w:t>i del medicinale di riferimento</w:t>
      </w:r>
      <w:r w:rsidRPr="00E713B8">
        <w:t>.</w:t>
      </w:r>
    </w:p>
    <w:p w:rsidR="009F16FA" w:rsidRPr="00F5121D" w:rsidRDefault="00EA65F0" w:rsidP="009F16FA">
      <w:pPr>
        <w:pStyle w:val="Paragrafoelenco"/>
        <w:spacing w:after="0" w:line="240" w:lineRule="auto"/>
        <w:ind w:left="0"/>
        <w:jc w:val="both"/>
      </w:pPr>
      <w:r>
        <w:t>Lo studio era</w:t>
      </w:r>
      <w:r w:rsidR="009F16FA" w:rsidRPr="009F3EF7">
        <w:t xml:space="preserve"> caratterizzat</w:t>
      </w:r>
      <w:r>
        <w:t>o</w:t>
      </w:r>
      <w:r w:rsidR="009F16FA" w:rsidRPr="009F3EF7">
        <w:t xml:space="preserve"> da un appropriato disegno e</w:t>
      </w:r>
      <w:r w:rsidR="00E713B8">
        <w:t xml:space="preserve"> </w:t>
      </w:r>
      <w:r>
        <w:t>ed è stato condotto</w:t>
      </w:r>
      <w:r w:rsidR="009F16FA" w:rsidRPr="009F3EF7">
        <w:t xml:space="preserve"> in accordo ai principi GCP. Sono stati forniti certificati </w:t>
      </w:r>
      <w:r w:rsidR="009F16FA" w:rsidRPr="00F5121D">
        <w:t>analitici per medicinale test e medicinale di riferimento.</w:t>
      </w:r>
    </w:p>
    <w:p w:rsidR="009F16FA" w:rsidRPr="00F5121D" w:rsidRDefault="00EA65F0" w:rsidP="00B44898">
      <w:pPr>
        <w:spacing w:after="0" w:line="240" w:lineRule="auto"/>
        <w:jc w:val="both"/>
        <w:rPr>
          <w:rFonts w:cs="Arial"/>
        </w:rPr>
      </w:pPr>
      <w:r w:rsidRPr="00F5121D">
        <w:t xml:space="preserve">Lo </w:t>
      </w:r>
      <w:r w:rsidR="00AF32FD" w:rsidRPr="00F5121D">
        <w:t>studio</w:t>
      </w:r>
      <w:r w:rsidR="009F3EF7" w:rsidRPr="00F5121D">
        <w:t xml:space="preserve"> di bioequivalenza </w:t>
      </w:r>
      <w:r w:rsidR="00AF32FD" w:rsidRPr="00F5121D">
        <w:t xml:space="preserve">è uno </w:t>
      </w:r>
      <w:r w:rsidR="009F16FA" w:rsidRPr="00F5121D">
        <w:t>studi</w:t>
      </w:r>
      <w:r w:rsidR="00AF32FD" w:rsidRPr="00F5121D">
        <w:t>o</w:t>
      </w:r>
      <w:r w:rsidR="009F16FA" w:rsidRPr="00F5121D">
        <w:t xml:space="preserve"> comparativo, </w:t>
      </w:r>
      <w:r w:rsidR="00DD27A5" w:rsidRPr="00F5121D">
        <w:t>aperto</w:t>
      </w:r>
      <w:r w:rsidR="00AF32FD" w:rsidRPr="00F5121D">
        <w:t>, randomizzato, a dose singola</w:t>
      </w:r>
      <w:r w:rsidR="009F16FA" w:rsidRPr="00F5121D">
        <w:t>,</w:t>
      </w:r>
      <w:r w:rsidR="00F5121D" w:rsidRPr="00F5121D">
        <w:t xml:space="preserve"> replicato, 4</w:t>
      </w:r>
      <w:r w:rsidR="009F16FA" w:rsidRPr="00F5121D">
        <w:t xml:space="preserve">-periodi, crossover condotto in </w:t>
      </w:r>
      <w:r w:rsidR="005E05A8" w:rsidRPr="00F5121D">
        <w:t>3</w:t>
      </w:r>
      <w:r w:rsidR="00F5121D">
        <w:t>8</w:t>
      </w:r>
      <w:r w:rsidR="00202FE5" w:rsidRPr="00F5121D">
        <w:t xml:space="preserve"> </w:t>
      </w:r>
      <w:r w:rsidR="009F16FA" w:rsidRPr="00F5121D">
        <w:t>volontari sani con somministrazione a digiuno.</w:t>
      </w:r>
      <w:r w:rsidR="009F16FA" w:rsidRPr="00F5121D">
        <w:rPr>
          <w:rFonts w:cs="Arial"/>
        </w:rPr>
        <w:t xml:space="preserve"> </w:t>
      </w:r>
      <w:r w:rsidR="009F16FA" w:rsidRPr="00F5121D">
        <w:t xml:space="preserve">Un soddisfacente periodo di wash-out di </w:t>
      </w:r>
      <w:r w:rsidR="00F5121D" w:rsidRPr="00F5121D">
        <w:rPr>
          <w:rFonts w:cs="Arial"/>
        </w:rPr>
        <w:t>7</w:t>
      </w:r>
      <w:r w:rsidR="009F16FA" w:rsidRPr="00F5121D">
        <w:rPr>
          <w:rFonts w:cs="Arial"/>
        </w:rPr>
        <w:t xml:space="preserve"> giorni è stato previsto tra le somministrazioni in ogni gruppo.</w:t>
      </w:r>
    </w:p>
    <w:p w:rsidR="009F16FA" w:rsidRPr="00F5121D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F5121D">
        <w:rPr>
          <w:rFonts w:cs="Arial"/>
        </w:rPr>
        <w:t>Campioni di sangue sono stati prelevati al tempo zero (</w:t>
      </w:r>
      <w:proofErr w:type="spellStart"/>
      <w:r w:rsidRPr="00F5121D">
        <w:rPr>
          <w:rFonts w:cs="Arial"/>
        </w:rPr>
        <w:t>pre-dose</w:t>
      </w:r>
      <w:proofErr w:type="spellEnd"/>
      <w:r w:rsidRPr="00F5121D">
        <w:rPr>
          <w:rFonts w:cs="Arial"/>
        </w:rPr>
        <w:t xml:space="preserve">) e a specificati tempi fino a </w:t>
      </w:r>
      <w:r w:rsidR="00680F80" w:rsidRPr="00F5121D">
        <w:rPr>
          <w:rFonts w:cs="Arial"/>
        </w:rPr>
        <w:t>48</w:t>
      </w:r>
      <w:r w:rsidR="000E6589" w:rsidRPr="00F5121D">
        <w:rPr>
          <w:rFonts w:cs="Arial"/>
        </w:rPr>
        <w:t xml:space="preserve"> </w:t>
      </w:r>
      <w:r w:rsidRPr="00F5121D">
        <w:rPr>
          <w:rFonts w:cs="Arial"/>
        </w:rPr>
        <w:t xml:space="preserve">ore dopo la somministrazione. I livelli plasmatici </w:t>
      </w:r>
      <w:r w:rsidR="009469B6" w:rsidRPr="00F5121D">
        <w:rPr>
          <w:rFonts w:cs="Arial"/>
        </w:rPr>
        <w:t xml:space="preserve">di </w:t>
      </w:r>
      <w:proofErr w:type="spellStart"/>
      <w:r w:rsidR="00F5121D" w:rsidRPr="00F5121D">
        <w:rPr>
          <w:rFonts w:cs="Arial"/>
        </w:rPr>
        <w:t>enalapril</w:t>
      </w:r>
      <w:proofErr w:type="spellEnd"/>
      <w:r w:rsidR="00F5121D" w:rsidRPr="00F5121D">
        <w:rPr>
          <w:rFonts w:cs="Arial"/>
        </w:rPr>
        <w:t xml:space="preserve"> e </w:t>
      </w:r>
      <w:proofErr w:type="spellStart"/>
      <w:r w:rsidR="00F5121D" w:rsidRPr="00F5121D">
        <w:rPr>
          <w:rFonts w:cs="Arial"/>
        </w:rPr>
        <w:t>lercanidipina</w:t>
      </w:r>
      <w:proofErr w:type="spellEnd"/>
      <w:r w:rsidR="00AF32FD" w:rsidRPr="00F5121D">
        <w:rPr>
          <w:rFonts w:cs="Arial"/>
        </w:rPr>
        <w:t xml:space="preserve"> </w:t>
      </w:r>
      <w:r w:rsidRPr="00F5121D">
        <w:rPr>
          <w:rFonts w:cs="Arial"/>
        </w:rPr>
        <w:t>sono stati determinati mediante un metodo analitico HPLC-</w:t>
      </w:r>
      <w:r w:rsidR="000C664F" w:rsidRPr="00F5121D">
        <w:rPr>
          <w:rFonts w:cs="Arial"/>
        </w:rPr>
        <w:t>MS</w:t>
      </w:r>
      <w:r w:rsidRPr="00F5121D">
        <w:rPr>
          <w:rFonts w:cs="Arial"/>
        </w:rPr>
        <w:t xml:space="preserve"> opportunamente convalidato.</w:t>
      </w:r>
    </w:p>
    <w:p w:rsidR="009F16FA" w:rsidRPr="00F5121D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F5121D">
        <w:rPr>
          <w:rFonts w:cs="Arial"/>
        </w:rPr>
        <w:t xml:space="preserve">Le variabili farmacocinetiche definite sono state: </w:t>
      </w:r>
      <w:r w:rsidR="000C664F" w:rsidRPr="00F5121D">
        <w:rPr>
          <w:rFonts w:ascii="Calibri" w:eastAsia="MS Mincho" w:hAnsi="Calibri"/>
          <w:color w:val="000000"/>
        </w:rPr>
        <w:t>AUC</w:t>
      </w:r>
      <w:r w:rsidR="000C664F" w:rsidRPr="00F5121D">
        <w:rPr>
          <w:rFonts w:ascii="Calibri" w:eastAsia="MS Mincho" w:hAnsi="Calibri"/>
          <w:color w:val="000000"/>
          <w:vertAlign w:val="subscript"/>
        </w:rPr>
        <w:t>0-t</w:t>
      </w:r>
      <w:r w:rsidR="000C664F" w:rsidRPr="00F5121D">
        <w:rPr>
          <w:rFonts w:ascii="Calibri" w:eastAsia="MS Mincho" w:hAnsi="Calibri"/>
          <w:color w:val="000000"/>
        </w:rPr>
        <w:t>, AUC</w:t>
      </w:r>
      <w:r w:rsidR="000C664F" w:rsidRPr="00F5121D">
        <w:rPr>
          <w:rFonts w:ascii="Calibri" w:eastAsia="MS Mincho" w:hAnsi="Calibri"/>
          <w:color w:val="000000"/>
          <w:vertAlign w:val="subscript"/>
        </w:rPr>
        <w:t>0-</w:t>
      </w:r>
      <w:r w:rsidR="000C664F" w:rsidRPr="00F5121D">
        <w:rPr>
          <w:rFonts w:ascii="Calibri" w:hAnsi="Calibri"/>
          <w:color w:val="000000"/>
          <w:vertAlign w:val="subscript"/>
        </w:rPr>
        <w:sym w:font="Symbol" w:char="F0A5"/>
      </w:r>
      <w:r w:rsidR="000C664F" w:rsidRPr="00F5121D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F5121D">
        <w:rPr>
          <w:rFonts w:ascii="Calibri" w:eastAsia="MS Mincho" w:hAnsi="Calibri"/>
          <w:color w:val="000000"/>
        </w:rPr>
        <w:t>C</w:t>
      </w:r>
      <w:r w:rsidR="000C664F" w:rsidRPr="00F5121D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0C664F" w:rsidRPr="00F5121D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F5121D">
        <w:rPr>
          <w:rFonts w:ascii="Calibri" w:eastAsia="MS Mincho" w:hAnsi="Calibri"/>
          <w:color w:val="000000"/>
        </w:rPr>
        <w:t>t</w:t>
      </w:r>
      <w:r w:rsidR="000C664F" w:rsidRPr="00F5121D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0C664F" w:rsidRPr="00F5121D">
        <w:rPr>
          <w:rFonts w:ascii="Calibri" w:eastAsia="MS Mincho" w:hAnsi="Calibri"/>
          <w:color w:val="000000"/>
        </w:rPr>
        <w:t xml:space="preserve">, </w:t>
      </w:r>
      <w:proofErr w:type="spellStart"/>
      <w:r w:rsidR="00680F80" w:rsidRPr="00F5121D">
        <w:rPr>
          <w:rFonts w:ascii="Calibri" w:hAnsi="Calibri"/>
          <w:lang w:eastAsia="it-IT"/>
        </w:rPr>
        <w:t>K</w:t>
      </w:r>
      <w:r w:rsidR="00680F80" w:rsidRPr="00F5121D">
        <w:rPr>
          <w:rFonts w:ascii="Calibri" w:hAnsi="Calibri"/>
          <w:vertAlign w:val="subscript"/>
          <w:lang w:eastAsia="it-IT"/>
        </w:rPr>
        <w:t>el</w:t>
      </w:r>
      <w:proofErr w:type="spellEnd"/>
      <w:r w:rsidR="000C664F" w:rsidRPr="00F5121D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F5121D">
        <w:rPr>
          <w:rFonts w:ascii="Calibri" w:eastAsia="MS Mincho" w:hAnsi="Calibri"/>
          <w:color w:val="000000"/>
        </w:rPr>
        <w:t>t</w:t>
      </w:r>
      <w:r w:rsidR="000C664F" w:rsidRPr="00F5121D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="00717132" w:rsidRPr="00F5121D">
        <w:rPr>
          <w:rFonts w:cs="Arial"/>
        </w:rPr>
        <w:t xml:space="preserve">. </w:t>
      </w:r>
      <w:r w:rsidRPr="00F5121D">
        <w:rPr>
          <w:rFonts w:cs="Arial"/>
        </w:rPr>
        <w:t>La bioequivalenza tra medicinale test e medicinale di riferimento è dimostrata se gli intervalli di confidenza al 90% per la trasformata logaritmica di C</w:t>
      </w:r>
      <w:r w:rsidRPr="00F5121D">
        <w:rPr>
          <w:rFonts w:cs="Arial"/>
          <w:vertAlign w:val="subscript"/>
        </w:rPr>
        <w:t>max</w:t>
      </w:r>
      <w:r w:rsidR="00DD27A5" w:rsidRPr="00F5121D">
        <w:rPr>
          <w:rFonts w:cs="Arial"/>
        </w:rPr>
        <w:t xml:space="preserve">, </w:t>
      </w:r>
      <w:r w:rsidRPr="00F5121D">
        <w:rPr>
          <w:rFonts w:cs="Arial"/>
        </w:rPr>
        <w:t>e AUC</w:t>
      </w:r>
      <w:r w:rsidRPr="00F5121D">
        <w:rPr>
          <w:rFonts w:cs="Arial"/>
          <w:vertAlign w:val="subscript"/>
        </w:rPr>
        <w:t>0-t</w:t>
      </w:r>
      <w:r w:rsidRPr="00F5121D">
        <w:rPr>
          <w:rFonts w:cs="Arial"/>
        </w:rPr>
        <w:t xml:space="preserve"> cadono nel </w:t>
      </w:r>
      <w:proofErr w:type="spellStart"/>
      <w:r w:rsidRPr="00F5121D">
        <w:rPr>
          <w:rFonts w:cs="Arial"/>
        </w:rPr>
        <w:t>range</w:t>
      </w:r>
      <w:proofErr w:type="spellEnd"/>
      <w:r w:rsidRPr="00F5121D">
        <w:rPr>
          <w:rFonts w:cs="Arial"/>
        </w:rPr>
        <w:t xml:space="preserve"> di accettabilità di 0.80-1.25 (80%-125%).</w:t>
      </w:r>
    </w:p>
    <w:p w:rsidR="00717132" w:rsidRPr="00F5121D" w:rsidRDefault="00717132" w:rsidP="00B44898">
      <w:pPr>
        <w:pStyle w:val="Paragrafoelenco"/>
        <w:spacing w:after="0" w:line="240" w:lineRule="auto"/>
        <w:ind w:left="0"/>
        <w:jc w:val="both"/>
        <w:rPr>
          <w:u w:val="single"/>
        </w:rPr>
      </w:pPr>
    </w:p>
    <w:p w:rsidR="009F16FA" w:rsidRPr="00F5121D" w:rsidRDefault="009F16FA" w:rsidP="00B44898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F5121D">
        <w:rPr>
          <w:u w:val="single"/>
        </w:rPr>
        <w:t>Risultati</w:t>
      </w:r>
    </w:p>
    <w:p w:rsidR="009F16FA" w:rsidRPr="00F5121D" w:rsidRDefault="00680F80" w:rsidP="00B44898">
      <w:pPr>
        <w:spacing w:after="0" w:line="240" w:lineRule="auto"/>
        <w:jc w:val="both"/>
      </w:pPr>
      <w:r w:rsidRPr="00F5121D">
        <w:rPr>
          <w:rFonts w:cs="Arial"/>
        </w:rPr>
        <w:t>3</w:t>
      </w:r>
      <w:r w:rsidR="00F5121D" w:rsidRPr="00F5121D">
        <w:rPr>
          <w:rFonts w:cs="Arial"/>
        </w:rPr>
        <w:t>8</w:t>
      </w:r>
      <w:r w:rsidR="00202FE5" w:rsidRPr="00F5121D">
        <w:rPr>
          <w:rFonts w:cs="Arial"/>
        </w:rPr>
        <w:t xml:space="preserve"> </w:t>
      </w:r>
      <w:r w:rsidR="009F16FA" w:rsidRPr="00F5121D">
        <w:rPr>
          <w:rFonts w:cs="Arial"/>
        </w:rPr>
        <w:t xml:space="preserve">volontari sani sono stati arruolati negli studi. </w:t>
      </w:r>
      <w:r w:rsidR="009844F7" w:rsidRPr="00F5121D">
        <w:t>3</w:t>
      </w:r>
      <w:r w:rsidR="00F5121D" w:rsidRPr="00F5121D">
        <w:t>7</w:t>
      </w:r>
      <w:r w:rsidR="00202FE5" w:rsidRPr="00F5121D">
        <w:t xml:space="preserve"> </w:t>
      </w:r>
      <w:r w:rsidR="009F16FA" w:rsidRPr="00F5121D">
        <w:t>soggetti hanno completato</w:t>
      </w:r>
      <w:r w:rsidR="005A6CF4" w:rsidRPr="00F5121D">
        <w:t xml:space="preserve"> la</w:t>
      </w:r>
      <w:r w:rsidR="009F16FA" w:rsidRPr="00F5121D">
        <w:t xml:space="preserve"> fase clinica e sono stati analizzati</w:t>
      </w:r>
      <w:r w:rsidR="00F5121D" w:rsidRPr="00F5121D">
        <w:t xml:space="preserve"> per il principio attivo </w:t>
      </w:r>
      <w:proofErr w:type="spellStart"/>
      <w:r w:rsidR="00F5121D" w:rsidRPr="00F5121D">
        <w:t>lercanidipina</w:t>
      </w:r>
      <w:proofErr w:type="spellEnd"/>
      <w:r w:rsidR="00F5121D" w:rsidRPr="00F5121D">
        <w:t xml:space="preserve"> e 24 soggetti hanno completato la fase clinica e sono stati analizzati per il principio attivo </w:t>
      </w:r>
      <w:proofErr w:type="spellStart"/>
      <w:r w:rsidR="00F5121D" w:rsidRPr="00F5121D">
        <w:t>enalapril</w:t>
      </w:r>
      <w:proofErr w:type="spellEnd"/>
      <w:r w:rsidR="009F16FA" w:rsidRPr="00F5121D">
        <w:t>.</w:t>
      </w:r>
    </w:p>
    <w:p w:rsidR="009F16FA" w:rsidRPr="00F5121D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  <w:b/>
          <w:i/>
        </w:rPr>
      </w:pPr>
    </w:p>
    <w:p w:rsidR="000C664F" w:rsidRPr="00F5121D" w:rsidRDefault="000C664F" w:rsidP="000C664F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F5121D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0C664F" w:rsidRPr="00F5121D" w:rsidRDefault="00F5121D" w:rsidP="009844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r w:rsidRPr="00F5121D">
        <w:rPr>
          <w:rFonts w:ascii="Calibri" w:hAnsi="Calibri"/>
        </w:rPr>
        <w:t>Sono</w:t>
      </w:r>
      <w:r w:rsidR="000C664F" w:rsidRPr="00F5121D">
        <w:rPr>
          <w:rFonts w:ascii="Calibri" w:hAnsi="Calibri"/>
        </w:rPr>
        <w:t xml:space="preserve"> stat</w:t>
      </w:r>
      <w:r w:rsidRPr="00F5121D">
        <w:rPr>
          <w:rFonts w:ascii="Calibri" w:hAnsi="Calibri"/>
        </w:rPr>
        <w:t xml:space="preserve">i </w:t>
      </w:r>
      <w:r w:rsidR="000C664F" w:rsidRPr="00F5121D">
        <w:rPr>
          <w:rFonts w:ascii="Calibri" w:hAnsi="Calibri"/>
        </w:rPr>
        <w:t xml:space="preserve"> rilevat</w:t>
      </w:r>
      <w:r w:rsidRPr="00F5121D">
        <w:rPr>
          <w:rFonts w:ascii="Calibri" w:hAnsi="Calibri"/>
        </w:rPr>
        <w:t xml:space="preserve">i due </w:t>
      </w:r>
      <w:r w:rsidR="000C664F" w:rsidRPr="00F5121D">
        <w:rPr>
          <w:rFonts w:ascii="Calibri" w:hAnsi="Calibri"/>
        </w:rPr>
        <w:t>event</w:t>
      </w:r>
      <w:r w:rsidRPr="00F5121D">
        <w:rPr>
          <w:rFonts w:ascii="Calibri" w:hAnsi="Calibri"/>
        </w:rPr>
        <w:t xml:space="preserve">i </w:t>
      </w:r>
      <w:r w:rsidR="000C664F" w:rsidRPr="00F5121D">
        <w:rPr>
          <w:rFonts w:ascii="Calibri" w:hAnsi="Calibri"/>
        </w:rPr>
        <w:t>avver</w:t>
      </w:r>
      <w:r w:rsidR="009844F7" w:rsidRPr="00F5121D">
        <w:rPr>
          <w:rFonts w:ascii="Calibri" w:hAnsi="Calibri"/>
        </w:rPr>
        <w:t>s</w:t>
      </w:r>
      <w:r w:rsidRPr="00F5121D">
        <w:rPr>
          <w:rFonts w:ascii="Calibri" w:hAnsi="Calibri"/>
        </w:rPr>
        <w:t xml:space="preserve">i </w:t>
      </w:r>
      <w:r w:rsidR="000C664F" w:rsidRPr="00F5121D">
        <w:rPr>
          <w:rFonts w:ascii="Calibri" w:hAnsi="Calibri"/>
        </w:rPr>
        <w:t>(</w:t>
      </w:r>
      <w:r w:rsidR="009844F7" w:rsidRPr="00F5121D">
        <w:rPr>
          <w:rFonts w:ascii="Calibri" w:hAnsi="Calibri"/>
        </w:rPr>
        <w:t xml:space="preserve">dolore </w:t>
      </w:r>
      <w:r w:rsidRPr="00F5121D">
        <w:rPr>
          <w:rFonts w:ascii="Calibri" w:hAnsi="Calibri"/>
        </w:rPr>
        <w:t>alla mano destra e sinistra, nausea con perdita dell'appetito)</w:t>
      </w:r>
      <w:r w:rsidR="009844F7" w:rsidRPr="00F5121D">
        <w:rPr>
          <w:rFonts w:ascii="Calibri" w:hAnsi="Calibri"/>
        </w:rPr>
        <w:t xml:space="preserve">. </w:t>
      </w:r>
      <w:r w:rsidR="000C664F" w:rsidRPr="00F5121D">
        <w:rPr>
          <w:rFonts w:ascii="Calibri" w:hAnsi="Calibri"/>
          <w:lang w:eastAsia="it-IT"/>
        </w:rPr>
        <w:t>Non veniva osservato alcun evento avverso grave durante lo studio.</w:t>
      </w:r>
    </w:p>
    <w:p w:rsidR="009844F7" w:rsidRPr="00F5121D" w:rsidRDefault="009844F7" w:rsidP="009844F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</w:p>
    <w:p w:rsidR="009F16FA" w:rsidRPr="00F5121D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F5121D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F5121D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Pr="00F5121D" w:rsidRDefault="009F16FA" w:rsidP="00B4489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F5121D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FA483C" w:rsidRDefault="00FA483C" w:rsidP="00312848">
      <w:pPr>
        <w:spacing w:after="0" w:line="240" w:lineRule="auto"/>
      </w:pPr>
    </w:p>
    <w:tbl>
      <w:tblPr>
        <w:tblW w:w="46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2182"/>
        <w:gridCol w:w="1846"/>
        <w:gridCol w:w="1642"/>
        <w:gridCol w:w="291"/>
        <w:gridCol w:w="1201"/>
        <w:gridCol w:w="2167"/>
      </w:tblGrid>
      <w:tr w:rsidR="00F5121D" w:rsidRPr="001C3CEC" w:rsidTr="00FA483C">
        <w:trPr>
          <w:trHeight w:val="269"/>
        </w:trPr>
        <w:tc>
          <w:tcPr>
            <w:tcW w:w="9329" w:type="dxa"/>
            <w:gridSpan w:val="6"/>
            <w:shd w:val="clear" w:color="auto" w:fill="E6E6E6"/>
            <w:vAlign w:val="center"/>
          </w:tcPr>
          <w:p w:rsidR="00F5121D" w:rsidRPr="00FA483C" w:rsidRDefault="00FA483C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proofErr w:type="spellStart"/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Enalapril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 (dose 20 mg)</w:t>
            </w:r>
          </w:p>
        </w:tc>
      </w:tr>
      <w:tr w:rsidR="00F5121D" w:rsidRPr="001C3CEC" w:rsidTr="00FA483C">
        <w:trPr>
          <w:trHeight w:val="269"/>
        </w:trPr>
        <w:tc>
          <w:tcPr>
            <w:tcW w:w="2182" w:type="dxa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Parametro</w:t>
            </w:r>
          </w:p>
        </w:tc>
        <w:tc>
          <w:tcPr>
            <w:tcW w:w="1846" w:type="dxa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Test</w:t>
            </w:r>
            <w:r w:rsidR="00FA483C"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 </w:t>
            </w:r>
            <w:r w:rsidR="00FA483C"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 </w:t>
            </w: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[LSM]</w:t>
            </w:r>
          </w:p>
        </w:tc>
        <w:tc>
          <w:tcPr>
            <w:tcW w:w="1933" w:type="dxa"/>
            <w:gridSpan w:val="2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proofErr w:type="spellStart"/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Reference</w:t>
            </w:r>
            <w:proofErr w:type="spellEnd"/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 [LSM]</w:t>
            </w:r>
          </w:p>
        </w:tc>
        <w:tc>
          <w:tcPr>
            <w:tcW w:w="1201" w:type="dxa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T/R </w:t>
            </w:r>
            <w:proofErr w:type="spellStart"/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Ratio</w:t>
            </w:r>
            <w:proofErr w:type="spellEnd"/>
          </w:p>
        </w:tc>
        <w:tc>
          <w:tcPr>
            <w:tcW w:w="2167" w:type="dxa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90% C.I.</w:t>
            </w:r>
          </w:p>
        </w:tc>
      </w:tr>
      <w:tr w:rsidR="00F5121D" w:rsidRPr="001C3CEC" w:rsidTr="00FA483C">
        <w:trPr>
          <w:trHeight w:val="254"/>
        </w:trPr>
        <w:tc>
          <w:tcPr>
            <w:tcW w:w="2182" w:type="dxa"/>
            <w:vAlign w:val="bottom"/>
          </w:tcPr>
          <w:p w:rsidR="00F5121D" w:rsidRPr="00FA483C" w:rsidRDefault="00F5121D" w:rsidP="00FA483C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AUC0-t</w:t>
            </w:r>
          </w:p>
        </w:tc>
        <w:tc>
          <w:tcPr>
            <w:tcW w:w="1846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300.554/305.480</w:t>
            </w:r>
          </w:p>
        </w:tc>
        <w:tc>
          <w:tcPr>
            <w:tcW w:w="1933" w:type="dxa"/>
            <w:gridSpan w:val="2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288.828/316.639</w:t>
            </w:r>
          </w:p>
        </w:tc>
        <w:tc>
          <w:tcPr>
            <w:tcW w:w="1201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 xml:space="preserve">100.20 </w:t>
            </w:r>
          </w:p>
        </w:tc>
        <w:tc>
          <w:tcPr>
            <w:tcW w:w="2167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95.61 - 105.00</w:t>
            </w:r>
          </w:p>
        </w:tc>
      </w:tr>
      <w:tr w:rsidR="00F5121D" w:rsidRPr="001C3CEC" w:rsidTr="00FA483C">
        <w:trPr>
          <w:trHeight w:val="269"/>
        </w:trPr>
        <w:tc>
          <w:tcPr>
            <w:tcW w:w="2182" w:type="dxa"/>
            <w:vAlign w:val="bottom"/>
          </w:tcPr>
          <w:p w:rsidR="00F5121D" w:rsidRPr="00FA483C" w:rsidRDefault="00F5121D" w:rsidP="00FA483C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AUC0-∞</w:t>
            </w:r>
          </w:p>
        </w:tc>
        <w:tc>
          <w:tcPr>
            <w:tcW w:w="1846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302.090/306.987</w:t>
            </w:r>
          </w:p>
        </w:tc>
        <w:tc>
          <w:tcPr>
            <w:tcW w:w="1933" w:type="dxa"/>
            <w:gridSpan w:val="2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290.508/317.748</w:t>
            </w:r>
          </w:p>
        </w:tc>
        <w:tc>
          <w:tcPr>
            <w:tcW w:w="1201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 xml:space="preserve">100.23 </w:t>
            </w:r>
          </w:p>
        </w:tc>
        <w:tc>
          <w:tcPr>
            <w:tcW w:w="2167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95.71 - 104.96</w:t>
            </w:r>
          </w:p>
        </w:tc>
      </w:tr>
      <w:tr w:rsidR="00F5121D" w:rsidRPr="001C3CEC" w:rsidTr="00FA483C">
        <w:trPr>
          <w:trHeight w:val="254"/>
        </w:trPr>
        <w:tc>
          <w:tcPr>
            <w:tcW w:w="2182" w:type="dxa"/>
            <w:vAlign w:val="bottom"/>
          </w:tcPr>
          <w:p w:rsidR="00F5121D" w:rsidRPr="00FA483C" w:rsidRDefault="00F5121D" w:rsidP="00FA483C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lastRenderedPageBreak/>
              <w:t>Cmax</w:t>
            </w:r>
          </w:p>
        </w:tc>
        <w:tc>
          <w:tcPr>
            <w:tcW w:w="1846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185.586/198.106</w:t>
            </w:r>
          </w:p>
        </w:tc>
        <w:tc>
          <w:tcPr>
            <w:tcW w:w="1933" w:type="dxa"/>
            <w:gridSpan w:val="2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178.715/199.590</w:t>
            </w:r>
          </w:p>
        </w:tc>
        <w:tc>
          <w:tcPr>
            <w:tcW w:w="1201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 xml:space="preserve">101.52 </w:t>
            </w:r>
          </w:p>
        </w:tc>
        <w:tc>
          <w:tcPr>
            <w:tcW w:w="2167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95.77 - 107.62</w:t>
            </w:r>
          </w:p>
        </w:tc>
      </w:tr>
      <w:tr w:rsidR="00F5121D" w:rsidRPr="001C3CEC" w:rsidTr="00FA483C">
        <w:trPr>
          <w:trHeight w:val="269"/>
        </w:trPr>
        <w:tc>
          <w:tcPr>
            <w:tcW w:w="9329" w:type="dxa"/>
            <w:gridSpan w:val="6"/>
            <w:shd w:val="clear" w:color="auto" w:fill="E6E6E6"/>
            <w:vAlign w:val="center"/>
          </w:tcPr>
          <w:p w:rsidR="00F5121D" w:rsidRPr="00FA483C" w:rsidRDefault="00FA483C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proofErr w:type="spellStart"/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S-lercanidipin</w:t>
            </w:r>
            <w:r>
              <w:rPr>
                <w:rFonts w:ascii="Calibri" w:eastAsia="Times New Roman" w:hAnsi="Calibri" w:cs="Times New Roman"/>
                <w:b/>
                <w:bCs/>
                <w:sz w:val="20"/>
              </w:rPr>
              <w:t>a</w:t>
            </w:r>
            <w:proofErr w:type="spellEnd"/>
            <w:r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 (dose 10 mg)</w:t>
            </w:r>
          </w:p>
        </w:tc>
      </w:tr>
      <w:tr w:rsidR="00F5121D" w:rsidRPr="00E521F4" w:rsidTr="00FA483C">
        <w:trPr>
          <w:trHeight w:val="188"/>
        </w:trPr>
        <w:tc>
          <w:tcPr>
            <w:tcW w:w="2182" w:type="dxa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Parametro</w:t>
            </w:r>
          </w:p>
        </w:tc>
        <w:tc>
          <w:tcPr>
            <w:tcW w:w="1846" w:type="dxa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Test</w:t>
            </w:r>
            <w:r w:rsidR="00FA483C"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 </w:t>
            </w: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[LSM]</w:t>
            </w:r>
          </w:p>
        </w:tc>
        <w:tc>
          <w:tcPr>
            <w:tcW w:w="1642" w:type="dxa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proofErr w:type="spellStart"/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Reference</w:t>
            </w:r>
            <w:proofErr w:type="spellEnd"/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 [LSM]</w:t>
            </w:r>
          </w:p>
        </w:tc>
        <w:tc>
          <w:tcPr>
            <w:tcW w:w="1492" w:type="dxa"/>
            <w:gridSpan w:val="2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 xml:space="preserve">T/R </w:t>
            </w:r>
            <w:proofErr w:type="spellStart"/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Ratio</w:t>
            </w:r>
            <w:proofErr w:type="spellEnd"/>
          </w:p>
        </w:tc>
        <w:tc>
          <w:tcPr>
            <w:tcW w:w="2167" w:type="dxa"/>
            <w:vAlign w:val="center"/>
          </w:tcPr>
          <w:p w:rsidR="00F5121D" w:rsidRPr="00FA483C" w:rsidRDefault="00F5121D" w:rsidP="00FA483C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94.12% C.I.</w:t>
            </w:r>
          </w:p>
        </w:tc>
      </w:tr>
      <w:tr w:rsidR="00F5121D" w:rsidRPr="001C3CEC" w:rsidTr="00FA483C">
        <w:trPr>
          <w:trHeight w:val="254"/>
        </w:trPr>
        <w:tc>
          <w:tcPr>
            <w:tcW w:w="2182" w:type="dxa"/>
            <w:vAlign w:val="bottom"/>
          </w:tcPr>
          <w:p w:rsidR="00F5121D" w:rsidRPr="00FA483C" w:rsidRDefault="00F5121D" w:rsidP="00FA483C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AUC0-t</w:t>
            </w:r>
          </w:p>
        </w:tc>
        <w:tc>
          <w:tcPr>
            <w:tcW w:w="1846" w:type="dxa"/>
          </w:tcPr>
          <w:p w:rsidR="00F5121D" w:rsidRPr="00FA483C" w:rsidRDefault="00F5121D" w:rsidP="00F512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3.4349/3.9426</w:t>
            </w:r>
          </w:p>
        </w:tc>
        <w:tc>
          <w:tcPr>
            <w:tcW w:w="1642" w:type="dxa"/>
          </w:tcPr>
          <w:p w:rsidR="00F5121D" w:rsidRPr="00FA483C" w:rsidRDefault="00F5121D" w:rsidP="00F512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3.6502/3.9330</w:t>
            </w:r>
          </w:p>
        </w:tc>
        <w:tc>
          <w:tcPr>
            <w:tcW w:w="1492" w:type="dxa"/>
            <w:gridSpan w:val="2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96.35</w:t>
            </w:r>
          </w:p>
        </w:tc>
        <w:tc>
          <w:tcPr>
            <w:tcW w:w="2167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88.05 - 105.44</w:t>
            </w:r>
          </w:p>
        </w:tc>
      </w:tr>
      <w:tr w:rsidR="00F5121D" w:rsidRPr="00D83D78" w:rsidTr="00FA483C">
        <w:trPr>
          <w:trHeight w:val="269"/>
        </w:trPr>
        <w:tc>
          <w:tcPr>
            <w:tcW w:w="2182" w:type="dxa"/>
            <w:vAlign w:val="bottom"/>
          </w:tcPr>
          <w:p w:rsidR="00F5121D" w:rsidRPr="00FA483C" w:rsidRDefault="00F5121D" w:rsidP="00FA483C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AUC0-∞</w:t>
            </w:r>
          </w:p>
        </w:tc>
        <w:tc>
          <w:tcPr>
            <w:tcW w:w="1846" w:type="dxa"/>
          </w:tcPr>
          <w:p w:rsidR="00F5121D" w:rsidRPr="00FA483C" w:rsidRDefault="00F5121D" w:rsidP="00F512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3.6862/4.4177</w:t>
            </w:r>
          </w:p>
        </w:tc>
        <w:tc>
          <w:tcPr>
            <w:tcW w:w="1642" w:type="dxa"/>
          </w:tcPr>
          <w:p w:rsidR="00F5121D" w:rsidRPr="00FA483C" w:rsidRDefault="00F5121D" w:rsidP="00F5121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3.8777/4.2373</w:t>
            </w:r>
          </w:p>
        </w:tc>
        <w:tc>
          <w:tcPr>
            <w:tcW w:w="1492" w:type="dxa"/>
            <w:gridSpan w:val="2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97.55</w:t>
            </w:r>
          </w:p>
        </w:tc>
        <w:tc>
          <w:tcPr>
            <w:tcW w:w="2167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89.76 - 106.03</w:t>
            </w:r>
          </w:p>
        </w:tc>
      </w:tr>
      <w:tr w:rsidR="00F5121D" w:rsidRPr="00D83D78" w:rsidTr="00FA483C">
        <w:trPr>
          <w:trHeight w:val="269"/>
        </w:trPr>
        <w:tc>
          <w:tcPr>
            <w:tcW w:w="2182" w:type="dxa"/>
            <w:vAlign w:val="bottom"/>
          </w:tcPr>
          <w:p w:rsidR="00F5121D" w:rsidRPr="00FA483C" w:rsidRDefault="00F5121D" w:rsidP="00FA483C">
            <w:pPr>
              <w:spacing w:after="0" w:line="240" w:lineRule="auto"/>
              <w:contextualSpacing/>
              <w:rPr>
                <w:rFonts w:ascii="Calibri" w:eastAsia="Times New Roman" w:hAnsi="Calibri" w:cs="Times New Roman"/>
                <w:b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/>
                <w:bCs/>
                <w:sz w:val="20"/>
              </w:rPr>
              <w:t>Cmax</w:t>
            </w:r>
          </w:p>
        </w:tc>
        <w:tc>
          <w:tcPr>
            <w:tcW w:w="1846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1.1523/1.2280</w:t>
            </w:r>
          </w:p>
        </w:tc>
        <w:tc>
          <w:tcPr>
            <w:tcW w:w="1642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1.1345/1.1296</w:t>
            </w:r>
          </w:p>
        </w:tc>
        <w:tc>
          <w:tcPr>
            <w:tcW w:w="1492" w:type="dxa"/>
            <w:gridSpan w:val="2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103.71</w:t>
            </w:r>
          </w:p>
        </w:tc>
        <w:tc>
          <w:tcPr>
            <w:tcW w:w="2167" w:type="dxa"/>
          </w:tcPr>
          <w:p w:rsidR="00F5121D" w:rsidRPr="00FA483C" w:rsidRDefault="00F5121D" w:rsidP="00F5121D">
            <w:pPr>
              <w:spacing w:after="0" w:line="240" w:lineRule="auto"/>
              <w:contextualSpacing/>
              <w:jc w:val="center"/>
              <w:rPr>
                <w:rFonts w:ascii="Calibri" w:eastAsia="Times New Roman" w:hAnsi="Calibri" w:cs="Times New Roman"/>
                <w:bCs/>
                <w:sz w:val="20"/>
              </w:rPr>
            </w:pPr>
            <w:r w:rsidRPr="00FA483C">
              <w:rPr>
                <w:rFonts w:ascii="Calibri" w:eastAsia="Times New Roman" w:hAnsi="Calibri" w:cs="Times New Roman"/>
                <w:bCs/>
                <w:sz w:val="20"/>
              </w:rPr>
              <w:t>94.46 - 113.87</w:t>
            </w:r>
          </w:p>
        </w:tc>
      </w:tr>
    </w:tbl>
    <w:p w:rsidR="006D14EF" w:rsidRPr="00EA65F0" w:rsidRDefault="006D14EF" w:rsidP="00312848">
      <w:pPr>
        <w:spacing w:after="0" w:line="240" w:lineRule="auto"/>
        <w:rPr>
          <w:highlight w:val="yellow"/>
        </w:rPr>
      </w:pPr>
    </w:p>
    <w:p w:rsidR="00AB54C2" w:rsidRPr="00E713B8" w:rsidRDefault="00AB54C2" w:rsidP="00DF53AE">
      <w:pPr>
        <w:spacing w:after="0" w:line="240" w:lineRule="auto"/>
        <w:rPr>
          <w:rFonts w:cs="Arial"/>
        </w:rPr>
      </w:pPr>
      <w:r w:rsidRPr="00E713B8">
        <w:rPr>
          <w:rFonts w:cs="Arial"/>
          <w:i/>
        </w:rPr>
        <w:t>Conclusioni sulla bioequivalenza</w:t>
      </w:r>
      <w:r w:rsidRPr="00E713B8">
        <w:rPr>
          <w:rFonts w:cs="Arial"/>
        </w:rPr>
        <w:t>.</w:t>
      </w:r>
    </w:p>
    <w:p w:rsidR="00AB54C2" w:rsidRDefault="00AB54C2" w:rsidP="00DF53AE">
      <w:pPr>
        <w:spacing w:after="0" w:line="240" w:lineRule="auto"/>
        <w:jc w:val="both"/>
        <w:rPr>
          <w:rFonts w:cs="Arial"/>
        </w:rPr>
      </w:pPr>
      <w:r w:rsidRPr="00E713B8">
        <w:rPr>
          <w:rFonts w:cs="Arial"/>
        </w:rPr>
        <w:t>I risultati de</w:t>
      </w:r>
      <w:r w:rsidR="00312848">
        <w:rPr>
          <w:rFonts w:cs="Arial"/>
        </w:rPr>
        <w:t>llo</w:t>
      </w:r>
      <w:r w:rsidR="00E713B8">
        <w:rPr>
          <w:rFonts w:cs="Arial"/>
        </w:rPr>
        <w:t xml:space="preserve"> </w:t>
      </w:r>
      <w:r w:rsidRPr="00E713B8">
        <w:rPr>
          <w:rFonts w:cs="Arial"/>
        </w:rPr>
        <w:t>studi</w:t>
      </w:r>
      <w:r w:rsidR="00312848">
        <w:rPr>
          <w:rFonts w:cs="Arial"/>
        </w:rPr>
        <w:t>o</w:t>
      </w:r>
      <w:r w:rsidRPr="00E713B8">
        <w:rPr>
          <w:rFonts w:cs="Arial"/>
        </w:rPr>
        <w:t xml:space="preserve"> di bioequivalenza mostra</w:t>
      </w:r>
      <w:r w:rsidR="005A6CF4" w:rsidRPr="00E713B8">
        <w:rPr>
          <w:rFonts w:cs="Arial"/>
        </w:rPr>
        <w:t>no</w:t>
      </w:r>
      <w:r w:rsidRPr="00E713B8">
        <w:rPr>
          <w:rFonts w:cs="Arial"/>
        </w:rPr>
        <w:t xml:space="preserve"> che gli intervalli di confidenza dei parametri farmacocinetici studiati cadono nel </w:t>
      </w:r>
      <w:proofErr w:type="spellStart"/>
      <w:r w:rsidRPr="00E713B8">
        <w:rPr>
          <w:rFonts w:cs="Arial"/>
        </w:rPr>
        <w:t>range</w:t>
      </w:r>
      <w:proofErr w:type="spellEnd"/>
      <w:r w:rsidRPr="00E713B8">
        <w:rPr>
          <w:rFonts w:cs="Arial"/>
        </w:rPr>
        <w:t xml:space="preserve"> di accettabilità di 80-125%, in accordo con le linee guida correnti.</w:t>
      </w:r>
    </w:p>
    <w:p w:rsidR="00226B5F" w:rsidRPr="00D1324F" w:rsidRDefault="00226B5F" w:rsidP="00DF53AE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DF53AE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453A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profilo di sicurezza e l’efficacia de</w:t>
      </w:r>
      <w:r w:rsidR="00F12EF9">
        <w:rPr>
          <w:rFonts w:cs="Arial"/>
        </w:rPr>
        <w:t>i</w:t>
      </w:r>
      <w:r>
        <w:rPr>
          <w:rFonts w:cs="Arial"/>
        </w:rPr>
        <w:t xml:space="preserve"> principi attiv</w:t>
      </w:r>
      <w:r w:rsidR="00F12EF9">
        <w:rPr>
          <w:rFonts w:cs="Arial"/>
        </w:rPr>
        <w:t>i</w:t>
      </w:r>
      <w:r>
        <w:rPr>
          <w:rFonts w:cs="Arial"/>
        </w:rPr>
        <w:t xml:space="preserve"> di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453A6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</w:t>
      </w:r>
      <w:r w:rsidRPr="00D82B44">
        <w:t>attività di farmacovigilanza e gli interventi definiti al fine di identificare, caratterizzare, prevenire o</w:t>
      </w:r>
      <w:r w:rsidRPr="00D1324F">
        <w:t xml:space="preserve"> minimizzare i rischi collegati all’uso di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Pr="00D1324F">
        <w:t>.</w:t>
      </w:r>
    </w:p>
    <w:p w:rsidR="003762D3" w:rsidRDefault="003762D3" w:rsidP="002453A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AD5FCC" w:rsidRDefault="00AD5FCC" w:rsidP="00FE1730">
      <w:pPr>
        <w:pStyle w:val="Paragrafoelenco"/>
        <w:spacing w:after="0" w:line="240" w:lineRule="auto"/>
        <w:ind w:left="0"/>
        <w:jc w:val="both"/>
      </w:pP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4"/>
        <w:gridCol w:w="6718"/>
      </w:tblGrid>
      <w:tr w:rsidR="00AD5FCC" w:rsidRPr="00F12EF9" w:rsidTr="00FE1730">
        <w:trPr>
          <w:jc w:val="center"/>
        </w:trPr>
        <w:tc>
          <w:tcPr>
            <w:tcW w:w="2734" w:type="dxa"/>
          </w:tcPr>
          <w:p w:rsidR="00AD5FCC" w:rsidRPr="00F12EF9" w:rsidRDefault="00FE1730" w:rsidP="00FE1730">
            <w:pPr>
              <w:spacing w:after="0" w:line="240" w:lineRule="auto"/>
              <w:rPr>
                <w:snapToGrid w:val="0"/>
                <w:sz w:val="20"/>
                <w:szCs w:val="20"/>
                <w:highlight w:val="green"/>
              </w:rPr>
            </w:pPr>
            <w:r w:rsidRPr="00F12EF9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6718" w:type="dxa"/>
          </w:tcPr>
          <w:p w:rsidR="00EA65F0" w:rsidRPr="00F12EF9" w:rsidRDefault="00F12EF9" w:rsidP="00AF757C">
            <w:pPr>
              <w:numPr>
                <w:ilvl w:val="0"/>
                <w:numId w:val="23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r w:rsidRPr="00F12EF9">
              <w:rPr>
                <w:sz w:val="20"/>
                <w:szCs w:val="20"/>
              </w:rPr>
              <w:t xml:space="preserve">Reazioni di ipersensibilità, incluso </w:t>
            </w:r>
            <w:proofErr w:type="spellStart"/>
            <w:r w:rsidRPr="00F12EF9">
              <w:rPr>
                <w:sz w:val="20"/>
                <w:szCs w:val="20"/>
              </w:rPr>
              <w:t>angioedema</w:t>
            </w:r>
            <w:proofErr w:type="spellEnd"/>
          </w:p>
          <w:p w:rsidR="00EA65F0" w:rsidRPr="00F12EF9" w:rsidRDefault="00F12EF9" w:rsidP="00AF757C">
            <w:pPr>
              <w:numPr>
                <w:ilvl w:val="0"/>
                <w:numId w:val="23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proofErr w:type="spellStart"/>
            <w:r w:rsidRPr="00F12EF9">
              <w:rPr>
                <w:sz w:val="20"/>
                <w:szCs w:val="20"/>
              </w:rPr>
              <w:t>Iperpotassiemia</w:t>
            </w:r>
            <w:proofErr w:type="spellEnd"/>
          </w:p>
          <w:p w:rsidR="00EA65F0" w:rsidRPr="00F12EF9" w:rsidRDefault="00F12EF9" w:rsidP="00AF757C">
            <w:pPr>
              <w:numPr>
                <w:ilvl w:val="0"/>
                <w:numId w:val="23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r w:rsidRPr="00F12EF9">
              <w:rPr>
                <w:sz w:val="20"/>
                <w:szCs w:val="20"/>
              </w:rPr>
              <w:t>Ipotensione</w:t>
            </w:r>
          </w:p>
          <w:p w:rsidR="00F12EF9" w:rsidRPr="00F12EF9" w:rsidRDefault="00F12EF9" w:rsidP="00AF757C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rPr>
                <w:sz w:val="20"/>
                <w:szCs w:val="20"/>
              </w:rPr>
            </w:pPr>
            <w:r w:rsidRPr="00F12EF9">
              <w:rPr>
                <w:sz w:val="20"/>
                <w:szCs w:val="20"/>
              </w:rPr>
              <w:t xml:space="preserve">Duplice blocco del sistema </w:t>
            </w:r>
            <w:proofErr w:type="spellStart"/>
            <w:r w:rsidRPr="00F12EF9">
              <w:rPr>
                <w:sz w:val="20"/>
                <w:szCs w:val="20"/>
              </w:rPr>
              <w:t>renina-angiotensina-aldosterone</w:t>
            </w:r>
            <w:proofErr w:type="spellEnd"/>
            <w:r w:rsidRPr="00F12EF9">
              <w:rPr>
                <w:sz w:val="20"/>
                <w:szCs w:val="20"/>
              </w:rPr>
              <w:t xml:space="preserve"> (RAAS)</w:t>
            </w:r>
          </w:p>
          <w:p w:rsidR="00EA65F0" w:rsidRPr="00F12EF9" w:rsidRDefault="00F12EF9" w:rsidP="00AF757C">
            <w:pPr>
              <w:numPr>
                <w:ilvl w:val="0"/>
                <w:numId w:val="23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r w:rsidRPr="00F12EF9">
              <w:rPr>
                <w:sz w:val="20"/>
                <w:szCs w:val="20"/>
              </w:rPr>
              <w:t>Insufficienza epatica</w:t>
            </w:r>
          </w:p>
          <w:p w:rsidR="00EA65F0" w:rsidRPr="00F12EF9" w:rsidRDefault="00F12EF9" w:rsidP="00AF757C">
            <w:pPr>
              <w:numPr>
                <w:ilvl w:val="0"/>
                <w:numId w:val="23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r w:rsidRPr="00F12EF9">
              <w:rPr>
                <w:sz w:val="20"/>
                <w:szCs w:val="20"/>
              </w:rPr>
              <w:t>Uso in pazienti con insufficienza renale</w:t>
            </w:r>
          </w:p>
          <w:p w:rsidR="00EA65F0" w:rsidRPr="00F12EF9" w:rsidRDefault="00F12EF9" w:rsidP="00AF757C">
            <w:pPr>
              <w:numPr>
                <w:ilvl w:val="0"/>
                <w:numId w:val="23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r w:rsidRPr="00F12EF9">
              <w:rPr>
                <w:sz w:val="20"/>
                <w:szCs w:val="20"/>
              </w:rPr>
              <w:t xml:space="preserve">Interazioni con altri farmaci assunti contemporaneamente </w:t>
            </w:r>
          </w:p>
          <w:p w:rsidR="00AD5FCC" w:rsidRPr="00F12EF9" w:rsidRDefault="00EA65F0" w:rsidP="00AF757C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213" w:hanging="213"/>
              <w:jc w:val="both"/>
              <w:rPr>
                <w:snapToGrid w:val="0"/>
                <w:sz w:val="20"/>
                <w:szCs w:val="20"/>
              </w:rPr>
            </w:pPr>
            <w:proofErr w:type="spellStart"/>
            <w:r w:rsidRPr="00F12EF9">
              <w:rPr>
                <w:sz w:val="20"/>
                <w:szCs w:val="20"/>
              </w:rPr>
              <w:t>F</w:t>
            </w:r>
            <w:r w:rsidR="00F12EF9" w:rsidRPr="00F12EF9">
              <w:rPr>
                <w:sz w:val="20"/>
                <w:szCs w:val="20"/>
              </w:rPr>
              <w:t>etotossicità</w:t>
            </w:r>
            <w:proofErr w:type="spellEnd"/>
            <w:r w:rsidR="00F12EF9" w:rsidRPr="00F12EF9">
              <w:rPr>
                <w:sz w:val="20"/>
                <w:szCs w:val="20"/>
              </w:rPr>
              <w:t xml:space="preserve"> </w:t>
            </w:r>
            <w:r w:rsidRPr="00F12EF9">
              <w:rPr>
                <w:sz w:val="20"/>
                <w:szCs w:val="20"/>
              </w:rPr>
              <w:t>(</w:t>
            </w:r>
            <w:r w:rsidR="00F12EF9" w:rsidRPr="00F12EF9">
              <w:rPr>
                <w:sz w:val="20"/>
                <w:szCs w:val="20"/>
              </w:rPr>
              <w:t>per uso nel secondo e terzo trimestre di gravidanza</w:t>
            </w:r>
            <w:r w:rsidRPr="00F12EF9">
              <w:rPr>
                <w:sz w:val="20"/>
                <w:szCs w:val="20"/>
              </w:rPr>
              <w:t>)</w:t>
            </w:r>
          </w:p>
        </w:tc>
      </w:tr>
      <w:tr w:rsidR="00AD5FCC" w:rsidRPr="00F12EF9" w:rsidTr="00FE1730">
        <w:trPr>
          <w:jc w:val="center"/>
        </w:trPr>
        <w:tc>
          <w:tcPr>
            <w:tcW w:w="2734" w:type="dxa"/>
          </w:tcPr>
          <w:p w:rsidR="00AD5FCC" w:rsidRPr="00F12EF9" w:rsidRDefault="00D82B44" w:rsidP="00FE1730">
            <w:pPr>
              <w:spacing w:after="0" w:line="240" w:lineRule="auto"/>
              <w:rPr>
                <w:snapToGrid w:val="0"/>
                <w:sz w:val="20"/>
                <w:szCs w:val="20"/>
                <w:highlight w:val="green"/>
              </w:rPr>
            </w:pPr>
            <w:r w:rsidRPr="00F12EF9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6718" w:type="dxa"/>
          </w:tcPr>
          <w:p w:rsidR="00EA65F0" w:rsidRPr="00F12EF9" w:rsidRDefault="00EA65F0" w:rsidP="00AF757C">
            <w:pPr>
              <w:numPr>
                <w:ilvl w:val="0"/>
                <w:numId w:val="24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proofErr w:type="spellStart"/>
            <w:r w:rsidRPr="00F12EF9">
              <w:rPr>
                <w:sz w:val="20"/>
                <w:szCs w:val="20"/>
              </w:rPr>
              <w:t>T</w:t>
            </w:r>
            <w:r w:rsidR="00F12EF9" w:rsidRPr="00F12EF9">
              <w:rPr>
                <w:sz w:val="20"/>
                <w:szCs w:val="20"/>
              </w:rPr>
              <w:t>eratogen</w:t>
            </w:r>
            <w:r w:rsidR="00C808CA">
              <w:rPr>
                <w:sz w:val="20"/>
                <w:szCs w:val="20"/>
              </w:rPr>
              <w:t>ici</w:t>
            </w:r>
            <w:r w:rsidR="00F12EF9" w:rsidRPr="00F12EF9">
              <w:rPr>
                <w:sz w:val="20"/>
                <w:szCs w:val="20"/>
              </w:rPr>
              <w:t>tà</w:t>
            </w:r>
            <w:proofErr w:type="spellEnd"/>
            <w:r w:rsidRPr="00F12EF9">
              <w:rPr>
                <w:sz w:val="20"/>
                <w:szCs w:val="20"/>
              </w:rPr>
              <w:t xml:space="preserve"> (</w:t>
            </w:r>
            <w:r w:rsidR="00F12EF9" w:rsidRPr="00F12EF9">
              <w:rPr>
                <w:sz w:val="20"/>
                <w:szCs w:val="20"/>
              </w:rPr>
              <w:t>per uso nel primo trimestre di gravidanza</w:t>
            </w:r>
            <w:r w:rsidRPr="00F12EF9">
              <w:rPr>
                <w:sz w:val="20"/>
                <w:szCs w:val="20"/>
              </w:rPr>
              <w:t>)</w:t>
            </w:r>
          </w:p>
          <w:p w:rsidR="00AD5FCC" w:rsidRPr="00F12EF9" w:rsidRDefault="00F12EF9" w:rsidP="00AF757C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213" w:right="567" w:hanging="213"/>
              <w:rPr>
                <w:rFonts w:cs="Arial"/>
                <w:sz w:val="20"/>
                <w:szCs w:val="20"/>
              </w:rPr>
            </w:pPr>
            <w:r w:rsidRPr="00F12EF9">
              <w:rPr>
                <w:rFonts w:cs="Arial"/>
                <w:sz w:val="20"/>
                <w:szCs w:val="20"/>
              </w:rPr>
              <w:t>Aumentato rischio cardiovascolare in pazienti con disfunzione del ventricolo sinistro e patologia ischemica cardiaca</w:t>
            </w:r>
          </w:p>
        </w:tc>
      </w:tr>
      <w:tr w:rsidR="00AD5FCC" w:rsidRPr="00AF757C" w:rsidTr="00FE1730">
        <w:trPr>
          <w:jc w:val="center"/>
        </w:trPr>
        <w:tc>
          <w:tcPr>
            <w:tcW w:w="2734" w:type="dxa"/>
          </w:tcPr>
          <w:p w:rsidR="00AD5FCC" w:rsidRPr="00AF757C" w:rsidRDefault="00247C67" w:rsidP="00FE1730">
            <w:pPr>
              <w:spacing w:after="0" w:line="240" w:lineRule="auto"/>
              <w:rPr>
                <w:snapToGrid w:val="0"/>
                <w:sz w:val="20"/>
                <w:szCs w:val="20"/>
                <w:highlight w:val="green"/>
              </w:rPr>
            </w:pPr>
            <w:r w:rsidRPr="00AF757C">
              <w:rPr>
                <w:sz w:val="20"/>
                <w:szCs w:val="20"/>
              </w:rPr>
              <w:t>Informazioni mancanti</w:t>
            </w:r>
          </w:p>
        </w:tc>
        <w:tc>
          <w:tcPr>
            <w:tcW w:w="6718" w:type="dxa"/>
          </w:tcPr>
          <w:p w:rsidR="00F12EF9" w:rsidRPr="00AF757C" w:rsidRDefault="00F12EF9" w:rsidP="00AF757C">
            <w:pPr>
              <w:numPr>
                <w:ilvl w:val="0"/>
                <w:numId w:val="25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r w:rsidRPr="00AF757C">
              <w:rPr>
                <w:sz w:val="20"/>
                <w:szCs w:val="20"/>
              </w:rPr>
              <w:t>Uso in pazienti pediatrici (età &lt;18 anni)</w:t>
            </w:r>
          </w:p>
          <w:p w:rsidR="00EA65F0" w:rsidRPr="00AF757C" w:rsidRDefault="00F12EF9" w:rsidP="00AF757C">
            <w:pPr>
              <w:numPr>
                <w:ilvl w:val="0"/>
                <w:numId w:val="25"/>
              </w:numPr>
              <w:spacing w:after="0" w:line="240" w:lineRule="auto"/>
              <w:ind w:left="213" w:hanging="213"/>
              <w:jc w:val="both"/>
              <w:rPr>
                <w:sz w:val="20"/>
                <w:szCs w:val="20"/>
              </w:rPr>
            </w:pPr>
            <w:r w:rsidRPr="00AF757C">
              <w:rPr>
                <w:sz w:val="20"/>
                <w:szCs w:val="20"/>
              </w:rPr>
              <w:t>Uso durante l’allattamento</w:t>
            </w:r>
          </w:p>
          <w:p w:rsidR="00AD5FCC" w:rsidRPr="00AF757C" w:rsidRDefault="00AF757C" w:rsidP="00AF757C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213" w:right="567" w:hanging="213"/>
              <w:rPr>
                <w:rFonts w:cs="Arial"/>
                <w:sz w:val="20"/>
                <w:szCs w:val="20"/>
              </w:rPr>
            </w:pPr>
            <w:r w:rsidRPr="00AF757C">
              <w:rPr>
                <w:sz w:val="20"/>
                <w:szCs w:val="20"/>
              </w:rPr>
              <w:t>Uso in pazienti con ostruzione del flusso ventricolare sinistro, patologia cardiaca congestizia non trattata, angina pectoris instabile, e in pazienti entro un mese da un infarto cardiaco.</w:t>
            </w:r>
          </w:p>
        </w:tc>
      </w:tr>
    </w:tbl>
    <w:p w:rsidR="00AD5FCC" w:rsidRPr="00AF757C" w:rsidRDefault="00AD5FCC" w:rsidP="00FE1730">
      <w:pPr>
        <w:pStyle w:val="Paragrafoelenco"/>
        <w:spacing w:after="0" w:line="240" w:lineRule="auto"/>
        <w:ind w:left="0"/>
        <w:jc w:val="both"/>
      </w:pP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FE1730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t xml:space="preserve"> </w:t>
      </w:r>
      <w:r>
        <w:t>sono state presentate sufficienti informazioni cliniche.</w:t>
      </w: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</w:t>
      </w:r>
      <w:r w:rsidR="00C808CA">
        <w:t>I</w:t>
      </w:r>
      <w:r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BA0A19" w:rsidRDefault="00BA0A19" w:rsidP="009469B6">
      <w:pPr>
        <w:spacing w:after="0" w:line="240" w:lineRule="auto"/>
        <w:jc w:val="both"/>
      </w:pPr>
    </w:p>
    <w:p w:rsidR="007828C0" w:rsidRDefault="007828C0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F87704" w:rsidP="009469B6">
      <w:pPr>
        <w:spacing w:after="0" w:line="240" w:lineRule="auto"/>
        <w:jc w:val="both"/>
      </w:pPr>
      <w:r w:rsidRPr="00F87704">
        <w:t>Gli</w:t>
      </w:r>
      <w:r w:rsidR="00AB54C2" w:rsidRPr="00F87704">
        <w:t xml:space="preserve"> studi di bioequivalenza e le </w:t>
      </w:r>
      <w:r w:rsidRPr="00F87704">
        <w:t>loro</w:t>
      </w:r>
      <w:r w:rsidR="00AB54C2" w:rsidRPr="00F87704">
        <w:t xml:space="preserve"> conclusioni confermano che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Enalapril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lercanidipina</w:t>
      </w:r>
      <w:proofErr w:type="spellEnd"/>
      <w:r w:rsidR="00EA65F0" w:rsidRPr="00EC4AE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A65F0" w:rsidRPr="00EC4AE7">
        <w:rPr>
          <w:rFonts w:eastAsia="Calibri" w:cs="Calibri"/>
          <w:color w:val="000000"/>
          <w:lang w:eastAsia="it-IT"/>
        </w:rPr>
        <w:t>Sagaem</w:t>
      </w:r>
      <w:proofErr w:type="spellEnd"/>
      <w:r w:rsidR="00EA65F0" w:rsidRPr="00F87704">
        <w:t xml:space="preserve"> </w:t>
      </w:r>
      <w:r w:rsidR="00AB54C2" w:rsidRPr="00F87704">
        <w:t xml:space="preserve">e il medicinale di riferimento </w:t>
      </w:r>
      <w:proofErr w:type="spellStart"/>
      <w:r w:rsidR="00EA65F0">
        <w:t>Zanipril</w:t>
      </w:r>
      <w:proofErr w:type="spellEnd"/>
      <w:r w:rsidR="00AB54C2" w:rsidRPr="00F87704">
        <w:t xml:space="preserve"> sono </w:t>
      </w:r>
      <w:proofErr w:type="spellStart"/>
      <w:r w:rsidR="00AB54C2" w:rsidRPr="00F87704">
        <w:t>bioequivalenti</w:t>
      </w:r>
      <w:proofErr w:type="spellEnd"/>
      <w:r w:rsidR="00AB54C2"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9469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3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4241AC" w:rsidRPr="002A3F14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485FEB"/>
    <w:multiLevelType w:val="hybridMultilevel"/>
    <w:tmpl w:val="79F0629C"/>
    <w:lvl w:ilvl="0" w:tplc="70ECB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2735"/>
    <w:multiLevelType w:val="hybridMultilevel"/>
    <w:tmpl w:val="CE66B198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70B34"/>
    <w:multiLevelType w:val="hybridMultilevel"/>
    <w:tmpl w:val="3C12E86C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D4757A2"/>
    <w:multiLevelType w:val="multilevel"/>
    <w:tmpl w:val="78C6D1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2B0867"/>
    <w:multiLevelType w:val="hybridMultilevel"/>
    <w:tmpl w:val="8B56FA74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E57747"/>
    <w:multiLevelType w:val="hybridMultilevel"/>
    <w:tmpl w:val="9F40029A"/>
    <w:lvl w:ilvl="0" w:tplc="1F824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FE1A1A"/>
    <w:multiLevelType w:val="hybridMultilevel"/>
    <w:tmpl w:val="F616364E"/>
    <w:lvl w:ilvl="0" w:tplc="2BCA64D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3011A1"/>
    <w:multiLevelType w:val="hybridMultilevel"/>
    <w:tmpl w:val="176C123E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CA64DA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D8271C"/>
    <w:multiLevelType w:val="hybridMultilevel"/>
    <w:tmpl w:val="2EB65A7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88409D"/>
    <w:multiLevelType w:val="hybridMultilevel"/>
    <w:tmpl w:val="8604E15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856436"/>
    <w:multiLevelType w:val="hybridMultilevel"/>
    <w:tmpl w:val="78C6D18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4B1825"/>
    <w:multiLevelType w:val="hybridMultilevel"/>
    <w:tmpl w:val="E8824724"/>
    <w:lvl w:ilvl="0" w:tplc="2BCA64D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AA6152"/>
    <w:multiLevelType w:val="hybridMultilevel"/>
    <w:tmpl w:val="BB16DBB2"/>
    <w:lvl w:ilvl="0" w:tplc="EA30EB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FD087C"/>
    <w:multiLevelType w:val="hybridMultilevel"/>
    <w:tmpl w:val="4F107F7A"/>
    <w:lvl w:ilvl="0" w:tplc="2BCA64D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22"/>
  </w:num>
  <w:num w:numId="6">
    <w:abstractNumId w:val="11"/>
  </w:num>
  <w:num w:numId="7">
    <w:abstractNumId w:val="19"/>
  </w:num>
  <w:num w:numId="8">
    <w:abstractNumId w:val="15"/>
  </w:num>
  <w:num w:numId="9">
    <w:abstractNumId w:val="4"/>
  </w:num>
  <w:num w:numId="10">
    <w:abstractNumId w:val="16"/>
  </w:num>
  <w:num w:numId="11">
    <w:abstractNumId w:val="20"/>
  </w:num>
  <w:num w:numId="12">
    <w:abstractNumId w:val="5"/>
  </w:num>
  <w:num w:numId="13">
    <w:abstractNumId w:val="14"/>
  </w:num>
  <w:num w:numId="14">
    <w:abstractNumId w:val="13"/>
  </w:num>
  <w:num w:numId="15">
    <w:abstractNumId w:val="3"/>
  </w:num>
  <w:num w:numId="16">
    <w:abstractNumId w:val="8"/>
  </w:num>
  <w:num w:numId="17">
    <w:abstractNumId w:val="2"/>
  </w:num>
  <w:num w:numId="18">
    <w:abstractNumId w:val="9"/>
  </w:num>
  <w:num w:numId="19">
    <w:abstractNumId w:val="1"/>
  </w:num>
  <w:num w:numId="20">
    <w:abstractNumId w:val="17"/>
  </w:num>
  <w:num w:numId="21">
    <w:abstractNumId w:val="21"/>
  </w:num>
  <w:num w:numId="22">
    <w:abstractNumId w:val="7"/>
  </w:num>
  <w:num w:numId="23">
    <w:abstractNumId w:val="18"/>
  </w:num>
  <w:num w:numId="24">
    <w:abstractNumId w:val="24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062DD"/>
    <w:rsid w:val="000063F7"/>
    <w:rsid w:val="00013020"/>
    <w:rsid w:val="0001762A"/>
    <w:rsid w:val="00035778"/>
    <w:rsid w:val="00037F9B"/>
    <w:rsid w:val="00062636"/>
    <w:rsid w:val="00064A2F"/>
    <w:rsid w:val="00070DFB"/>
    <w:rsid w:val="000746A5"/>
    <w:rsid w:val="00077016"/>
    <w:rsid w:val="00082876"/>
    <w:rsid w:val="0009520C"/>
    <w:rsid w:val="00097D78"/>
    <w:rsid w:val="000B1DCF"/>
    <w:rsid w:val="000B6481"/>
    <w:rsid w:val="000C664F"/>
    <w:rsid w:val="000D2313"/>
    <w:rsid w:val="000E1A3B"/>
    <w:rsid w:val="000E6589"/>
    <w:rsid w:val="000E742B"/>
    <w:rsid w:val="00111E9E"/>
    <w:rsid w:val="0011250C"/>
    <w:rsid w:val="0014218B"/>
    <w:rsid w:val="00156BA7"/>
    <w:rsid w:val="00180C71"/>
    <w:rsid w:val="001A6B22"/>
    <w:rsid w:val="001C1A8E"/>
    <w:rsid w:val="001C584A"/>
    <w:rsid w:val="001C7E83"/>
    <w:rsid w:val="001D08F6"/>
    <w:rsid w:val="001D350A"/>
    <w:rsid w:val="001E7E47"/>
    <w:rsid w:val="001F397A"/>
    <w:rsid w:val="00202FE5"/>
    <w:rsid w:val="00226B5F"/>
    <w:rsid w:val="00237B87"/>
    <w:rsid w:val="002453A6"/>
    <w:rsid w:val="00246D26"/>
    <w:rsid w:val="00247C67"/>
    <w:rsid w:val="002556B9"/>
    <w:rsid w:val="002748E4"/>
    <w:rsid w:val="002937E3"/>
    <w:rsid w:val="00294895"/>
    <w:rsid w:val="002A0D4E"/>
    <w:rsid w:val="002A26AF"/>
    <w:rsid w:val="002B0589"/>
    <w:rsid w:val="002B07D4"/>
    <w:rsid w:val="002B0F72"/>
    <w:rsid w:val="002B4D7A"/>
    <w:rsid w:val="002B61BC"/>
    <w:rsid w:val="0030600B"/>
    <w:rsid w:val="00306DD8"/>
    <w:rsid w:val="00312848"/>
    <w:rsid w:val="003440B2"/>
    <w:rsid w:val="00356448"/>
    <w:rsid w:val="003762D3"/>
    <w:rsid w:val="003828B8"/>
    <w:rsid w:val="003C5146"/>
    <w:rsid w:val="003D479A"/>
    <w:rsid w:val="00406421"/>
    <w:rsid w:val="004241AC"/>
    <w:rsid w:val="004403CF"/>
    <w:rsid w:val="00440B34"/>
    <w:rsid w:val="00452364"/>
    <w:rsid w:val="004544FD"/>
    <w:rsid w:val="00467593"/>
    <w:rsid w:val="00495EF5"/>
    <w:rsid w:val="004A1685"/>
    <w:rsid w:val="004B20A8"/>
    <w:rsid w:val="004B7E5B"/>
    <w:rsid w:val="004C32A6"/>
    <w:rsid w:val="004D66A7"/>
    <w:rsid w:val="004E0AC1"/>
    <w:rsid w:val="004E2E4C"/>
    <w:rsid w:val="004F059C"/>
    <w:rsid w:val="00507E9B"/>
    <w:rsid w:val="00536EA2"/>
    <w:rsid w:val="00566B07"/>
    <w:rsid w:val="00571F56"/>
    <w:rsid w:val="005928E6"/>
    <w:rsid w:val="005A64F7"/>
    <w:rsid w:val="005A6CF4"/>
    <w:rsid w:val="005B50AD"/>
    <w:rsid w:val="005C090A"/>
    <w:rsid w:val="005D2E7E"/>
    <w:rsid w:val="005E05A8"/>
    <w:rsid w:val="005E0F4C"/>
    <w:rsid w:val="005E18C6"/>
    <w:rsid w:val="00644527"/>
    <w:rsid w:val="006722AC"/>
    <w:rsid w:val="00680F80"/>
    <w:rsid w:val="006C7E98"/>
    <w:rsid w:val="006D14EF"/>
    <w:rsid w:val="0070652E"/>
    <w:rsid w:val="007103BF"/>
    <w:rsid w:val="00717132"/>
    <w:rsid w:val="00724E1A"/>
    <w:rsid w:val="00730C29"/>
    <w:rsid w:val="00732071"/>
    <w:rsid w:val="00764F3C"/>
    <w:rsid w:val="007828C0"/>
    <w:rsid w:val="007B6648"/>
    <w:rsid w:val="007B6C6B"/>
    <w:rsid w:val="007D0622"/>
    <w:rsid w:val="007E6F4B"/>
    <w:rsid w:val="00826C22"/>
    <w:rsid w:val="00836DD3"/>
    <w:rsid w:val="008529CF"/>
    <w:rsid w:val="00862596"/>
    <w:rsid w:val="00874733"/>
    <w:rsid w:val="008A69E3"/>
    <w:rsid w:val="00901E3F"/>
    <w:rsid w:val="00923643"/>
    <w:rsid w:val="009469B6"/>
    <w:rsid w:val="00950F63"/>
    <w:rsid w:val="00953BC2"/>
    <w:rsid w:val="009635D4"/>
    <w:rsid w:val="00982B85"/>
    <w:rsid w:val="009844F7"/>
    <w:rsid w:val="00991D00"/>
    <w:rsid w:val="00996C77"/>
    <w:rsid w:val="009A2010"/>
    <w:rsid w:val="009A260F"/>
    <w:rsid w:val="009B03DB"/>
    <w:rsid w:val="009E31BC"/>
    <w:rsid w:val="009F16FA"/>
    <w:rsid w:val="009F3EF7"/>
    <w:rsid w:val="00A03E03"/>
    <w:rsid w:val="00A05212"/>
    <w:rsid w:val="00A1005E"/>
    <w:rsid w:val="00A14990"/>
    <w:rsid w:val="00A40FF3"/>
    <w:rsid w:val="00A61113"/>
    <w:rsid w:val="00A715C0"/>
    <w:rsid w:val="00A73ACB"/>
    <w:rsid w:val="00A807F5"/>
    <w:rsid w:val="00A83201"/>
    <w:rsid w:val="00A9506F"/>
    <w:rsid w:val="00AB54C2"/>
    <w:rsid w:val="00AD5FCC"/>
    <w:rsid w:val="00AD6978"/>
    <w:rsid w:val="00AF32FD"/>
    <w:rsid w:val="00AF757C"/>
    <w:rsid w:val="00B27F42"/>
    <w:rsid w:val="00B40F40"/>
    <w:rsid w:val="00B44898"/>
    <w:rsid w:val="00B4779E"/>
    <w:rsid w:val="00B64DB3"/>
    <w:rsid w:val="00B70578"/>
    <w:rsid w:val="00B90347"/>
    <w:rsid w:val="00B939C2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41659"/>
    <w:rsid w:val="00C47386"/>
    <w:rsid w:val="00C72386"/>
    <w:rsid w:val="00C808CA"/>
    <w:rsid w:val="00CC7AFF"/>
    <w:rsid w:val="00CE1344"/>
    <w:rsid w:val="00CF4E53"/>
    <w:rsid w:val="00CF5597"/>
    <w:rsid w:val="00D05DEB"/>
    <w:rsid w:val="00D06F63"/>
    <w:rsid w:val="00D20170"/>
    <w:rsid w:val="00D24744"/>
    <w:rsid w:val="00D362E0"/>
    <w:rsid w:val="00D5202C"/>
    <w:rsid w:val="00D82B44"/>
    <w:rsid w:val="00D85C3C"/>
    <w:rsid w:val="00DC2CA3"/>
    <w:rsid w:val="00DD27A5"/>
    <w:rsid w:val="00DF53AE"/>
    <w:rsid w:val="00E038D0"/>
    <w:rsid w:val="00E2069A"/>
    <w:rsid w:val="00E21B1C"/>
    <w:rsid w:val="00E2236C"/>
    <w:rsid w:val="00E36CE0"/>
    <w:rsid w:val="00E43089"/>
    <w:rsid w:val="00E652C8"/>
    <w:rsid w:val="00E713B8"/>
    <w:rsid w:val="00E83F8D"/>
    <w:rsid w:val="00EA46E5"/>
    <w:rsid w:val="00EA65F0"/>
    <w:rsid w:val="00EB18B0"/>
    <w:rsid w:val="00EC4AE7"/>
    <w:rsid w:val="00ED1BE6"/>
    <w:rsid w:val="00ED3C61"/>
    <w:rsid w:val="00EE29EF"/>
    <w:rsid w:val="00EF062E"/>
    <w:rsid w:val="00EF5475"/>
    <w:rsid w:val="00F12EF9"/>
    <w:rsid w:val="00F22C10"/>
    <w:rsid w:val="00F37E3E"/>
    <w:rsid w:val="00F4357E"/>
    <w:rsid w:val="00F5121D"/>
    <w:rsid w:val="00F6357B"/>
    <w:rsid w:val="00F66767"/>
    <w:rsid w:val="00F73A26"/>
    <w:rsid w:val="00F87704"/>
    <w:rsid w:val="00FA2702"/>
    <w:rsid w:val="00FA483C"/>
    <w:rsid w:val="00FB455A"/>
    <w:rsid w:val="00FC1BCE"/>
    <w:rsid w:val="00FE1730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36D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customStyle="1" w:styleId="Paragraph">
    <w:name w:val="Paragraph"/>
    <w:link w:val="ParagraphChar"/>
    <w:rsid w:val="00CF559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structions">
    <w:name w:val="Instructions"/>
    <w:rsid w:val="00CF5597"/>
    <w:rPr>
      <w:i/>
      <w:vanish/>
      <w:color w:val="008080"/>
    </w:rPr>
  </w:style>
  <w:style w:type="character" w:customStyle="1" w:styleId="ParagraphChar">
    <w:name w:val="Paragraph Char"/>
    <w:link w:val="Paragraph"/>
    <w:rsid w:val="00CF55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delblocco">
    <w:name w:val="Block Text"/>
    <w:basedOn w:val="Normale"/>
    <w:rsid w:val="00A14990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2A26AF"/>
    <w:pPr>
      <w:spacing w:after="0" w:line="240" w:lineRule="auto"/>
      <w:ind w:left="1800" w:hanging="1080"/>
      <w:jc w:val="both"/>
    </w:pPr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A26AF"/>
    <w:rPr>
      <w:rFonts w:ascii="Arial" w:eastAsia="Times New Roman" w:hAnsi="Arial" w:cs="Times New Roman"/>
      <w:sz w:val="24"/>
      <w:szCs w:val="20"/>
      <w:u w:val="single"/>
    </w:rPr>
  </w:style>
  <w:style w:type="paragraph" w:customStyle="1" w:styleId="Corpotesto">
    <w:name w:val="Corpo testo"/>
    <w:basedOn w:val="Normale"/>
    <w:link w:val="CorpotestoCarattere"/>
    <w:rsid w:val="002A26AF"/>
    <w:pPr>
      <w:spacing w:after="0" w:line="240" w:lineRule="auto"/>
    </w:pPr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CorpotestoCarattere">
    <w:name w:val="Corpo testo Carattere"/>
    <w:link w:val="Corpotesto"/>
    <w:rsid w:val="002A26AF"/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6DD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ommario5">
    <w:name w:val="toc 5"/>
    <w:next w:val="Normale"/>
    <w:autoRedefine/>
    <w:semiHidden/>
    <w:rsid w:val="00EA65F0"/>
    <w:pPr>
      <w:spacing w:after="0" w:line="360" w:lineRule="auto"/>
      <w:ind w:left="709"/>
    </w:pPr>
    <w:rPr>
      <w:rFonts w:ascii="Times New Roman Bold" w:eastAsia="Times New Roman" w:hAnsi="Times New Roman Bold" w:cs="Times New Roman"/>
      <w:b/>
      <w:bCs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farm.de/EN/Home/home_node.html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81E55-5FCF-48AB-9051-B181CEE7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3441</Words>
  <Characters>19618</Characters>
  <Application>Microsoft Office Word</Application>
  <DocSecurity>0</DocSecurity>
  <Lines>163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6</cp:revision>
  <dcterms:created xsi:type="dcterms:W3CDTF">2017-05-09T07:00:00Z</dcterms:created>
  <dcterms:modified xsi:type="dcterms:W3CDTF">2018-05-17T10:32:00Z</dcterms:modified>
</cp:coreProperties>
</file>