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4005D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D4005D" w:rsidP="004241AC">
      <w:pPr>
        <w:widowControl w:val="0"/>
        <w:spacing w:after="0" w:line="240" w:lineRule="auto"/>
        <w:jc w:val="center"/>
        <w:rPr>
          <w:snapToGrid w:val="0"/>
        </w:rPr>
      </w:pPr>
      <w:r w:rsidRPr="00741838">
        <w:rPr>
          <w:b/>
          <w:sz w:val="32"/>
        </w:rPr>
        <w:t xml:space="preserve">ESOMEPRAZOLO </w:t>
      </w:r>
      <w:proofErr w:type="spellStart"/>
      <w:r w:rsidRPr="00741838">
        <w:rPr>
          <w:b/>
          <w:sz w:val="32"/>
        </w:rPr>
        <w:t>VI.REL</w:t>
      </w:r>
      <w:proofErr w:type="spellEnd"/>
      <w:r w:rsidRPr="00741838">
        <w:rPr>
          <w:b/>
          <w:sz w:val="32"/>
        </w:rPr>
        <w:t xml:space="preserve"> </w:t>
      </w:r>
      <w:r w:rsidR="00B74130">
        <w:rPr>
          <w:b/>
          <w:sz w:val="32"/>
        </w:rPr>
        <w:t>PHARMA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</w:t>
      </w:r>
    </w:p>
    <w:p w:rsidR="004241AC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esomeprazolo</w:t>
      </w:r>
      <w:proofErr w:type="spellEnd"/>
      <w:r>
        <w:rPr>
          <w:b/>
        </w:rPr>
        <w:t>)</w:t>
      </w: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4005D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4005D" w:rsidRPr="00A966D1" w:rsidRDefault="00D4005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41838" w:rsidRPr="00741838" w:rsidRDefault="00C70453" w:rsidP="00741838">
      <w:pPr>
        <w:spacing w:after="0" w:line="240" w:lineRule="auto"/>
        <w:jc w:val="center"/>
        <w:rPr>
          <w:b/>
        </w:rPr>
      </w:pPr>
      <w:proofErr w:type="spellStart"/>
      <w:r>
        <w:rPr>
          <w:b/>
        </w:rPr>
        <w:t>VI.REL</w:t>
      </w:r>
      <w:proofErr w:type="spellEnd"/>
      <w:r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741838">
        <w:rPr>
          <w:rFonts w:cs="Helvetica"/>
          <w:b/>
          <w:bCs/>
        </w:rPr>
        <w:t>044705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41838" w:rsidRPr="00741838">
        <w:rPr>
          <w:rFonts w:eastAsia="Calibri" w:cs="Calibri"/>
          <w:color w:val="000000"/>
          <w:lang w:eastAsia="it-IT"/>
        </w:rPr>
        <w:t>Esomeprazolo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741838">
        <w:rPr>
          <w:rFonts w:eastAsia="Calibri" w:cs="Calibri"/>
          <w:color w:val="000000"/>
          <w:lang w:eastAsia="it-IT"/>
        </w:rPr>
        <w:t xml:space="preserve">.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41838" w:rsidRPr="00741838">
        <w:rPr>
          <w:rFonts w:eastAsia="Calibri" w:cs="Calibri"/>
          <w:color w:val="000000"/>
          <w:lang w:eastAsia="it-IT"/>
        </w:rPr>
        <w:t>Esomeprazolo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41838" w:rsidRPr="00741838">
        <w:rPr>
          <w:rFonts w:eastAsia="Calibri" w:cs="Calibri"/>
          <w:color w:val="000000"/>
          <w:lang w:eastAsia="it-IT"/>
        </w:rPr>
        <w:t>Esomeprazolo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41838" w:rsidRPr="00741838">
        <w:rPr>
          <w:rFonts w:eastAsia="Calibri" w:cs="Calibri"/>
          <w:color w:val="000000"/>
          <w:lang w:eastAsia="it-IT"/>
        </w:rPr>
        <w:t>Esomeprazolo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741838" w:rsidRPr="00741838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157B2" w:rsidRPr="00B157B2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B157B2" w:rsidRPr="00B157B2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="00B157B2" w:rsidRPr="00B157B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BB2AF8" w:rsidRDefault="00B157B2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157B2">
        <w:rPr>
          <w:rFonts w:eastAsia="Calibri" w:cs="Calibri"/>
          <w:color w:val="000000"/>
          <w:lang w:eastAsia="it-IT"/>
        </w:rPr>
        <w:t>Esomeprazolo</w:t>
      </w:r>
      <w:proofErr w:type="spellEnd"/>
      <w:r w:rsidRPr="00B157B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B157B2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E87CCD">
        <w:rPr>
          <w:rFonts w:eastAsia="Calibri" w:cs="Calibri"/>
          <w:color w:val="000000"/>
          <w:lang w:eastAsia="it-IT"/>
        </w:rPr>
        <w:t>è disponibile come</w:t>
      </w:r>
      <w:r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>capsule</w:t>
      </w:r>
      <w:r w:rsidR="00D75828">
        <w:rPr>
          <w:rFonts w:eastAsia="Calibri" w:cs="Calibri"/>
          <w:color w:val="000000"/>
          <w:lang w:eastAsia="it-IT"/>
        </w:rPr>
        <w:t xml:space="preserve"> rigide </w:t>
      </w:r>
      <w:proofErr w:type="spellStart"/>
      <w:r w:rsidR="00D75828">
        <w:rPr>
          <w:rFonts w:eastAsia="Calibri" w:cs="Calibri"/>
          <w:color w:val="000000"/>
          <w:lang w:eastAsia="it-IT"/>
        </w:rPr>
        <w:t>gastroresistenti</w:t>
      </w:r>
      <w:proofErr w:type="spellEnd"/>
      <w:r w:rsidR="00797416">
        <w:rPr>
          <w:rFonts w:eastAsia="Calibri" w:cs="Calibri"/>
          <w:color w:val="000000"/>
          <w:lang w:eastAsia="it-IT"/>
        </w:rPr>
        <w:t xml:space="preserve">, </w:t>
      </w:r>
      <w:r w:rsidR="00BB2AF8">
        <w:rPr>
          <w:rFonts w:eastAsia="Calibri" w:cs="Calibri"/>
          <w:color w:val="000000"/>
          <w:lang w:eastAsia="it-IT"/>
        </w:rPr>
        <w:t>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20</w:t>
      </w:r>
      <w:r w:rsidR="00797416">
        <w:rPr>
          <w:rFonts w:eastAsia="Calibri" w:cs="Calibri"/>
          <w:color w:val="000000"/>
          <w:lang w:eastAsia="it-IT"/>
        </w:rPr>
        <w:t xml:space="preserve"> mg e </w:t>
      </w:r>
      <w:r>
        <w:rPr>
          <w:rFonts w:eastAsia="Calibri" w:cs="Calibri"/>
          <w:color w:val="000000"/>
          <w:lang w:eastAsia="it-IT"/>
        </w:rPr>
        <w:t>40</w:t>
      </w:r>
      <w:r w:rsidR="00797416"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:rsidR="00BB2AF8" w:rsidRPr="000E0632" w:rsidRDefault="00B157B2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157B2">
        <w:rPr>
          <w:rFonts w:eastAsia="Calibri" w:cs="Calibri"/>
          <w:color w:val="000000"/>
          <w:lang w:eastAsia="it-IT"/>
        </w:rPr>
        <w:t>Esomeprazolo</w:t>
      </w:r>
      <w:proofErr w:type="spellEnd"/>
      <w:r w:rsidRPr="00B157B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6030D" w:rsidRPr="00B157B2">
        <w:rPr>
          <w:rFonts w:eastAsia="Calibri" w:cs="Calibri"/>
          <w:color w:val="000000"/>
          <w:lang w:eastAsia="it-IT"/>
        </w:rPr>
        <w:t xml:space="preserve"> </w:t>
      </w:r>
      <w:r w:rsidR="0066030D">
        <w:rPr>
          <w:rFonts w:eastAsia="Calibri" w:cs="Calibri"/>
          <w:color w:val="000000"/>
          <w:lang w:eastAsia="it-IT"/>
        </w:rPr>
        <w:t>è</w:t>
      </w:r>
      <w:r w:rsidR="00797416" w:rsidRPr="00E83F8D">
        <w:rPr>
          <w:rFonts w:eastAsia="Calibri" w:cs="Calibri"/>
          <w:color w:val="000000"/>
          <w:lang w:eastAsia="it-IT"/>
        </w:rPr>
        <w:t xml:space="preserve">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Nexium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300BEA">
        <w:rPr>
          <w:rFonts w:eastAsia="Calibri" w:cs="Calibri"/>
          <w:color w:val="000000"/>
          <w:lang w:eastAsia="it-IT"/>
        </w:rPr>
        <w:t xml:space="preserve">già autorizzato in Italia con una procedura </w:t>
      </w:r>
      <w:r>
        <w:rPr>
          <w:rFonts w:eastAsia="Calibri" w:cs="Calibri"/>
          <w:color w:val="000000"/>
          <w:lang w:eastAsia="it-IT"/>
        </w:rPr>
        <w:t>di mutuo riconoscimento</w:t>
      </w:r>
      <w:r w:rsidR="00300BEA">
        <w:rPr>
          <w:rFonts w:eastAsia="Calibri" w:cs="Calibri"/>
          <w:color w:val="000000"/>
          <w:lang w:eastAsia="it-IT"/>
        </w:rPr>
        <w:t xml:space="preserve"> con la </w:t>
      </w:r>
      <w:r>
        <w:rPr>
          <w:rFonts w:eastAsia="Calibri" w:cs="Calibri"/>
          <w:color w:val="000000"/>
          <w:lang w:eastAsia="it-IT"/>
        </w:rPr>
        <w:t>Svezia</w:t>
      </w:r>
      <w:r w:rsidR="00300BEA">
        <w:rPr>
          <w:rFonts w:eastAsia="Calibri" w:cs="Calibri"/>
          <w:color w:val="000000"/>
          <w:lang w:eastAsia="it-IT"/>
        </w:rPr>
        <w:t xml:space="preserve"> come stato di riferimento (</w:t>
      </w:r>
      <w:hyperlink r:id="rId6" w:history="1">
        <w:r w:rsidR="00F86155" w:rsidRPr="006D3B30">
          <w:rPr>
            <w:rStyle w:val="Collegamentoipertestuale"/>
            <w:rFonts w:eastAsia="Calibri" w:cs="Calibri"/>
            <w:lang w:eastAsia="it-IT"/>
          </w:rPr>
          <w:t>http://www.lakemedelsverket.se/</w:t>
        </w:r>
      </w:hyperlink>
      <w:r w:rsidR="00F86155">
        <w:rPr>
          <w:rFonts w:eastAsia="Calibri" w:cs="Calibri"/>
          <w:color w:val="000000"/>
          <w:lang w:eastAsia="it-IT"/>
        </w:rPr>
        <w:t xml:space="preserve">). </w:t>
      </w:r>
      <w:r w:rsidR="00300BEA"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300BEA"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D2683B">
        <w:rPr>
          <w:rFonts w:eastAsia="Calibri" w:cs="Calibri"/>
          <w:lang w:eastAsia="it-IT"/>
        </w:rPr>
        <w:t>)</w:t>
      </w:r>
      <w:r w:rsidR="00B74130">
        <w:rPr>
          <w:rFonts w:eastAsia="Calibri" w:cs="Calibri"/>
          <w:lang w:eastAsia="it-IT"/>
        </w:rPr>
        <w:t xml:space="preserve"> </w:t>
      </w:r>
      <w:r w:rsidR="00300BEA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EA610A">
        <w:rPr>
          <w:rFonts w:eastAsia="Calibri" w:cs="Calibri"/>
          <w:color w:val="000000"/>
          <w:lang w:eastAsia="it-IT"/>
        </w:rPr>
        <w:t>Nexium</w:t>
      </w:r>
      <w:proofErr w:type="spellEnd"/>
      <w:r w:rsidR="00EA610A">
        <w:rPr>
          <w:rFonts w:eastAsia="Calibri" w:cs="Calibri"/>
          <w:color w:val="000000"/>
          <w:lang w:eastAsia="it-IT"/>
        </w:rPr>
        <w:t>.</w:t>
      </w:r>
    </w:p>
    <w:p w:rsidR="00EA610A" w:rsidRPr="00BB215D" w:rsidRDefault="00EA610A" w:rsidP="00EA61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BB215D">
        <w:rPr>
          <w:rFonts w:eastAsia="Calibri" w:cs="Calibri"/>
          <w:color w:val="000000"/>
          <w:lang w:eastAsia="it-IT"/>
        </w:rPr>
        <w:t>Esomeprazolo</w:t>
      </w:r>
      <w:proofErr w:type="spellEnd"/>
      <w:r w:rsidRPr="00BB215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6030D" w:rsidRPr="00BB215D">
        <w:rPr>
          <w:rFonts w:eastAsia="Calibri" w:cs="Calibri"/>
          <w:color w:val="000000"/>
          <w:lang w:eastAsia="it-IT"/>
        </w:rPr>
        <w:t xml:space="preserve"> si</w:t>
      </w:r>
      <w:r w:rsidR="00BB2AF8" w:rsidRPr="00BB215D">
        <w:rPr>
          <w:rFonts w:eastAsia="Calibri" w:cs="Calibri"/>
          <w:lang w:eastAsia="it-IT"/>
        </w:rPr>
        <w:t xml:space="preserve"> usa</w:t>
      </w:r>
      <w:r w:rsidRPr="00BB215D">
        <w:rPr>
          <w:rFonts w:ascii="Times New Roman" w:eastAsia="Calibri" w:hAnsi="Times New Roman" w:cs="Times New Roman"/>
          <w:color w:val="000000"/>
          <w:spacing w:val="15"/>
          <w:w w:val="90"/>
        </w:rPr>
        <w:t xml:space="preserve"> </w:t>
      </w:r>
      <w:r w:rsidRPr="00BB215D">
        <w:rPr>
          <w:rFonts w:eastAsia="Calibri" w:cs="Calibri"/>
          <w:lang w:eastAsia="it-IT"/>
        </w:rPr>
        <w:t>per il trattamento delle seguenti condizioni:</w:t>
      </w:r>
    </w:p>
    <w:p w:rsidR="00EA610A" w:rsidRPr="00BB215D" w:rsidRDefault="00EA610A" w:rsidP="00EA61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t>Adulti e adolescenti di età compresa dai 12 anni in su</w:t>
      </w:r>
    </w:p>
    <w:p w:rsidR="00EA610A" w:rsidRPr="00BB215D" w:rsidRDefault="00EA610A" w:rsidP="00BB215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t xml:space="preserve">Malattia da reflusso </w:t>
      </w:r>
      <w:proofErr w:type="spellStart"/>
      <w:r w:rsidRPr="00BB215D">
        <w:rPr>
          <w:rFonts w:eastAsia="Calibri" w:cs="Calibri"/>
          <w:lang w:eastAsia="it-IT"/>
        </w:rPr>
        <w:t>gastroesofageo</w:t>
      </w:r>
      <w:proofErr w:type="spellEnd"/>
      <w:r w:rsidRPr="00BB215D">
        <w:rPr>
          <w:rFonts w:eastAsia="Calibri" w:cs="Calibri"/>
          <w:lang w:eastAsia="it-IT"/>
        </w:rPr>
        <w:t xml:space="preserve"> (MRGE). In questa malattia l’acido proveniente dallo stomaco fuoriesce nell’esofago (il tubo che collega la gola allo stomaco) causando dolore, infiammazione e bruciore.</w:t>
      </w:r>
    </w:p>
    <w:p w:rsidR="00EA610A" w:rsidRPr="00BB215D" w:rsidRDefault="00EA610A" w:rsidP="00BB215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lastRenderedPageBreak/>
        <w:t>Ulcere dello stomaco o della parte superiore del tubo digerente (intestino) che sono infettate da batteri chiamati "</w:t>
      </w:r>
      <w:proofErr w:type="spellStart"/>
      <w:r w:rsidRPr="00BB215D">
        <w:rPr>
          <w:rFonts w:eastAsia="Calibri" w:cs="Calibri"/>
          <w:i/>
          <w:iCs/>
          <w:lang w:eastAsia="it-IT"/>
        </w:rPr>
        <w:t>Helicobacter</w:t>
      </w:r>
      <w:proofErr w:type="spellEnd"/>
      <w:r w:rsidRPr="00BB215D">
        <w:rPr>
          <w:rFonts w:eastAsia="Calibri" w:cs="Calibri"/>
          <w:i/>
          <w:iCs/>
          <w:lang w:eastAsia="it-IT"/>
        </w:rPr>
        <w:t xml:space="preserve"> </w:t>
      </w:r>
      <w:proofErr w:type="spellStart"/>
      <w:r w:rsidRPr="00BB215D">
        <w:rPr>
          <w:rFonts w:eastAsia="Calibri" w:cs="Calibri"/>
          <w:i/>
          <w:iCs/>
          <w:lang w:eastAsia="it-IT"/>
        </w:rPr>
        <w:t>pylori</w:t>
      </w:r>
      <w:proofErr w:type="spellEnd"/>
      <w:r w:rsidRPr="00BB215D">
        <w:rPr>
          <w:rFonts w:eastAsia="Calibri" w:cs="Calibri"/>
          <w:lang w:eastAsia="it-IT"/>
        </w:rPr>
        <w:t xml:space="preserve">". </w:t>
      </w:r>
      <w:r w:rsidR="00BB215D" w:rsidRPr="00BB215D">
        <w:rPr>
          <w:rFonts w:eastAsia="Calibri" w:cs="Calibri"/>
          <w:lang w:eastAsia="it-IT"/>
        </w:rPr>
        <w:t>Per il trattamento di</w:t>
      </w:r>
      <w:r w:rsidRPr="00BB215D">
        <w:rPr>
          <w:rFonts w:eastAsia="Calibri" w:cs="Calibri"/>
          <w:lang w:eastAsia="it-IT"/>
        </w:rPr>
        <w:t xml:space="preserve"> questa</w:t>
      </w:r>
      <w:r w:rsidR="0066030D" w:rsidRPr="00BB215D">
        <w:rPr>
          <w:rFonts w:eastAsia="Calibri" w:cs="Calibri"/>
          <w:lang w:eastAsia="it-IT"/>
        </w:rPr>
        <w:t xml:space="preserve"> </w:t>
      </w:r>
      <w:r w:rsidRPr="00BB215D">
        <w:rPr>
          <w:rFonts w:eastAsia="Calibri" w:cs="Calibri"/>
          <w:lang w:eastAsia="it-IT"/>
        </w:rPr>
        <w:t>malattia, il medico può prescrivere anche antibiotici per trattare l’infezione e permettere all’ulcera di guarire.</w:t>
      </w:r>
    </w:p>
    <w:p w:rsidR="00EA610A" w:rsidRPr="00BB215D" w:rsidRDefault="00EA610A" w:rsidP="00EA61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t>Adulti</w:t>
      </w:r>
      <w:r w:rsidR="00BB215D" w:rsidRPr="00BB215D">
        <w:rPr>
          <w:rFonts w:eastAsia="Calibri" w:cs="Calibri"/>
          <w:lang w:eastAsia="it-IT"/>
        </w:rPr>
        <w:t>:</w:t>
      </w:r>
    </w:p>
    <w:p w:rsidR="00EA610A" w:rsidRPr="00BB215D" w:rsidRDefault="00EA610A" w:rsidP="00BB215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t xml:space="preserve">Ulcere dello stomaco causate da medicinali chiamati FANS (Farmaci Antinfiammatori Non Steroidei). </w:t>
      </w:r>
      <w:proofErr w:type="spellStart"/>
      <w:r w:rsidRPr="00BB215D">
        <w:rPr>
          <w:rFonts w:eastAsia="Calibri" w:cs="Calibri"/>
          <w:lang w:eastAsia="it-IT"/>
        </w:rPr>
        <w:t>Esomeprazolo</w:t>
      </w:r>
      <w:proofErr w:type="spellEnd"/>
      <w:r w:rsidRPr="00BB215D">
        <w:rPr>
          <w:rFonts w:eastAsia="Calibri" w:cs="Calibri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BB215D">
        <w:rPr>
          <w:rFonts w:eastAsia="Calibri" w:cs="Calibri"/>
          <w:lang w:eastAsia="it-IT"/>
        </w:rPr>
        <w:t xml:space="preserve"> può essere utilizzato anche per impedire la formazione di ulcere allo stomaco se </w:t>
      </w:r>
      <w:r w:rsidR="00BB215D" w:rsidRPr="00BB215D">
        <w:rPr>
          <w:rFonts w:eastAsia="Calibri" w:cs="Calibri"/>
          <w:lang w:eastAsia="it-IT"/>
        </w:rPr>
        <w:t>si stanno</w:t>
      </w:r>
      <w:r w:rsidRPr="00BB215D">
        <w:rPr>
          <w:rFonts w:eastAsia="Calibri" w:cs="Calibri"/>
          <w:lang w:eastAsia="it-IT"/>
        </w:rPr>
        <w:t xml:space="preserve"> prendendo dei FANS.</w:t>
      </w:r>
    </w:p>
    <w:p w:rsidR="00EA610A" w:rsidRPr="00BB215D" w:rsidRDefault="00EA610A" w:rsidP="00BB215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t xml:space="preserve">Eccesso di acido nello stomaco causato da una crescita nel pancreas (sindrome di </w:t>
      </w:r>
      <w:proofErr w:type="spellStart"/>
      <w:r w:rsidRPr="00BB215D">
        <w:rPr>
          <w:rFonts w:eastAsia="Calibri" w:cs="Calibri"/>
          <w:lang w:eastAsia="it-IT"/>
        </w:rPr>
        <w:t>Zollinger-Ellison</w:t>
      </w:r>
      <w:proofErr w:type="spellEnd"/>
      <w:r w:rsidRPr="00BB215D">
        <w:rPr>
          <w:rFonts w:eastAsia="Calibri" w:cs="Calibri"/>
          <w:lang w:eastAsia="it-IT"/>
        </w:rPr>
        <w:t>).</w:t>
      </w:r>
    </w:p>
    <w:p w:rsidR="00EA610A" w:rsidRPr="00BB215D" w:rsidRDefault="00EA610A" w:rsidP="00BB215D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B215D">
        <w:rPr>
          <w:rFonts w:eastAsia="Calibri" w:cs="Calibri"/>
          <w:lang w:eastAsia="it-IT"/>
        </w:rPr>
        <w:t xml:space="preserve">Trattamento prolungato dopo prevenzione del </w:t>
      </w:r>
      <w:proofErr w:type="spellStart"/>
      <w:r w:rsidRPr="00BB215D">
        <w:rPr>
          <w:rFonts w:eastAsia="Calibri" w:cs="Calibri"/>
          <w:lang w:eastAsia="it-IT"/>
        </w:rPr>
        <w:t>risanguinamento</w:t>
      </w:r>
      <w:proofErr w:type="spellEnd"/>
      <w:r w:rsidRPr="00BB215D">
        <w:rPr>
          <w:rFonts w:eastAsia="Calibri" w:cs="Calibri"/>
          <w:lang w:eastAsia="it-IT"/>
        </w:rPr>
        <w:t xml:space="preserve"> di ulcere con </w:t>
      </w:r>
      <w:proofErr w:type="spellStart"/>
      <w:r w:rsidRPr="00BB215D">
        <w:rPr>
          <w:rFonts w:eastAsia="Calibri" w:cs="Calibri"/>
          <w:lang w:eastAsia="it-IT"/>
        </w:rPr>
        <w:t>esomeprazolo</w:t>
      </w:r>
      <w:proofErr w:type="spellEnd"/>
      <w:r w:rsidRPr="00BB215D">
        <w:rPr>
          <w:rFonts w:eastAsia="Calibri" w:cs="Calibri"/>
          <w:lang w:eastAsia="it-IT"/>
        </w:rPr>
        <w:t xml:space="preserve"> per via endovenosa.</w:t>
      </w:r>
    </w:p>
    <w:p w:rsidR="00BB2AF8" w:rsidRDefault="00BB2AF8" w:rsidP="00BB215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D4005D" w:rsidRPr="003F739B" w:rsidRDefault="00D4005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66030D" w:rsidRPr="003F739B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proofErr w:type="spellStart"/>
      <w:r w:rsidR="00EA610A" w:rsidRPr="00EA610A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EA610A" w:rsidRPr="00EA610A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="0066030D" w:rsidRPr="00EA610A">
        <w:rPr>
          <w:rFonts w:eastAsia="Calibri" w:cs="Calibri"/>
          <w:b/>
          <w:color w:val="000000"/>
          <w:lang w:eastAsia="it-IT"/>
        </w:rPr>
        <w:t>?</w:t>
      </w:r>
    </w:p>
    <w:p w:rsidR="00300BEA" w:rsidRPr="00B74130" w:rsidRDefault="00EA610A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 w:rsidRPr="00B74130">
        <w:rPr>
          <w:rFonts w:asciiTheme="minorHAnsi" w:eastAsia="Calibri" w:hAnsiTheme="minorHAnsi" w:cs="Calibri"/>
          <w:color w:val="000000"/>
          <w:sz w:val="22"/>
          <w:szCs w:val="22"/>
        </w:rPr>
        <w:t>Esomeprazolo</w:t>
      </w:r>
      <w:proofErr w:type="spellEnd"/>
      <w:r w:rsidRPr="00B74130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="00B74130" w:rsidRPr="00B74130">
        <w:rPr>
          <w:rFonts w:asciiTheme="minorHAnsi" w:hAnsiTheme="minorHAnsi"/>
          <w:sz w:val="22"/>
          <w:szCs w:val="22"/>
        </w:rPr>
        <w:t>VI.REL</w:t>
      </w:r>
      <w:proofErr w:type="spellEnd"/>
      <w:r w:rsidR="00B74130" w:rsidRPr="00B7413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74130" w:rsidRPr="00B74130">
        <w:rPr>
          <w:rFonts w:asciiTheme="minorHAnsi" w:hAnsiTheme="minorHAnsi"/>
          <w:sz w:val="22"/>
          <w:szCs w:val="22"/>
        </w:rPr>
        <w:t>Pharma</w:t>
      </w:r>
      <w:proofErr w:type="spellEnd"/>
      <w:r w:rsidRPr="00B74130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B74130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B74130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</w:t>
      </w:r>
      <w:r w:rsidRPr="00B74130">
        <w:rPr>
          <w:rFonts w:asciiTheme="minorHAnsi" w:eastAsia="Calibri" w:hAnsiTheme="minorHAnsi" w:cs="Calibri"/>
          <w:color w:val="000000"/>
          <w:sz w:val="22"/>
          <w:szCs w:val="22"/>
        </w:rPr>
        <w:t xml:space="preserve"> del medico (ricetta ripetibile)</w:t>
      </w:r>
      <w:r w:rsidR="00997BE6" w:rsidRPr="00B74130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300BEA" w:rsidRPr="00B74130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BB215D" w:rsidRPr="00B74130" w:rsidRDefault="00BB215D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B74130">
        <w:rPr>
          <w:rFonts w:asciiTheme="minorHAnsi" w:eastAsia="Calibri" w:hAnsiTheme="minorHAnsi" w:cs="Calibri"/>
          <w:color w:val="000000"/>
          <w:sz w:val="22"/>
          <w:szCs w:val="22"/>
        </w:rPr>
        <w:t>Il medico stabilirà la dose a seconda della patologia da trattare e dalle condizioni e dall’età del paziente.</w:t>
      </w:r>
    </w:p>
    <w:p w:rsidR="00BB2AF8" w:rsidRPr="00B7413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B74130">
        <w:t>Le c</w:t>
      </w:r>
      <w:r w:rsidR="00BF5F63" w:rsidRPr="00B74130">
        <w:t>apsule</w:t>
      </w:r>
      <w:r w:rsidRPr="00B74130">
        <w:t xml:space="preserve"> </w:t>
      </w:r>
      <w:r w:rsidR="00BF5F63" w:rsidRPr="00B74130">
        <w:t xml:space="preserve">possono essere assunte a qualunque ora del giorno </w:t>
      </w:r>
      <w:r w:rsidRPr="00B74130">
        <w:t>con un po’ d’acqua</w:t>
      </w:r>
      <w:r w:rsidR="00BF5F63" w:rsidRPr="00B74130">
        <w:t>, indipendentemente dai pasti.</w:t>
      </w:r>
      <w:r w:rsidR="00BB215D" w:rsidRPr="00B74130">
        <w:t xml:space="preserve"> Le capsule non devono essere masticate o frantumate.</w:t>
      </w:r>
    </w:p>
    <w:p w:rsidR="00BF5F63" w:rsidRPr="00BF5F63" w:rsidRDefault="00BB215D" w:rsidP="00BF5F63">
      <w:pPr>
        <w:tabs>
          <w:tab w:val="left" w:pos="284"/>
        </w:tabs>
        <w:spacing w:after="0" w:line="240" w:lineRule="auto"/>
        <w:jc w:val="both"/>
      </w:pPr>
      <w:r w:rsidRPr="00B74130">
        <w:t>I</w:t>
      </w:r>
      <w:r w:rsidR="00BF5F63" w:rsidRPr="00B74130">
        <w:t xml:space="preserve"> pazienti che hanno</w:t>
      </w:r>
      <w:r w:rsidR="00BF5F63" w:rsidRPr="00D23DF7">
        <w:t xml:space="preserve"> difficoltà a deglutire, possono </w:t>
      </w:r>
      <w:r w:rsidRPr="00D23DF7">
        <w:t>aprire le capsule,</w:t>
      </w:r>
      <w:r w:rsidR="00BF5F63" w:rsidRPr="00D23DF7">
        <w:t xml:space="preserve"> mescola</w:t>
      </w:r>
      <w:r w:rsidRPr="00D23DF7">
        <w:t>re i granuli</w:t>
      </w:r>
      <w:r w:rsidR="00BF5F63" w:rsidRPr="00D23DF7">
        <w:t xml:space="preserve"> in mezzo bicchiere di acqua non gassata</w:t>
      </w:r>
      <w:r w:rsidRPr="00D23DF7">
        <w:t xml:space="preserve"> (non in altri liquidi e</w:t>
      </w:r>
      <w:r w:rsidR="00BF5F63" w:rsidRPr="00D23DF7">
        <w:t xml:space="preserve"> </w:t>
      </w:r>
      <w:r w:rsidRPr="00D23DF7">
        <w:t>b</w:t>
      </w:r>
      <w:r w:rsidR="00BF5F63" w:rsidRPr="00D23DF7">
        <w:t>ere l’acqua con i granuli immediatamente o entro 30 minuti. I granuli non devono</w:t>
      </w:r>
      <w:r w:rsidR="00964948" w:rsidRPr="00D23DF7">
        <w:t xml:space="preserve"> </w:t>
      </w:r>
      <w:r w:rsidR="00BF5F63" w:rsidRPr="00D23DF7">
        <w:t>essere masticati o frantumati.</w:t>
      </w:r>
    </w:p>
    <w:p w:rsidR="00BB215D" w:rsidRPr="00BB215D" w:rsidRDefault="00BB215D" w:rsidP="00BB215D">
      <w:pPr>
        <w:autoSpaceDE w:val="0"/>
        <w:autoSpaceDN w:val="0"/>
        <w:adjustRightInd w:val="0"/>
        <w:spacing w:after="0" w:line="240" w:lineRule="auto"/>
        <w:jc w:val="both"/>
      </w:pPr>
      <w:r w:rsidRPr="00BB215D">
        <w:t>Questo medicinale non deve essere utilizzato nei pazienti negli adolescenti</w:t>
      </w:r>
      <w:r w:rsidRPr="00BB215D">
        <w:rPr>
          <w:rFonts w:eastAsia="Calibri" w:cs="Calibri"/>
          <w:color w:val="000000"/>
        </w:rPr>
        <w:t xml:space="preserve"> di età inferiore a 12 anni</w:t>
      </w:r>
      <w:r w:rsidRPr="00BB215D">
        <w:t>.</w:t>
      </w:r>
    </w:p>
    <w:p w:rsidR="008A6FEC" w:rsidRDefault="008A6FEC" w:rsidP="00BF5F63">
      <w:pPr>
        <w:tabs>
          <w:tab w:val="left" w:pos="0"/>
        </w:tabs>
        <w:spacing w:after="0" w:line="240" w:lineRule="auto"/>
        <w:jc w:val="both"/>
        <w:rPr>
          <w:iCs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F5F63" w:rsidRPr="00BF5F63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BF5F63" w:rsidRPr="00BF5F6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F96473" w:rsidRDefault="00BF5F63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proofErr w:type="spellStart"/>
      <w:r w:rsidRPr="00BF5F63">
        <w:rPr>
          <w:rFonts w:eastAsia="Calibri" w:cs="Calibri"/>
          <w:color w:val="000000"/>
          <w:lang w:eastAsia="it-IT"/>
        </w:rPr>
        <w:t>Esomeprazolo</w:t>
      </w:r>
      <w:proofErr w:type="spellEnd"/>
      <w:r w:rsidRPr="00BF5F6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BF5F63">
        <w:t>A02B C05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esomeprazolo</w:t>
      </w:r>
      <w:proofErr w:type="spellEnd"/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>
        <w:t>appartiene alla classe degli</w:t>
      </w:r>
      <w:r w:rsidR="00BB2AF8" w:rsidRPr="00EF6711">
        <w:t xml:space="preserve"> </w:t>
      </w:r>
      <w:r w:rsidRPr="00BF5F63">
        <w:t>inibitori della pompa protonica</w:t>
      </w:r>
      <w:r w:rsidRPr="00EF6711">
        <w:t xml:space="preserve"> </w:t>
      </w:r>
      <w:r w:rsidR="00BB2AF8" w:rsidRPr="00EF6711">
        <w:t xml:space="preserve">e agisce </w:t>
      </w:r>
      <w:r w:rsidRPr="00BF5F63">
        <w:t xml:space="preserve">riducendo la quantità di acido prodotta </w:t>
      </w:r>
      <w:r w:rsidR="00D4005D">
        <w:t>dallo</w:t>
      </w:r>
      <w:r w:rsidRPr="00BF5F63">
        <w:t xml:space="preserve"> stomaco</w:t>
      </w:r>
      <w:r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F5F63" w:rsidRPr="00BF5F63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BF5F63" w:rsidRPr="00BF5F6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proofErr w:type="spellStart"/>
      <w:r w:rsidR="00BF5F63" w:rsidRPr="00BF5F63">
        <w:rPr>
          <w:rFonts w:cs="Arial"/>
        </w:rPr>
        <w:t>Esomeprazolo</w:t>
      </w:r>
      <w:proofErr w:type="spellEnd"/>
      <w:r w:rsidR="00BF5F63" w:rsidRPr="00BF5F63">
        <w:rPr>
          <w:rFonts w:cs="Arial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BF5F63" w:rsidRPr="00BF5F63">
        <w:rPr>
          <w:rFonts w:eastAsia="Calibri" w:cs="Calibri"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al medicinale di riferimento </w:t>
      </w:r>
      <w:proofErr w:type="spellStart"/>
      <w:r w:rsidR="0010395C">
        <w:rPr>
          <w:rFonts w:cs="Arial"/>
        </w:rPr>
        <w:t>Nexium</w:t>
      </w:r>
      <w:proofErr w:type="spellEnd"/>
      <w:r w:rsidR="0010395C">
        <w:rPr>
          <w:rFonts w:cs="Arial"/>
        </w:rPr>
        <w:t>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0395C" w:rsidRPr="00BF5F63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10395C" w:rsidRPr="00BF5F6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10395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10395C">
        <w:rPr>
          <w:rFonts w:eastAsia="Calibri" w:cs="Calibri"/>
          <w:color w:val="000000"/>
          <w:lang w:eastAsia="it-IT"/>
        </w:rPr>
        <w:t>Esomeprazolo</w:t>
      </w:r>
      <w:proofErr w:type="spellEnd"/>
      <w:r w:rsidRPr="0010395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10395C">
        <w:rPr>
          <w:rFonts w:eastAsia="Calibri" w:cs="Calibri"/>
          <w:color w:val="000000"/>
          <w:lang w:eastAsia="it-IT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4005D" w:rsidRPr="00666CCE" w:rsidRDefault="00D4005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0395C" w:rsidRPr="00BF5F63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10395C" w:rsidRPr="00BF5F6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="0010395C" w:rsidRPr="00666CCE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 w:rsidR="00997BE6">
        <w:rPr>
          <w:rFonts w:eastAsia="Calibri" w:cs="Calibri"/>
          <w:lang w:eastAsia="it-IT"/>
        </w:rPr>
        <w:t xml:space="preserve"> nella riunione del 10</w:t>
      </w:r>
      <w:r w:rsidR="00D4005D">
        <w:rPr>
          <w:rFonts w:eastAsia="Calibri" w:cs="Calibri"/>
          <w:lang w:eastAsia="it-IT"/>
        </w:rPr>
        <w:t>-</w:t>
      </w:r>
      <w:r w:rsidR="00997BE6">
        <w:rPr>
          <w:rFonts w:eastAsia="Calibri" w:cs="Calibri"/>
          <w:lang w:eastAsia="it-IT"/>
        </w:rPr>
        <w:t xml:space="preserve">12 </w:t>
      </w:r>
      <w:r w:rsidR="00D4005D">
        <w:rPr>
          <w:rFonts w:eastAsia="Calibri" w:cs="Calibri"/>
          <w:lang w:eastAsia="it-IT"/>
        </w:rPr>
        <w:t>m</w:t>
      </w:r>
      <w:r w:rsidR="00997BE6">
        <w:rPr>
          <w:rFonts w:eastAsia="Calibri" w:cs="Calibri"/>
          <w:lang w:eastAsia="it-IT"/>
        </w:rPr>
        <w:t>aggio 2017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997BE6">
        <w:rPr>
          <w:rFonts w:eastAsia="Calibri" w:cs="Calibri"/>
          <w:lang w:eastAsia="it-IT"/>
        </w:rPr>
        <w:t>Nexium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997BE6" w:rsidRPr="00997BE6">
        <w:rPr>
          <w:rFonts w:eastAsia="Calibri" w:cs="Calibri"/>
          <w:color w:val="000000"/>
          <w:lang w:eastAsia="it-IT"/>
        </w:rPr>
        <w:t>Esomeprazolo</w:t>
      </w:r>
      <w:proofErr w:type="spellEnd"/>
      <w:r w:rsidR="00997BE6" w:rsidRPr="00997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997BE6" w:rsidRPr="00997BE6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="0066030D" w:rsidRPr="00CB3303">
        <w:rPr>
          <w:rFonts w:eastAsia="Calibri" w:cs="Calibri"/>
          <w:lang w:eastAsia="it-IT"/>
        </w:rPr>
        <w:t>medicinale</w:t>
      </w:r>
      <w:r w:rsidR="0066030D">
        <w:rPr>
          <w:rFonts w:eastAsia="Calibri" w:cs="Calibri"/>
          <w:sz w:val="20"/>
          <w:lang w:eastAsia="it-IT"/>
        </w:rPr>
        <w:t xml:space="preserve"> (</w:t>
      </w:r>
      <w:r w:rsidR="00F36343">
        <w:rPr>
          <w:rFonts w:eastAsia="Calibri" w:cs="Calibri"/>
          <w:sz w:val="20"/>
          <w:lang w:eastAsia="it-IT"/>
        </w:rPr>
        <w:t>A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97BE6" w:rsidRPr="00BF5F63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997BE6" w:rsidRPr="00BF5F6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</w:t>
      </w:r>
      <w:r w:rsidR="004241AC" w:rsidRPr="002A3F14">
        <w:rPr>
          <w:rFonts w:eastAsia="Calibri" w:cs="Calibri"/>
          <w:lang w:eastAsia="it-IT"/>
        </w:rPr>
        <w:lastRenderedPageBreak/>
        <w:t xml:space="preserve">le attività di Farmacovigilanza e gli interventi finalizzati ad identificare, caratterizzare, prevenire o minimizzare i rischi correlati a </w:t>
      </w:r>
      <w:proofErr w:type="spellStart"/>
      <w:r w:rsidR="00997BE6" w:rsidRPr="00997BE6">
        <w:rPr>
          <w:rFonts w:eastAsia="Calibri" w:cs="Calibri"/>
          <w:lang w:eastAsia="it-IT"/>
        </w:rPr>
        <w:t>Esomeprazolo</w:t>
      </w:r>
      <w:proofErr w:type="spellEnd"/>
      <w:r w:rsidR="00997BE6" w:rsidRPr="00997BE6">
        <w:rPr>
          <w:rFonts w:eastAsia="Calibri" w:cs="Calibri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997BE6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97BE6" w:rsidRPr="00BF5F63">
        <w:rPr>
          <w:rFonts w:eastAsia="Calibri" w:cs="Calibri"/>
          <w:b/>
          <w:color w:val="000000"/>
          <w:lang w:eastAsia="it-IT"/>
        </w:rPr>
        <w:t>Esomeprazolo</w:t>
      </w:r>
      <w:proofErr w:type="spellEnd"/>
      <w:r w:rsidR="00997BE6" w:rsidRPr="00BF5F63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B74130">
        <w:rPr>
          <w:b/>
        </w:rPr>
        <w:t>VI.REL</w:t>
      </w:r>
      <w:proofErr w:type="spellEnd"/>
      <w:r w:rsidR="00B74130">
        <w:rPr>
          <w:b/>
        </w:rPr>
        <w:t xml:space="preserve"> </w:t>
      </w:r>
      <w:proofErr w:type="spellStart"/>
      <w:r w:rsidR="00B74130">
        <w:rPr>
          <w:b/>
        </w:rPr>
        <w:t>Pharma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F36343">
        <w:rPr>
          <w:rFonts w:eastAsia="Calibri" w:cs="Calibri"/>
          <w:bCs/>
          <w:iCs/>
          <w:lang w:eastAsia="it-IT"/>
        </w:rPr>
        <w:t>17/01/2018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997BE6" w:rsidRPr="00997BE6">
        <w:rPr>
          <w:rFonts w:eastAsia="Calibri" w:cs="Calibri"/>
          <w:bCs/>
          <w:iCs/>
          <w:lang w:eastAsia="it-IT"/>
        </w:rPr>
        <w:t>Esomeprazolo</w:t>
      </w:r>
      <w:proofErr w:type="spellEnd"/>
      <w:r w:rsidR="00997BE6" w:rsidRPr="00997BE6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997BE6">
        <w:rPr>
          <w:rFonts w:eastAsia="Calibri" w:cs="Calibri"/>
          <w:bCs/>
          <w:i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97BE6" w:rsidRPr="00997BE6">
        <w:rPr>
          <w:rFonts w:eastAsia="Calibri" w:cs="Calibri"/>
          <w:bCs/>
          <w:iCs/>
          <w:lang w:eastAsia="it-IT"/>
        </w:rPr>
        <w:t>Esomeprazolo</w:t>
      </w:r>
      <w:proofErr w:type="spellEnd"/>
      <w:r w:rsidR="00997BE6" w:rsidRPr="00997BE6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997BE6" w:rsidRPr="00CA3A1E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D4005D">
        <w:rPr>
          <w:rFonts w:eastAsia="Calibri" w:cs="Calibri"/>
          <w:lang w:eastAsia="it-IT"/>
        </w:rPr>
        <w:t>13.07.</w:t>
      </w:r>
      <w:r w:rsidR="00C93824">
        <w:rPr>
          <w:rFonts w:eastAsia="Calibri" w:cs="Calibri"/>
          <w:lang w:eastAsia="it-IT"/>
        </w:rPr>
        <w:t>2017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D4005D" w:rsidRDefault="00D4005D" w:rsidP="004E5A39">
      <w:pPr>
        <w:spacing w:after="0" w:line="240" w:lineRule="auto"/>
        <w:jc w:val="center"/>
        <w:rPr>
          <w:b/>
          <w:sz w:val="28"/>
        </w:rPr>
      </w:pPr>
    </w:p>
    <w:p w:rsidR="00D4005D" w:rsidRDefault="00D4005D" w:rsidP="004E5A39">
      <w:pPr>
        <w:spacing w:after="0" w:line="240" w:lineRule="auto"/>
        <w:jc w:val="center"/>
        <w:rPr>
          <w:b/>
          <w:sz w:val="28"/>
        </w:rPr>
      </w:pPr>
    </w:p>
    <w:p w:rsidR="00D4005D" w:rsidRDefault="00D4005D" w:rsidP="004E5A39">
      <w:pPr>
        <w:spacing w:after="0" w:line="240" w:lineRule="auto"/>
        <w:jc w:val="center"/>
        <w:rPr>
          <w:b/>
          <w:sz w:val="28"/>
        </w:rPr>
      </w:pPr>
    </w:p>
    <w:p w:rsidR="00997BE6" w:rsidRDefault="00997BE6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997BE6" w:rsidRPr="00997BE6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997BE6" w:rsidRPr="00997BE6">
        <w:rPr>
          <w:rFonts w:eastAsia="Calibri" w:cs="Calibri"/>
          <w:bCs/>
          <w:iCs/>
          <w:color w:val="000000"/>
          <w:lang w:eastAsia="it-IT"/>
        </w:rPr>
        <w:t>Esomeprazolo</w:t>
      </w:r>
      <w:proofErr w:type="spellEnd"/>
      <w:r w:rsidR="00997BE6" w:rsidRPr="00997BE6">
        <w:rPr>
          <w:rFonts w:eastAsia="Calibri" w:cs="Calibri"/>
          <w:bCs/>
          <w:iCs/>
          <w:color w:val="000000"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B74130" w:rsidRPr="00EF6711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F36343">
        <w:rPr>
          <w:rFonts w:eastAsia="Calibri" w:cs="Calibri"/>
          <w:bCs/>
          <w:iCs/>
          <w:lang w:eastAsia="it-IT"/>
        </w:rPr>
        <w:t>17/01/2018.</w:t>
      </w:r>
      <w:r w:rsidRPr="00EF6711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997BE6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997BE6">
        <w:rPr>
          <w:rFonts w:eastAsia="Calibri" w:cs="Calibri"/>
          <w:bCs/>
          <w:iCs/>
          <w:lang w:eastAsia="it-IT"/>
        </w:rPr>
        <w:t>Esomeprazolo</w:t>
      </w:r>
      <w:proofErr w:type="spellEnd"/>
      <w:r w:rsidRPr="00997BE6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B7597D">
        <w:rPr>
          <w:rFonts w:eastAsia="Calibri" w:cs="Calibri"/>
          <w:color w:val="000000"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Pr="001C15DF">
        <w:rPr>
          <w:rFonts w:eastAsia="Calibri" w:cs="Calibri"/>
          <w:color w:val="000000"/>
        </w:rPr>
        <w:t>prescrizione da parte</w:t>
      </w:r>
      <w:r>
        <w:rPr>
          <w:rFonts w:eastAsia="Calibri" w:cs="Calibri"/>
          <w:color w:val="000000"/>
        </w:rPr>
        <w:t xml:space="preserve"> del medico (ricetta ripetibile).</w:t>
      </w:r>
    </w:p>
    <w:p w:rsidR="00997BE6" w:rsidRPr="00EF6711" w:rsidRDefault="00997BE6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997BE6">
        <w:t>10.</w:t>
      </w:r>
      <w:r w:rsidR="006406D4">
        <w:t>1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997BE6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997BE6">
        <w:rPr>
          <w:rFonts w:eastAsia="Calibri" w:cs="Calibri"/>
          <w:bCs/>
          <w:iCs/>
          <w:lang w:eastAsia="it-IT"/>
        </w:rPr>
        <w:t>Esomeprazolo</w:t>
      </w:r>
      <w:proofErr w:type="spellEnd"/>
      <w:r w:rsidRPr="00997BE6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B7597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esomeprazolo</w:t>
      </w:r>
      <w:proofErr w:type="spellEnd"/>
      <w:r w:rsidR="004E5A39" w:rsidRPr="00EF6711">
        <w:rPr>
          <w:rFonts w:eastAsia="Calibri" w:cs="Calibri"/>
          <w:lang w:eastAsia="it-IT"/>
        </w:rPr>
        <w:t xml:space="preserve"> noto</w:t>
      </w:r>
      <w:r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lang w:eastAsia="it-IT"/>
        </w:rPr>
        <w:t>Nexium</w:t>
      </w:r>
      <w:proofErr w:type="spellEnd"/>
      <w:r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6D6D08" w:rsidRPr="006D6D08" w:rsidRDefault="00997BE6" w:rsidP="006D6D0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97BE6">
        <w:rPr>
          <w:rFonts w:eastAsia="Calibri" w:cs="Calibri"/>
          <w:bCs/>
          <w:iCs/>
          <w:lang w:eastAsia="it-IT"/>
        </w:rPr>
        <w:t>Esomeprazolo</w:t>
      </w:r>
      <w:proofErr w:type="spellEnd"/>
      <w:r w:rsidRPr="00997BE6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997BE6">
        <w:t>A02B C05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6D6D08" w:rsidRPr="006D6D08">
        <w:rPr>
          <w:rFonts w:eastAsia="Calibri" w:cs="Calibri"/>
          <w:lang w:eastAsia="it-IT"/>
        </w:rPr>
        <w:t>esomeprazolo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6D6D08">
        <w:rPr>
          <w:rFonts w:eastAsia="Calibri" w:cs="Calibri"/>
          <w:bCs/>
          <w:lang w:eastAsia="it-IT"/>
        </w:rPr>
        <w:t xml:space="preserve">il quale </w:t>
      </w:r>
      <w:r w:rsidR="006D6D08" w:rsidRPr="006D6D08">
        <w:rPr>
          <w:rFonts w:eastAsia="Calibri" w:cs="Calibri"/>
          <w:bCs/>
          <w:lang w:eastAsia="it-IT"/>
        </w:rPr>
        <w:t>riduce la secrezione acida gastrica mediante un meccanismo di azione specifico e selettivo.</w:t>
      </w:r>
      <w:r w:rsidR="006D6D08">
        <w:rPr>
          <w:rFonts w:eastAsia="Calibri" w:cs="Calibri"/>
          <w:bCs/>
          <w:lang w:eastAsia="it-IT"/>
        </w:rPr>
        <w:t xml:space="preserve"> </w:t>
      </w:r>
      <w:r w:rsidR="006D6D08" w:rsidRPr="006D6D08">
        <w:rPr>
          <w:rFonts w:eastAsia="Calibri" w:cs="Calibri"/>
          <w:bCs/>
          <w:lang w:eastAsia="it-IT"/>
        </w:rPr>
        <w:t xml:space="preserve"> </w:t>
      </w:r>
      <w:proofErr w:type="spellStart"/>
      <w:r w:rsidR="006D6D08" w:rsidRPr="006D6D08">
        <w:rPr>
          <w:rFonts w:eastAsia="Calibri" w:cs="Calibri"/>
          <w:bCs/>
          <w:lang w:eastAsia="it-IT"/>
        </w:rPr>
        <w:t>Esomeprazolo</w:t>
      </w:r>
      <w:proofErr w:type="spellEnd"/>
      <w:r w:rsidR="006D6D08" w:rsidRPr="006D6D08">
        <w:rPr>
          <w:rFonts w:eastAsia="Calibri" w:cs="Calibri"/>
          <w:bCs/>
          <w:lang w:eastAsia="it-IT"/>
        </w:rPr>
        <w:t xml:space="preserve"> è un inibitore specifico della pompa acida a livello della cellula parietale. Entrambi gli isomeri di </w:t>
      </w:r>
      <w:proofErr w:type="spellStart"/>
      <w:r w:rsidR="006D6D08" w:rsidRPr="006D6D08">
        <w:rPr>
          <w:rFonts w:eastAsia="Calibri" w:cs="Calibri"/>
          <w:bCs/>
          <w:lang w:eastAsia="it-IT"/>
        </w:rPr>
        <w:t>omeprazolo</w:t>
      </w:r>
      <w:proofErr w:type="spellEnd"/>
      <w:r w:rsidR="006D6D08" w:rsidRPr="006D6D08">
        <w:rPr>
          <w:rFonts w:eastAsia="Calibri" w:cs="Calibri"/>
          <w:bCs/>
          <w:lang w:eastAsia="it-IT"/>
        </w:rPr>
        <w:t xml:space="preserve">, </w:t>
      </w:r>
      <w:r w:rsidR="006D6D08" w:rsidRPr="006D6D08">
        <w:rPr>
          <w:rFonts w:eastAsia="Calibri" w:cs="Calibri"/>
          <w:bCs/>
          <w:i/>
          <w:iCs/>
          <w:lang w:eastAsia="it-IT"/>
        </w:rPr>
        <w:t>R</w:t>
      </w:r>
      <w:r w:rsidR="006D6D08" w:rsidRPr="006D6D08">
        <w:rPr>
          <w:rFonts w:eastAsia="Calibri" w:cs="Calibri"/>
          <w:bCs/>
          <w:lang w:eastAsia="it-IT"/>
        </w:rPr>
        <w:t xml:space="preserve">- e </w:t>
      </w:r>
      <w:r w:rsidR="006D6D08" w:rsidRPr="006D6D08">
        <w:rPr>
          <w:rFonts w:eastAsia="Calibri" w:cs="Calibri"/>
          <w:bCs/>
          <w:i/>
          <w:iCs/>
          <w:lang w:eastAsia="it-IT"/>
        </w:rPr>
        <w:t>S</w:t>
      </w:r>
      <w:r w:rsidR="006D6D08" w:rsidRPr="006D6D08">
        <w:rPr>
          <w:rFonts w:eastAsia="Calibri" w:cs="Calibri"/>
          <w:bCs/>
          <w:lang w:eastAsia="it-IT"/>
        </w:rPr>
        <w:t>, hanno attività farmacodinamica simile.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D23DF7" w:rsidRDefault="006D6D08" w:rsidP="006D6D0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D23DF7">
        <w:rPr>
          <w:rFonts w:eastAsia="Calibri" w:cs="Calibri"/>
          <w:bCs/>
          <w:iCs/>
          <w:lang w:eastAsia="it-IT"/>
        </w:rPr>
        <w:t>Esomeprazolo</w:t>
      </w:r>
      <w:proofErr w:type="spellEnd"/>
      <w:r w:rsidRPr="00D23DF7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B74130" w:rsidRPr="00D23DF7">
        <w:t xml:space="preserve"> </w:t>
      </w:r>
      <w:r w:rsidR="00265B61" w:rsidRPr="00D23DF7">
        <w:t xml:space="preserve">è utilizzato </w:t>
      </w:r>
    </w:p>
    <w:p w:rsidR="006D6D08" w:rsidRPr="00D23DF7" w:rsidRDefault="006D6D08" w:rsidP="00D23DF7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23DF7">
        <w:t>negli adulti per:</w:t>
      </w:r>
    </w:p>
    <w:p w:rsidR="006D6D08" w:rsidRPr="00D23DF7" w:rsidRDefault="006D6D08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6D6D08" w:rsidRPr="00D23DF7" w:rsidRDefault="006D6D08" w:rsidP="00D23DF7">
      <w:pPr>
        <w:pStyle w:val="Paragrafoelenco"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Trattamento dell'esofagite da reflusso erosiva</w:t>
      </w:r>
      <w:r w:rsidR="00D23DF7" w:rsidRPr="00D23DF7">
        <w:t>;</w:t>
      </w:r>
    </w:p>
    <w:p w:rsidR="006D6D08" w:rsidRPr="00D23DF7" w:rsidRDefault="006D6D08" w:rsidP="00D23DF7">
      <w:pPr>
        <w:pStyle w:val="Paragrafoelenco"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Gestione a lungo termine per la prevenzione delle recidive nei pazienti con esofagite risolta</w:t>
      </w:r>
      <w:r w:rsidR="00D23DF7" w:rsidRPr="00D23DF7">
        <w:t>;</w:t>
      </w:r>
    </w:p>
    <w:p w:rsidR="006D6D08" w:rsidRPr="00D23DF7" w:rsidRDefault="006D6D08" w:rsidP="00D23DF7">
      <w:pPr>
        <w:pStyle w:val="Paragrafoelenco"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Trattamento sintomatico della 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6D6D08" w:rsidRPr="00D23DF7" w:rsidRDefault="006D6D08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>In associazione ad antibatterici in un appropriato regime terapeutico per l'eradicazione</w:t>
      </w:r>
      <w:r w:rsidR="00964948" w:rsidRPr="00D23DF7">
        <w:t xml:space="preserve"> </w:t>
      </w:r>
      <w:r w:rsidR="00D23DF7" w:rsidRPr="00D23DF7">
        <w:t>dell’</w:t>
      </w:r>
      <w:proofErr w:type="spellStart"/>
      <w:r w:rsidR="00D23DF7" w:rsidRPr="00D23DF7">
        <w:t>Helicobacter.</w:t>
      </w:r>
      <w:r w:rsidRPr="00D23DF7">
        <w:rPr>
          <w:i/>
          <w:iCs/>
        </w:rPr>
        <w:t>pylori</w:t>
      </w:r>
      <w:proofErr w:type="spellEnd"/>
      <w:r w:rsidRPr="00D23DF7">
        <w:rPr>
          <w:i/>
          <w:iCs/>
        </w:rPr>
        <w:t xml:space="preserve"> </w:t>
      </w:r>
      <w:r w:rsidR="00964948" w:rsidRPr="00D23DF7">
        <w:rPr>
          <w:i/>
          <w:iCs/>
        </w:rPr>
        <w:t>e</w:t>
      </w:r>
    </w:p>
    <w:p w:rsidR="006D6D08" w:rsidRPr="00D23DF7" w:rsidRDefault="006D6D08" w:rsidP="00D23DF7">
      <w:pPr>
        <w:pStyle w:val="Paragrafoelenco"/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Guarigione dell'ulcera duodenale associata a </w:t>
      </w:r>
      <w:proofErr w:type="spellStart"/>
      <w:r w:rsidRPr="00D23DF7">
        <w:rPr>
          <w:i/>
          <w:iCs/>
        </w:rPr>
        <w:t>Helicobacter</w:t>
      </w:r>
      <w:proofErr w:type="spellEnd"/>
      <w:r w:rsidRPr="00D23DF7">
        <w:rPr>
          <w:i/>
          <w:iCs/>
        </w:rPr>
        <w:t xml:space="preserve"> </w:t>
      </w:r>
      <w:proofErr w:type="spellStart"/>
      <w:r w:rsidRPr="00D23DF7">
        <w:rPr>
          <w:i/>
          <w:iCs/>
        </w:rPr>
        <w:t>pylori</w:t>
      </w:r>
      <w:proofErr w:type="spellEnd"/>
      <w:r w:rsidR="00D23DF7" w:rsidRPr="00D23DF7">
        <w:rPr>
          <w:iCs/>
        </w:rPr>
        <w:t>;</w:t>
      </w:r>
    </w:p>
    <w:p w:rsidR="006D6D08" w:rsidRPr="00D23DF7" w:rsidRDefault="006D6D08" w:rsidP="00D23DF7">
      <w:pPr>
        <w:pStyle w:val="Paragrafoelenco"/>
        <w:numPr>
          <w:ilvl w:val="0"/>
          <w:numId w:val="14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Prevenzione delle recidive delle ulcere peptiche nei pazienti con ulcere associate </w:t>
      </w:r>
      <w:r w:rsidRPr="00D23DF7">
        <w:rPr>
          <w:i/>
          <w:iCs/>
        </w:rPr>
        <w:t xml:space="preserve">a </w:t>
      </w:r>
      <w:proofErr w:type="spellStart"/>
      <w:r w:rsidRPr="00D23DF7">
        <w:rPr>
          <w:i/>
          <w:iCs/>
        </w:rPr>
        <w:t>Helicobacter</w:t>
      </w:r>
      <w:proofErr w:type="spellEnd"/>
      <w:r w:rsidR="00D23DF7" w:rsidRPr="00D23DF7">
        <w:rPr>
          <w:iCs/>
        </w:rPr>
        <w:t xml:space="preserve"> </w:t>
      </w:r>
      <w:proofErr w:type="spellStart"/>
      <w:r w:rsidRPr="00D23DF7">
        <w:rPr>
          <w:i/>
          <w:iCs/>
        </w:rPr>
        <w:t>pylori</w:t>
      </w:r>
      <w:proofErr w:type="spellEnd"/>
      <w:r w:rsidRPr="00D23DF7">
        <w:t>.</w:t>
      </w:r>
    </w:p>
    <w:p w:rsidR="006D6D08" w:rsidRPr="00D23DF7" w:rsidRDefault="006D6D08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>Pazienti che richiedono un trattamento continuativo con FANS</w:t>
      </w:r>
      <w:r w:rsidR="00D23DF7" w:rsidRPr="00D23DF7">
        <w:t>;</w:t>
      </w:r>
    </w:p>
    <w:p w:rsidR="006D6D08" w:rsidRPr="00D23DF7" w:rsidRDefault="006D6D08" w:rsidP="00D23DF7">
      <w:pPr>
        <w:pStyle w:val="Paragrafoelenco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Guarigione delle ulcere gastriche associate alla terapia con FANS.</w:t>
      </w:r>
    </w:p>
    <w:p w:rsidR="006D6D08" w:rsidRPr="00D23DF7" w:rsidRDefault="006D6D08" w:rsidP="00D23DF7">
      <w:pPr>
        <w:pStyle w:val="Paragrafoelenco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Prevenzione delle ulcere gastriche e duodenali associate alla terapia con FANS nei pazienti a rischio.</w:t>
      </w:r>
    </w:p>
    <w:p w:rsidR="006D6D08" w:rsidRPr="00D23DF7" w:rsidRDefault="006D6D08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Trattamento prolungato del </w:t>
      </w:r>
      <w:proofErr w:type="spellStart"/>
      <w:r w:rsidRPr="00D23DF7">
        <w:t>risanguinamento</w:t>
      </w:r>
      <w:proofErr w:type="spellEnd"/>
      <w:r w:rsidRPr="00D23DF7">
        <w:t xml:space="preserve"> delle ulcere peptiche, dopo prevenzione indotta dalla somministrazione endovenosa.</w:t>
      </w:r>
    </w:p>
    <w:p w:rsidR="006D6D08" w:rsidRPr="00D23DF7" w:rsidRDefault="006D6D08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Trattamento della sindrome di </w:t>
      </w:r>
      <w:proofErr w:type="spellStart"/>
      <w:r w:rsidRPr="00D23DF7">
        <w:t>Zollinger-Ellison</w:t>
      </w:r>
      <w:proofErr w:type="spellEnd"/>
      <w:r w:rsidR="00D23DF7" w:rsidRPr="00D23DF7">
        <w:t>.</w:t>
      </w:r>
    </w:p>
    <w:p w:rsidR="006D6D08" w:rsidRPr="00D23DF7" w:rsidRDefault="006D6D08" w:rsidP="00D23DF7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r w:rsidRPr="00D23DF7">
        <w:t xml:space="preserve">negli </w:t>
      </w:r>
      <w:r w:rsidRPr="00D23DF7">
        <w:rPr>
          <w:bCs/>
        </w:rPr>
        <w:t>adolescenti (di età uguale o superiore ai 12 anni)</w:t>
      </w:r>
      <w:r w:rsidR="00D23DF7" w:rsidRPr="00D23DF7">
        <w:rPr>
          <w:bCs/>
        </w:rPr>
        <w:t xml:space="preserve"> per:</w:t>
      </w:r>
    </w:p>
    <w:p w:rsidR="006D6D08" w:rsidRPr="00D23DF7" w:rsidRDefault="006D6D08" w:rsidP="00D23DF7">
      <w:pPr>
        <w:pStyle w:val="Paragrafoelenco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6D6D08" w:rsidRPr="00D23DF7" w:rsidRDefault="006D6D08" w:rsidP="00D23DF7">
      <w:pPr>
        <w:pStyle w:val="Paragrafoelenco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Trattamento dell'esofagite da reflusso erosiva</w:t>
      </w:r>
    </w:p>
    <w:p w:rsidR="006D6D08" w:rsidRPr="00D23DF7" w:rsidRDefault="006D6D08" w:rsidP="00D23DF7">
      <w:pPr>
        <w:pStyle w:val="Paragrafoelenco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Gestione a lungo termine per la prevenzione delle recidive nei pazienti con esofagite risolta</w:t>
      </w:r>
    </w:p>
    <w:p w:rsidR="006D6D08" w:rsidRPr="00D23DF7" w:rsidRDefault="006D6D08" w:rsidP="00D23DF7">
      <w:pPr>
        <w:pStyle w:val="Paragrafoelenco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Trattamento sintomatico della 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6D6D08" w:rsidRPr="00D23DF7" w:rsidRDefault="006D6D08" w:rsidP="00D23DF7">
      <w:pPr>
        <w:pStyle w:val="Paragrafoelenco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i/>
          <w:iCs/>
        </w:rPr>
      </w:pPr>
      <w:r w:rsidRPr="00D23DF7">
        <w:t xml:space="preserve">In associazione ad antibatterici nel trattamento dell’ulcera duodenale causata da </w:t>
      </w:r>
      <w:proofErr w:type="spellStart"/>
      <w:r w:rsidRPr="00D23DF7">
        <w:t>Helicobacter</w:t>
      </w:r>
      <w:proofErr w:type="spellEnd"/>
      <w:r w:rsidRPr="00D23DF7">
        <w:t xml:space="preserve"> </w:t>
      </w:r>
      <w:proofErr w:type="spellStart"/>
      <w:r w:rsidRPr="00D23DF7">
        <w:rPr>
          <w:i/>
          <w:iCs/>
        </w:rPr>
        <w:t>pylori</w:t>
      </w:r>
      <w:proofErr w:type="spellEnd"/>
      <w:r w:rsidRPr="00D23DF7">
        <w:rPr>
          <w:i/>
          <w:iCs/>
        </w:rPr>
        <w:t>.</w:t>
      </w:r>
    </w:p>
    <w:p w:rsidR="006D6D08" w:rsidRPr="00D23DF7" w:rsidRDefault="006D6D08" w:rsidP="006D6D0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iCs/>
        </w:rPr>
      </w:pPr>
    </w:p>
    <w:p w:rsidR="0042214D" w:rsidRPr="00900C91" w:rsidRDefault="0042214D" w:rsidP="0042214D">
      <w:pPr>
        <w:spacing w:after="0" w:line="240" w:lineRule="auto"/>
        <w:jc w:val="both"/>
      </w:pPr>
      <w:r w:rsidRPr="00D23DF7">
        <w:t xml:space="preserve">La richiesta di AIC è supportata da uno studio di bioequivalenza che ha confrontato i profili farmacocinetici del medicinale test </w:t>
      </w:r>
      <w:proofErr w:type="spellStart"/>
      <w:r w:rsidR="006D6D08" w:rsidRPr="00D23DF7">
        <w:t>Esomeprazolo</w:t>
      </w:r>
      <w:proofErr w:type="spellEnd"/>
      <w:r w:rsidR="006D6D08" w:rsidRPr="00D23DF7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D6D08" w:rsidRPr="00D23DF7">
        <w:t xml:space="preserve"> </w:t>
      </w:r>
      <w:r w:rsidRPr="00D23DF7">
        <w:t xml:space="preserve">e quelli del medicinale di riferimento </w:t>
      </w:r>
      <w:proofErr w:type="spellStart"/>
      <w:r w:rsidR="006D6D08" w:rsidRPr="00D23DF7">
        <w:t>Nexium</w:t>
      </w:r>
      <w:proofErr w:type="spellEnd"/>
      <w:r w:rsidRPr="00D23DF7">
        <w:t xml:space="preserve"> autorizzato</w:t>
      </w:r>
      <w:r>
        <w:t xml:space="preserve"> in Italia</w:t>
      </w:r>
      <w:r w:rsidRPr="00900C91">
        <w:t>.</w:t>
      </w:r>
    </w:p>
    <w:p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CC2AD6">
        <w:t>Le officine coinvolte nella produzione sono conformi alle linee guida di Buona Pratica di Fabbricazione (</w:t>
      </w:r>
      <w:proofErr w:type="spellStart"/>
      <w:r w:rsidRPr="00CC2AD6">
        <w:rPr>
          <w:i/>
        </w:rPr>
        <w:t>Good</w:t>
      </w:r>
      <w:proofErr w:type="spellEnd"/>
      <w:r w:rsidRPr="00CC2AD6">
        <w:rPr>
          <w:i/>
        </w:rPr>
        <w:t xml:space="preserve"> Manufacturing </w:t>
      </w:r>
      <w:proofErr w:type="spellStart"/>
      <w:r w:rsidRPr="00CC2AD6">
        <w:rPr>
          <w:i/>
        </w:rPr>
        <w:t>Practice</w:t>
      </w:r>
      <w:proofErr w:type="spellEnd"/>
      <w:r w:rsidRPr="00CC2AD6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CC2AD6">
        <w:t>Il titolare di AIC ha presentato una adeguata giustificazione della non presentazione della Valutazione del Rischio ambientale; questo approccio è accettabile in quanto</w:t>
      </w:r>
      <w:r w:rsidR="00CC2AD6" w:rsidRPr="00CC2AD6">
        <w:t xml:space="preserve"> </w:t>
      </w:r>
      <w:proofErr w:type="spellStart"/>
      <w:r w:rsidR="00CC2AD6" w:rsidRPr="00CC2AD6">
        <w:t>Esomeprazolo</w:t>
      </w:r>
      <w:proofErr w:type="spellEnd"/>
      <w:r w:rsidR="00CC2AD6" w:rsidRPr="00CC2AD6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CC2AD6" w:rsidRPr="00CC2AD6">
        <w:t xml:space="preserve"> </w:t>
      </w:r>
      <w:r w:rsidRPr="00CC2AD6">
        <w:t xml:space="preserve">contiene </w:t>
      </w:r>
      <w:r w:rsidR="00265B61" w:rsidRPr="00CC2AD6">
        <w:t xml:space="preserve">un </w:t>
      </w:r>
      <w:r w:rsidRPr="00CC2AD6">
        <w:t>principi</w:t>
      </w:r>
      <w:r w:rsidR="00265B61" w:rsidRPr="00CC2AD6">
        <w:t>o</w:t>
      </w:r>
      <w:r w:rsidRPr="00CC2AD6">
        <w:t xml:space="preserve"> attiv</w:t>
      </w:r>
      <w:r w:rsidR="00265B61" w:rsidRPr="00CC2AD6">
        <w:t>o</w:t>
      </w:r>
      <w:r w:rsidRPr="00CC2AD6">
        <w:t xml:space="preserve"> not</w:t>
      </w:r>
      <w:r w:rsidR="00265B61" w:rsidRPr="00CC2AD6">
        <w:t>o</w:t>
      </w:r>
      <w:r w:rsidRPr="00CC2AD6">
        <w:t xml:space="preserve"> present</w:t>
      </w:r>
      <w:r w:rsidR="00265B61" w:rsidRPr="00CC2AD6">
        <w:t>e</w:t>
      </w:r>
      <w:r w:rsidRPr="00CC2AD6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6406D4" w:rsidRDefault="004E5A39" w:rsidP="00EF6711">
      <w:pPr>
        <w:spacing w:after="0" w:line="240" w:lineRule="auto"/>
        <w:jc w:val="both"/>
      </w:pPr>
    </w:p>
    <w:p w:rsidR="004E5A39" w:rsidRPr="006406D4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406D4">
        <w:rPr>
          <w:b/>
        </w:rPr>
        <w:t xml:space="preserve">ASPETTI </w:t>
      </w:r>
      <w:proofErr w:type="spellStart"/>
      <w:r w:rsidRPr="006406D4">
        <w:rPr>
          <w:b/>
        </w:rPr>
        <w:t>DI</w:t>
      </w:r>
      <w:proofErr w:type="spellEnd"/>
      <w:r w:rsidRPr="006406D4">
        <w:rPr>
          <w:b/>
        </w:rPr>
        <w:t xml:space="preserve"> QUALITA’</w:t>
      </w:r>
    </w:p>
    <w:p w:rsidR="004E5A39" w:rsidRPr="006406D4" w:rsidRDefault="004E5A39" w:rsidP="00EF6711">
      <w:pPr>
        <w:spacing w:after="0" w:line="240" w:lineRule="auto"/>
        <w:jc w:val="both"/>
      </w:pPr>
      <w:r w:rsidRPr="006406D4">
        <w:rPr>
          <w:b/>
        </w:rPr>
        <w:t xml:space="preserve">II.1 PRINCIPIO ATTIVO </w:t>
      </w:r>
      <w:proofErr w:type="spellStart"/>
      <w:r w:rsidR="00F44326" w:rsidRPr="006406D4">
        <w:rPr>
          <w:b/>
        </w:rPr>
        <w:t>Esomeprazolo</w:t>
      </w:r>
      <w:proofErr w:type="spellEnd"/>
      <w:r w:rsidR="00F44326" w:rsidRPr="006406D4">
        <w:rPr>
          <w:b/>
        </w:rPr>
        <w:t xml:space="preserve"> sale sodico</w:t>
      </w:r>
    </w:p>
    <w:p w:rsidR="004E5A39" w:rsidRPr="006406D4" w:rsidRDefault="004E5A39" w:rsidP="00356284">
      <w:pPr>
        <w:pStyle w:val="Default"/>
        <w:rPr>
          <w:rFonts w:asciiTheme="minorHAnsi" w:hAnsiTheme="minorHAnsi"/>
          <w:sz w:val="22"/>
          <w:szCs w:val="22"/>
        </w:rPr>
      </w:pPr>
      <w:r w:rsidRPr="006406D4">
        <w:rPr>
          <w:rFonts w:asciiTheme="minorHAnsi" w:hAnsiTheme="minorHAnsi"/>
          <w:sz w:val="22"/>
          <w:szCs w:val="22"/>
          <w:u w:val="single"/>
        </w:rPr>
        <w:t>Nome chimico</w:t>
      </w:r>
      <w:r w:rsidR="000E4494" w:rsidRPr="006406D4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356284" w:rsidRPr="006406D4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="00356284" w:rsidRPr="006406D4">
        <w:rPr>
          <w:rFonts w:asciiTheme="minorHAnsi" w:hAnsiTheme="minorHAnsi"/>
          <w:sz w:val="22"/>
          <w:szCs w:val="22"/>
        </w:rPr>
        <w:t>Sodium</w:t>
      </w:r>
      <w:proofErr w:type="spellEnd"/>
      <w:r w:rsidR="00356284" w:rsidRPr="006406D4">
        <w:rPr>
          <w:rFonts w:asciiTheme="minorHAnsi" w:hAnsiTheme="minorHAnsi"/>
          <w:sz w:val="22"/>
          <w:szCs w:val="22"/>
        </w:rPr>
        <w:t xml:space="preserve"> (S)-2-{[(3,5-dimethyl-4-methoxy-2-pyridyl)methyl]sulfinyl}-5-methoxy-1H-benzimidazolate</w:t>
      </w:r>
    </w:p>
    <w:p w:rsidR="004E5A39" w:rsidRPr="006406D4" w:rsidRDefault="004E5A39" w:rsidP="00EF6711">
      <w:pPr>
        <w:spacing w:after="0" w:line="240" w:lineRule="auto"/>
        <w:jc w:val="both"/>
      </w:pPr>
      <w:r w:rsidRPr="006406D4">
        <w:rPr>
          <w:u w:val="single"/>
        </w:rPr>
        <w:t>Struttura</w:t>
      </w:r>
      <w:r w:rsidRPr="006406D4">
        <w:t>:</w:t>
      </w:r>
    </w:p>
    <w:p w:rsidR="004E5A39" w:rsidRPr="006406D4" w:rsidRDefault="00356284" w:rsidP="006406D4">
      <w:pPr>
        <w:spacing w:after="0" w:line="240" w:lineRule="auto"/>
        <w:jc w:val="center"/>
      </w:pPr>
      <w:r w:rsidRPr="006406D4">
        <w:rPr>
          <w:noProof/>
          <w:lang w:eastAsia="it-IT"/>
        </w:rPr>
        <w:drawing>
          <wp:inline distT="0" distB="0" distL="0" distR="0">
            <wp:extent cx="1946227" cy="816066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17" cy="819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6406D4" w:rsidRDefault="004E5A39" w:rsidP="00356284">
      <w:pPr>
        <w:pStyle w:val="Default"/>
        <w:rPr>
          <w:rFonts w:asciiTheme="minorHAnsi" w:hAnsiTheme="minorHAnsi"/>
          <w:sz w:val="22"/>
          <w:szCs w:val="22"/>
        </w:rPr>
      </w:pPr>
      <w:r w:rsidRPr="006406D4">
        <w:rPr>
          <w:rFonts w:asciiTheme="minorHAnsi" w:hAnsiTheme="minorHAnsi"/>
          <w:sz w:val="22"/>
          <w:szCs w:val="22"/>
          <w:u w:val="single"/>
        </w:rPr>
        <w:t>Formula molecolare</w:t>
      </w:r>
      <w:r w:rsidRPr="006406D4">
        <w:rPr>
          <w:rFonts w:asciiTheme="minorHAnsi" w:hAnsiTheme="minorHAnsi"/>
          <w:sz w:val="22"/>
          <w:szCs w:val="22"/>
        </w:rPr>
        <w:t>:</w:t>
      </w:r>
      <w:r w:rsidRPr="006406D4">
        <w:rPr>
          <w:rStyle w:val="s1"/>
          <w:rFonts w:asciiTheme="minorHAnsi" w:hAnsiTheme="minorHAnsi"/>
          <w:sz w:val="22"/>
          <w:szCs w:val="22"/>
        </w:rPr>
        <w:t xml:space="preserve"> </w:t>
      </w:r>
      <w:r w:rsidR="00356284" w:rsidRPr="006406D4">
        <w:rPr>
          <w:rFonts w:asciiTheme="minorHAnsi" w:hAnsiTheme="minorHAnsi"/>
          <w:sz w:val="22"/>
          <w:szCs w:val="22"/>
        </w:rPr>
        <w:t>C</w:t>
      </w:r>
      <w:r w:rsidR="00356284" w:rsidRPr="006406D4">
        <w:rPr>
          <w:rFonts w:asciiTheme="minorHAnsi" w:hAnsiTheme="minorHAnsi"/>
          <w:sz w:val="22"/>
          <w:szCs w:val="22"/>
          <w:vertAlign w:val="subscript"/>
        </w:rPr>
        <w:t>17</w:t>
      </w:r>
      <w:r w:rsidR="00356284" w:rsidRPr="006406D4">
        <w:rPr>
          <w:rFonts w:asciiTheme="minorHAnsi" w:hAnsiTheme="minorHAnsi"/>
          <w:sz w:val="22"/>
          <w:szCs w:val="22"/>
        </w:rPr>
        <w:t>H</w:t>
      </w:r>
      <w:r w:rsidR="00356284" w:rsidRPr="006406D4">
        <w:rPr>
          <w:rFonts w:asciiTheme="minorHAnsi" w:hAnsiTheme="minorHAnsi"/>
          <w:sz w:val="22"/>
          <w:szCs w:val="22"/>
          <w:vertAlign w:val="subscript"/>
        </w:rPr>
        <w:t>18</w:t>
      </w:r>
      <w:r w:rsidR="00356284" w:rsidRPr="006406D4">
        <w:rPr>
          <w:rFonts w:asciiTheme="minorHAnsi" w:hAnsiTheme="minorHAnsi"/>
          <w:sz w:val="22"/>
          <w:szCs w:val="22"/>
        </w:rPr>
        <w:t>N</w:t>
      </w:r>
      <w:r w:rsidR="00356284" w:rsidRPr="006406D4">
        <w:rPr>
          <w:rFonts w:asciiTheme="minorHAnsi" w:hAnsiTheme="minorHAnsi"/>
          <w:sz w:val="22"/>
          <w:szCs w:val="22"/>
          <w:vertAlign w:val="subscript"/>
        </w:rPr>
        <w:t>3</w:t>
      </w:r>
      <w:r w:rsidR="00356284" w:rsidRPr="006406D4">
        <w:rPr>
          <w:rFonts w:asciiTheme="minorHAnsi" w:hAnsiTheme="minorHAnsi"/>
          <w:sz w:val="22"/>
          <w:szCs w:val="22"/>
        </w:rPr>
        <w:t>NaO</w:t>
      </w:r>
      <w:r w:rsidR="00356284" w:rsidRPr="006406D4">
        <w:rPr>
          <w:rFonts w:asciiTheme="minorHAnsi" w:hAnsiTheme="minorHAnsi"/>
          <w:sz w:val="22"/>
          <w:szCs w:val="22"/>
          <w:vertAlign w:val="subscript"/>
        </w:rPr>
        <w:t>3</w:t>
      </w:r>
      <w:r w:rsidR="00356284" w:rsidRPr="006406D4">
        <w:rPr>
          <w:rFonts w:asciiTheme="minorHAnsi" w:hAnsiTheme="minorHAnsi"/>
          <w:sz w:val="22"/>
          <w:szCs w:val="22"/>
        </w:rPr>
        <w:t>S</w:t>
      </w:r>
    </w:p>
    <w:p w:rsidR="004E5A39" w:rsidRPr="006406D4" w:rsidRDefault="004E5A39" w:rsidP="00356284">
      <w:pPr>
        <w:pStyle w:val="Default"/>
        <w:rPr>
          <w:rFonts w:asciiTheme="minorHAnsi" w:hAnsiTheme="minorHAnsi"/>
          <w:sz w:val="22"/>
          <w:szCs w:val="22"/>
        </w:rPr>
      </w:pPr>
      <w:r w:rsidRPr="006406D4">
        <w:rPr>
          <w:rFonts w:asciiTheme="minorHAnsi" w:hAnsiTheme="minorHAnsi"/>
          <w:sz w:val="22"/>
          <w:szCs w:val="22"/>
          <w:u w:val="single"/>
        </w:rPr>
        <w:t>Peso molecolare</w:t>
      </w:r>
      <w:r w:rsidRPr="006406D4">
        <w:rPr>
          <w:rFonts w:asciiTheme="minorHAnsi" w:hAnsiTheme="minorHAnsi"/>
          <w:sz w:val="22"/>
          <w:szCs w:val="22"/>
        </w:rPr>
        <w:t>:</w:t>
      </w:r>
      <w:r w:rsidRPr="006406D4">
        <w:rPr>
          <w:rFonts w:asciiTheme="minorHAnsi" w:hAnsiTheme="minorHAnsi" w:cs="Arial"/>
          <w:color w:val="252525"/>
          <w:sz w:val="22"/>
          <w:szCs w:val="22"/>
          <w:shd w:val="clear" w:color="auto" w:fill="F9F9F9"/>
        </w:rPr>
        <w:t xml:space="preserve"> </w:t>
      </w:r>
      <w:r w:rsidR="00356284" w:rsidRPr="006406D4">
        <w:rPr>
          <w:rFonts w:asciiTheme="minorHAnsi" w:hAnsiTheme="minorHAnsi"/>
          <w:sz w:val="22"/>
          <w:szCs w:val="22"/>
        </w:rPr>
        <w:t xml:space="preserve">367.40 </w:t>
      </w:r>
      <w:r w:rsidR="009A23DE" w:rsidRPr="006406D4">
        <w:rPr>
          <w:rFonts w:asciiTheme="minorHAnsi" w:hAnsiTheme="minorHAnsi" w:cs="Calibri"/>
          <w:sz w:val="22"/>
          <w:szCs w:val="22"/>
        </w:rPr>
        <w:t xml:space="preserve"> </w:t>
      </w:r>
      <w:r w:rsidRPr="006406D4">
        <w:rPr>
          <w:rStyle w:val="s1"/>
          <w:rFonts w:asciiTheme="minorHAnsi" w:hAnsiTheme="minorHAnsi"/>
          <w:sz w:val="22"/>
          <w:szCs w:val="22"/>
        </w:rPr>
        <w:t>g/mol</w:t>
      </w:r>
    </w:p>
    <w:p w:rsidR="004E5A39" w:rsidRPr="006406D4" w:rsidRDefault="004E5A39" w:rsidP="00356284">
      <w:pPr>
        <w:pStyle w:val="Default"/>
        <w:rPr>
          <w:rFonts w:asciiTheme="minorHAnsi" w:hAnsiTheme="minorHAnsi"/>
          <w:sz w:val="22"/>
          <w:szCs w:val="22"/>
        </w:rPr>
      </w:pPr>
      <w:r w:rsidRPr="006406D4">
        <w:rPr>
          <w:rFonts w:asciiTheme="minorHAnsi" w:hAnsiTheme="minorHAnsi"/>
          <w:sz w:val="22"/>
          <w:szCs w:val="22"/>
          <w:u w:val="single"/>
        </w:rPr>
        <w:t>CAS</w:t>
      </w:r>
      <w:r w:rsidRPr="006406D4">
        <w:rPr>
          <w:rFonts w:asciiTheme="minorHAnsi" w:hAnsiTheme="minorHAnsi"/>
          <w:sz w:val="22"/>
          <w:szCs w:val="22"/>
        </w:rPr>
        <w:t>:</w:t>
      </w:r>
      <w:r w:rsidR="00356284" w:rsidRPr="006406D4">
        <w:rPr>
          <w:rFonts w:asciiTheme="minorHAnsi" w:hAnsiTheme="minorHAnsi"/>
          <w:sz w:val="22"/>
          <w:szCs w:val="22"/>
        </w:rPr>
        <w:t xml:space="preserve">  [161796-78-7]</w:t>
      </w:r>
    </w:p>
    <w:p w:rsidR="004E5A39" w:rsidRPr="006406D4" w:rsidRDefault="004E5A39" w:rsidP="00EF6711">
      <w:pPr>
        <w:spacing w:after="0" w:line="240" w:lineRule="auto"/>
        <w:jc w:val="both"/>
      </w:pPr>
      <w:r w:rsidRPr="006406D4">
        <w:rPr>
          <w:u w:val="single"/>
        </w:rPr>
        <w:t>Aspetto</w:t>
      </w:r>
      <w:r w:rsidRPr="006406D4">
        <w:t xml:space="preserve">: </w:t>
      </w:r>
      <w:r w:rsidR="00356284" w:rsidRPr="006406D4">
        <w:t>Solido bianco o leggermente colorato.</w:t>
      </w:r>
    </w:p>
    <w:p w:rsidR="004E5A39" w:rsidRPr="006406D4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6406D4">
        <w:rPr>
          <w:u w:val="single"/>
        </w:rPr>
        <w:t>Solubilità</w:t>
      </w:r>
      <w:r w:rsidRPr="006406D4">
        <w:t xml:space="preserve">: </w:t>
      </w:r>
      <w:r w:rsidR="00356284" w:rsidRPr="006406D4">
        <w:t>molto solubile in acqua e solubile in etanolo</w:t>
      </w:r>
    </w:p>
    <w:p w:rsidR="004E5A39" w:rsidRPr="006406D4" w:rsidRDefault="004E5A39" w:rsidP="00EF6711">
      <w:pPr>
        <w:spacing w:after="0" w:line="240" w:lineRule="auto"/>
        <w:jc w:val="both"/>
        <w:rPr>
          <w:highlight w:val="yellow"/>
        </w:rPr>
      </w:pPr>
    </w:p>
    <w:p w:rsidR="00265B61" w:rsidRPr="006406D4" w:rsidRDefault="00356284" w:rsidP="00265B61">
      <w:pPr>
        <w:spacing w:after="0" w:line="240" w:lineRule="auto"/>
        <w:jc w:val="both"/>
      </w:pPr>
      <w:r w:rsidRPr="006406D4">
        <w:t>I produttori del principio attivo</w:t>
      </w:r>
      <w:r w:rsidR="00265B61" w:rsidRPr="006406D4">
        <w:t xml:space="preserve"> ha</w:t>
      </w:r>
      <w:r w:rsidRPr="006406D4">
        <w:t>nno</w:t>
      </w:r>
      <w:r w:rsidR="00265B61" w:rsidRPr="006406D4">
        <w:t xml:space="preserve"> presentato un ASMF. </w:t>
      </w:r>
    </w:p>
    <w:p w:rsidR="00265B61" w:rsidRPr="006406D4" w:rsidRDefault="00265B61" w:rsidP="00265B61">
      <w:pPr>
        <w:spacing w:after="0" w:line="240" w:lineRule="auto"/>
        <w:jc w:val="both"/>
      </w:pPr>
      <w:r w:rsidRPr="006406D4">
        <w:t>La sintesi del principio attivo è stata adeguatamente descritta a partire da idonei materiali di partenza; sono utilizzati appropriati controlli di processo e intermedi di sintesi.</w:t>
      </w:r>
    </w:p>
    <w:p w:rsidR="00265B61" w:rsidRPr="006406D4" w:rsidRDefault="00265B61" w:rsidP="00265B61">
      <w:pPr>
        <w:spacing w:after="0" w:line="240" w:lineRule="auto"/>
        <w:jc w:val="both"/>
      </w:pPr>
      <w:r w:rsidRPr="006406D4">
        <w:t>I materiali e i reagenti utilizzati nella sintesi sono di qualità adeguata.</w:t>
      </w:r>
    </w:p>
    <w:p w:rsidR="00265B61" w:rsidRPr="006406D4" w:rsidRDefault="00265B61" w:rsidP="00265B61">
      <w:pPr>
        <w:spacing w:after="0" w:line="240" w:lineRule="auto"/>
        <w:jc w:val="both"/>
      </w:pPr>
      <w:r w:rsidRPr="006406D4"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Pr="006406D4" w:rsidRDefault="00265B61" w:rsidP="00265B61">
      <w:pPr>
        <w:spacing w:after="0" w:line="240" w:lineRule="auto"/>
        <w:jc w:val="both"/>
      </w:pPr>
      <w:r w:rsidRPr="006406D4"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6406D4" w:rsidRDefault="00265B61" w:rsidP="00265B61">
      <w:pPr>
        <w:spacing w:after="0" w:line="240" w:lineRule="auto"/>
        <w:jc w:val="both"/>
      </w:pPr>
      <w:r w:rsidRPr="006406D4">
        <w:t xml:space="preserve">Il principio attivo è confezionato in un adeguato contenitore, per il quale sono stati forniti specifiche e certificati analitici. Il confezionamento primario è costituito da </w:t>
      </w:r>
      <w:r w:rsidR="00356284" w:rsidRPr="006406D4">
        <w:t>sacchi di PE racchiusi sacchi di polistirene/Al/PE contenti buste di gel di silice il tutto confezionato in fusti di metallo.</w:t>
      </w:r>
    </w:p>
    <w:p w:rsidR="00265B61" w:rsidRPr="006406D4" w:rsidRDefault="00265B61" w:rsidP="00265B61">
      <w:pPr>
        <w:spacing w:after="0" w:line="240" w:lineRule="auto"/>
        <w:jc w:val="both"/>
      </w:pPr>
      <w:r w:rsidRPr="006406D4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406D4">
        <w:t>retest</w:t>
      </w:r>
      <w:proofErr w:type="spellEnd"/>
      <w:r w:rsidRPr="006406D4">
        <w:t xml:space="preserve"> di </w:t>
      </w:r>
      <w:r w:rsidR="002C2011" w:rsidRPr="006406D4">
        <w:t xml:space="preserve">24 </w:t>
      </w:r>
      <w:r w:rsidRPr="006406D4">
        <w:t>mesi</w:t>
      </w:r>
      <w:r w:rsidR="001E28EB" w:rsidRPr="006406D4">
        <w:t>.</w:t>
      </w:r>
    </w:p>
    <w:p w:rsidR="00B30431" w:rsidRPr="006406D4" w:rsidRDefault="00B30431" w:rsidP="00EF6711">
      <w:pPr>
        <w:spacing w:after="0" w:line="240" w:lineRule="auto"/>
        <w:jc w:val="both"/>
        <w:rPr>
          <w:highlight w:val="yellow"/>
        </w:rPr>
      </w:pPr>
    </w:p>
    <w:p w:rsidR="000B7AC8" w:rsidRPr="006406D4" w:rsidRDefault="000B7AC8" w:rsidP="00EF6711">
      <w:pPr>
        <w:spacing w:after="0" w:line="240" w:lineRule="auto"/>
        <w:jc w:val="both"/>
        <w:rPr>
          <w:highlight w:val="yellow"/>
        </w:rPr>
      </w:pPr>
    </w:p>
    <w:p w:rsidR="004E5A39" w:rsidRPr="006406D4" w:rsidRDefault="004E5A39" w:rsidP="00EF6711">
      <w:pPr>
        <w:spacing w:after="0" w:line="240" w:lineRule="auto"/>
        <w:jc w:val="both"/>
        <w:rPr>
          <w:b/>
        </w:rPr>
      </w:pPr>
      <w:r w:rsidRPr="006406D4">
        <w:rPr>
          <w:b/>
        </w:rPr>
        <w:t>II.2 PRODOTTO FINITO</w:t>
      </w:r>
    </w:p>
    <w:p w:rsidR="004E5A39" w:rsidRPr="006406D4" w:rsidRDefault="004E5A39" w:rsidP="00EF6711">
      <w:pPr>
        <w:spacing w:after="0" w:line="240" w:lineRule="auto"/>
        <w:jc w:val="both"/>
        <w:rPr>
          <w:b/>
        </w:rPr>
      </w:pPr>
      <w:r w:rsidRPr="006406D4">
        <w:rPr>
          <w:b/>
        </w:rPr>
        <w:t>Descrizione e composizione</w:t>
      </w:r>
    </w:p>
    <w:p w:rsidR="00E87CCD" w:rsidRPr="006406D4" w:rsidRDefault="00E87CCD" w:rsidP="00E87CCD">
      <w:pPr>
        <w:spacing w:after="0" w:line="240" w:lineRule="auto"/>
        <w:jc w:val="both"/>
      </w:pPr>
      <w:proofErr w:type="spellStart"/>
      <w:r w:rsidRPr="006406D4">
        <w:t>Esomeprazolo</w:t>
      </w:r>
      <w:proofErr w:type="spellEnd"/>
      <w:r w:rsidRPr="006406D4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6406D4">
        <w:t xml:space="preserve"> è disponibile come capsule</w:t>
      </w:r>
      <w:r w:rsidR="00D75828" w:rsidRPr="006406D4">
        <w:t xml:space="preserve"> rigide </w:t>
      </w:r>
      <w:proofErr w:type="spellStart"/>
      <w:r w:rsidR="00D75828" w:rsidRPr="006406D4">
        <w:t>gastroresistenti</w:t>
      </w:r>
      <w:bookmarkStart w:id="1" w:name="_GoBack"/>
      <w:bookmarkEnd w:id="1"/>
      <w:proofErr w:type="spellEnd"/>
      <w:r w:rsidRPr="006406D4">
        <w:t xml:space="preserve"> contenenti 20 mg e 40 mg di </w:t>
      </w:r>
      <w:proofErr w:type="spellStart"/>
      <w:r w:rsidR="006406D4">
        <w:t>esopmeprazolo</w:t>
      </w:r>
      <w:proofErr w:type="spellEnd"/>
      <w:r w:rsidRPr="006406D4">
        <w:t>.</w:t>
      </w:r>
    </w:p>
    <w:p w:rsidR="00B30431" w:rsidRDefault="004E5A39" w:rsidP="00EF6711">
      <w:pPr>
        <w:spacing w:after="0" w:line="240" w:lineRule="auto"/>
        <w:jc w:val="both"/>
        <w:rPr>
          <w:rFonts w:eastAsia="Calibri" w:cs="Arial"/>
        </w:rPr>
      </w:pPr>
      <w:r w:rsidRPr="006406D4">
        <w:t xml:space="preserve">Gli eccipienti </w:t>
      </w:r>
      <w:r w:rsidR="0066030D" w:rsidRPr="006406D4">
        <w:t>sono: sfere</w:t>
      </w:r>
      <w:r w:rsidR="00CD6263" w:rsidRPr="006406D4">
        <w:rPr>
          <w:rFonts w:eastAsia="Calibri" w:cs="Arial"/>
        </w:rPr>
        <w:t xml:space="preserve"> di zucchero (contenenti saccarosio e amido di mais), </w:t>
      </w:r>
      <w:r w:rsidR="006406D4">
        <w:rPr>
          <w:rFonts w:eastAsia="Calibri" w:cs="Arial"/>
        </w:rPr>
        <w:t>m</w:t>
      </w:r>
      <w:r w:rsidR="00CD6263" w:rsidRPr="006406D4">
        <w:rPr>
          <w:rFonts w:eastAsia="Calibri" w:cs="Arial"/>
        </w:rPr>
        <w:t xml:space="preserve">etilcellulosa, </w:t>
      </w:r>
      <w:r w:rsidR="006406D4">
        <w:rPr>
          <w:rFonts w:eastAsia="Calibri" w:cs="Arial"/>
        </w:rPr>
        <w:t>t</w:t>
      </w:r>
      <w:r w:rsidR="00CD6263" w:rsidRPr="006406D4">
        <w:rPr>
          <w:rFonts w:eastAsia="Calibri" w:cs="Arial"/>
        </w:rPr>
        <w:t>alco,</w:t>
      </w:r>
      <w:r w:rsidR="006406D4">
        <w:rPr>
          <w:rFonts w:eastAsia="Calibri" w:cs="Arial"/>
        </w:rPr>
        <w:t xml:space="preserve"> t</w:t>
      </w:r>
      <w:r w:rsidR="00CD6263" w:rsidRPr="006406D4">
        <w:rPr>
          <w:rFonts w:eastAsia="Calibri" w:cs="Arial"/>
        </w:rPr>
        <w:t>itanio diossido (E171),</w:t>
      </w:r>
      <w:r w:rsidR="006406D4">
        <w:rPr>
          <w:rFonts w:eastAsia="Calibri" w:cs="Arial"/>
        </w:rPr>
        <w:t xml:space="preserve"> g</w:t>
      </w:r>
      <w:r w:rsidR="00CD6263" w:rsidRPr="006406D4">
        <w:rPr>
          <w:rFonts w:eastAsia="Calibri" w:cs="Arial"/>
        </w:rPr>
        <w:t xml:space="preserve">licerolo </w:t>
      </w:r>
      <w:proofErr w:type="spellStart"/>
      <w:r w:rsidR="00CD6263" w:rsidRPr="006406D4">
        <w:rPr>
          <w:rFonts w:eastAsia="Calibri" w:cs="Arial"/>
        </w:rPr>
        <w:t>monostearato</w:t>
      </w:r>
      <w:proofErr w:type="spellEnd"/>
      <w:r w:rsidR="00CD6263" w:rsidRPr="006406D4">
        <w:rPr>
          <w:rFonts w:eastAsia="Calibri" w:cs="Arial"/>
        </w:rPr>
        <w:t>,</w:t>
      </w:r>
      <w:r w:rsidR="006406D4">
        <w:rPr>
          <w:rFonts w:eastAsia="Calibri" w:cs="Arial"/>
        </w:rPr>
        <w:t xml:space="preserve"> </w:t>
      </w:r>
      <w:proofErr w:type="spellStart"/>
      <w:r w:rsidR="006406D4">
        <w:rPr>
          <w:rFonts w:eastAsia="Calibri" w:cs="Arial"/>
        </w:rPr>
        <w:t>p</w:t>
      </w:r>
      <w:r w:rsidR="00CD6263" w:rsidRPr="006406D4">
        <w:rPr>
          <w:rFonts w:eastAsia="Calibri" w:cs="Arial"/>
        </w:rPr>
        <w:t>olisorbato</w:t>
      </w:r>
      <w:proofErr w:type="spellEnd"/>
      <w:r w:rsidR="00CD6263" w:rsidRPr="006406D4">
        <w:rPr>
          <w:rFonts w:eastAsia="Calibri" w:cs="Arial"/>
        </w:rPr>
        <w:t xml:space="preserve"> 80,</w:t>
      </w:r>
      <w:r w:rsidR="006406D4">
        <w:rPr>
          <w:rFonts w:eastAsia="Calibri" w:cs="Arial"/>
        </w:rPr>
        <w:t xml:space="preserve"> s</w:t>
      </w:r>
      <w:r w:rsidR="00CD6263" w:rsidRPr="006406D4">
        <w:rPr>
          <w:rFonts w:eastAsia="Calibri" w:cs="Arial"/>
        </w:rPr>
        <w:t xml:space="preserve">odio </w:t>
      </w:r>
      <w:proofErr w:type="spellStart"/>
      <w:r w:rsidR="00CD6263" w:rsidRPr="006406D4">
        <w:rPr>
          <w:rFonts w:eastAsia="Calibri" w:cs="Arial"/>
        </w:rPr>
        <w:t>laurilsolfato</w:t>
      </w:r>
      <w:proofErr w:type="spellEnd"/>
      <w:r w:rsidR="00CD6263" w:rsidRPr="006406D4">
        <w:rPr>
          <w:rFonts w:eastAsia="Calibri" w:cs="Arial"/>
        </w:rPr>
        <w:t>,</w:t>
      </w:r>
      <w:r w:rsidR="006406D4">
        <w:rPr>
          <w:rFonts w:eastAsia="Calibri" w:cs="Arial"/>
        </w:rPr>
        <w:t xml:space="preserve"> c</w:t>
      </w:r>
      <w:r w:rsidR="00CD6263" w:rsidRPr="006406D4">
        <w:rPr>
          <w:rFonts w:eastAsia="Calibri" w:cs="Arial"/>
        </w:rPr>
        <w:t xml:space="preserve">opolimero acido metacrilico – </w:t>
      </w:r>
      <w:proofErr w:type="spellStart"/>
      <w:r w:rsidR="00CD6263" w:rsidRPr="006406D4">
        <w:rPr>
          <w:rFonts w:eastAsia="Calibri" w:cs="Arial"/>
        </w:rPr>
        <w:t>etilacrilato</w:t>
      </w:r>
      <w:proofErr w:type="spellEnd"/>
      <w:r w:rsidR="00CD6263" w:rsidRPr="006406D4">
        <w:rPr>
          <w:rFonts w:eastAsia="Calibri" w:cs="Arial"/>
        </w:rPr>
        <w:t xml:space="preserve">, </w:t>
      </w:r>
      <w:proofErr w:type="spellStart"/>
      <w:r w:rsidR="006406D4">
        <w:rPr>
          <w:rFonts w:eastAsia="Calibri" w:cs="Arial"/>
        </w:rPr>
        <w:t>t</w:t>
      </w:r>
      <w:r w:rsidR="00CD6263" w:rsidRPr="006406D4">
        <w:rPr>
          <w:rFonts w:eastAsia="Calibri" w:cs="Arial"/>
        </w:rPr>
        <w:t>rietil</w:t>
      </w:r>
      <w:proofErr w:type="spellEnd"/>
      <w:r w:rsidR="00CD6263" w:rsidRPr="006406D4">
        <w:rPr>
          <w:rFonts w:eastAsia="Calibri" w:cs="Arial"/>
        </w:rPr>
        <w:t xml:space="preserve"> citrato, </w:t>
      </w:r>
      <w:r w:rsidR="006406D4">
        <w:rPr>
          <w:rFonts w:eastAsia="Calibri" w:cs="Arial"/>
        </w:rPr>
        <w:t>c</w:t>
      </w:r>
      <w:r w:rsidR="00CD6263" w:rsidRPr="006406D4">
        <w:rPr>
          <w:rFonts w:eastAsia="Calibri" w:cs="Arial"/>
        </w:rPr>
        <w:t>arragenina,</w:t>
      </w:r>
      <w:r w:rsidR="006406D4">
        <w:rPr>
          <w:rFonts w:eastAsia="Calibri" w:cs="Arial"/>
        </w:rPr>
        <w:t xml:space="preserve"> c</w:t>
      </w:r>
      <w:r w:rsidR="00CD6263" w:rsidRPr="006406D4">
        <w:rPr>
          <w:rFonts w:eastAsia="Calibri" w:cs="Arial"/>
        </w:rPr>
        <w:t>loruro di potassio,</w:t>
      </w:r>
      <w:r w:rsidR="006406D4">
        <w:rPr>
          <w:rFonts w:eastAsia="Calibri" w:cs="Arial"/>
        </w:rPr>
        <w:t xml:space="preserve"> t</w:t>
      </w:r>
      <w:r w:rsidR="00CD6263" w:rsidRPr="006406D4">
        <w:rPr>
          <w:rFonts w:eastAsia="Calibri" w:cs="Arial"/>
        </w:rPr>
        <w:t>itanio diossido (E171),</w:t>
      </w:r>
      <w:r w:rsidR="006406D4">
        <w:rPr>
          <w:rFonts w:eastAsia="Calibri" w:cs="Arial"/>
        </w:rPr>
        <w:t xml:space="preserve"> f</w:t>
      </w:r>
      <w:r w:rsidR="00CD6263" w:rsidRPr="006406D4">
        <w:rPr>
          <w:rFonts w:eastAsia="Calibri" w:cs="Arial"/>
        </w:rPr>
        <w:t>erro ossido rosso (E172),</w:t>
      </w:r>
      <w:r w:rsidR="006406D4">
        <w:rPr>
          <w:rFonts w:eastAsia="Calibri" w:cs="Arial"/>
        </w:rPr>
        <w:t xml:space="preserve"> </w:t>
      </w:r>
      <w:proofErr w:type="spellStart"/>
      <w:r w:rsidR="006406D4">
        <w:rPr>
          <w:rFonts w:eastAsia="Calibri" w:cs="Arial"/>
        </w:rPr>
        <w:t>i</w:t>
      </w:r>
      <w:r w:rsidR="00CD6263" w:rsidRPr="006406D4">
        <w:rPr>
          <w:rFonts w:eastAsia="Calibri" w:cs="Arial"/>
        </w:rPr>
        <w:t>promellosa</w:t>
      </w:r>
      <w:proofErr w:type="spellEnd"/>
      <w:r w:rsidR="00CD6263" w:rsidRPr="006406D4">
        <w:rPr>
          <w:rFonts w:eastAsia="Calibri" w:cs="Arial"/>
        </w:rPr>
        <w:t>,</w:t>
      </w:r>
      <w:r w:rsidR="006406D4">
        <w:rPr>
          <w:rFonts w:eastAsia="Calibri" w:cs="Arial"/>
        </w:rPr>
        <w:t xml:space="preserve"> i</w:t>
      </w:r>
      <w:r w:rsidR="00CD6263" w:rsidRPr="006406D4">
        <w:rPr>
          <w:rFonts w:eastAsia="Calibri" w:cs="Arial"/>
        </w:rPr>
        <w:t>nchiostro contenente lacca, idrossido di potassio e ferro ossido nero (E172).</w:t>
      </w:r>
    </w:p>
    <w:p w:rsidR="000B7AC8" w:rsidRPr="006406D4" w:rsidRDefault="000B7AC8" w:rsidP="00EF6711">
      <w:pPr>
        <w:spacing w:after="0" w:line="240" w:lineRule="auto"/>
        <w:ind w:right="13"/>
        <w:jc w:val="both"/>
      </w:pPr>
      <w:r w:rsidRPr="006406D4">
        <w:t>Tutti gli eccipienti sono conformi alla relativa monografia di Farm</w:t>
      </w:r>
      <w:r w:rsidR="00CD6263" w:rsidRPr="006406D4">
        <w:t>acopea Europea, ad eccezione dell’inchiostro</w:t>
      </w:r>
      <w:r w:rsidRPr="006406D4">
        <w:t xml:space="preserve"> per i</w:t>
      </w:r>
      <w:r w:rsidR="00CD6263" w:rsidRPr="006406D4">
        <w:t>l quale</w:t>
      </w:r>
      <w:r w:rsidRPr="006406D4">
        <w:t xml:space="preserve"> i</w:t>
      </w:r>
      <w:r w:rsidR="00CD6263" w:rsidRPr="006406D4">
        <w:t>l</w:t>
      </w:r>
      <w:r w:rsidRPr="006406D4">
        <w:t xml:space="preserve"> produttore ha proposto specifiche di controllo accettabili</w:t>
      </w:r>
      <w:r w:rsidR="00CD6263" w:rsidRPr="006406D4">
        <w:t>.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lastRenderedPageBreak/>
        <w:t>Nessun eccipiente è ottenuto da organismi geneticamente modificati; non sono presenti eccipienti mai utilizzati nell’uomo.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181930" w:rsidRPr="006D6D08" w:rsidRDefault="00181930" w:rsidP="00EF6711">
      <w:pPr>
        <w:spacing w:after="0" w:line="240" w:lineRule="auto"/>
        <w:jc w:val="both"/>
        <w:rPr>
          <w:highlight w:val="yellow"/>
        </w:rPr>
      </w:pPr>
    </w:p>
    <w:p w:rsidR="004E5A39" w:rsidRPr="007479B4" w:rsidRDefault="004E5A39" w:rsidP="00EF6711">
      <w:pPr>
        <w:spacing w:after="0" w:line="240" w:lineRule="auto"/>
        <w:jc w:val="both"/>
        <w:rPr>
          <w:b/>
        </w:rPr>
      </w:pPr>
      <w:r w:rsidRPr="007479B4">
        <w:rPr>
          <w:b/>
        </w:rPr>
        <w:t>Sviluppo farmaceutico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>Sono stati forniti dettagli dello sviluppo farmaceutico e questi sono stati ritenuti soddisfacenti.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 xml:space="preserve">Sono stati forniti dati comparativi relativi al profilo </w:t>
      </w:r>
      <w:r w:rsidR="007479B4" w:rsidRPr="007479B4">
        <w:t>qualitativo</w:t>
      </w:r>
      <w:r w:rsidRPr="007479B4">
        <w:t xml:space="preserve"> rispetto al medicinale di riferimento</w:t>
      </w:r>
      <w:r w:rsidR="00B30431" w:rsidRPr="007479B4">
        <w:rPr>
          <w:rFonts w:eastAsia="Calibri" w:cs="Calibri"/>
          <w:lang w:eastAsia="it-IT"/>
        </w:rPr>
        <w:t xml:space="preserve"> </w:t>
      </w:r>
      <w:proofErr w:type="spellStart"/>
      <w:r w:rsidR="007479B4" w:rsidRPr="007479B4">
        <w:rPr>
          <w:rFonts w:eastAsia="Calibri" w:cs="Calibri"/>
          <w:lang w:eastAsia="it-IT"/>
        </w:rPr>
        <w:t>Nexium</w:t>
      </w:r>
      <w:proofErr w:type="spellEnd"/>
      <w:r w:rsidR="006406D4">
        <w:rPr>
          <w:rFonts w:eastAsia="Calibri" w:cs="Calibri"/>
          <w:lang w:eastAsia="it-IT"/>
        </w:rPr>
        <w:t xml:space="preserve">; </w:t>
      </w:r>
      <w:r w:rsidR="007479B4" w:rsidRPr="007479B4">
        <w:t xml:space="preserve">i </w:t>
      </w:r>
      <w:r w:rsidRPr="007479B4">
        <w:t>dati sono soddisfacenti.</w:t>
      </w:r>
    </w:p>
    <w:p w:rsidR="004E5A39" w:rsidRPr="007479B4" w:rsidRDefault="004E5A39" w:rsidP="00EF6711">
      <w:pPr>
        <w:spacing w:after="0" w:line="240" w:lineRule="auto"/>
        <w:jc w:val="both"/>
      </w:pPr>
    </w:p>
    <w:p w:rsidR="004E5A39" w:rsidRPr="007479B4" w:rsidRDefault="004E5A39" w:rsidP="00EF6711">
      <w:pPr>
        <w:spacing w:after="0" w:line="240" w:lineRule="auto"/>
        <w:jc w:val="both"/>
        <w:rPr>
          <w:b/>
        </w:rPr>
      </w:pPr>
      <w:r w:rsidRPr="007479B4">
        <w:rPr>
          <w:b/>
        </w:rPr>
        <w:t xml:space="preserve">Produzione 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>Sono stati forniti una descrizione del metodo di produzione e la relativa flow-chart.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7479B4" w:rsidRDefault="004E5A39" w:rsidP="00EF6711">
      <w:pPr>
        <w:spacing w:after="0" w:line="240" w:lineRule="auto"/>
        <w:jc w:val="both"/>
      </w:pPr>
    </w:p>
    <w:p w:rsidR="004E5A39" w:rsidRPr="007479B4" w:rsidRDefault="004E5A39" w:rsidP="00EF6711">
      <w:pPr>
        <w:spacing w:after="0" w:line="240" w:lineRule="auto"/>
        <w:jc w:val="both"/>
        <w:rPr>
          <w:b/>
        </w:rPr>
      </w:pPr>
      <w:r w:rsidRPr="007479B4">
        <w:rPr>
          <w:b/>
        </w:rPr>
        <w:t>Specifiche del prodotto finito</w:t>
      </w:r>
    </w:p>
    <w:p w:rsidR="004E5A39" w:rsidRPr="007479B4" w:rsidRDefault="004E5A39" w:rsidP="00EF6711">
      <w:pPr>
        <w:spacing w:after="0" w:line="240" w:lineRule="auto"/>
        <w:jc w:val="both"/>
      </w:pPr>
      <w:r w:rsidRPr="007479B4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7479B4">
        <w:t>il</w:t>
      </w:r>
      <w:r w:rsidRPr="007479B4">
        <w:t xml:space="preserve"> prodotto finito</w:t>
      </w:r>
      <w:r w:rsidR="000808A3" w:rsidRPr="007479B4">
        <w:t xml:space="preserve"> </w:t>
      </w:r>
      <w:r w:rsidR="007479B4" w:rsidRPr="007479B4">
        <w:t>nei suoi</w:t>
      </w:r>
      <w:r w:rsidR="000808A3" w:rsidRPr="007479B4">
        <w:t xml:space="preserve"> dive</w:t>
      </w:r>
      <w:r w:rsidR="007479B4" w:rsidRPr="007479B4">
        <w:t xml:space="preserve">rsi </w:t>
      </w:r>
      <w:r w:rsidR="0066030D" w:rsidRPr="007479B4">
        <w:t>dosaggi:</w:t>
      </w:r>
      <w:r w:rsidRPr="007479B4">
        <w:t xml:space="preserve"> questi dati dimostrano che i lotti prodotti sono in accordo alle specifiche proposte. Sono stati forniti, infine, certificati analitici per gli standard di riferimento utilizzati.</w:t>
      </w:r>
    </w:p>
    <w:p w:rsidR="004E5A39" w:rsidRPr="006D6D08" w:rsidRDefault="004E5A39" w:rsidP="00EF6711">
      <w:pPr>
        <w:spacing w:after="0" w:line="240" w:lineRule="auto"/>
        <w:jc w:val="both"/>
        <w:rPr>
          <w:b/>
          <w:highlight w:val="yellow"/>
        </w:rPr>
      </w:pPr>
    </w:p>
    <w:p w:rsidR="004E5A39" w:rsidRPr="009A62CF" w:rsidRDefault="004E5A39" w:rsidP="00EF6711">
      <w:pPr>
        <w:spacing w:after="0" w:line="240" w:lineRule="auto"/>
        <w:jc w:val="both"/>
        <w:rPr>
          <w:b/>
        </w:rPr>
      </w:pPr>
      <w:r w:rsidRPr="009A62CF">
        <w:rPr>
          <w:b/>
        </w:rPr>
        <w:t>Contenitore</w:t>
      </w:r>
    </w:p>
    <w:p w:rsidR="00BA0ACD" w:rsidRPr="009A62CF" w:rsidRDefault="003B3E63" w:rsidP="00EF6711">
      <w:pPr>
        <w:spacing w:after="0" w:line="240" w:lineRule="auto"/>
        <w:jc w:val="both"/>
      </w:pPr>
      <w:proofErr w:type="spellStart"/>
      <w:r w:rsidRPr="009A62CF">
        <w:t>Esomeprazolo</w:t>
      </w:r>
      <w:proofErr w:type="spellEnd"/>
      <w:r w:rsidRPr="009A62CF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Pr="009A62CF">
        <w:t xml:space="preserve"> </w:t>
      </w:r>
      <w:r w:rsidR="004E5A39" w:rsidRPr="009A62CF">
        <w:t xml:space="preserve">è confezionato in </w:t>
      </w:r>
      <w:r w:rsidR="009A62CF" w:rsidRPr="009A62CF">
        <w:rPr>
          <w:rFonts w:ascii="Calibri" w:eastAsia="Calibri" w:hAnsi="Calibri" w:cs="Arial"/>
        </w:rPr>
        <w:t>blister Al/Al e</w:t>
      </w:r>
      <w:r w:rsidR="009A62CF" w:rsidRPr="009A62CF">
        <w:rPr>
          <w:rFonts w:ascii="Calibri" w:hAnsi="Calibri" w:cs="Arial"/>
        </w:rPr>
        <w:t>d</w:t>
      </w:r>
      <w:r w:rsidR="009A62CF" w:rsidRPr="009A62CF">
        <w:rPr>
          <w:rFonts w:ascii="Calibri" w:eastAsia="Calibri" w:hAnsi="Calibri" w:cs="Arial"/>
        </w:rPr>
        <w:t xml:space="preserve"> in flaconi di HDPE</w:t>
      </w:r>
      <w:r w:rsidR="006406D4">
        <w:rPr>
          <w:rFonts w:ascii="Calibri" w:eastAsia="Calibri" w:hAnsi="Calibri" w:cs="Arial"/>
        </w:rPr>
        <w:t>.</w:t>
      </w:r>
    </w:p>
    <w:p w:rsidR="004E5A39" w:rsidRPr="009A62CF" w:rsidRDefault="004E5A39" w:rsidP="00EF6711">
      <w:pPr>
        <w:spacing w:after="0" w:line="240" w:lineRule="auto"/>
        <w:jc w:val="both"/>
      </w:pPr>
      <w:r w:rsidRPr="009A62CF">
        <w:t>Sono state fornite specifiche e certificati analitici per tutti i componenti del confezionamento primario, che è adeguato per il medicinale.</w:t>
      </w:r>
    </w:p>
    <w:p w:rsidR="00BA0ACD" w:rsidRPr="0032205D" w:rsidRDefault="00BA0ACD" w:rsidP="00EF6711">
      <w:pPr>
        <w:spacing w:after="0" w:line="240" w:lineRule="auto"/>
        <w:jc w:val="both"/>
      </w:pPr>
    </w:p>
    <w:p w:rsidR="004E5A39" w:rsidRPr="0032205D" w:rsidRDefault="004E5A39" w:rsidP="00EF6711">
      <w:pPr>
        <w:spacing w:after="0" w:line="240" w:lineRule="auto"/>
        <w:jc w:val="both"/>
        <w:rPr>
          <w:b/>
        </w:rPr>
      </w:pPr>
      <w:r w:rsidRPr="0032205D">
        <w:rPr>
          <w:b/>
        </w:rPr>
        <w:t>Stabilità</w:t>
      </w:r>
    </w:p>
    <w:p w:rsidR="004E5A39" w:rsidRPr="0032205D" w:rsidRDefault="004E5A39" w:rsidP="00EF6711">
      <w:pPr>
        <w:spacing w:after="0" w:line="240" w:lineRule="auto"/>
        <w:jc w:val="both"/>
      </w:pPr>
      <w:r w:rsidRPr="0032205D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2205D" w:rsidRPr="0032205D">
        <w:t xml:space="preserve">2 </w:t>
      </w:r>
      <w:r w:rsidR="00265B61" w:rsidRPr="0032205D">
        <w:t>anni</w:t>
      </w:r>
      <w:r w:rsidRPr="0032205D">
        <w:t xml:space="preserve"> </w:t>
      </w:r>
      <w:r w:rsidR="0032205D" w:rsidRPr="0032205D">
        <w:t xml:space="preserve">con </w:t>
      </w:r>
      <w:r w:rsidR="000808A3" w:rsidRPr="0032205D">
        <w:t>conservazione a</w:t>
      </w:r>
      <w:r w:rsidR="0032205D" w:rsidRPr="0032205D">
        <w:t xml:space="preserve"> temperatura non superiore a 25°C</w:t>
      </w:r>
      <w:r w:rsidR="000808A3" w:rsidRPr="0032205D">
        <w:t>, al riparo dal</w:t>
      </w:r>
      <w:r w:rsidR="0032205D" w:rsidRPr="0032205D">
        <w:t xml:space="preserve"> calore, al riparo dalla luce e dall’umidità.</w:t>
      </w:r>
    </w:p>
    <w:p w:rsidR="004E5A39" w:rsidRPr="006D6D08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915BEE" w:rsidRDefault="004E5A39" w:rsidP="00EF6711">
      <w:pPr>
        <w:spacing w:after="0" w:line="240" w:lineRule="auto"/>
        <w:jc w:val="both"/>
        <w:rPr>
          <w:b/>
        </w:rPr>
      </w:pPr>
      <w:r w:rsidRPr="00915BEE">
        <w:rPr>
          <w:b/>
        </w:rPr>
        <w:t>II.3 Discussione sugli aspetti di qualità</w:t>
      </w:r>
    </w:p>
    <w:p w:rsidR="006406D4" w:rsidRDefault="004E5A39" w:rsidP="00EF6711">
      <w:pPr>
        <w:spacing w:after="0" w:line="240" w:lineRule="auto"/>
        <w:jc w:val="both"/>
      </w:pPr>
      <w:r w:rsidRPr="00915BEE">
        <w:t xml:space="preserve">Tutte le criticità evidenziate nel corso della valutazione sono state risolte e la qualità di </w:t>
      </w:r>
      <w:proofErr w:type="spellStart"/>
      <w:r w:rsidR="00915BEE" w:rsidRPr="00915BEE">
        <w:t>Esomeprazolo</w:t>
      </w:r>
      <w:proofErr w:type="spellEnd"/>
      <w:r w:rsidR="00915BEE" w:rsidRPr="00915BEE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915BEE" w:rsidRPr="00915BEE">
        <w:t xml:space="preserve"> </w:t>
      </w:r>
      <w:r w:rsidRPr="00915BEE">
        <w:t xml:space="preserve">è considerata adeguata. </w:t>
      </w:r>
    </w:p>
    <w:p w:rsidR="004E5A39" w:rsidRPr="00EF6711" w:rsidRDefault="004E5A39" w:rsidP="00EF6711">
      <w:pPr>
        <w:spacing w:after="0" w:line="240" w:lineRule="auto"/>
        <w:jc w:val="both"/>
      </w:pPr>
      <w:r w:rsidRPr="00915BEE">
        <w:t xml:space="preserve">Non ci sono obiezioni per l’approvazione di </w:t>
      </w:r>
      <w:proofErr w:type="spellStart"/>
      <w:r w:rsidR="00915BEE" w:rsidRPr="00915BEE">
        <w:t>Esomeprazolo</w:t>
      </w:r>
      <w:proofErr w:type="spellEnd"/>
      <w:r w:rsidR="00915BEE" w:rsidRPr="00915BEE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915BEE" w:rsidRPr="00915BEE">
        <w:t xml:space="preserve"> </w:t>
      </w:r>
      <w:r w:rsidRPr="00915BEE">
        <w:t>dal punto di vista chimico-</w:t>
      </w:r>
      <w:r w:rsidRPr="00F44326">
        <w:t>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6D6D08" w:rsidRPr="006D6D08">
        <w:t>Esomeprazolo</w:t>
      </w:r>
      <w:proofErr w:type="spellEnd"/>
      <w:r w:rsidR="006D6D08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D6D08" w:rsidRPr="006D6D08"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6D6D08">
        <w:rPr>
          <w:rFonts w:eastAsia="Calibri" w:cs="Calibri"/>
          <w:lang w:eastAsia="it-IT"/>
        </w:rPr>
        <w:t>Nexium</w:t>
      </w:r>
      <w:proofErr w:type="spellEnd"/>
      <w:r w:rsidR="006D6D08">
        <w:rPr>
          <w:rFonts w:eastAsia="Calibri" w:cs="Calibri"/>
          <w:lang w:eastAsia="it-IT"/>
        </w:rPr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D23DF7" w:rsidRDefault="00D23DF7" w:rsidP="00D23DF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D23DF7">
        <w:rPr>
          <w:rFonts w:eastAsia="Calibri" w:cs="Calibri"/>
          <w:bCs/>
          <w:iCs/>
          <w:lang w:eastAsia="it-IT"/>
        </w:rPr>
        <w:t>Esomeprazolo</w:t>
      </w:r>
      <w:proofErr w:type="spellEnd"/>
      <w:r w:rsidRPr="00D23DF7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Pr="00D23DF7">
        <w:rPr>
          <w:rFonts w:eastAsia="Calibri" w:cs="Calibri"/>
          <w:bCs/>
          <w:iCs/>
          <w:lang w:eastAsia="it-IT"/>
        </w:rPr>
        <w:t>VI.REL</w:t>
      </w:r>
      <w:proofErr w:type="spellEnd"/>
      <w:r w:rsidRPr="00D23DF7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4130">
        <w:rPr>
          <w:rFonts w:eastAsia="Calibri" w:cs="Calibri"/>
          <w:bCs/>
          <w:iCs/>
          <w:lang w:eastAsia="it-IT"/>
        </w:rPr>
        <w:t>Pharma</w:t>
      </w:r>
      <w:proofErr w:type="spellEnd"/>
      <w:r w:rsidRPr="00D23DF7">
        <w:t xml:space="preserve"> è utilizzato </w:t>
      </w:r>
    </w:p>
    <w:p w:rsidR="00D23DF7" w:rsidRPr="00D23DF7" w:rsidRDefault="00D23DF7" w:rsidP="00D23DF7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23DF7">
        <w:t>negli adulti per:</w:t>
      </w:r>
    </w:p>
    <w:p w:rsidR="00D23DF7" w:rsidRPr="00D23DF7" w:rsidRDefault="00D23DF7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D23DF7" w:rsidRPr="00D23DF7" w:rsidRDefault="00D23DF7" w:rsidP="00D23DF7">
      <w:pPr>
        <w:pStyle w:val="Paragrafoelenco"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Trattamento dell'esofagite da reflusso erosiva;</w:t>
      </w:r>
    </w:p>
    <w:p w:rsidR="00D23DF7" w:rsidRPr="00D23DF7" w:rsidRDefault="00D23DF7" w:rsidP="00D23DF7">
      <w:pPr>
        <w:pStyle w:val="Paragrafoelenco"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Gestione a lungo termine per la prevenzione delle recidive nei pazienti con esofagite risolta;</w:t>
      </w:r>
    </w:p>
    <w:p w:rsidR="00D23DF7" w:rsidRPr="00D23DF7" w:rsidRDefault="00D23DF7" w:rsidP="00D23DF7">
      <w:pPr>
        <w:pStyle w:val="Paragrafoelenco"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Trattamento sintomatico della 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D23DF7" w:rsidRPr="00D23DF7" w:rsidRDefault="00D23DF7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lastRenderedPageBreak/>
        <w:t>In associazione ad antibatterici in un appropriato regime terapeutico per l'eradicazione dell’</w:t>
      </w:r>
      <w:proofErr w:type="spellStart"/>
      <w:r w:rsidRPr="00D23DF7">
        <w:t>Helicobacter.</w:t>
      </w:r>
      <w:r w:rsidRPr="00D23DF7">
        <w:rPr>
          <w:i/>
          <w:iCs/>
        </w:rPr>
        <w:t>pylori</w:t>
      </w:r>
      <w:proofErr w:type="spellEnd"/>
      <w:r w:rsidRPr="00D23DF7">
        <w:rPr>
          <w:i/>
          <w:iCs/>
        </w:rPr>
        <w:t xml:space="preserve"> e</w:t>
      </w:r>
    </w:p>
    <w:p w:rsidR="00D23DF7" w:rsidRPr="00D23DF7" w:rsidRDefault="00D23DF7" w:rsidP="00D23DF7">
      <w:pPr>
        <w:pStyle w:val="Paragrafoelenco"/>
        <w:numPr>
          <w:ilvl w:val="0"/>
          <w:numId w:val="1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Guarigione dell'ulcera duodenale associata a </w:t>
      </w:r>
      <w:proofErr w:type="spellStart"/>
      <w:r w:rsidRPr="00D23DF7">
        <w:rPr>
          <w:i/>
          <w:iCs/>
        </w:rPr>
        <w:t>Helicobacter</w:t>
      </w:r>
      <w:proofErr w:type="spellEnd"/>
      <w:r w:rsidRPr="00D23DF7">
        <w:rPr>
          <w:i/>
          <w:iCs/>
        </w:rPr>
        <w:t xml:space="preserve"> </w:t>
      </w:r>
      <w:proofErr w:type="spellStart"/>
      <w:r w:rsidRPr="00D23DF7">
        <w:rPr>
          <w:i/>
          <w:iCs/>
        </w:rPr>
        <w:t>pylori</w:t>
      </w:r>
      <w:proofErr w:type="spellEnd"/>
      <w:r w:rsidRPr="00D23DF7">
        <w:rPr>
          <w:iCs/>
        </w:rPr>
        <w:t>;</w:t>
      </w:r>
    </w:p>
    <w:p w:rsidR="00D23DF7" w:rsidRPr="00D23DF7" w:rsidRDefault="00D23DF7" w:rsidP="00D23DF7">
      <w:pPr>
        <w:pStyle w:val="Paragrafoelenco"/>
        <w:numPr>
          <w:ilvl w:val="0"/>
          <w:numId w:val="14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Prevenzione delle recidive delle ulcere peptiche nei pazienti con ulcere associate </w:t>
      </w:r>
      <w:r w:rsidRPr="00D23DF7">
        <w:rPr>
          <w:i/>
          <w:iCs/>
        </w:rPr>
        <w:t xml:space="preserve">a </w:t>
      </w:r>
      <w:proofErr w:type="spellStart"/>
      <w:r w:rsidRPr="00D23DF7">
        <w:rPr>
          <w:i/>
          <w:iCs/>
        </w:rPr>
        <w:t>Helicobacter</w:t>
      </w:r>
      <w:proofErr w:type="spellEnd"/>
      <w:r w:rsidRPr="00D23DF7">
        <w:rPr>
          <w:iCs/>
        </w:rPr>
        <w:t xml:space="preserve"> </w:t>
      </w:r>
      <w:proofErr w:type="spellStart"/>
      <w:r w:rsidRPr="00D23DF7">
        <w:rPr>
          <w:i/>
          <w:iCs/>
        </w:rPr>
        <w:t>pylori</w:t>
      </w:r>
      <w:proofErr w:type="spellEnd"/>
      <w:r w:rsidRPr="00D23DF7">
        <w:t>.</w:t>
      </w:r>
    </w:p>
    <w:p w:rsidR="00D23DF7" w:rsidRPr="00D23DF7" w:rsidRDefault="00D23DF7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>Pazienti che richiedono un trattamento continuativo con FANS;</w:t>
      </w:r>
    </w:p>
    <w:p w:rsidR="00D23DF7" w:rsidRPr="00D23DF7" w:rsidRDefault="00D23DF7" w:rsidP="00D23DF7">
      <w:pPr>
        <w:pStyle w:val="Paragrafoelenco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Guarigione delle ulcere gastriche associate alla terapia con FANS.</w:t>
      </w:r>
    </w:p>
    <w:p w:rsidR="00D23DF7" w:rsidRPr="00D23DF7" w:rsidRDefault="00D23DF7" w:rsidP="00D23DF7">
      <w:pPr>
        <w:pStyle w:val="Paragrafoelenco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Prevenzione delle ulcere gastriche e duodenali associate alla terapia con FANS nei pazienti a rischio.</w:t>
      </w:r>
    </w:p>
    <w:p w:rsidR="00D23DF7" w:rsidRPr="00D23DF7" w:rsidRDefault="00D23DF7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Trattamento prolungato del </w:t>
      </w:r>
      <w:proofErr w:type="spellStart"/>
      <w:r w:rsidRPr="00D23DF7">
        <w:t>risanguinamento</w:t>
      </w:r>
      <w:proofErr w:type="spellEnd"/>
      <w:r w:rsidRPr="00D23DF7">
        <w:t xml:space="preserve"> delle ulcere peptiche, dopo prevenzione indotta dalla somministrazione endovenosa.</w:t>
      </w:r>
    </w:p>
    <w:p w:rsidR="00D23DF7" w:rsidRPr="00D23DF7" w:rsidRDefault="00D23DF7" w:rsidP="00D23DF7">
      <w:pPr>
        <w:pStyle w:val="Paragrafoelenco"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Trattamento della sindrome di </w:t>
      </w:r>
      <w:proofErr w:type="spellStart"/>
      <w:r w:rsidRPr="00D23DF7">
        <w:t>Zollinger-Ellison</w:t>
      </w:r>
      <w:proofErr w:type="spellEnd"/>
      <w:r w:rsidRPr="00D23DF7">
        <w:t>.</w:t>
      </w:r>
    </w:p>
    <w:p w:rsidR="00D23DF7" w:rsidRPr="00D23DF7" w:rsidRDefault="00D23DF7" w:rsidP="00D23DF7">
      <w:pPr>
        <w:pStyle w:val="Paragrafoelenco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r w:rsidRPr="00D23DF7">
        <w:t xml:space="preserve">negli </w:t>
      </w:r>
      <w:r w:rsidRPr="00D23DF7">
        <w:rPr>
          <w:bCs/>
        </w:rPr>
        <w:t>adolescenti (di età uguale o superiore ai 12 anni) per:</w:t>
      </w:r>
    </w:p>
    <w:p w:rsidR="00D23DF7" w:rsidRPr="00D23DF7" w:rsidRDefault="00D23DF7" w:rsidP="00D23DF7">
      <w:pPr>
        <w:pStyle w:val="Paragrafoelenco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</w:pPr>
      <w:r w:rsidRPr="00D23DF7">
        <w:t xml:space="preserve">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D23DF7" w:rsidRPr="00D23DF7" w:rsidRDefault="00D23DF7" w:rsidP="00D23DF7">
      <w:pPr>
        <w:pStyle w:val="Paragrafoelenco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Trattamento dell'esofagite da reflusso erosiva</w:t>
      </w:r>
    </w:p>
    <w:p w:rsidR="00D23DF7" w:rsidRPr="00D23DF7" w:rsidRDefault="00D23DF7" w:rsidP="00D23DF7">
      <w:pPr>
        <w:pStyle w:val="Paragrafoelenco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>Gestione a lungo termine per la prevenzione delle recidive nei pazienti con esofagite risolta</w:t>
      </w:r>
    </w:p>
    <w:p w:rsidR="00D23DF7" w:rsidRPr="00D23DF7" w:rsidRDefault="00D23DF7" w:rsidP="00D23DF7">
      <w:pPr>
        <w:pStyle w:val="Paragrafoelenco"/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</w:pPr>
      <w:r w:rsidRPr="00D23DF7">
        <w:t xml:space="preserve">Trattamento sintomatico della malattia da reflusso </w:t>
      </w:r>
      <w:proofErr w:type="spellStart"/>
      <w:r w:rsidRPr="00D23DF7">
        <w:t>gastroesofageo</w:t>
      </w:r>
      <w:proofErr w:type="spellEnd"/>
      <w:r w:rsidRPr="00D23DF7">
        <w:t xml:space="preserve"> (MRGE)</w:t>
      </w:r>
    </w:p>
    <w:p w:rsidR="00D23DF7" w:rsidRPr="00D23DF7" w:rsidRDefault="00D23DF7" w:rsidP="00D23DF7">
      <w:pPr>
        <w:pStyle w:val="Paragrafoelenco"/>
        <w:numPr>
          <w:ilvl w:val="0"/>
          <w:numId w:val="1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i/>
          <w:iCs/>
        </w:rPr>
      </w:pPr>
      <w:r w:rsidRPr="00D23DF7">
        <w:t xml:space="preserve">In associazione ad antibatterici nel trattamento dell’ulcera duodenale causata da </w:t>
      </w:r>
      <w:proofErr w:type="spellStart"/>
      <w:r w:rsidRPr="00D23DF7">
        <w:t>Helicobacter</w:t>
      </w:r>
      <w:proofErr w:type="spellEnd"/>
      <w:r w:rsidRPr="00D23DF7">
        <w:t xml:space="preserve"> </w:t>
      </w:r>
      <w:proofErr w:type="spellStart"/>
      <w:r w:rsidRPr="00D23DF7">
        <w:rPr>
          <w:i/>
          <w:iCs/>
        </w:rPr>
        <w:t>pylori</w:t>
      </w:r>
      <w:proofErr w:type="spellEnd"/>
      <w:r w:rsidRPr="00D23DF7">
        <w:rPr>
          <w:i/>
          <w:iCs/>
        </w:rPr>
        <w:t>.</w:t>
      </w:r>
    </w:p>
    <w:p w:rsidR="00D23DF7" w:rsidRPr="00EF6711" w:rsidRDefault="00D23DF7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6D6D08">
        <w:t>esomeprazolo</w:t>
      </w:r>
      <w:proofErr w:type="spellEnd"/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proofErr w:type="spellStart"/>
      <w:r w:rsidR="0066030D">
        <w:t>esomeprazolo</w:t>
      </w:r>
      <w:proofErr w:type="spellEnd"/>
      <w:r w:rsidR="0066030D">
        <w:t xml:space="preserve"> </w:t>
      </w:r>
      <w:r w:rsidR="0066030D" w:rsidRPr="006727BD">
        <w:t>è</w:t>
      </w:r>
      <w:r w:rsidRPr="006727BD">
        <w:rPr>
          <w:rFonts w:eastAsia="Calibri" w:cs="Calibri"/>
          <w:lang w:eastAsia="it-IT"/>
        </w:rPr>
        <w:t xml:space="preserve"> ben conosciuta.</w:t>
      </w:r>
      <w:r w:rsidRPr="006727BD">
        <w:t xml:space="preserve"> </w:t>
      </w:r>
      <w:proofErr w:type="spellStart"/>
      <w:r w:rsidR="006D6D08" w:rsidRPr="006D6D08">
        <w:t>Esomeprazolo</w:t>
      </w:r>
      <w:proofErr w:type="spellEnd"/>
      <w:r w:rsidR="006D6D08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D6D08" w:rsidRPr="006D6D08"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proofErr w:type="spellStart"/>
      <w:r w:rsidR="006D6D08">
        <w:t>Nexium</w:t>
      </w:r>
      <w:proofErr w:type="spellEnd"/>
      <w:r w:rsidRPr="006727BD">
        <w:t xml:space="preserve"> 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proofErr w:type="spellStart"/>
      <w:r w:rsidR="006D6D08" w:rsidRPr="006D6D08">
        <w:t>Esomeprazolo</w:t>
      </w:r>
      <w:proofErr w:type="spellEnd"/>
      <w:r w:rsidR="006D6D08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D6D08" w:rsidRPr="006D6D08">
        <w:t xml:space="preserve"> </w:t>
      </w:r>
      <w:r w:rsidR="00BE7CDB" w:rsidRPr="006727BD">
        <w:t xml:space="preserve">contiene un principio attivo noto e presente nel medicinale </w:t>
      </w:r>
      <w:r w:rsidR="006727BD">
        <w:t xml:space="preserve">di riferimento </w:t>
      </w:r>
      <w:proofErr w:type="spellStart"/>
      <w:r w:rsidR="006D6D08">
        <w:t>Nexium</w:t>
      </w:r>
      <w:proofErr w:type="spellEnd"/>
      <w:r w:rsidR="00BE7CDB" w:rsidRPr="006727BD">
        <w:t xml:space="preserve"> autorizzato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</w:t>
      </w:r>
      <w:r w:rsidR="0066030D">
        <w:t>due studi</w:t>
      </w:r>
      <w:r w:rsidRPr="009F5FC7">
        <w:t xml:space="preserve"> di bioequivalenza che ha</w:t>
      </w:r>
      <w:r w:rsidR="006D6D08">
        <w:t>nno</w:t>
      </w:r>
      <w:r w:rsidRPr="009F5FC7">
        <w:t xml:space="preserve"> confrontato i profili farmacocinetici di </w:t>
      </w:r>
      <w:proofErr w:type="spellStart"/>
      <w:r w:rsidR="006D6D08" w:rsidRPr="006D6D08">
        <w:t>Esomeprazolo</w:t>
      </w:r>
      <w:proofErr w:type="spellEnd"/>
      <w:r w:rsidR="006D6D08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6D6D08" w:rsidRPr="006D6D08">
        <w:t xml:space="preserve"> </w:t>
      </w:r>
      <w:r w:rsidRPr="009F5FC7">
        <w:t xml:space="preserve">e quelli del medicinale </w:t>
      </w:r>
      <w:r>
        <w:t xml:space="preserve">di riferimento </w:t>
      </w:r>
      <w:proofErr w:type="spellStart"/>
      <w:r w:rsidR="006D6D08">
        <w:t>Nexium</w:t>
      </w:r>
      <w:proofErr w:type="spellEnd"/>
      <w:r w:rsidR="006D6D08">
        <w:t xml:space="preserve">, </w:t>
      </w:r>
      <w:r w:rsidR="006D6D08" w:rsidRPr="00F07673">
        <w:t>sia in condizioni di digiuno che a stomaco pieno.</w:t>
      </w:r>
    </w:p>
    <w:p w:rsidR="005049A1" w:rsidRPr="009F5FC7" w:rsidRDefault="006D6D08" w:rsidP="005049A1">
      <w:pPr>
        <w:pStyle w:val="Paragrafoelenco"/>
        <w:spacing w:after="0" w:line="240" w:lineRule="auto"/>
        <w:ind w:left="0"/>
        <w:jc w:val="both"/>
      </w:pPr>
      <w:r>
        <w:t>Gli studi</w:t>
      </w:r>
      <w:r w:rsidR="005049A1" w:rsidRPr="009F5FC7">
        <w:t xml:space="preserve"> era</w:t>
      </w:r>
      <w:r>
        <w:t>no</w:t>
      </w:r>
      <w:r w:rsidR="005049A1" w:rsidRPr="009F5FC7">
        <w:t xml:space="preserve"> caratterizzat</w:t>
      </w:r>
      <w:r>
        <w:t>i</w:t>
      </w:r>
      <w:r w:rsidR="005049A1" w:rsidRPr="009F5FC7">
        <w:t xml:space="preserve"> da un appropriato disegno </w:t>
      </w:r>
      <w:r w:rsidR="0066030D" w:rsidRPr="009F5FC7">
        <w:t>e</w:t>
      </w:r>
      <w:r w:rsidR="005049A1" w:rsidRPr="009F5FC7">
        <w:t xml:space="preserve"> </w:t>
      </w:r>
      <w:r>
        <w:t>sono</w:t>
      </w:r>
      <w:r w:rsidR="005049A1" w:rsidRPr="009F5FC7">
        <w:t xml:space="preserve"> stat</w:t>
      </w:r>
      <w:r>
        <w:t>i</w:t>
      </w:r>
      <w:r w:rsidR="005049A1" w:rsidRPr="009F5FC7">
        <w:t xml:space="preserve"> condott</w:t>
      </w:r>
      <w:r>
        <w:t>i</w:t>
      </w:r>
      <w:r w:rsidR="005049A1" w:rsidRPr="009F5FC7">
        <w:t xml:space="preserve">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Pr="00333936">
        <w:t xml:space="preserve">maggiore </w:t>
      </w:r>
      <w:r w:rsidR="006D6D08">
        <w:t>40</w:t>
      </w:r>
      <w:r w:rsidRPr="00333936">
        <w:t xml:space="preserve"> mg per </w:t>
      </w:r>
      <w:r w:rsidR="006D6D08">
        <w:t>gli</w:t>
      </w:r>
      <w:r w:rsidRPr="00333936">
        <w:t xml:space="preserve"> studi di bioequivalenza </w:t>
      </w:r>
      <w:r w:rsidR="006D6D08">
        <w:t>è</w:t>
      </w:r>
      <w:r w:rsidRPr="00333936">
        <w:t xml:space="preserve"> st</w:t>
      </w:r>
      <w:r w:rsidR="006D6D08">
        <w:t>ato opportunamente giustificato</w:t>
      </w:r>
      <w:r>
        <w:t>.</w:t>
      </w:r>
    </w:p>
    <w:p w:rsidR="005049A1" w:rsidRPr="005D5D07" w:rsidRDefault="006D6D08" w:rsidP="005049A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>Gli studi</w:t>
      </w:r>
      <w:r w:rsidR="005049A1" w:rsidRPr="007469AE">
        <w:rPr>
          <w:rFonts w:ascii="Calibri" w:hAnsi="Calibri"/>
        </w:rPr>
        <w:t xml:space="preserve"> di bioequivalenza </w:t>
      </w:r>
      <w:r w:rsidR="0066030D">
        <w:rPr>
          <w:rFonts w:ascii="Calibri" w:hAnsi="Calibri"/>
        </w:rPr>
        <w:t>sono</w:t>
      </w:r>
      <w:r w:rsidR="0066030D" w:rsidRPr="007469AE">
        <w:rPr>
          <w:rFonts w:ascii="Calibri" w:hAnsi="Calibri"/>
        </w:rPr>
        <w:t xml:space="preserve"> </w:t>
      </w:r>
      <w:r w:rsidR="0066030D">
        <w:rPr>
          <w:rFonts w:ascii="Calibri" w:hAnsi="Calibri"/>
        </w:rPr>
        <w:t>studi</w:t>
      </w:r>
      <w:r w:rsidR="005049A1">
        <w:rPr>
          <w:rFonts w:ascii="Calibri" w:hAnsi="Calibri"/>
        </w:rPr>
        <w:t xml:space="preserve"> </w:t>
      </w:r>
      <w:r w:rsidR="005049A1" w:rsidRPr="005D5D07">
        <w:rPr>
          <w:rFonts w:ascii="Calibri" w:hAnsi="Calibri"/>
        </w:rPr>
        <w:t>comparativ</w:t>
      </w:r>
      <w:r>
        <w:rPr>
          <w:rFonts w:ascii="Calibri" w:hAnsi="Calibri"/>
        </w:rPr>
        <w:t>i</w:t>
      </w:r>
      <w:r w:rsidR="005049A1" w:rsidRPr="005D5D07">
        <w:rPr>
          <w:rFonts w:ascii="Calibri" w:hAnsi="Calibri"/>
        </w:rPr>
        <w:t>, randomizzat</w:t>
      </w:r>
      <w:r>
        <w:rPr>
          <w:rFonts w:ascii="Calibri" w:hAnsi="Calibri"/>
        </w:rPr>
        <w:t>i</w:t>
      </w:r>
      <w:r w:rsidR="005049A1" w:rsidRPr="005D5D07">
        <w:rPr>
          <w:rFonts w:ascii="Calibri" w:hAnsi="Calibri"/>
        </w:rPr>
        <w:t xml:space="preserve">, a dose singola, </w:t>
      </w:r>
      <w:r>
        <w:rPr>
          <w:rFonts w:ascii="Calibri" w:hAnsi="Calibri"/>
        </w:rPr>
        <w:t xml:space="preserve">in replicato, </w:t>
      </w:r>
      <w:r w:rsidR="004819F1">
        <w:rPr>
          <w:rFonts w:ascii="Calibri" w:hAnsi="Calibri"/>
        </w:rPr>
        <w:t>4</w:t>
      </w:r>
      <w:r w:rsidR="005049A1" w:rsidRPr="005D5D07">
        <w:rPr>
          <w:rFonts w:ascii="Calibri" w:hAnsi="Calibri"/>
        </w:rPr>
        <w:t xml:space="preserve">-periodi, </w:t>
      </w:r>
      <w:r w:rsidR="005049A1" w:rsidRPr="00F36FEA">
        <w:rPr>
          <w:rFonts w:ascii="Calibri" w:hAnsi="Calibri"/>
        </w:rPr>
        <w:t>crossover condott</w:t>
      </w:r>
      <w:r w:rsidR="004819F1">
        <w:rPr>
          <w:rFonts w:ascii="Calibri" w:hAnsi="Calibri"/>
        </w:rPr>
        <w:t>i</w:t>
      </w:r>
      <w:r w:rsidR="005049A1" w:rsidRPr="00F36FEA">
        <w:rPr>
          <w:rFonts w:ascii="Calibri" w:hAnsi="Calibri"/>
        </w:rPr>
        <w:t xml:space="preserve"> in </w:t>
      </w:r>
      <w:r w:rsidR="004819F1">
        <w:rPr>
          <w:rFonts w:ascii="Calibri" w:hAnsi="Calibri"/>
        </w:rPr>
        <w:t>48</w:t>
      </w:r>
      <w:r w:rsidR="005049A1" w:rsidRPr="00F36FEA">
        <w:rPr>
          <w:rFonts w:ascii="Calibri" w:hAnsi="Calibri"/>
        </w:rPr>
        <w:t xml:space="preserve"> volontari sani di sess</w:t>
      </w:r>
      <w:r w:rsidR="005049A1">
        <w:rPr>
          <w:rFonts w:ascii="Calibri" w:hAnsi="Calibri"/>
        </w:rPr>
        <w:t>o maschile</w:t>
      </w:r>
      <w:r w:rsidR="005049A1" w:rsidRPr="00F36FEA">
        <w:rPr>
          <w:rFonts w:ascii="Calibri" w:hAnsi="Calibri"/>
        </w:rPr>
        <w:t xml:space="preserve"> con somministrazione a digiuno</w:t>
      </w:r>
      <w:r w:rsidR="004819F1">
        <w:rPr>
          <w:rFonts w:ascii="Calibri" w:hAnsi="Calibri"/>
        </w:rPr>
        <w:t xml:space="preserve"> o a stomaco pieno</w:t>
      </w:r>
      <w:r w:rsidR="005049A1" w:rsidRPr="00F36FEA">
        <w:rPr>
          <w:rFonts w:ascii="Calibri" w:hAnsi="Calibri"/>
        </w:rPr>
        <w:t xml:space="preserve">. </w:t>
      </w:r>
      <w:r w:rsidR="005049A1" w:rsidRPr="00F36FEA">
        <w:rPr>
          <w:rFonts w:ascii="Calibri" w:hAnsi="Calibri" w:cs="Arial"/>
        </w:rPr>
        <w:t xml:space="preserve">Dopo una notte di digiuno, il medicinale è stato somministrato con acqua. </w:t>
      </w:r>
      <w:r w:rsidR="005049A1" w:rsidRPr="00F36FEA">
        <w:rPr>
          <w:rFonts w:ascii="Calibri" w:hAnsi="Calibri"/>
        </w:rPr>
        <w:t xml:space="preserve">Un soddisfacente periodo di wash-out di </w:t>
      </w:r>
      <w:r w:rsidR="004819F1">
        <w:rPr>
          <w:rFonts w:ascii="Calibri" w:hAnsi="Calibri" w:cs="Arial"/>
        </w:rPr>
        <w:t>7</w:t>
      </w:r>
      <w:r w:rsidR="005049A1"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7156D1" w:rsidP="005049A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Nei due studi di bioequivalenza, c</w:t>
      </w:r>
      <w:r w:rsidR="005049A1" w:rsidRPr="009F5FC7">
        <w:rPr>
          <w:rFonts w:ascii="Calibri" w:hAnsi="Calibri" w:cs="Arial"/>
        </w:rPr>
        <w:t>ampioni di sangue sono stati prelevati al tempo zero (</w:t>
      </w:r>
      <w:proofErr w:type="spellStart"/>
      <w:r w:rsidR="005049A1" w:rsidRPr="009F5FC7">
        <w:rPr>
          <w:rFonts w:ascii="Calibri" w:hAnsi="Calibri" w:cs="Arial"/>
        </w:rPr>
        <w:t>pre-dose</w:t>
      </w:r>
      <w:proofErr w:type="spellEnd"/>
      <w:r w:rsidR="005049A1" w:rsidRPr="009F5FC7">
        <w:rPr>
          <w:rFonts w:ascii="Calibri" w:hAnsi="Calibri" w:cs="Arial"/>
        </w:rPr>
        <w:t xml:space="preserve">) e a specificati tempi fino a </w:t>
      </w:r>
      <w:r>
        <w:rPr>
          <w:rFonts w:ascii="Calibri" w:hAnsi="Calibri" w:cs="Arial"/>
        </w:rPr>
        <w:t xml:space="preserve">16 o 24 </w:t>
      </w:r>
      <w:r w:rsidR="005049A1" w:rsidRPr="009F5FC7">
        <w:rPr>
          <w:rFonts w:ascii="Calibri" w:hAnsi="Calibri" w:cs="Arial"/>
        </w:rPr>
        <w:t>ore dopo la somministrazione</w:t>
      </w:r>
      <w:r>
        <w:rPr>
          <w:rFonts w:ascii="Calibri" w:hAnsi="Calibri" w:cs="Arial"/>
        </w:rPr>
        <w:t>, rispettivamente</w:t>
      </w:r>
      <w:r w:rsidR="005049A1" w:rsidRPr="009F5FC7">
        <w:rPr>
          <w:rFonts w:ascii="Calibri" w:hAnsi="Calibri" w:cs="Arial"/>
        </w:rPr>
        <w:t xml:space="preserve">. I livelli plasmatici di </w:t>
      </w:r>
      <w:proofErr w:type="spellStart"/>
      <w:r>
        <w:rPr>
          <w:rFonts w:ascii="Calibri" w:hAnsi="Calibri" w:cs="Arial"/>
        </w:rPr>
        <w:t>esomeropazolo</w:t>
      </w:r>
      <w:proofErr w:type="spellEnd"/>
      <w:r w:rsidR="005049A1" w:rsidRPr="009F5FC7">
        <w:rPr>
          <w:rFonts w:ascii="Calibri" w:hAnsi="Calibri" w:cs="Arial"/>
        </w:rPr>
        <w:t xml:space="preserve"> sono stati determinati mediante un metodo analitico</w:t>
      </w:r>
      <w:r w:rsidRPr="007156D1">
        <w:rPr>
          <w:bCs/>
        </w:rPr>
        <w:t xml:space="preserve"> </w:t>
      </w:r>
      <w:r w:rsidRPr="002F50AB">
        <w:rPr>
          <w:rFonts w:ascii="Calibri" w:eastAsia="Calibri" w:hAnsi="Calibri" w:cs="Times New Roman"/>
          <w:bCs/>
        </w:rPr>
        <w:t xml:space="preserve">LC/MS/MS </w:t>
      </w:r>
      <w:r w:rsidR="005049A1" w:rsidRPr="009F5FC7">
        <w:rPr>
          <w:rFonts w:ascii="Calibri" w:hAnsi="Calibri" w:cs="Arial"/>
        </w:rPr>
        <w:t>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 w:rsidR="006406D4">
        <w:rPr>
          <w:rFonts w:ascii="Calibri" w:hAnsi="Calibri" w:cs="Arial"/>
        </w:rPr>
        <w:t>e</w:t>
      </w:r>
      <w:r w:rsidR="0066030D">
        <w:rPr>
          <w:rFonts w:ascii="Calibri" w:hAnsi="Calibri" w:cs="Arial"/>
        </w:rPr>
        <w:t>someprazolo</w:t>
      </w:r>
      <w:proofErr w:type="spellEnd"/>
      <w:r w:rsidR="0066030D" w:rsidRPr="009F5FC7">
        <w:rPr>
          <w:rFonts w:ascii="Calibri" w:hAnsi="Calibri" w:cs="Arial"/>
        </w:rPr>
        <w:t xml:space="preserve"> </w:t>
      </w:r>
      <w:r w:rsidR="0066030D">
        <w:rPr>
          <w:rFonts w:ascii="Calibri" w:hAnsi="Calibri" w:cs="Arial"/>
        </w:rPr>
        <w:t>sono</w:t>
      </w:r>
      <w:r>
        <w:rPr>
          <w:rFonts w:ascii="Calibri" w:hAnsi="Calibri" w:cs="Arial"/>
        </w:rPr>
        <w:t xml:space="preserve">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 xml:space="preserve">,,  cadono nel </w:t>
      </w:r>
      <w:proofErr w:type="spellStart"/>
      <w:r w:rsidRPr="009F5FC7">
        <w:rPr>
          <w:rFonts w:ascii="Calibri" w:hAnsi="Calibri" w:cs="Arial"/>
        </w:rPr>
        <w:t>range</w:t>
      </w:r>
      <w:proofErr w:type="spellEnd"/>
      <w:r w:rsidRPr="009F5FC7">
        <w:rPr>
          <w:rFonts w:ascii="Calibri" w:hAnsi="Calibri" w:cs="Arial"/>
        </w:rPr>
        <w:t xml:space="preserve"> di accettabilità di 0.80-1.25 (80%-125%).</w:t>
      </w:r>
    </w:p>
    <w:p w:rsidR="006406D4" w:rsidRPr="009F5FC7" w:rsidRDefault="006406D4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lastRenderedPageBreak/>
        <w:t>Risultati</w:t>
      </w:r>
    </w:p>
    <w:p w:rsidR="005049A1" w:rsidRPr="009F5FC7" w:rsidRDefault="0066030D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48 </w:t>
      </w:r>
      <w:r w:rsidRPr="009F5FC7">
        <w:rPr>
          <w:rFonts w:ascii="Calibri" w:hAnsi="Calibri" w:cs="Arial"/>
        </w:rPr>
        <w:t>volontari</w:t>
      </w:r>
      <w:r w:rsidR="005049A1" w:rsidRPr="009F5FC7">
        <w:rPr>
          <w:rFonts w:ascii="Calibri" w:hAnsi="Calibri" w:cs="Arial"/>
        </w:rPr>
        <w:t xml:space="preserve"> sani sono stati arruolati </w:t>
      </w:r>
      <w:r w:rsidR="007156D1">
        <w:rPr>
          <w:rFonts w:ascii="Calibri" w:hAnsi="Calibri" w:cs="Arial"/>
        </w:rPr>
        <w:t>in ciascuno dei due studi di bioequivalenza</w:t>
      </w:r>
      <w:r w:rsidR="005049A1" w:rsidRPr="009F5FC7">
        <w:rPr>
          <w:rFonts w:ascii="Calibri" w:hAnsi="Calibri" w:cs="Arial"/>
        </w:rPr>
        <w:t xml:space="preserve">. </w:t>
      </w:r>
      <w:r w:rsidR="00B55C5D">
        <w:rPr>
          <w:rFonts w:ascii="Calibri" w:hAnsi="Calibri" w:cs="Arial"/>
        </w:rPr>
        <w:t xml:space="preserve">47 soggetti nello studio condotto in condizioni di </w:t>
      </w:r>
      <w:r>
        <w:rPr>
          <w:rFonts w:ascii="Calibri" w:hAnsi="Calibri" w:cs="Arial"/>
        </w:rPr>
        <w:t>digiuno e</w:t>
      </w:r>
      <w:r w:rsidR="00B55C5D">
        <w:rPr>
          <w:rFonts w:ascii="Calibri" w:hAnsi="Calibri" w:cs="Arial"/>
        </w:rPr>
        <w:t xml:space="preserve"> 46 </w:t>
      </w:r>
      <w:r w:rsidR="005049A1" w:rsidRPr="009F5FC7">
        <w:rPr>
          <w:rFonts w:ascii="Calibri" w:hAnsi="Calibri" w:cs="Arial"/>
        </w:rPr>
        <w:t>soggetti</w:t>
      </w:r>
      <w:r w:rsidR="00B55C5D">
        <w:rPr>
          <w:rFonts w:ascii="Calibri" w:hAnsi="Calibri" w:cs="Arial"/>
        </w:rPr>
        <w:t xml:space="preserve"> nello studio condotto a stomaco pieno</w:t>
      </w:r>
      <w:r w:rsidR="005049A1" w:rsidRPr="009F5FC7">
        <w:rPr>
          <w:rFonts w:ascii="Calibri" w:hAnsi="Calibri" w:cs="Arial"/>
        </w:rPr>
        <w:t xml:space="preserve"> </w:t>
      </w:r>
      <w:r w:rsidR="005049A1" w:rsidRPr="009F5FC7">
        <w:t xml:space="preserve">hanno completato la fase </w:t>
      </w:r>
      <w:r w:rsidRPr="009F5FC7">
        <w:t>clinica</w:t>
      </w:r>
      <w:r>
        <w:t xml:space="preserve"> </w:t>
      </w:r>
      <w:r w:rsidRPr="009F5FC7">
        <w:t>e</w:t>
      </w:r>
      <w:r w:rsidR="005049A1" w:rsidRPr="009F5FC7">
        <w:t xml:space="preserve">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49A1" w:rsidRDefault="005049A1" w:rsidP="00D23DF7">
      <w:pPr>
        <w:autoSpaceDE w:val="0"/>
        <w:autoSpaceDN w:val="0"/>
        <w:adjustRightInd w:val="0"/>
        <w:spacing w:after="0" w:line="240" w:lineRule="auto"/>
        <w:jc w:val="both"/>
      </w:pPr>
      <w:r w:rsidRPr="009F5FC7">
        <w:rPr>
          <w:rFonts w:ascii="Calibri" w:hAnsi="Calibri" w:cs="Arial"/>
        </w:rPr>
        <w:t>Nel corso dello studio</w:t>
      </w:r>
      <w:r w:rsidR="00B55C5D">
        <w:rPr>
          <w:rFonts w:ascii="Calibri" w:hAnsi="Calibri" w:cs="Arial"/>
        </w:rPr>
        <w:t xml:space="preserve"> in condizioni di digiuno</w:t>
      </w:r>
      <w:r w:rsidRPr="009F5FC7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si sono manifestati </w:t>
      </w:r>
      <w:r w:rsidR="00B55C5D">
        <w:t xml:space="preserve">3 </w:t>
      </w:r>
      <w:r>
        <w:t>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B55C5D">
        <w:rPr>
          <w:rFonts w:ascii="Calibri" w:hAnsi="Calibri" w:cs="Arial"/>
        </w:rPr>
        <w:t xml:space="preserve">3 </w:t>
      </w:r>
      <w:r>
        <w:rPr>
          <w:rFonts w:ascii="Calibri" w:hAnsi="Calibri" w:cs="Arial"/>
        </w:rPr>
        <w:t>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>
        <w:rPr>
          <w:rFonts w:ascii="Calibri" w:hAnsi="Calibri" w:cs="Arial"/>
        </w:rPr>
        <w:t xml:space="preserve"> </w:t>
      </w:r>
      <w:r w:rsidR="00B55C5D">
        <w:rPr>
          <w:rFonts w:ascii="Calibri" w:hAnsi="Calibri" w:cs="Arial"/>
        </w:rPr>
        <w:t>sono</w:t>
      </w:r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stat</w:t>
      </w:r>
      <w:r w:rsidR="00B55C5D">
        <w:rPr>
          <w:rFonts w:ascii="Calibri" w:hAnsi="Calibri" w:cs="Arial"/>
        </w:rPr>
        <w:t>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B55C5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</w:t>
      </w:r>
      <w:r w:rsidR="00B55C5D">
        <w:t xml:space="preserve">nausea e vertigini. </w:t>
      </w:r>
      <w:r>
        <w:t xml:space="preserve"> </w:t>
      </w:r>
    </w:p>
    <w:p w:rsidR="00B55C5D" w:rsidRDefault="00B55C5D" w:rsidP="00D23DF7">
      <w:pPr>
        <w:autoSpaceDE w:val="0"/>
        <w:autoSpaceDN w:val="0"/>
        <w:adjustRightInd w:val="0"/>
        <w:spacing w:after="0" w:line="240" w:lineRule="auto"/>
        <w:jc w:val="both"/>
      </w:pPr>
      <w:r w:rsidRPr="009F5FC7">
        <w:rPr>
          <w:rFonts w:ascii="Calibri" w:hAnsi="Calibri" w:cs="Arial"/>
        </w:rPr>
        <w:t>Nel corso dello studio</w:t>
      </w:r>
      <w:r w:rsidRPr="00B55C5D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condotto a stomaco pieno</w:t>
      </w:r>
      <w:r w:rsidRPr="009F5FC7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si sono manifestati </w:t>
      </w:r>
      <w:r>
        <w:t>6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6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stati </w:t>
      </w:r>
      <w:r w:rsidRPr="009F5FC7">
        <w:rPr>
          <w:rFonts w:ascii="Calibri" w:hAnsi="Calibri" w:cs="Arial"/>
        </w:rPr>
        <w:t>riscontrat</w:t>
      </w:r>
      <w:r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elevati livelli di SGOT e SGPT e mal di testa</w:t>
      </w:r>
      <w:r>
        <w:t xml:space="preserve">.  </w:t>
      </w:r>
    </w:p>
    <w:p w:rsidR="00B55C5D" w:rsidRPr="009F5FC7" w:rsidRDefault="00B55C5D" w:rsidP="00D23D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</w:p>
    <w:p w:rsidR="005049A1" w:rsidRPr="009F5FC7" w:rsidRDefault="005049A1" w:rsidP="00D23DF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Default="005049A1" w:rsidP="00D23DF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D23DF7" w:rsidRPr="00D23DF7" w:rsidRDefault="00D23DF7" w:rsidP="00D23DF7">
      <w:pPr>
        <w:spacing w:after="0" w:line="240" w:lineRule="auto"/>
      </w:pPr>
    </w:p>
    <w:tbl>
      <w:tblPr>
        <w:tblW w:w="7262" w:type="dxa"/>
        <w:jc w:val="center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7"/>
        <w:gridCol w:w="12"/>
        <w:gridCol w:w="1609"/>
        <w:gridCol w:w="1612"/>
        <w:gridCol w:w="10"/>
        <w:gridCol w:w="1253"/>
        <w:gridCol w:w="1260"/>
        <w:gridCol w:w="9"/>
      </w:tblGrid>
      <w:tr w:rsidR="00B55C5D" w:rsidRPr="002361B9" w:rsidTr="006406D4">
        <w:trPr>
          <w:gridAfter w:val="1"/>
          <w:wAfter w:w="9" w:type="dxa"/>
          <w:trHeight w:val="230"/>
          <w:jc w:val="center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Esomeprazolo</w:t>
            </w:r>
            <w:proofErr w:type="spellEnd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55C5D" w:rsidRPr="002361B9" w:rsidTr="006406D4">
        <w:trPr>
          <w:gridAfter w:val="1"/>
          <w:wAfter w:w="9" w:type="dxa"/>
          <w:jc w:val="center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Studio </w:t>
            </w:r>
            <w:r w:rsidR="00BB4FB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in </w:t>
            </w:r>
            <w:r w:rsidRPr="006E26B6">
              <w:rPr>
                <w:b/>
                <w:bCs/>
                <w:sz w:val="20"/>
                <w:szCs w:val="20"/>
              </w:rPr>
              <w:t>condizione di digiuno</w:t>
            </w:r>
          </w:p>
        </w:tc>
      </w:tr>
      <w:tr w:rsidR="00B55C5D" w:rsidRPr="002361B9" w:rsidTr="006406D4">
        <w:trPr>
          <w:gridAfter w:val="1"/>
          <w:wAfter w:w="9" w:type="dxa"/>
          <w:trHeight w:val="194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6E26B6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6E26B6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6E26B6">
              <w:rPr>
                <w:b/>
                <w:bCs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T/R </w:t>
            </w:r>
            <w:proofErr w:type="spellStart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ind w:left="102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90% C.I.</w:t>
            </w:r>
          </w:p>
        </w:tc>
      </w:tr>
      <w:tr w:rsidR="00B55C5D" w:rsidRPr="002361B9" w:rsidTr="006406D4">
        <w:trPr>
          <w:gridAfter w:val="1"/>
          <w:wAfter w:w="9" w:type="dxa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6E26B6" w:rsidRDefault="006E26B6" w:rsidP="00D23DF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b/>
                <w:bCs/>
                <w:sz w:val="20"/>
                <w:szCs w:val="20"/>
              </w:rPr>
              <w:t xml:space="preserve"> </w:t>
            </w:r>
            <w:r w:rsidR="00B55C5D"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AUC0-t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4744.64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4670.62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101.58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6E26B6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bCs/>
                <w:sz w:val="20"/>
                <w:szCs w:val="20"/>
              </w:rPr>
              <w:t xml:space="preserve"> </w:t>
            </w:r>
            <w:r w:rsidR="00B55C5D"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97.16 - 106.21</w:t>
            </w:r>
          </w:p>
        </w:tc>
      </w:tr>
      <w:tr w:rsidR="00B55C5D" w:rsidRPr="002361B9" w:rsidTr="006406D4">
        <w:trPr>
          <w:gridAfter w:val="1"/>
          <w:wAfter w:w="9" w:type="dxa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6E26B6" w:rsidRDefault="00B55C5D" w:rsidP="00D23DF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AUC0-∞</w:t>
            </w:r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4784.82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4712.21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101.54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97.14 - 106.15</w:t>
            </w:r>
          </w:p>
        </w:tc>
      </w:tr>
      <w:tr w:rsidR="00B55C5D" w:rsidRPr="002361B9" w:rsidTr="006406D4">
        <w:trPr>
          <w:gridAfter w:val="1"/>
          <w:wAfter w:w="9" w:type="dxa"/>
          <w:jc w:val="center"/>
        </w:trPr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6E26B6" w:rsidRDefault="00B55C5D" w:rsidP="00D23DF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1672.97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1539.51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108.67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6E26B6" w:rsidP="00D23DF7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104.47 -</w:t>
            </w:r>
            <w:r w:rsidR="00B55C5D"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113.04</w:t>
            </w:r>
          </w:p>
        </w:tc>
      </w:tr>
      <w:tr w:rsidR="00B55C5D" w:rsidRPr="002361B9" w:rsidTr="006406D4">
        <w:trPr>
          <w:jc w:val="center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bottom"/>
            <w:hideMark/>
          </w:tcPr>
          <w:p w:rsidR="00B55C5D" w:rsidRPr="006E26B6" w:rsidRDefault="0066030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Studio </w:t>
            </w:r>
            <w:r w:rsidRPr="006E26B6">
              <w:rPr>
                <w:b/>
                <w:bCs/>
                <w:sz w:val="20"/>
                <w:szCs w:val="20"/>
              </w:rPr>
              <w:t>a</w:t>
            </w:r>
            <w:r w:rsidR="00B55C5D" w:rsidRPr="006E26B6">
              <w:rPr>
                <w:b/>
                <w:bCs/>
                <w:sz w:val="20"/>
                <w:szCs w:val="20"/>
              </w:rPr>
              <w:t xml:space="preserve"> stomaco pieno</w:t>
            </w:r>
          </w:p>
        </w:tc>
      </w:tr>
      <w:tr w:rsidR="00B55C5D" w:rsidRPr="002361B9" w:rsidTr="006406D4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T/R </w:t>
            </w:r>
            <w:proofErr w:type="spellStart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90% C.I.</w:t>
            </w:r>
          </w:p>
        </w:tc>
      </w:tr>
      <w:tr w:rsidR="00B55C5D" w:rsidRPr="002361B9" w:rsidTr="006406D4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6E26B6" w:rsidRDefault="00B55C5D" w:rsidP="00D23DF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AUC0-t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4233.87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4170.10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101.53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96.49-106.83</w:t>
            </w:r>
          </w:p>
        </w:tc>
      </w:tr>
      <w:tr w:rsidR="00B55C5D" w:rsidRPr="002361B9" w:rsidTr="006406D4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6E26B6" w:rsidRDefault="00B55C5D" w:rsidP="00D23DF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AUC0-∞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4308.98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4210.66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102.34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97.2 – 107.74</w:t>
            </w:r>
          </w:p>
        </w:tc>
      </w:tr>
      <w:tr w:rsidR="00B55C5D" w:rsidRPr="002361B9" w:rsidTr="006406D4">
        <w:trPr>
          <w:jc w:val="center"/>
        </w:trPr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C5D" w:rsidRPr="006E26B6" w:rsidRDefault="00B55C5D" w:rsidP="00D23DF7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6E26B6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1060.10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1205.70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87.92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55C5D" w:rsidRPr="006E26B6" w:rsidRDefault="00B55C5D" w:rsidP="00D23DF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6E26B6">
              <w:rPr>
                <w:rFonts w:ascii="Calibri" w:eastAsia="Calibri" w:hAnsi="Calibri" w:cs="Times New Roman"/>
                <w:bCs/>
                <w:sz w:val="20"/>
                <w:szCs w:val="20"/>
              </w:rPr>
              <w:t>82.07 - 94.19</w:t>
            </w:r>
          </w:p>
        </w:tc>
      </w:tr>
    </w:tbl>
    <w:p w:rsidR="005049A1" w:rsidRDefault="005049A1" w:rsidP="00D23DF7">
      <w:pPr>
        <w:spacing w:after="0" w:line="240" w:lineRule="auto"/>
        <w:rPr>
          <w:rFonts w:cs="Arial"/>
          <w:i/>
        </w:rPr>
      </w:pPr>
    </w:p>
    <w:p w:rsidR="005049A1" w:rsidRPr="009F5FC7" w:rsidRDefault="005049A1" w:rsidP="00D23DF7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D23DF7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5049A1" w:rsidRPr="009F5FC7" w:rsidRDefault="005049A1" w:rsidP="00D23DF7">
      <w:pPr>
        <w:spacing w:after="0" w:line="240" w:lineRule="auto"/>
        <w:jc w:val="both"/>
        <w:rPr>
          <w:rFonts w:cs="Arial"/>
        </w:rPr>
      </w:pPr>
    </w:p>
    <w:p w:rsidR="004E5A39" w:rsidRPr="00EF6711" w:rsidRDefault="004E5A39" w:rsidP="00D23DF7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4E5A39" w:rsidRPr="00EF6711" w:rsidRDefault="0066030D" w:rsidP="00D23DF7">
      <w:pPr>
        <w:pStyle w:val="Paragrafoelenco"/>
        <w:spacing w:after="0" w:line="240" w:lineRule="auto"/>
        <w:ind w:left="0"/>
        <w:jc w:val="both"/>
      </w:pPr>
      <w:r w:rsidRPr="00EF6711"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C2AD6" w:rsidRPr="006D6D08">
        <w:t>Esomeprazolo</w:t>
      </w:r>
      <w:proofErr w:type="spellEnd"/>
      <w:r w:rsidR="00CC2AD6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CC2AD6">
        <w:t>.</w:t>
      </w:r>
    </w:p>
    <w:p w:rsidR="00265B61" w:rsidRDefault="00265B61" w:rsidP="00D23DF7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D23DF7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D23DF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265B61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problemi epatici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encefalopatia in pazienti con patologie epatiche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infezioni gastrointestinali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reazioni cutanee gravi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-reazioni di ipersensibilità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-ipomagnesiemia</w:t>
            </w:r>
            <w:proofErr w:type="spellEnd"/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-frattura di anca, polso e colonna vertebrale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- interazioni con i seguenti farmaci: </w:t>
            </w:r>
            <w:proofErr w:type="spellStart"/>
            <w:r>
              <w:rPr>
                <w:sz w:val="20"/>
              </w:rPr>
              <w:t>warfarin</w:t>
            </w:r>
            <w:proofErr w:type="spellEnd"/>
            <w:r>
              <w:rPr>
                <w:sz w:val="20"/>
              </w:rPr>
              <w:t xml:space="preserve"> e altri derivati </w:t>
            </w:r>
            <w:proofErr w:type="spellStart"/>
            <w:r>
              <w:rPr>
                <w:sz w:val="20"/>
              </w:rPr>
              <w:t>cumarinici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atazanavir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nalfinavir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fenitoina</w:t>
            </w:r>
            <w:proofErr w:type="spellEnd"/>
            <w:r>
              <w:rPr>
                <w:sz w:val="20"/>
              </w:rPr>
              <w:t xml:space="preserve">, digossina, </w:t>
            </w:r>
            <w:proofErr w:type="spellStart"/>
            <w:r>
              <w:rPr>
                <w:sz w:val="20"/>
              </w:rPr>
              <w:t>metotressato</w:t>
            </w:r>
            <w:proofErr w:type="spellEnd"/>
            <w:r>
              <w:rPr>
                <w:sz w:val="20"/>
              </w:rPr>
              <w:t>,</w:t>
            </w:r>
            <w:proofErr w:type="spellStart"/>
            <w:r>
              <w:rPr>
                <w:sz w:val="20"/>
              </w:rPr>
              <w:t>tacrolimus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clopidogrel</w:t>
            </w:r>
            <w:proofErr w:type="spellEnd"/>
            <w:r>
              <w:rPr>
                <w:sz w:val="20"/>
              </w:rPr>
              <w:t>.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agranulocitosi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-depressione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-nefrite interstiziale</w:t>
            </w:r>
          </w:p>
          <w:p w:rsidR="00CB73AB" w:rsidRPr="00BE7CD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infezioni gastrointestinali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D23DF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65B61" w:rsidRDefault="00CB73AB" w:rsidP="00D23DF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- aumento del rischio di infezioni polmonari</w:t>
            </w:r>
          </w:p>
          <w:p w:rsidR="00CB73AB" w:rsidRPr="00BE7CDB" w:rsidRDefault="00CB73AB" w:rsidP="00D23DF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- convulsioni/ crisi convulsive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D23DF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61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-uso negli adolescenti di età inferiore a 12 anni di età</w:t>
            </w:r>
          </w:p>
          <w:p w:rsidR="00CB73A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- uso in gravidanza e durante l’allattamento</w:t>
            </w:r>
          </w:p>
          <w:p w:rsidR="00CB73AB" w:rsidRPr="00BE7CDB" w:rsidRDefault="00CB73AB" w:rsidP="00D23DF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uso in pazienti con compromissione renale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Azioni </w:t>
      </w:r>
      <w:proofErr w:type="spellStart"/>
      <w:r w:rsidRPr="00EF6711">
        <w:t>routinarie</w:t>
      </w:r>
      <w:proofErr w:type="spellEnd"/>
      <w:r w:rsidRPr="00EF6711">
        <w:t xml:space="preserve">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CC2AD6" w:rsidRPr="006D6D08">
        <w:t>Esomeprazolo</w:t>
      </w:r>
      <w:proofErr w:type="spellEnd"/>
      <w:r w:rsidR="00CC2AD6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B74130" w:rsidRPr="00EF6711"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CC2AD6" w:rsidRPr="006D6D08">
        <w:t>Esomeprazolo</w:t>
      </w:r>
      <w:proofErr w:type="spellEnd"/>
      <w:r w:rsidR="00CC2AD6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CC2AD6" w:rsidRPr="006D6D08"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EB16B7" w:rsidRPr="006D6D08">
        <w:t>Esomeprazolo</w:t>
      </w:r>
      <w:proofErr w:type="spellEnd"/>
      <w:r w:rsidR="00EB16B7"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EB16B7" w:rsidRPr="006D6D08">
        <w:t xml:space="preserve"> </w:t>
      </w:r>
      <w:r w:rsidRPr="00EF6711">
        <w:t>è accettabile e non sono state rilevate criticità da un punto di vista non clinico e clinico.</w:t>
      </w:r>
    </w:p>
    <w:p w:rsidR="00BE7CDB" w:rsidRDefault="00A03C9B" w:rsidP="00BE7CDB">
      <w:pPr>
        <w:spacing w:after="0" w:line="240" w:lineRule="auto"/>
        <w:jc w:val="both"/>
      </w:pPr>
      <w:r>
        <w:t>Gli studi</w:t>
      </w:r>
      <w:r w:rsidR="00BE7CDB">
        <w:t xml:space="preserve"> di bioequivalenza e le sue conclusioni confermano che </w:t>
      </w:r>
      <w:proofErr w:type="spellStart"/>
      <w:r w:rsidRPr="006D6D08">
        <w:t>Esomeprazolo</w:t>
      </w:r>
      <w:proofErr w:type="spellEnd"/>
      <w:r w:rsidRPr="006D6D08">
        <w:t xml:space="preserve"> </w:t>
      </w:r>
      <w:proofErr w:type="spellStart"/>
      <w:r w:rsidR="00B74130" w:rsidRPr="00B74130">
        <w:t>VI.REL</w:t>
      </w:r>
      <w:proofErr w:type="spellEnd"/>
      <w:r w:rsidR="00B74130" w:rsidRPr="00B74130">
        <w:t xml:space="preserve"> </w:t>
      </w:r>
      <w:proofErr w:type="spellStart"/>
      <w:r w:rsidR="00B74130" w:rsidRPr="00B74130">
        <w:t>Pharma</w:t>
      </w:r>
      <w:proofErr w:type="spellEnd"/>
      <w:r w:rsidR="00B74130">
        <w:t xml:space="preserve"> </w:t>
      </w:r>
      <w:r w:rsidR="00BE7CDB">
        <w:t xml:space="preserve">e il medicinale di riferimento </w:t>
      </w:r>
      <w:proofErr w:type="spellStart"/>
      <w:r>
        <w:t>Nexium</w:t>
      </w:r>
      <w:proofErr w:type="spellEnd"/>
      <w:r>
        <w:t xml:space="preserve"> sono </w:t>
      </w:r>
      <w:proofErr w:type="spellStart"/>
      <w:r>
        <w:t>bioequivalenti</w:t>
      </w:r>
      <w:proofErr w:type="spellEnd"/>
      <w:r w:rsidR="00BE7CDB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6B311C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sectPr w:rsidR="006B311C" w:rsidSect="00D4005D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004D5F" w16cid:durableId="1D132E28"/>
  <w16cid:commentId w16cid:paraId="6BA4F0B4" w16cid:durableId="1D132E9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D6"/>
    <w:multiLevelType w:val="hybridMultilevel"/>
    <w:tmpl w:val="98E03F12"/>
    <w:lvl w:ilvl="0" w:tplc="9B408C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91B91"/>
    <w:multiLevelType w:val="hybridMultilevel"/>
    <w:tmpl w:val="2EE8F000"/>
    <w:lvl w:ilvl="0" w:tplc="7A4C5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3422F"/>
    <w:multiLevelType w:val="hybridMultilevel"/>
    <w:tmpl w:val="E4A4F4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04D57"/>
    <w:multiLevelType w:val="hybridMultilevel"/>
    <w:tmpl w:val="AF9228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F5A47"/>
    <w:multiLevelType w:val="hybridMultilevel"/>
    <w:tmpl w:val="F516CDAC"/>
    <w:lvl w:ilvl="0" w:tplc="2D8A84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B4926"/>
    <w:multiLevelType w:val="hybridMultilevel"/>
    <w:tmpl w:val="FAF671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A5DCA"/>
    <w:multiLevelType w:val="hybridMultilevel"/>
    <w:tmpl w:val="401CF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A4CD2"/>
    <w:multiLevelType w:val="hybridMultilevel"/>
    <w:tmpl w:val="9BFA2FD2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9663C"/>
    <w:multiLevelType w:val="hybridMultilevel"/>
    <w:tmpl w:val="9214767C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131E6"/>
    <w:multiLevelType w:val="hybridMultilevel"/>
    <w:tmpl w:val="16B4616A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017F3A"/>
    <w:multiLevelType w:val="hybridMultilevel"/>
    <w:tmpl w:val="4FD4C8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A2C54"/>
    <w:multiLevelType w:val="hybridMultilevel"/>
    <w:tmpl w:val="E77AC084"/>
    <w:lvl w:ilvl="0" w:tplc="6B32BB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8"/>
  </w:num>
  <w:num w:numId="5">
    <w:abstractNumId w:val="5"/>
  </w:num>
  <w:num w:numId="6">
    <w:abstractNumId w:val="4"/>
  </w:num>
  <w:num w:numId="7">
    <w:abstractNumId w:val="16"/>
  </w:num>
  <w:num w:numId="8">
    <w:abstractNumId w:val="14"/>
  </w:num>
  <w:num w:numId="9">
    <w:abstractNumId w:val="1"/>
  </w:num>
  <w:num w:numId="10">
    <w:abstractNumId w:val="2"/>
  </w:num>
  <w:num w:numId="11">
    <w:abstractNumId w:val="6"/>
  </w:num>
  <w:num w:numId="12">
    <w:abstractNumId w:val="11"/>
  </w:num>
  <w:num w:numId="13">
    <w:abstractNumId w:val="0"/>
  </w:num>
  <w:num w:numId="14">
    <w:abstractNumId w:val="10"/>
  </w:num>
  <w:num w:numId="15">
    <w:abstractNumId w:val="9"/>
  </w:num>
  <w:num w:numId="16">
    <w:abstractNumId w:val="7"/>
  </w:num>
  <w:num w:numId="17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olo Biffignandi">
    <w15:presenceInfo w15:providerId="AD" w15:userId="S-1-5-21-208016289-1936469370-3039446168-1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22511"/>
    <w:rsid w:val="00023CEA"/>
    <w:rsid w:val="00062636"/>
    <w:rsid w:val="000808A3"/>
    <w:rsid w:val="000A4BA1"/>
    <w:rsid w:val="000B7AC8"/>
    <w:rsid w:val="000E1F86"/>
    <w:rsid w:val="000E4494"/>
    <w:rsid w:val="000F658F"/>
    <w:rsid w:val="0010395C"/>
    <w:rsid w:val="00111E9E"/>
    <w:rsid w:val="001460CA"/>
    <w:rsid w:val="00181930"/>
    <w:rsid w:val="001B2932"/>
    <w:rsid w:val="001C15DF"/>
    <w:rsid w:val="001E28EB"/>
    <w:rsid w:val="00265B61"/>
    <w:rsid w:val="00277A0E"/>
    <w:rsid w:val="002C2011"/>
    <w:rsid w:val="002C61C7"/>
    <w:rsid w:val="002F2543"/>
    <w:rsid w:val="002F4000"/>
    <w:rsid w:val="00300BEA"/>
    <w:rsid w:val="003061E0"/>
    <w:rsid w:val="0032205D"/>
    <w:rsid w:val="00356284"/>
    <w:rsid w:val="00367CE0"/>
    <w:rsid w:val="00396DFA"/>
    <w:rsid w:val="003B3E63"/>
    <w:rsid w:val="0042214D"/>
    <w:rsid w:val="00423A97"/>
    <w:rsid w:val="004241AC"/>
    <w:rsid w:val="004609F8"/>
    <w:rsid w:val="004819F1"/>
    <w:rsid w:val="004B20A8"/>
    <w:rsid w:val="004E5A39"/>
    <w:rsid w:val="00500ACA"/>
    <w:rsid w:val="005049A1"/>
    <w:rsid w:val="00504FC1"/>
    <w:rsid w:val="0056372C"/>
    <w:rsid w:val="00567615"/>
    <w:rsid w:val="005950D6"/>
    <w:rsid w:val="00621AE2"/>
    <w:rsid w:val="006406D4"/>
    <w:rsid w:val="00642D6A"/>
    <w:rsid w:val="0064646C"/>
    <w:rsid w:val="00654D9E"/>
    <w:rsid w:val="0066030D"/>
    <w:rsid w:val="00664931"/>
    <w:rsid w:val="006727BD"/>
    <w:rsid w:val="006B311C"/>
    <w:rsid w:val="006B3E12"/>
    <w:rsid w:val="006B7B48"/>
    <w:rsid w:val="006D6D08"/>
    <w:rsid w:val="006D7B8C"/>
    <w:rsid w:val="006E26B6"/>
    <w:rsid w:val="007156D1"/>
    <w:rsid w:val="00716DF5"/>
    <w:rsid w:val="007170D7"/>
    <w:rsid w:val="007221B6"/>
    <w:rsid w:val="00741838"/>
    <w:rsid w:val="007479B4"/>
    <w:rsid w:val="00766E26"/>
    <w:rsid w:val="00797416"/>
    <w:rsid w:val="00823F4C"/>
    <w:rsid w:val="008547B3"/>
    <w:rsid w:val="008819D4"/>
    <w:rsid w:val="0088216F"/>
    <w:rsid w:val="008A6FEC"/>
    <w:rsid w:val="008B60D7"/>
    <w:rsid w:val="008C3D30"/>
    <w:rsid w:val="008D1529"/>
    <w:rsid w:val="00915BEE"/>
    <w:rsid w:val="00943785"/>
    <w:rsid w:val="00957832"/>
    <w:rsid w:val="00964948"/>
    <w:rsid w:val="00997BE6"/>
    <w:rsid w:val="009A23DE"/>
    <w:rsid w:val="009A260F"/>
    <w:rsid w:val="009A62CF"/>
    <w:rsid w:val="009B03DB"/>
    <w:rsid w:val="009C4F90"/>
    <w:rsid w:val="009D3446"/>
    <w:rsid w:val="009E0140"/>
    <w:rsid w:val="009E2BC0"/>
    <w:rsid w:val="009F3867"/>
    <w:rsid w:val="00A01AB1"/>
    <w:rsid w:val="00A03C9B"/>
    <w:rsid w:val="00A07D7E"/>
    <w:rsid w:val="00A40FF3"/>
    <w:rsid w:val="00A62D55"/>
    <w:rsid w:val="00A908B9"/>
    <w:rsid w:val="00A966D1"/>
    <w:rsid w:val="00AD279A"/>
    <w:rsid w:val="00AF2F25"/>
    <w:rsid w:val="00AF58B0"/>
    <w:rsid w:val="00B023E9"/>
    <w:rsid w:val="00B1186F"/>
    <w:rsid w:val="00B157B2"/>
    <w:rsid w:val="00B30431"/>
    <w:rsid w:val="00B55C5D"/>
    <w:rsid w:val="00B65222"/>
    <w:rsid w:val="00B74130"/>
    <w:rsid w:val="00BA0ACD"/>
    <w:rsid w:val="00BB215D"/>
    <w:rsid w:val="00BB2AF8"/>
    <w:rsid w:val="00BB4A3B"/>
    <w:rsid w:val="00BB4FB9"/>
    <w:rsid w:val="00BB7B54"/>
    <w:rsid w:val="00BC74C2"/>
    <w:rsid w:val="00BE74C0"/>
    <w:rsid w:val="00BE7CDB"/>
    <w:rsid w:val="00BF55B9"/>
    <w:rsid w:val="00BF5F63"/>
    <w:rsid w:val="00BF7A42"/>
    <w:rsid w:val="00C2565A"/>
    <w:rsid w:val="00C32134"/>
    <w:rsid w:val="00C42AAC"/>
    <w:rsid w:val="00C579D7"/>
    <w:rsid w:val="00C603C3"/>
    <w:rsid w:val="00C66597"/>
    <w:rsid w:val="00C70453"/>
    <w:rsid w:val="00C73CF8"/>
    <w:rsid w:val="00C93824"/>
    <w:rsid w:val="00CB73AB"/>
    <w:rsid w:val="00CC2AD6"/>
    <w:rsid w:val="00CC52A3"/>
    <w:rsid w:val="00CC7AFF"/>
    <w:rsid w:val="00CD6263"/>
    <w:rsid w:val="00CE62A1"/>
    <w:rsid w:val="00D20170"/>
    <w:rsid w:val="00D212AA"/>
    <w:rsid w:val="00D23DF7"/>
    <w:rsid w:val="00D4005D"/>
    <w:rsid w:val="00D54779"/>
    <w:rsid w:val="00D60600"/>
    <w:rsid w:val="00D75828"/>
    <w:rsid w:val="00DB359A"/>
    <w:rsid w:val="00DD7B60"/>
    <w:rsid w:val="00E10D6C"/>
    <w:rsid w:val="00E43089"/>
    <w:rsid w:val="00E61CBC"/>
    <w:rsid w:val="00E83F8D"/>
    <w:rsid w:val="00E87CCD"/>
    <w:rsid w:val="00EA36EF"/>
    <w:rsid w:val="00EA610A"/>
    <w:rsid w:val="00EB16B7"/>
    <w:rsid w:val="00EC3589"/>
    <w:rsid w:val="00EF062E"/>
    <w:rsid w:val="00EF6711"/>
    <w:rsid w:val="00F07673"/>
    <w:rsid w:val="00F36343"/>
    <w:rsid w:val="00F400A0"/>
    <w:rsid w:val="00F44326"/>
    <w:rsid w:val="00F640C3"/>
    <w:rsid w:val="00F66767"/>
    <w:rsid w:val="00F85989"/>
    <w:rsid w:val="00F86155"/>
    <w:rsid w:val="00F96473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562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649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494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494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49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494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://www.lakemedelsverket.se/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6/09/relationships/commentsIds" Target="commentsId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3462</Words>
  <Characters>19737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12</cp:revision>
  <dcterms:created xsi:type="dcterms:W3CDTF">2017-08-08T15:44:00Z</dcterms:created>
  <dcterms:modified xsi:type="dcterms:W3CDTF">2018-05-18T12:00:00Z</dcterms:modified>
</cp:coreProperties>
</file>