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8F262B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8F262B">
      <w:pPr>
        <w:spacing w:after="0" w:line="240" w:lineRule="auto"/>
        <w:jc w:val="center"/>
        <w:rPr>
          <w:b/>
        </w:rPr>
      </w:pPr>
    </w:p>
    <w:p w:rsidR="006615E6" w:rsidRPr="00F877BD" w:rsidRDefault="006615E6" w:rsidP="00F877BD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F877BD">
        <w:rPr>
          <w:b/>
          <w:sz w:val="28"/>
        </w:rPr>
        <w:t>Relazione Pubblica di Valutazione</w:t>
      </w: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92697" w:rsidRPr="00F877BD" w:rsidRDefault="00E92697" w:rsidP="00F877BD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F877BD" w:rsidRDefault="006615E6" w:rsidP="00F877BD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F877BD" w:rsidRDefault="00025995" w:rsidP="00F877BD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F877BD">
        <w:rPr>
          <w:b/>
          <w:sz w:val="32"/>
        </w:rPr>
        <w:t>TIMOLOLO TUBILUX PHARMA</w:t>
      </w:r>
    </w:p>
    <w:p w:rsidR="00F877BD" w:rsidRPr="00F877BD" w:rsidRDefault="00F877BD" w:rsidP="00F877BD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F877BD" w:rsidRDefault="004241AC" w:rsidP="00F877BD">
      <w:pPr>
        <w:widowControl w:val="0"/>
        <w:spacing w:after="0" w:line="240" w:lineRule="auto"/>
        <w:jc w:val="center"/>
        <w:rPr>
          <w:snapToGrid w:val="0"/>
        </w:rPr>
      </w:pPr>
      <w:r w:rsidRPr="00F877BD">
        <w:rPr>
          <w:snapToGrid w:val="0"/>
        </w:rPr>
        <w:t>(</w:t>
      </w:r>
      <w:proofErr w:type="spellStart"/>
      <w:r w:rsidR="008E4407" w:rsidRPr="00F877BD">
        <w:rPr>
          <w:snapToGrid w:val="0"/>
        </w:rPr>
        <w:t>timololo</w:t>
      </w:r>
      <w:proofErr w:type="spellEnd"/>
      <w:r w:rsidRPr="00F877BD">
        <w:rPr>
          <w:snapToGrid w:val="0"/>
        </w:rPr>
        <w:t>)</w:t>
      </w:r>
    </w:p>
    <w:p w:rsidR="004241AC" w:rsidRDefault="004241AC" w:rsidP="00F877B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877BD" w:rsidRPr="00F877BD" w:rsidRDefault="00F877BD" w:rsidP="00F877B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575D2" w:rsidRPr="00F877BD" w:rsidRDefault="00025995" w:rsidP="00F877BD">
      <w:pPr>
        <w:spacing w:after="0" w:line="240" w:lineRule="auto"/>
        <w:jc w:val="center"/>
        <w:rPr>
          <w:b/>
          <w:spacing w:val="-3"/>
        </w:rPr>
      </w:pPr>
      <w:proofErr w:type="spellStart"/>
      <w:r w:rsidRPr="00F877BD">
        <w:rPr>
          <w:b/>
          <w:spacing w:val="-3"/>
        </w:rPr>
        <w:t>Tubilux</w:t>
      </w:r>
      <w:proofErr w:type="spellEnd"/>
      <w:r w:rsidR="00665963" w:rsidRPr="00F877BD">
        <w:rPr>
          <w:b/>
          <w:spacing w:val="-3"/>
        </w:rPr>
        <w:t xml:space="preserve"> </w:t>
      </w:r>
      <w:proofErr w:type="spellStart"/>
      <w:r w:rsidR="00665963" w:rsidRPr="00F877BD">
        <w:rPr>
          <w:b/>
          <w:spacing w:val="-3"/>
        </w:rPr>
        <w:t>Pharma</w:t>
      </w:r>
      <w:proofErr w:type="spellEnd"/>
    </w:p>
    <w:p w:rsidR="00045A52" w:rsidRPr="00F877BD" w:rsidRDefault="00045A52" w:rsidP="00F877BD">
      <w:pPr>
        <w:spacing w:after="0" w:line="240" w:lineRule="auto"/>
        <w:jc w:val="center"/>
        <w:rPr>
          <w:b/>
          <w:spacing w:val="-3"/>
        </w:rPr>
      </w:pPr>
    </w:p>
    <w:p w:rsidR="0074438A" w:rsidRPr="00F877BD" w:rsidRDefault="0074438A" w:rsidP="00F877BD">
      <w:pPr>
        <w:spacing w:after="0" w:line="240" w:lineRule="auto"/>
        <w:jc w:val="center"/>
        <w:rPr>
          <w:b/>
        </w:rPr>
      </w:pPr>
    </w:p>
    <w:p w:rsidR="004241AC" w:rsidRPr="00F877BD" w:rsidRDefault="004241AC" w:rsidP="00F877BD">
      <w:pPr>
        <w:spacing w:after="0" w:line="240" w:lineRule="auto"/>
        <w:jc w:val="center"/>
        <w:rPr>
          <w:b/>
        </w:rPr>
      </w:pPr>
      <w:r w:rsidRPr="00F877BD">
        <w:rPr>
          <w:b/>
        </w:rPr>
        <w:t xml:space="preserve">Numero di AIC: </w:t>
      </w:r>
      <w:r w:rsidR="008E108A" w:rsidRPr="00F877BD">
        <w:rPr>
          <w:b/>
        </w:rPr>
        <w:t>04</w:t>
      </w:r>
      <w:r w:rsidR="00025995" w:rsidRPr="00F877BD">
        <w:rPr>
          <w:b/>
        </w:rPr>
        <w:t>4133</w:t>
      </w:r>
    </w:p>
    <w:bookmarkEnd w:id="0"/>
    <w:p w:rsidR="004241AC" w:rsidRPr="00F877BD" w:rsidRDefault="004241AC" w:rsidP="00F877BD">
      <w:pPr>
        <w:spacing w:after="0" w:line="240" w:lineRule="auto"/>
        <w:jc w:val="center"/>
        <w:rPr>
          <w:b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F877BD" w:rsidRDefault="00E92697" w:rsidP="00F877B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877BD">
        <w:rPr>
          <w:rFonts w:eastAsia="Calibri" w:cs="Calibri"/>
          <w:b/>
          <w:color w:val="000000"/>
          <w:lang w:eastAsia="it-IT"/>
        </w:rPr>
        <w:t>R</w:t>
      </w:r>
      <w:r w:rsidR="003A3DB3" w:rsidRPr="00F877BD">
        <w:rPr>
          <w:rFonts w:eastAsia="Calibri" w:cs="Calibri"/>
          <w:b/>
          <w:color w:val="000000"/>
          <w:lang w:eastAsia="it-IT"/>
        </w:rPr>
        <w:t>IASSUNTO DELLA RELAZIONE PUBBLICA DI VALUTAZIONE</w:t>
      </w:r>
    </w:p>
    <w:p w:rsidR="003A3DB3" w:rsidRPr="00F877BD" w:rsidRDefault="003A3DB3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877BD">
        <w:rPr>
          <w:rFonts w:eastAsia="Calibri" w:cs="Calibri"/>
          <w:color w:val="000000"/>
          <w:lang w:eastAsia="it-IT"/>
        </w:rPr>
        <w:t xml:space="preserve">Questa è la sintesi del </w:t>
      </w:r>
      <w:r w:rsidRPr="00F877BD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F877BD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F877BD">
        <w:rPr>
          <w:rFonts w:eastAsia="Calibri" w:cs="Calibri"/>
          <w:i/>
          <w:color w:val="000000"/>
          <w:lang w:eastAsia="it-IT"/>
        </w:rPr>
        <w:t xml:space="preserve"> Report</w:t>
      </w:r>
      <w:r w:rsidRPr="00F877BD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76804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E76804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color w:val="000000"/>
          <w:lang w:eastAsia="it-IT"/>
        </w:rPr>
        <w:t>.</w:t>
      </w:r>
      <w:r w:rsidR="00045A52" w:rsidRPr="00F877BD">
        <w:rPr>
          <w:rFonts w:eastAsia="Calibri" w:cs="Calibri"/>
          <w:color w:val="000000"/>
          <w:lang w:eastAsia="it-IT"/>
        </w:rPr>
        <w:t xml:space="preserve"> </w:t>
      </w:r>
      <w:r w:rsidRPr="00F877BD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045A52" w:rsidRPr="00F877BD">
        <w:rPr>
          <w:rFonts w:eastAsia="Calibri" w:cs="Calibri"/>
          <w:color w:val="000000"/>
          <w:lang w:eastAsia="it-IT"/>
        </w:rPr>
        <w:t xml:space="preserve"> </w:t>
      </w:r>
      <w:r w:rsidRPr="00F877BD">
        <w:rPr>
          <w:rFonts w:eastAsia="Calibri" w:cs="Calibri"/>
          <w:color w:val="000000"/>
          <w:lang w:eastAsia="it-IT"/>
        </w:rPr>
        <w:t xml:space="preserve">è stato valutato dalla </w:t>
      </w:r>
      <w:r w:rsidR="00665963" w:rsidRPr="00F877BD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247206" w:rsidRPr="00F877BD">
        <w:rPr>
          <w:rFonts w:eastAsia="Calibri" w:cs="Calibri"/>
          <w:color w:val="000000"/>
          <w:lang w:eastAsia="it-IT"/>
        </w:rPr>
        <w:t>e le sue condizioni di impiego</w:t>
      </w:r>
      <w:r w:rsidRPr="00F877BD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bCs/>
          <w:color w:val="000000"/>
          <w:lang w:eastAsia="it-IT"/>
        </w:rPr>
        <w:t>.</w:t>
      </w: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877BD">
        <w:rPr>
          <w:rFonts w:eastAsia="Calibri" w:cs="Calibri"/>
          <w:color w:val="000000"/>
          <w:lang w:eastAsia="it-IT"/>
        </w:rPr>
        <w:t>Per informazioni pratiche sull'utilizzo di</w:t>
      </w:r>
      <w:r w:rsidR="00045A52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025995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045A52" w:rsidRPr="00F877BD">
        <w:rPr>
          <w:rFonts w:eastAsia="Calibri" w:cs="Calibri"/>
          <w:color w:val="000000"/>
          <w:lang w:eastAsia="it-IT"/>
        </w:rPr>
        <w:t xml:space="preserve"> </w:t>
      </w:r>
      <w:r w:rsidRPr="00F877BD">
        <w:rPr>
          <w:rFonts w:eastAsia="Calibri" w:cs="Calibri"/>
          <w:color w:val="000000"/>
          <w:lang w:eastAsia="it-IT"/>
        </w:rPr>
        <w:t>i pazienti devono consultare il foglio</w:t>
      </w:r>
      <w:r w:rsidR="004C17D6" w:rsidRPr="00F877BD">
        <w:rPr>
          <w:rFonts w:eastAsia="Calibri" w:cs="Calibri"/>
          <w:color w:val="000000"/>
          <w:lang w:eastAsia="it-IT"/>
        </w:rPr>
        <w:t xml:space="preserve"> </w:t>
      </w:r>
      <w:r w:rsidRPr="00F877BD">
        <w:rPr>
          <w:rFonts w:eastAsia="Calibri" w:cs="Calibri"/>
          <w:color w:val="000000"/>
          <w:lang w:eastAsia="it-IT"/>
        </w:rPr>
        <w:t xml:space="preserve">illustrativo o contattare il loro medico o </w:t>
      </w:r>
      <w:r w:rsidR="009B03DB" w:rsidRPr="00F877BD">
        <w:rPr>
          <w:rFonts w:eastAsia="Calibri" w:cs="Calibri"/>
          <w:color w:val="000000"/>
          <w:lang w:eastAsia="it-IT"/>
        </w:rPr>
        <w:t xml:space="preserve">il </w:t>
      </w:r>
      <w:r w:rsidRPr="00F877BD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92697" w:rsidRPr="00F877BD" w:rsidRDefault="004241AC" w:rsidP="00F877BD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025995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025995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025995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025995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045A52" w:rsidRPr="00F877BD">
        <w:rPr>
          <w:rFonts w:eastAsia="Calibri" w:cs="Calibri"/>
          <w:b/>
          <w:color w:val="000000"/>
          <w:lang w:eastAsia="it-IT"/>
        </w:rPr>
        <w:t xml:space="preserve"> </w:t>
      </w:r>
      <w:r w:rsidR="00045A52" w:rsidRPr="00F877BD">
        <w:rPr>
          <w:rFonts w:eastAsia="Calibri" w:cs="Calibri"/>
          <w:b/>
          <w:bCs/>
          <w:lang w:eastAsia="it-IT"/>
        </w:rPr>
        <w:t>E</w:t>
      </w:r>
      <w:r w:rsidRPr="00F877BD">
        <w:rPr>
          <w:rFonts w:eastAsia="Calibri" w:cs="Calibri"/>
          <w:b/>
          <w:bCs/>
          <w:lang w:eastAsia="it-IT"/>
        </w:rPr>
        <w:t xml:space="preserve"> </w:t>
      </w:r>
      <w:r w:rsidR="00045A52" w:rsidRPr="00F877BD">
        <w:rPr>
          <w:rFonts w:eastAsia="Calibri" w:cs="Calibri"/>
          <w:b/>
          <w:bCs/>
          <w:lang w:eastAsia="it-IT"/>
        </w:rPr>
        <w:t>A COSA SERVE</w:t>
      </w:r>
      <w:r w:rsidRPr="00F877BD">
        <w:rPr>
          <w:rFonts w:eastAsia="Calibri" w:cs="Calibri"/>
          <w:b/>
          <w:bCs/>
          <w:lang w:eastAsia="it-IT"/>
        </w:rPr>
        <w:t xml:space="preserve">? </w:t>
      </w:r>
    </w:p>
    <w:p w:rsidR="00AF2A36" w:rsidRPr="00F877BD" w:rsidRDefault="00025995" w:rsidP="00F877BD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045A52" w:rsidRPr="00F877BD">
        <w:rPr>
          <w:rFonts w:eastAsia="Calibri" w:cs="Calibri"/>
          <w:lang w:eastAsia="it-IT"/>
        </w:rPr>
        <w:t xml:space="preserve"> </w:t>
      </w:r>
      <w:r w:rsidR="004241AC" w:rsidRPr="00F877BD">
        <w:rPr>
          <w:rFonts w:eastAsia="Calibri" w:cs="Calibri"/>
          <w:lang w:eastAsia="it-IT"/>
        </w:rPr>
        <w:t xml:space="preserve">è un medicinale contenente </w:t>
      </w:r>
      <w:r w:rsidR="00062636" w:rsidRPr="00F877BD">
        <w:rPr>
          <w:rFonts w:eastAsia="Calibri" w:cs="Calibri"/>
          <w:lang w:eastAsia="it-IT"/>
        </w:rPr>
        <w:t>i</w:t>
      </w:r>
      <w:r w:rsidRPr="00F877BD">
        <w:rPr>
          <w:rFonts w:eastAsia="Calibri" w:cs="Calibri"/>
          <w:lang w:eastAsia="it-IT"/>
        </w:rPr>
        <w:t>l</w:t>
      </w:r>
      <w:r w:rsidR="004241AC" w:rsidRPr="00F877BD">
        <w:rPr>
          <w:rFonts w:eastAsia="Calibri" w:cs="Calibri"/>
          <w:lang w:eastAsia="it-IT"/>
        </w:rPr>
        <w:t xml:space="preserve"> principi</w:t>
      </w:r>
      <w:r w:rsidRPr="00F877BD">
        <w:rPr>
          <w:rFonts w:eastAsia="Calibri" w:cs="Calibri"/>
          <w:lang w:eastAsia="it-IT"/>
        </w:rPr>
        <w:t>o</w:t>
      </w:r>
      <w:r w:rsidR="004241AC" w:rsidRPr="00F877BD">
        <w:rPr>
          <w:rFonts w:eastAsia="Calibri" w:cs="Calibri"/>
          <w:lang w:eastAsia="it-IT"/>
        </w:rPr>
        <w:t xml:space="preserve"> attiv</w:t>
      </w:r>
      <w:r w:rsidRPr="00F877BD">
        <w:rPr>
          <w:rFonts w:eastAsia="Calibri" w:cs="Calibri"/>
          <w:lang w:eastAsia="it-IT"/>
        </w:rPr>
        <w:t>o</w:t>
      </w:r>
      <w:r w:rsidR="00045A52" w:rsidRPr="00F877BD">
        <w:rPr>
          <w:rFonts w:eastAsia="Calibri" w:cs="Calibri"/>
          <w:lang w:eastAsia="it-IT"/>
        </w:rPr>
        <w:t xml:space="preserve"> </w:t>
      </w:r>
      <w:proofErr w:type="spellStart"/>
      <w:r w:rsidR="00AF2A36" w:rsidRPr="00F877BD">
        <w:rPr>
          <w:rFonts w:eastAsia="Calibri" w:cs="Calibri"/>
          <w:lang w:eastAsia="it-IT"/>
        </w:rPr>
        <w:t>timololo</w:t>
      </w:r>
      <w:proofErr w:type="spellEnd"/>
      <w:r w:rsidR="00240086" w:rsidRPr="00F877BD">
        <w:rPr>
          <w:rFonts w:eastAsia="Calibri" w:cs="Calibri"/>
          <w:lang w:eastAsia="it-IT"/>
        </w:rPr>
        <w:t xml:space="preserve"> </w:t>
      </w:r>
      <w:proofErr w:type="spellStart"/>
      <w:r w:rsidRPr="00F877BD">
        <w:rPr>
          <w:rFonts w:eastAsia="Calibri" w:cs="Calibri"/>
          <w:lang w:eastAsia="it-IT"/>
        </w:rPr>
        <w:t>maleato</w:t>
      </w:r>
      <w:proofErr w:type="spellEnd"/>
      <w:r w:rsidRPr="00F877BD">
        <w:rPr>
          <w:rFonts w:eastAsia="Calibri" w:cs="Calibri"/>
          <w:lang w:eastAsia="it-IT"/>
        </w:rPr>
        <w:t xml:space="preserve"> </w:t>
      </w:r>
      <w:r w:rsidR="00240086" w:rsidRPr="00F877BD">
        <w:rPr>
          <w:rFonts w:eastAsia="Calibri" w:cs="Calibri"/>
          <w:lang w:eastAsia="it-IT"/>
        </w:rPr>
        <w:t>ed è disponibile come collirio (soluzione oftalmica) contenente i</w:t>
      </w:r>
      <w:r w:rsidRPr="00F877BD">
        <w:rPr>
          <w:rFonts w:eastAsia="Calibri" w:cs="Calibri"/>
          <w:lang w:eastAsia="it-IT"/>
        </w:rPr>
        <w:t>l</w:t>
      </w:r>
      <w:r w:rsidR="00240086" w:rsidRPr="00F877BD">
        <w:rPr>
          <w:rFonts w:eastAsia="Calibri" w:cs="Calibri"/>
          <w:lang w:eastAsia="it-IT"/>
        </w:rPr>
        <w:t xml:space="preserve"> principi</w:t>
      </w:r>
      <w:r w:rsidRPr="00F877BD">
        <w:rPr>
          <w:rFonts w:eastAsia="Calibri" w:cs="Calibri"/>
          <w:lang w:eastAsia="it-IT"/>
        </w:rPr>
        <w:t>o</w:t>
      </w:r>
      <w:r w:rsidR="00240086" w:rsidRPr="00F877BD">
        <w:rPr>
          <w:rFonts w:eastAsia="Calibri" w:cs="Calibri"/>
          <w:lang w:eastAsia="it-IT"/>
        </w:rPr>
        <w:t xml:space="preserve"> attiv</w:t>
      </w:r>
      <w:r w:rsidRPr="00F877BD">
        <w:rPr>
          <w:rFonts w:eastAsia="Calibri" w:cs="Calibri"/>
          <w:lang w:eastAsia="it-IT"/>
        </w:rPr>
        <w:t>o alla concentrazione di 5</w:t>
      </w:r>
      <w:r w:rsidR="00240086" w:rsidRPr="00F877BD">
        <w:rPr>
          <w:rFonts w:eastAsia="Calibri" w:cs="Calibri"/>
          <w:lang w:eastAsia="it-IT"/>
        </w:rPr>
        <w:t xml:space="preserve"> </w:t>
      </w:r>
      <w:r w:rsidR="00F877BD" w:rsidRPr="00F877BD">
        <w:rPr>
          <w:rFonts w:eastAsia="Calibri" w:cs="Calibri"/>
          <w:lang w:eastAsia="it-IT"/>
        </w:rPr>
        <w:t>mg/</w:t>
      </w:r>
      <w:r w:rsidR="00240086" w:rsidRPr="00F877BD">
        <w:rPr>
          <w:rFonts w:eastAsia="Calibri" w:cs="Calibri"/>
          <w:lang w:eastAsia="it-IT"/>
        </w:rPr>
        <w:t>ml</w:t>
      </w:r>
      <w:r w:rsidR="00AF2A36" w:rsidRPr="00F877BD">
        <w:rPr>
          <w:rFonts w:eastAsia="Calibri" w:cs="Calibri"/>
          <w:lang w:eastAsia="it-IT"/>
        </w:rPr>
        <w:t xml:space="preserve">. </w:t>
      </w:r>
    </w:p>
    <w:p w:rsidR="00045A52" w:rsidRPr="00F877BD" w:rsidRDefault="00025995" w:rsidP="00F877BD">
      <w:pPr>
        <w:widowControl w:val="0"/>
        <w:spacing w:after="0" w:line="240" w:lineRule="auto"/>
        <w:jc w:val="both"/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045A52" w:rsidRPr="00F877BD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FB0413" w:rsidRPr="00F877BD">
        <w:rPr>
          <w:rFonts w:eastAsia="Calibri" w:cs="Calibri"/>
          <w:color w:val="000000"/>
          <w:lang w:eastAsia="it-IT"/>
        </w:rPr>
        <w:t>Timoptol</w:t>
      </w:r>
      <w:proofErr w:type="spellEnd"/>
      <w:r w:rsidR="00FB0413" w:rsidRPr="00F877BD">
        <w:rPr>
          <w:rFonts w:eastAsia="Calibri" w:cs="Calibri"/>
          <w:color w:val="000000"/>
          <w:lang w:eastAsia="it-IT"/>
        </w:rPr>
        <w:t xml:space="preserve">, </w:t>
      </w:r>
      <w:r w:rsidR="00045A52" w:rsidRPr="00F877BD">
        <w:rPr>
          <w:rFonts w:eastAsia="Calibri" w:cs="Calibri"/>
          <w:color w:val="000000"/>
          <w:lang w:eastAsia="it-IT"/>
        </w:rPr>
        <w:t xml:space="preserve">già autorizzato in Italia. </w:t>
      </w:r>
    </w:p>
    <w:p w:rsidR="00FB0413" w:rsidRPr="00F877BD" w:rsidRDefault="00FB0413" w:rsidP="00F877BD">
      <w:pPr>
        <w:numPr>
          <w:ilvl w:val="12"/>
          <w:numId w:val="0"/>
        </w:numPr>
        <w:spacing w:after="0" w:line="240" w:lineRule="auto"/>
        <w:jc w:val="both"/>
        <w:rPr>
          <w:noProof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AF2A36" w:rsidRPr="00F877BD">
        <w:rPr>
          <w:rFonts w:eastAsia="Calibri" w:cs="Calibri"/>
          <w:lang w:eastAsia="it-IT"/>
        </w:rPr>
        <w:t xml:space="preserve"> viene utilizzato per </w:t>
      </w:r>
      <w:r w:rsidRPr="00F877BD">
        <w:rPr>
          <w:noProof/>
        </w:rPr>
        <w:t>per il trattamento di alcune condizioni in cui si verifica un aumento della pressione all’interno dell’occhio come:</w:t>
      </w:r>
    </w:p>
    <w:p w:rsidR="00FB0413" w:rsidRPr="00F877BD" w:rsidRDefault="00FB0413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>ipertensione oculare;</w:t>
      </w:r>
    </w:p>
    <w:p w:rsidR="00FB0413" w:rsidRPr="00F877BD" w:rsidRDefault="00FB0413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>glaucoma cronico ad angolo aperto;</w:t>
      </w:r>
    </w:p>
    <w:p w:rsidR="00FB0413" w:rsidRPr="00F877BD" w:rsidRDefault="00FB0413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 xml:space="preserve">glaucoma in pazienti </w:t>
      </w:r>
      <w:proofErr w:type="spellStart"/>
      <w:r w:rsidRPr="00F877BD">
        <w:t>afachici</w:t>
      </w:r>
      <w:proofErr w:type="spellEnd"/>
      <w:r w:rsidRPr="00F877BD">
        <w:t xml:space="preserve"> (privi del cristallino, la lente interna dell’occhio);</w:t>
      </w:r>
    </w:p>
    <w:p w:rsidR="00FB0413" w:rsidRPr="00F877BD" w:rsidRDefault="00FB0413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 xml:space="preserve">glaucoma ad angolo chiuso e con episodi precedenti di chiusura d’angolo, spontanea o causata da una terapia medica (iatrogena), nell’occhio </w:t>
      </w:r>
      <w:proofErr w:type="spellStart"/>
      <w:r w:rsidRPr="00F877BD">
        <w:t>controlaterale</w:t>
      </w:r>
      <w:proofErr w:type="spellEnd"/>
      <w:r w:rsidRPr="00F877BD">
        <w:t>;</w:t>
      </w:r>
    </w:p>
    <w:p w:rsidR="00AF2A36" w:rsidRPr="00F877BD" w:rsidRDefault="00FB0413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>glaucoma nei bambini e negli adolescenti (pediatrico), in associazione ad altri medicinali per il trattamento di questo disturbo (altre terapie antiglaucoma).</w:t>
      </w:r>
    </w:p>
    <w:p w:rsidR="00CF71EE" w:rsidRPr="00F877BD" w:rsidRDefault="00CF71EE" w:rsidP="00F877BD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045A52" w:rsidRPr="00F877BD" w:rsidRDefault="00045A52" w:rsidP="00F877BD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FB041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FB041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B041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FB041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B041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b/>
          <w:bCs/>
          <w:lang w:eastAsia="it-IT"/>
        </w:rPr>
        <w:t>?</w:t>
      </w:r>
    </w:p>
    <w:p w:rsidR="004241AC" w:rsidRPr="00F877BD" w:rsidRDefault="004241AC" w:rsidP="00F877BD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>Il medicinale può essere ottenuto dietro prescrizione da parte del medico (ricetta ripetibile).</w:t>
      </w:r>
    </w:p>
    <w:p w:rsidR="00045A52" w:rsidRPr="00F877BD" w:rsidRDefault="00045A52" w:rsidP="00F877BD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lastRenderedPageBreak/>
        <w:t xml:space="preserve">La dose raccomandata negli adulti (compresi gli anziani) è una goccia </w:t>
      </w:r>
      <w:r w:rsidR="006E1735" w:rsidRPr="00F877BD">
        <w:rPr>
          <w:rFonts w:eastAsia="Calibri" w:cs="Calibri"/>
          <w:lang w:eastAsia="it-IT"/>
        </w:rPr>
        <w:t>due volte</w:t>
      </w:r>
      <w:r w:rsidRPr="00F877BD">
        <w:rPr>
          <w:rFonts w:eastAsia="Calibri" w:cs="Calibri"/>
          <w:lang w:eastAsia="it-IT"/>
        </w:rPr>
        <w:t xml:space="preserve"> al giorno nell’occhio(i) da trattare. </w:t>
      </w:r>
      <w:r w:rsidR="00151BC3" w:rsidRPr="00F877BD">
        <w:t>Se la pressione nell’occhio (</w:t>
      </w:r>
      <w:proofErr w:type="spellStart"/>
      <w:r w:rsidR="00151BC3" w:rsidRPr="00F877BD">
        <w:t>endoculare</w:t>
      </w:r>
      <w:proofErr w:type="spellEnd"/>
      <w:r w:rsidR="00151BC3" w:rsidRPr="00F877BD">
        <w:t>) si mantiene a valori soddisfacenti, generalmente si continua la terapia con una sola somministrazione al giorno.</w:t>
      </w:r>
    </w:p>
    <w:p w:rsidR="00045A52" w:rsidRPr="00F877BD" w:rsidRDefault="00151BC3" w:rsidP="00F877BD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t>L’uso di questo medicinale, nei bambini e negli adolescenti, è indicato solo per alcune forme di glaucoma (glaucoma primario congenito, glaucoma giovanile primario) e per brevi periodi di tempo.</w:t>
      </w:r>
    </w:p>
    <w:p w:rsidR="00045A52" w:rsidRDefault="00045A52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877BD" w:rsidRPr="00F877BD" w:rsidRDefault="00F877BD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877B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91A93" w:rsidRPr="00F877BD" w:rsidRDefault="00151BC3" w:rsidP="00F877BD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8B4301" w:rsidRPr="00F877BD">
        <w:rPr>
          <w:rFonts w:eastAsia="Calibri" w:cs="Calibri"/>
          <w:lang w:eastAsia="it-IT"/>
        </w:rPr>
        <w:t>,</w:t>
      </w:r>
      <w:r w:rsidR="00AC076B" w:rsidRPr="00F877BD">
        <w:rPr>
          <w:rFonts w:eastAsia="Calibri" w:cs="Calibri"/>
          <w:lang w:eastAsia="it-IT"/>
        </w:rPr>
        <w:t xml:space="preserve"> il cui codice ATC è</w:t>
      </w:r>
      <w:r w:rsidR="004C17D6" w:rsidRPr="00F877BD">
        <w:rPr>
          <w:rFonts w:eastAsia="Calibri" w:cs="Calibri"/>
          <w:lang w:eastAsia="it-IT"/>
        </w:rPr>
        <w:t xml:space="preserve"> </w:t>
      </w:r>
      <w:r w:rsidR="00991A93" w:rsidRPr="00F877BD">
        <w:t>S01ED</w:t>
      </w:r>
      <w:r w:rsidRPr="00F877BD">
        <w:t>0</w:t>
      </w:r>
      <w:r w:rsidR="00991A93" w:rsidRPr="00F877BD">
        <w:t>1</w:t>
      </w:r>
      <w:r w:rsidR="00AC076B" w:rsidRPr="00F877BD">
        <w:rPr>
          <w:rFonts w:eastAsia="Calibri" w:cs="Calibri"/>
          <w:lang w:eastAsia="it-IT"/>
        </w:rPr>
        <w:t>,</w:t>
      </w:r>
      <w:r w:rsidR="00045A52" w:rsidRPr="00F877BD">
        <w:rPr>
          <w:rFonts w:eastAsia="Calibri" w:cs="Calibri"/>
          <w:lang w:eastAsia="it-IT"/>
        </w:rPr>
        <w:t xml:space="preserve"> </w:t>
      </w:r>
      <w:r w:rsidR="004241AC" w:rsidRPr="00F877BD">
        <w:rPr>
          <w:rFonts w:eastAsia="Calibri" w:cs="Calibri"/>
          <w:lang w:eastAsia="it-IT"/>
        </w:rPr>
        <w:t>contiene i</w:t>
      </w:r>
      <w:r w:rsidRPr="00F877BD">
        <w:rPr>
          <w:rFonts w:eastAsia="Calibri" w:cs="Calibri"/>
          <w:lang w:eastAsia="it-IT"/>
        </w:rPr>
        <w:t>l</w:t>
      </w:r>
      <w:r w:rsidR="004241AC" w:rsidRPr="00F877BD">
        <w:rPr>
          <w:rFonts w:eastAsia="Calibri" w:cs="Calibri"/>
          <w:lang w:eastAsia="it-IT"/>
        </w:rPr>
        <w:t xml:space="preserve"> principi</w:t>
      </w:r>
      <w:r w:rsidRPr="00F877BD">
        <w:rPr>
          <w:rFonts w:eastAsia="Calibri" w:cs="Calibri"/>
          <w:lang w:eastAsia="it-IT"/>
        </w:rPr>
        <w:t>o</w:t>
      </w:r>
      <w:r w:rsidR="00991A93" w:rsidRPr="00F877BD">
        <w:rPr>
          <w:rFonts w:eastAsia="Calibri" w:cs="Calibri"/>
          <w:lang w:eastAsia="it-IT"/>
        </w:rPr>
        <w:t xml:space="preserve"> attiv</w:t>
      </w:r>
      <w:r w:rsidRPr="00F877BD">
        <w:rPr>
          <w:rFonts w:eastAsia="Calibri" w:cs="Calibri"/>
          <w:lang w:eastAsia="it-IT"/>
        </w:rPr>
        <w:t>o</w:t>
      </w:r>
      <w:r w:rsidR="00991A93" w:rsidRPr="00F877BD">
        <w:rPr>
          <w:rFonts w:eastAsia="Calibri" w:cs="Calibri"/>
          <w:lang w:eastAsia="it-IT"/>
        </w:rPr>
        <w:t xml:space="preserve"> </w:t>
      </w:r>
      <w:proofErr w:type="spellStart"/>
      <w:r w:rsidR="00991A93" w:rsidRPr="00F877BD">
        <w:rPr>
          <w:rFonts w:eastAsia="Calibri" w:cs="Calibri"/>
          <w:lang w:eastAsia="it-IT"/>
        </w:rPr>
        <w:t>timololo</w:t>
      </w:r>
      <w:proofErr w:type="spellEnd"/>
      <w:r w:rsidR="00991A93" w:rsidRPr="00F877BD">
        <w:rPr>
          <w:rFonts w:eastAsia="Calibri" w:cs="Calibri"/>
          <w:lang w:eastAsia="it-IT"/>
        </w:rPr>
        <w:t xml:space="preserve"> </w:t>
      </w:r>
      <w:proofErr w:type="spellStart"/>
      <w:r w:rsidR="00991A93" w:rsidRPr="00F877BD">
        <w:rPr>
          <w:rFonts w:eastAsia="Calibri" w:cs="Calibri"/>
          <w:lang w:eastAsia="it-IT"/>
        </w:rPr>
        <w:t>maleato</w:t>
      </w:r>
      <w:proofErr w:type="spellEnd"/>
      <w:r w:rsidR="00991A93" w:rsidRPr="00F877BD">
        <w:rPr>
          <w:rFonts w:eastAsia="Calibri" w:cs="Calibri"/>
          <w:lang w:eastAsia="it-IT"/>
        </w:rPr>
        <w:t>. Quest</w:t>
      </w:r>
      <w:r w:rsidRPr="00F877BD">
        <w:rPr>
          <w:rFonts w:eastAsia="Calibri" w:cs="Calibri"/>
          <w:lang w:eastAsia="it-IT"/>
        </w:rPr>
        <w:t>o  componente</w:t>
      </w:r>
      <w:r w:rsidR="00991A93" w:rsidRPr="00F877BD">
        <w:rPr>
          <w:rFonts w:eastAsia="Calibri" w:cs="Calibri"/>
          <w:lang w:eastAsia="it-IT"/>
        </w:rPr>
        <w:t xml:space="preserve"> </w:t>
      </w:r>
      <w:r w:rsidRPr="00F877BD">
        <w:rPr>
          <w:rFonts w:eastAsia="Calibri" w:cs="Calibri"/>
          <w:color w:val="000000"/>
          <w:lang w:eastAsia="it-IT"/>
        </w:rPr>
        <w:t>abbassa la pressione intraoculare diminuendo la formazione di umore acqueo nell’occhio; l’abbassamento della pressione intraoculare riduce la probabilità di perdita del campo visivo e di danno a livello del nervo ottico</w:t>
      </w:r>
      <w:r w:rsidR="004C17D6" w:rsidRPr="00F877BD">
        <w:rPr>
          <w:rFonts w:eastAsia="Calibri" w:cs="Calibri"/>
          <w:color w:val="000000"/>
          <w:lang w:eastAsia="it-IT"/>
        </w:rPr>
        <w:t>.</w:t>
      </w:r>
    </w:p>
    <w:p w:rsidR="00CF71EE" w:rsidRPr="00F877BD" w:rsidRDefault="00CF71EE" w:rsidP="00F877BD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40086" w:rsidRPr="00F877BD" w:rsidRDefault="00240086" w:rsidP="00F877BD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b/>
          <w:bCs/>
          <w:lang w:eastAsia="it-IT"/>
        </w:rPr>
        <w:t xml:space="preserve">? </w:t>
      </w:r>
    </w:p>
    <w:p w:rsidR="00555069" w:rsidRPr="00F877BD" w:rsidRDefault="00221FA9" w:rsidP="00F877BD">
      <w:pPr>
        <w:spacing w:after="0" w:line="240" w:lineRule="auto"/>
        <w:jc w:val="both"/>
        <w:rPr>
          <w:rFonts w:cs="Arial"/>
        </w:rPr>
      </w:pPr>
      <w:r w:rsidRPr="00F877BD">
        <w:t xml:space="preserve">Poiché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Pr="00F877BD">
        <w:t xml:space="preserve"> è un medicinale generico ed è somministrato come collirio (soluzione oftalmica)</w:t>
      </w:r>
      <w:r w:rsidR="00E92697" w:rsidRPr="00F877BD">
        <w:t xml:space="preserve"> ed è stata</w:t>
      </w:r>
      <w:r w:rsidR="00E92697" w:rsidRPr="00F877BD">
        <w:rPr>
          <w:rFonts w:cs="Arial"/>
        </w:rPr>
        <w:t xml:space="preserve"> dimostrata la sovrapponibilità delle caratteristiche chimico-fisiche con il medicinale di riferimento </w:t>
      </w:r>
      <w:proofErr w:type="spellStart"/>
      <w:r w:rsidR="00151BC3" w:rsidRPr="00F877BD">
        <w:rPr>
          <w:rFonts w:cs="Arial"/>
        </w:rPr>
        <w:t>Timoptol</w:t>
      </w:r>
      <w:proofErr w:type="spellEnd"/>
      <w:r w:rsidR="00E92697" w:rsidRPr="00F877BD">
        <w:t>,</w:t>
      </w:r>
      <w:r w:rsidR="004C17D6" w:rsidRPr="00F877BD">
        <w:rPr>
          <w:rFonts w:cs="Arial"/>
        </w:rPr>
        <w:t xml:space="preserve"> </w:t>
      </w:r>
      <w:r w:rsidRPr="00F877BD">
        <w:rPr>
          <w:rFonts w:cs="Arial"/>
        </w:rPr>
        <w:t>non è stato necessario effettuare ulteriori studi clinic</w:t>
      </w:r>
      <w:r w:rsidR="00E92697" w:rsidRPr="00F877BD">
        <w:rPr>
          <w:rFonts w:cs="Arial"/>
        </w:rPr>
        <w:t>i.</w:t>
      </w:r>
    </w:p>
    <w:p w:rsidR="00E92697" w:rsidRPr="00F877BD" w:rsidRDefault="00E92697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40086" w:rsidRPr="00F877BD" w:rsidRDefault="00240086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B2B4C" w:rsidRPr="00F877BD" w:rsidRDefault="009B2B4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b/>
          <w:lang w:eastAsia="it-IT"/>
        </w:rPr>
        <w:t>?</w:t>
      </w:r>
    </w:p>
    <w:p w:rsidR="009B2B4C" w:rsidRPr="00F877BD" w:rsidRDefault="00151BC3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240086" w:rsidRPr="00F877BD">
        <w:rPr>
          <w:rFonts w:eastAsia="Calibri" w:cs="Calibri"/>
          <w:color w:val="000000"/>
          <w:lang w:eastAsia="it-IT"/>
        </w:rPr>
        <w:t xml:space="preserve"> </w:t>
      </w:r>
      <w:r w:rsidR="009B2B4C" w:rsidRPr="00F877BD">
        <w:rPr>
          <w:rFonts w:eastAsia="Calibri" w:cs="Calibri"/>
          <w:lang w:eastAsia="it-IT"/>
        </w:rPr>
        <w:t xml:space="preserve">è un medicinale generico ed è </w:t>
      </w:r>
      <w:proofErr w:type="spellStart"/>
      <w:r w:rsidRPr="00F877BD">
        <w:rPr>
          <w:rFonts w:eastAsia="Calibri" w:cs="Calibri"/>
          <w:lang w:eastAsia="it-IT"/>
        </w:rPr>
        <w:t>terapeuticamente</w:t>
      </w:r>
      <w:proofErr w:type="spellEnd"/>
      <w:r w:rsidRPr="00F877BD">
        <w:rPr>
          <w:rFonts w:eastAsia="Calibri" w:cs="Calibri"/>
          <w:lang w:eastAsia="it-IT"/>
        </w:rPr>
        <w:t xml:space="preserve"> </w:t>
      </w:r>
      <w:r w:rsidR="009B2B4C" w:rsidRPr="00F877BD">
        <w:rPr>
          <w:rFonts w:eastAsia="Calibri" w:cs="Calibri"/>
          <w:lang w:eastAsia="it-IT"/>
        </w:rPr>
        <w:t>equivalente al medicinale di riferimento; pertanto,</w:t>
      </w:r>
      <w:r w:rsidR="00240086" w:rsidRPr="00F877BD">
        <w:rPr>
          <w:rFonts w:eastAsia="Calibri" w:cs="Calibri"/>
          <w:lang w:eastAsia="it-IT"/>
        </w:rPr>
        <w:t xml:space="preserve"> </w:t>
      </w:r>
      <w:r w:rsidR="009B2B4C" w:rsidRPr="00F877BD">
        <w:rPr>
          <w:rFonts w:eastAsia="Calibri" w:cs="Calibri"/>
          <w:lang w:eastAsia="it-IT"/>
        </w:rPr>
        <w:t xml:space="preserve">i suoi benefici e rischi sono sovrapponibili a quelli del medicinale di riferimento. </w:t>
      </w:r>
    </w:p>
    <w:p w:rsidR="004241AC" w:rsidRPr="00F877BD" w:rsidRDefault="004241AC" w:rsidP="00F877BD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240086" w:rsidRPr="00F877BD">
        <w:rPr>
          <w:rFonts w:eastAsia="Calibri" w:cs="Calibri"/>
          <w:b/>
          <w:color w:val="000000"/>
          <w:lang w:eastAsia="it-IT"/>
        </w:rPr>
        <w:t xml:space="preserve"> </w:t>
      </w:r>
      <w:r w:rsidRPr="00F877B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93AFA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 xml:space="preserve">La </w:t>
      </w:r>
      <w:r w:rsidR="008C1038" w:rsidRPr="00F877BD">
        <w:rPr>
          <w:rFonts w:eastAsia="Calibri" w:cs="Calibri"/>
          <w:lang w:eastAsia="it-IT"/>
        </w:rPr>
        <w:t>Commissione Tecnico Scientifica (CTS),</w:t>
      </w:r>
      <w:r w:rsidR="008E108A" w:rsidRPr="00F877BD">
        <w:rPr>
          <w:rFonts w:eastAsia="Calibri" w:cs="Calibri"/>
          <w:lang w:eastAsia="it-IT"/>
        </w:rPr>
        <w:t xml:space="preserve"> </w:t>
      </w:r>
      <w:r w:rsidR="008C1038" w:rsidRPr="00F877BD">
        <w:rPr>
          <w:rFonts w:eastAsia="Calibri" w:cs="Calibri"/>
          <w:lang w:eastAsia="it-IT"/>
        </w:rPr>
        <w:t>nella seduta del</w:t>
      </w:r>
      <w:r w:rsidR="008E108A" w:rsidRPr="00F877BD">
        <w:rPr>
          <w:rFonts w:eastAsia="Calibri" w:cs="Calibri"/>
          <w:lang w:eastAsia="it-IT"/>
        </w:rPr>
        <w:t xml:space="preserve"> </w:t>
      </w:r>
      <w:r w:rsidR="00E76FEE" w:rsidRPr="00F877BD">
        <w:rPr>
          <w:rFonts w:eastAsia="Calibri" w:cs="Calibri"/>
          <w:lang w:eastAsia="it-IT"/>
        </w:rPr>
        <w:t>13-15 Marzo 2017</w:t>
      </w:r>
      <w:r w:rsidRPr="00F877BD">
        <w:rPr>
          <w:rFonts w:eastAsia="Calibri" w:cs="Calibri"/>
          <w:lang w:eastAsia="it-IT"/>
        </w:rPr>
        <w:t>,</w:t>
      </w:r>
      <w:r w:rsidR="00E76FEE" w:rsidRPr="00F877BD">
        <w:rPr>
          <w:rFonts w:eastAsia="Calibri" w:cs="Calibri"/>
          <w:lang w:eastAsia="it-IT"/>
        </w:rPr>
        <w:t xml:space="preserve"> </w:t>
      </w:r>
      <w:r w:rsidRPr="00F877BD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240086" w:rsidRPr="00F877BD">
        <w:rPr>
          <w:rFonts w:eastAsia="Calibri" w:cs="Calibri"/>
          <w:color w:val="000000"/>
          <w:lang w:eastAsia="it-IT"/>
        </w:rPr>
        <w:t xml:space="preserve">, come nel caso del medicinale di riferimento, </w:t>
      </w:r>
      <w:r w:rsidR="00240086" w:rsidRPr="00F877BD">
        <w:rPr>
          <w:rFonts w:eastAsia="Calibri" w:cs="Calibri"/>
          <w:lang w:eastAsia="it-IT"/>
        </w:rPr>
        <w:t xml:space="preserve">sono </w:t>
      </w:r>
      <w:r w:rsidRPr="00F877BD">
        <w:rPr>
          <w:rFonts w:eastAsia="Calibri" w:cs="Calibri"/>
          <w:lang w:eastAsia="it-IT"/>
        </w:rPr>
        <w:t xml:space="preserve">superiori ai rischi individuati. La </w:t>
      </w:r>
      <w:r w:rsidR="008C1038" w:rsidRPr="00F877BD">
        <w:rPr>
          <w:rFonts w:eastAsia="Calibri" w:cs="Calibri"/>
          <w:lang w:eastAsia="it-IT"/>
        </w:rPr>
        <w:t>CTS</w:t>
      </w:r>
      <w:r w:rsidRPr="00F877BD">
        <w:rPr>
          <w:rFonts w:eastAsia="Calibri" w:cs="Calibri"/>
          <w:lang w:eastAsia="it-IT"/>
        </w:rPr>
        <w:t xml:space="preserve"> ha, inoltre,</w:t>
      </w:r>
      <w:r w:rsidR="004C17D6" w:rsidRPr="00F877BD">
        <w:rPr>
          <w:rFonts w:eastAsia="Calibri" w:cs="Calibri"/>
          <w:lang w:eastAsia="it-IT"/>
        </w:rPr>
        <w:t xml:space="preserve"> </w:t>
      </w:r>
      <w:r w:rsidRPr="00F877BD">
        <w:rPr>
          <w:rFonts w:eastAsia="Calibri" w:cs="Calibri"/>
          <w:lang w:eastAsia="it-IT"/>
        </w:rPr>
        <w:t>definito le modalità d</w:t>
      </w:r>
      <w:r w:rsidR="00B849DC" w:rsidRPr="00F877BD">
        <w:rPr>
          <w:rFonts w:eastAsia="Calibri" w:cs="Calibri"/>
          <w:lang w:eastAsia="it-IT"/>
        </w:rPr>
        <w:t xml:space="preserve">i prescrizione di cui al punto </w:t>
      </w:r>
      <w:r w:rsidRPr="00F877BD">
        <w:rPr>
          <w:rFonts w:eastAsia="Calibri" w:cs="Calibri"/>
          <w:lang w:eastAsia="it-IT"/>
        </w:rPr>
        <w:t>2) di questo Riassunto e la classe di rimborsabilità del medicinale</w:t>
      </w:r>
      <w:r w:rsidR="00C93AFA">
        <w:rPr>
          <w:rFonts w:eastAsia="Calibri" w:cs="Calibri"/>
          <w:lang w:eastAsia="it-IT"/>
        </w:rPr>
        <w:t xml:space="preserve"> (A).</w:t>
      </w:r>
      <w:r w:rsidR="008E108A" w:rsidRPr="00F877BD">
        <w:rPr>
          <w:rFonts w:eastAsia="Calibri" w:cs="Calibri"/>
          <w:lang w:eastAsia="it-IT"/>
        </w:rPr>
        <w:t xml:space="preserve"> </w:t>
      </w: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E92697" w:rsidRPr="00F877BD" w:rsidRDefault="00E92697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877BD">
        <w:rPr>
          <w:rFonts w:eastAsia="Calibri" w:cs="Calibri"/>
          <w:b/>
          <w:bCs/>
          <w:lang w:eastAsia="it-IT"/>
        </w:rPr>
        <w:t>DI</w:t>
      </w:r>
      <w:proofErr w:type="spellEnd"/>
      <w:r w:rsidRPr="00F877B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b/>
          <w:bCs/>
          <w:color w:val="000000"/>
          <w:lang w:eastAsia="it-IT"/>
        </w:rPr>
        <w:t>?</w:t>
      </w:r>
    </w:p>
    <w:p w:rsidR="008C1038" w:rsidRPr="00F877BD" w:rsidRDefault="008C1038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Pr="00F877BD">
        <w:rPr>
          <w:rFonts w:eastAsia="Calibri" w:cs="Calibri"/>
          <w:lang w:eastAsia="it-IT"/>
        </w:rPr>
        <w:t>.</w:t>
      </w:r>
    </w:p>
    <w:p w:rsidR="008C1038" w:rsidRPr="00F877BD" w:rsidRDefault="008C1038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b/>
          <w:color w:val="000000"/>
          <w:lang w:eastAsia="it-IT"/>
        </w:rPr>
        <w:t>Pharma</w:t>
      </w:r>
      <w:proofErr w:type="spellEnd"/>
    </w:p>
    <w:p w:rsidR="004241AC" w:rsidRPr="00F877BD" w:rsidRDefault="0074438A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877BD">
        <w:rPr>
          <w:rFonts w:eastAsia="Calibri" w:cs="Calibri"/>
          <w:bCs/>
          <w:iCs/>
          <w:lang w:eastAsia="it-IT"/>
        </w:rPr>
        <w:t xml:space="preserve">Il </w:t>
      </w:r>
      <w:r w:rsidR="00A30CA9">
        <w:rPr>
          <w:rFonts w:eastAsia="Calibri" w:cs="Calibri"/>
          <w:bCs/>
          <w:iCs/>
          <w:lang w:eastAsia="it-IT"/>
        </w:rPr>
        <w:t>10/04/2018 l’</w:t>
      </w:r>
      <w:r w:rsidR="00EC4E99" w:rsidRPr="00F877BD">
        <w:rPr>
          <w:rFonts w:eastAsia="Calibri" w:cs="Calibri"/>
          <w:bCs/>
          <w:iCs/>
          <w:lang w:eastAsia="it-IT"/>
        </w:rPr>
        <w:t>AIFA</w:t>
      </w:r>
      <w:r w:rsidR="004241AC" w:rsidRPr="00F877BD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4241AC" w:rsidRPr="00F877BD">
        <w:rPr>
          <w:rFonts w:eastAsia="Calibri" w:cs="Calibri"/>
          <w:bCs/>
          <w:lang w:eastAsia="it-IT"/>
        </w:rPr>
        <w:t xml:space="preserve">. </w:t>
      </w:r>
    </w:p>
    <w:p w:rsidR="00240086" w:rsidRPr="00F877BD" w:rsidRDefault="00240086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40086" w:rsidRPr="00F877BD" w:rsidRDefault="001B7D19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877BD" w:rsidRDefault="004241AC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151BC3" w:rsidRPr="00F877BD">
        <w:rPr>
          <w:rFonts w:eastAsia="Calibri" w:cs="Calibri"/>
          <w:lang w:eastAsia="it-IT"/>
        </w:rPr>
        <w:t xml:space="preserve"> </w:t>
      </w:r>
      <w:r w:rsidRPr="00F877BD">
        <w:rPr>
          <w:rFonts w:eastAsia="Calibri" w:cs="Calibri"/>
          <w:lang w:eastAsia="it-IT"/>
        </w:rPr>
        <w:t>si può leggere il foglio illustrativo</w:t>
      </w:r>
      <w:r w:rsidR="004C17D6" w:rsidRPr="00F877BD">
        <w:rPr>
          <w:rFonts w:eastAsia="Calibri" w:cs="Calibri"/>
          <w:lang w:eastAsia="it-IT"/>
        </w:rPr>
        <w:t xml:space="preserve"> </w:t>
      </w:r>
      <w:r w:rsidR="00686B6F" w:rsidRPr="00F877BD">
        <w:rPr>
          <w:rFonts w:eastAsia="Calibri" w:cs="Calibri"/>
          <w:lang w:eastAsia="it-IT"/>
        </w:rPr>
        <w:t>(</w:t>
      </w:r>
      <w:hyperlink r:id="rId7" w:history="1">
        <w:r w:rsidR="00686B6F" w:rsidRPr="00F877B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F877BD">
        <w:rPr>
          <w:rFonts w:eastAsia="Calibri" w:cs="Calibri"/>
          <w:lang w:eastAsia="it-IT"/>
        </w:rPr>
        <w:t>)</w:t>
      </w:r>
      <w:r w:rsidR="004C17D6" w:rsidRPr="00F877BD">
        <w:rPr>
          <w:rFonts w:eastAsia="Calibri" w:cs="Calibri"/>
          <w:lang w:eastAsia="it-IT"/>
        </w:rPr>
        <w:t xml:space="preserve"> </w:t>
      </w:r>
      <w:r w:rsidRPr="00F877BD">
        <w:rPr>
          <w:rFonts w:eastAsia="Calibri" w:cs="Calibri"/>
          <w:lang w:eastAsia="it-IT"/>
        </w:rPr>
        <w:t xml:space="preserve">o contattare il medico o </w:t>
      </w:r>
      <w:r w:rsidR="009B03DB" w:rsidRPr="00F877BD">
        <w:rPr>
          <w:rFonts w:eastAsia="Calibri" w:cs="Calibri"/>
          <w:lang w:eastAsia="it-IT"/>
        </w:rPr>
        <w:t xml:space="preserve">il </w:t>
      </w:r>
      <w:r w:rsidRPr="00F877BD">
        <w:rPr>
          <w:rFonts w:eastAsia="Calibri" w:cs="Calibri"/>
          <w:lang w:eastAsia="it-IT"/>
        </w:rPr>
        <w:t xml:space="preserve">farmacista. </w:t>
      </w:r>
    </w:p>
    <w:p w:rsidR="004241AC" w:rsidRPr="00F877BD" w:rsidRDefault="004241AC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877BD" w:rsidRDefault="004241AC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956E9" w:rsidRPr="00F877BD" w:rsidRDefault="004241AC" w:rsidP="00F877BD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 xml:space="preserve">Questo riassunto è stato redatto in </w:t>
      </w:r>
      <w:r w:rsidR="00151BC3" w:rsidRPr="00F877BD">
        <w:rPr>
          <w:rFonts w:eastAsia="Calibri" w:cs="Calibri"/>
          <w:lang w:eastAsia="it-IT"/>
        </w:rPr>
        <w:t>11</w:t>
      </w:r>
      <w:r w:rsidR="00E92697" w:rsidRPr="00F877BD">
        <w:rPr>
          <w:rFonts w:eastAsia="Calibri" w:cs="Calibri"/>
          <w:lang w:eastAsia="it-IT"/>
        </w:rPr>
        <w:t>.0</w:t>
      </w:r>
      <w:r w:rsidR="00151BC3" w:rsidRPr="00F877BD">
        <w:rPr>
          <w:rFonts w:eastAsia="Calibri" w:cs="Calibri"/>
          <w:lang w:eastAsia="it-IT"/>
        </w:rPr>
        <w:t>4</w:t>
      </w:r>
      <w:r w:rsidR="00E92697" w:rsidRPr="00F877BD">
        <w:rPr>
          <w:rFonts w:eastAsia="Calibri" w:cs="Calibri"/>
          <w:lang w:eastAsia="it-IT"/>
        </w:rPr>
        <w:t>.2</w:t>
      </w:r>
      <w:r w:rsidR="00803D08" w:rsidRPr="00F877BD">
        <w:rPr>
          <w:rFonts w:eastAsia="Calibri" w:cs="Calibri"/>
          <w:lang w:eastAsia="it-IT"/>
        </w:rPr>
        <w:t>01</w:t>
      </w:r>
      <w:r w:rsidR="00151BC3" w:rsidRPr="00F877BD">
        <w:rPr>
          <w:rFonts w:eastAsia="Calibri" w:cs="Calibri"/>
          <w:lang w:eastAsia="it-IT"/>
        </w:rPr>
        <w:t>7</w:t>
      </w:r>
    </w:p>
    <w:p w:rsidR="00151BC3" w:rsidRPr="00F877BD" w:rsidRDefault="00151BC3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92697" w:rsidRDefault="00E92697" w:rsidP="00F877BD">
      <w:pPr>
        <w:spacing w:after="0" w:line="240" w:lineRule="auto"/>
        <w:jc w:val="center"/>
        <w:rPr>
          <w:rFonts w:eastAsia="Calibri" w:cs="Calibri"/>
          <w:lang w:eastAsia="it-IT"/>
        </w:rPr>
      </w:pPr>
    </w:p>
    <w:p w:rsidR="00F877BD" w:rsidRDefault="00F877BD" w:rsidP="00F877BD">
      <w:pPr>
        <w:spacing w:after="0" w:line="240" w:lineRule="auto"/>
        <w:jc w:val="center"/>
        <w:rPr>
          <w:rFonts w:eastAsia="Calibri" w:cs="Calibri"/>
          <w:lang w:eastAsia="it-IT"/>
        </w:rPr>
      </w:pPr>
    </w:p>
    <w:p w:rsidR="00F877BD" w:rsidRDefault="00F877BD" w:rsidP="00F877BD">
      <w:pPr>
        <w:spacing w:after="0" w:line="240" w:lineRule="auto"/>
        <w:jc w:val="center"/>
        <w:rPr>
          <w:rFonts w:eastAsia="Calibri" w:cs="Calibri"/>
          <w:lang w:eastAsia="it-IT"/>
        </w:rPr>
      </w:pPr>
    </w:p>
    <w:p w:rsidR="00F877BD" w:rsidRDefault="00F877BD" w:rsidP="00F877BD">
      <w:pPr>
        <w:spacing w:after="0" w:line="240" w:lineRule="auto"/>
        <w:jc w:val="center"/>
        <w:rPr>
          <w:rFonts w:eastAsia="Calibri" w:cs="Calibri"/>
          <w:lang w:eastAsia="it-IT"/>
        </w:rPr>
      </w:pPr>
    </w:p>
    <w:p w:rsidR="00F877BD" w:rsidRPr="00F877BD" w:rsidRDefault="00F877BD" w:rsidP="00F877BD">
      <w:pPr>
        <w:spacing w:after="0" w:line="240" w:lineRule="auto"/>
        <w:jc w:val="center"/>
        <w:rPr>
          <w:rFonts w:eastAsia="Calibri" w:cs="Calibri"/>
          <w:lang w:eastAsia="it-IT"/>
        </w:rPr>
      </w:pPr>
    </w:p>
    <w:p w:rsidR="001B7D19" w:rsidRPr="00F877BD" w:rsidRDefault="001B7D19" w:rsidP="00F877BD">
      <w:pPr>
        <w:spacing w:after="0" w:line="240" w:lineRule="auto"/>
        <w:jc w:val="center"/>
        <w:rPr>
          <w:b/>
          <w:sz w:val="24"/>
        </w:rPr>
      </w:pPr>
      <w:r w:rsidRPr="00F877BD">
        <w:rPr>
          <w:b/>
          <w:sz w:val="24"/>
        </w:rPr>
        <w:t xml:space="preserve">RELAZIONE PUBBLICA </w:t>
      </w:r>
      <w:proofErr w:type="spellStart"/>
      <w:r w:rsidRPr="00F877BD">
        <w:rPr>
          <w:b/>
          <w:sz w:val="24"/>
        </w:rPr>
        <w:t>DI</w:t>
      </w:r>
      <w:proofErr w:type="spellEnd"/>
      <w:r w:rsidRPr="00F877BD">
        <w:rPr>
          <w:b/>
          <w:sz w:val="24"/>
        </w:rPr>
        <w:t xml:space="preserve"> VALUTAZIONE</w:t>
      </w:r>
    </w:p>
    <w:p w:rsidR="001B7D19" w:rsidRPr="00F877BD" w:rsidRDefault="001B7D19" w:rsidP="00F877BD">
      <w:pPr>
        <w:spacing w:after="0" w:line="240" w:lineRule="auto"/>
        <w:jc w:val="center"/>
        <w:rPr>
          <w:b/>
        </w:rPr>
      </w:pPr>
    </w:p>
    <w:p w:rsidR="001B7D19" w:rsidRPr="00F877BD" w:rsidRDefault="001B7D19" w:rsidP="00F877BD">
      <w:pPr>
        <w:spacing w:after="0" w:line="240" w:lineRule="auto"/>
        <w:jc w:val="center"/>
        <w:rPr>
          <w:b/>
        </w:rPr>
      </w:pPr>
    </w:p>
    <w:p w:rsidR="001B7D19" w:rsidRPr="00F877BD" w:rsidRDefault="001B7D19" w:rsidP="00F877BD">
      <w:pPr>
        <w:spacing w:after="0" w:line="240" w:lineRule="auto"/>
        <w:jc w:val="center"/>
        <w:rPr>
          <w:b/>
        </w:rPr>
      </w:pPr>
    </w:p>
    <w:p w:rsidR="001B7D19" w:rsidRPr="00F877BD" w:rsidRDefault="001B7D19" w:rsidP="00F877BD">
      <w:pPr>
        <w:spacing w:after="0" w:line="240" w:lineRule="auto"/>
        <w:jc w:val="center"/>
        <w:rPr>
          <w:b/>
        </w:rPr>
      </w:pPr>
    </w:p>
    <w:p w:rsidR="001B7D19" w:rsidRPr="00F877BD" w:rsidRDefault="001B7D19" w:rsidP="00F877BD">
      <w:pPr>
        <w:spacing w:after="0" w:line="240" w:lineRule="auto"/>
        <w:jc w:val="center"/>
        <w:rPr>
          <w:b/>
        </w:rPr>
      </w:pPr>
      <w:r w:rsidRPr="00F877BD">
        <w:rPr>
          <w:b/>
        </w:rPr>
        <w:t>INDICE</w:t>
      </w: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F877BD">
        <w:rPr>
          <w:b/>
        </w:rPr>
        <w:t>INTRODUZIONE</w:t>
      </w: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F877BD">
        <w:rPr>
          <w:b/>
        </w:rPr>
        <w:t>ASPETTI DI QUALITA’</w:t>
      </w:r>
    </w:p>
    <w:p w:rsidR="001B7D19" w:rsidRPr="00F877BD" w:rsidRDefault="001B7D19" w:rsidP="00F877BD">
      <w:pPr>
        <w:pStyle w:val="Paragrafoelenco"/>
        <w:spacing w:after="0" w:line="240" w:lineRule="auto"/>
        <w:rPr>
          <w:b/>
        </w:rPr>
      </w:pPr>
    </w:p>
    <w:p w:rsidR="001B7D19" w:rsidRPr="00F877BD" w:rsidRDefault="001B7D19" w:rsidP="00F877B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F877BD">
        <w:rPr>
          <w:b/>
        </w:rPr>
        <w:t>ASPETTI NON CLINICI</w:t>
      </w:r>
    </w:p>
    <w:p w:rsidR="001B7D19" w:rsidRPr="00F877BD" w:rsidRDefault="001B7D19" w:rsidP="00F877BD">
      <w:pPr>
        <w:pStyle w:val="Paragrafoelenco"/>
        <w:spacing w:after="0" w:line="240" w:lineRule="auto"/>
        <w:rPr>
          <w:b/>
        </w:rPr>
      </w:pPr>
    </w:p>
    <w:p w:rsidR="001B7D19" w:rsidRPr="00F877BD" w:rsidRDefault="001B7D19" w:rsidP="00F877B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F877BD">
        <w:rPr>
          <w:b/>
        </w:rPr>
        <w:t>ASPETTI CLINICI</w:t>
      </w:r>
    </w:p>
    <w:p w:rsidR="001B7D19" w:rsidRPr="00F877BD" w:rsidRDefault="001B7D19" w:rsidP="00F877BD">
      <w:pPr>
        <w:pStyle w:val="Paragrafoelenco"/>
        <w:spacing w:after="0" w:line="240" w:lineRule="auto"/>
        <w:rPr>
          <w:b/>
        </w:rPr>
      </w:pPr>
    </w:p>
    <w:p w:rsidR="001B7D19" w:rsidRPr="00F877BD" w:rsidRDefault="001B7D19" w:rsidP="00F877B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F877BD">
        <w:rPr>
          <w:b/>
        </w:rPr>
        <w:t>CONSULTAZIONE SUL FOGLIO ILLUSTRATIVO</w:t>
      </w:r>
    </w:p>
    <w:p w:rsidR="001B7D19" w:rsidRPr="00F877BD" w:rsidRDefault="001B7D19" w:rsidP="00F877BD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1B7D19" w:rsidRPr="00F877BD" w:rsidRDefault="001B7D19" w:rsidP="00F877B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F877BD">
        <w:rPr>
          <w:b/>
        </w:rPr>
        <w:t>CONCLUSIONI, VALUTAZIONE DEL RAPPORTO BENEFICIO/RISCHIO E RACCOMANDAZIONI</w:t>
      </w:r>
    </w:p>
    <w:p w:rsidR="001B7D19" w:rsidRPr="00F877BD" w:rsidRDefault="001B7D19" w:rsidP="00F877BD">
      <w:pPr>
        <w:spacing w:after="0" w:line="240" w:lineRule="auto"/>
      </w:pPr>
    </w:p>
    <w:p w:rsidR="001B7D19" w:rsidRPr="00F877BD" w:rsidRDefault="001B7D19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B7D19" w:rsidRPr="00F877BD" w:rsidRDefault="001B7D19" w:rsidP="00F877B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B7D19" w:rsidRPr="00F877BD" w:rsidRDefault="001B7D19" w:rsidP="00F877BD">
      <w:pPr>
        <w:spacing w:after="0" w:line="240" w:lineRule="auto"/>
        <w:jc w:val="both"/>
      </w:pPr>
    </w:p>
    <w:p w:rsidR="009A260F" w:rsidRPr="00F877BD" w:rsidRDefault="009A260F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1B7D19" w:rsidRPr="00F877BD" w:rsidRDefault="001B7D19" w:rsidP="00F877BD">
      <w:pPr>
        <w:spacing w:after="0" w:line="240" w:lineRule="auto"/>
        <w:jc w:val="both"/>
      </w:pPr>
    </w:p>
    <w:p w:rsidR="00803D08" w:rsidRPr="00F877BD" w:rsidRDefault="00803D08" w:rsidP="00F877BD">
      <w:pPr>
        <w:spacing w:after="0" w:line="240" w:lineRule="auto"/>
        <w:rPr>
          <w:b/>
        </w:rPr>
      </w:pPr>
      <w:r w:rsidRPr="00F877BD">
        <w:rPr>
          <w:b/>
        </w:rPr>
        <w:br w:type="page"/>
      </w:r>
    </w:p>
    <w:p w:rsidR="00242BC3" w:rsidRPr="00F877BD" w:rsidRDefault="00242BC3" w:rsidP="00F877B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877BD">
        <w:rPr>
          <w:b/>
        </w:rPr>
        <w:lastRenderedPageBreak/>
        <w:t>INTRODUZIONE</w:t>
      </w:r>
    </w:p>
    <w:p w:rsidR="00242BC3" w:rsidRDefault="00242BC3" w:rsidP="00F877BD">
      <w:pPr>
        <w:autoSpaceDE w:val="0"/>
        <w:autoSpaceDN w:val="0"/>
        <w:adjustRightInd w:val="0"/>
        <w:spacing w:after="0" w:line="240" w:lineRule="auto"/>
        <w:jc w:val="both"/>
      </w:pPr>
      <w:r w:rsidRPr="00F877BD">
        <w:t xml:space="preserve">Sulla base dei dati di qualità, sicurezza ed efficacia, l’AIFA ha rilasciato a </w:t>
      </w:r>
      <w:proofErr w:type="spellStart"/>
      <w:r w:rsidR="00151BC3" w:rsidRPr="00F877BD">
        <w:t>Tubilux</w:t>
      </w:r>
      <w:proofErr w:type="spellEnd"/>
      <w:r w:rsidR="00EC4E99" w:rsidRPr="00F877BD">
        <w:t xml:space="preserve"> </w:t>
      </w:r>
      <w:proofErr w:type="spellStart"/>
      <w:r w:rsidR="00EC4E99" w:rsidRPr="00F877BD">
        <w:t>Pharma</w:t>
      </w:r>
      <w:proofErr w:type="spellEnd"/>
      <w:r w:rsidR="00EC4E99" w:rsidRPr="00F877BD">
        <w:t xml:space="preserve"> </w:t>
      </w:r>
      <w:r w:rsidRPr="00F877BD">
        <w:t xml:space="preserve">l’autorizzazione all’immissione in commercio (AIC) per il medicinale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="00151BC3"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51BC3"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Pr="00F877BD">
        <w:t xml:space="preserve"> il</w:t>
      </w:r>
      <w:r w:rsidR="0074438A" w:rsidRPr="00F877BD">
        <w:t xml:space="preserve"> </w:t>
      </w:r>
      <w:r w:rsidR="00A30CA9">
        <w:t>10/04/2018.</w:t>
      </w:r>
    </w:p>
    <w:p w:rsidR="00A30CA9" w:rsidRPr="00F877BD" w:rsidRDefault="00A30CA9" w:rsidP="00F877BD">
      <w:pPr>
        <w:autoSpaceDE w:val="0"/>
        <w:autoSpaceDN w:val="0"/>
        <w:adjustRightInd w:val="0"/>
        <w:spacing w:after="0" w:line="240" w:lineRule="auto"/>
        <w:jc w:val="both"/>
      </w:pPr>
    </w:p>
    <w:p w:rsidR="00242BC3" w:rsidRPr="00F877BD" w:rsidRDefault="00151BC3" w:rsidP="00F877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1B7D19" w:rsidRPr="00F877BD">
        <w:rPr>
          <w:rFonts w:eastAsia="Calibri" w:cs="Calibri"/>
          <w:color w:val="000000"/>
          <w:lang w:eastAsia="it-IT"/>
        </w:rPr>
        <w:t xml:space="preserve"> </w:t>
      </w:r>
      <w:r w:rsidR="00242BC3" w:rsidRPr="00F877BD">
        <w:rPr>
          <w:rFonts w:eastAsia="Calibri" w:cs="Calibri"/>
          <w:color w:val="000000"/>
          <w:lang w:eastAsia="it-IT"/>
        </w:rPr>
        <w:t>può essere ottenuto dietro prescrizione da parte del medico (ricetta ripetibile).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  <w:r w:rsidRPr="00F877BD">
        <w:t>Questa procedura è stata presentata ai sensi dell’art. 10(</w:t>
      </w:r>
      <w:r w:rsidR="00EC4E99" w:rsidRPr="00F877BD">
        <w:t>3</w:t>
      </w:r>
      <w:r w:rsidRPr="00F877BD">
        <w:t xml:space="preserve">) della Direttiva 2001/83/EU </w:t>
      </w:r>
      <w:proofErr w:type="spellStart"/>
      <w:r w:rsidRPr="00F877BD">
        <w:t>s.m.i.</w:t>
      </w:r>
      <w:proofErr w:type="spellEnd"/>
    </w:p>
    <w:p w:rsidR="00242BC3" w:rsidRPr="00F877BD" w:rsidRDefault="00242BC3" w:rsidP="00F877BD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42BC3" w:rsidRPr="00F877BD" w:rsidRDefault="00151BC3" w:rsidP="00F877BD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1B7D19" w:rsidRPr="00F877BD">
        <w:rPr>
          <w:rFonts w:eastAsia="Calibri" w:cs="Calibri"/>
          <w:bCs/>
          <w:color w:val="000000"/>
          <w:lang w:eastAsia="it-IT"/>
        </w:rPr>
        <w:t xml:space="preserve"> </w:t>
      </w:r>
      <w:r w:rsidR="00242BC3" w:rsidRPr="00F877BD">
        <w:rPr>
          <w:rFonts w:eastAsia="Calibri" w:cs="Calibri"/>
          <w:bCs/>
          <w:color w:val="000000"/>
          <w:lang w:eastAsia="it-IT"/>
        </w:rPr>
        <w:t>è un medicinale generico contenente i</w:t>
      </w:r>
      <w:r w:rsidRPr="00F877BD">
        <w:rPr>
          <w:rFonts w:eastAsia="Calibri" w:cs="Calibri"/>
          <w:bCs/>
          <w:color w:val="000000"/>
          <w:lang w:eastAsia="it-IT"/>
        </w:rPr>
        <w:t>l</w:t>
      </w:r>
      <w:r w:rsidR="00242BC3" w:rsidRPr="00F877BD">
        <w:rPr>
          <w:rFonts w:eastAsia="Calibri" w:cs="Calibri"/>
          <w:bCs/>
          <w:color w:val="000000"/>
          <w:lang w:eastAsia="it-IT"/>
        </w:rPr>
        <w:t xml:space="preserve"> principi</w:t>
      </w:r>
      <w:r w:rsidRPr="00F877BD">
        <w:rPr>
          <w:rFonts w:eastAsia="Calibri" w:cs="Calibri"/>
          <w:bCs/>
          <w:color w:val="000000"/>
          <w:lang w:eastAsia="it-IT"/>
        </w:rPr>
        <w:t>o</w:t>
      </w:r>
      <w:r w:rsidR="00242BC3" w:rsidRPr="00F877BD">
        <w:rPr>
          <w:rFonts w:eastAsia="Calibri" w:cs="Calibri"/>
          <w:bCs/>
          <w:color w:val="000000"/>
          <w:lang w:eastAsia="it-IT"/>
        </w:rPr>
        <w:t xml:space="preserve"> attiv</w:t>
      </w:r>
      <w:r w:rsidRPr="00F877BD">
        <w:rPr>
          <w:rFonts w:eastAsia="Calibri" w:cs="Calibri"/>
          <w:bCs/>
          <w:color w:val="000000"/>
          <w:lang w:eastAsia="it-IT"/>
        </w:rPr>
        <w:t>o</w:t>
      </w:r>
      <w:r w:rsidR="001B7D19" w:rsidRPr="00F877B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B7D19" w:rsidRPr="00F877BD">
        <w:rPr>
          <w:rFonts w:eastAsia="Calibri" w:cs="Calibri"/>
          <w:bCs/>
          <w:color w:val="000000"/>
          <w:lang w:eastAsia="it-IT"/>
        </w:rPr>
        <w:t>timololo</w:t>
      </w:r>
      <w:proofErr w:type="spellEnd"/>
      <w:r w:rsidR="001B7D19" w:rsidRPr="00F877B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bCs/>
          <w:color w:val="000000"/>
          <w:lang w:eastAsia="it-IT"/>
        </w:rPr>
        <w:t>maleato</w:t>
      </w:r>
      <w:proofErr w:type="spellEnd"/>
      <w:r w:rsidRPr="00F877BD">
        <w:rPr>
          <w:rFonts w:eastAsia="Calibri" w:cs="Calibri"/>
          <w:bCs/>
          <w:color w:val="000000"/>
          <w:lang w:eastAsia="it-IT"/>
        </w:rPr>
        <w:t xml:space="preserve"> </w:t>
      </w:r>
      <w:r w:rsidR="001B7D19" w:rsidRPr="00F877BD">
        <w:rPr>
          <w:rFonts w:eastAsia="Calibri" w:cs="Calibri"/>
          <w:bCs/>
          <w:color w:val="000000"/>
          <w:lang w:eastAsia="it-IT"/>
        </w:rPr>
        <w:t>present</w:t>
      </w:r>
      <w:r w:rsidRPr="00F877BD">
        <w:rPr>
          <w:rFonts w:eastAsia="Calibri" w:cs="Calibri"/>
          <w:bCs/>
          <w:color w:val="000000"/>
          <w:lang w:eastAsia="it-IT"/>
        </w:rPr>
        <w:t>e</w:t>
      </w:r>
      <w:r w:rsidR="001B7D19" w:rsidRPr="00F877BD">
        <w:rPr>
          <w:rFonts w:eastAsia="Calibri" w:cs="Calibri"/>
          <w:bCs/>
          <w:color w:val="000000"/>
          <w:lang w:eastAsia="it-IT"/>
        </w:rPr>
        <w:t xml:space="preserve"> </w:t>
      </w:r>
      <w:r w:rsidR="00242BC3" w:rsidRPr="00F877BD">
        <w:rPr>
          <w:rFonts w:eastAsia="Calibri" w:cs="Calibri"/>
          <w:bCs/>
          <w:color w:val="000000"/>
          <w:lang w:eastAsia="it-IT"/>
        </w:rPr>
        <w:t xml:space="preserve">nel medicinale di riferimento </w:t>
      </w:r>
      <w:proofErr w:type="spellStart"/>
      <w:r w:rsidRPr="00F877BD">
        <w:rPr>
          <w:rFonts w:eastAsia="Calibri" w:cs="Calibri"/>
          <w:bCs/>
          <w:color w:val="000000"/>
          <w:lang w:eastAsia="it-IT"/>
        </w:rPr>
        <w:t>Timoptol</w:t>
      </w:r>
      <w:proofErr w:type="spellEnd"/>
      <w:r w:rsidR="00242BC3" w:rsidRPr="00F877BD">
        <w:rPr>
          <w:rFonts w:eastAsia="Calibri" w:cs="Calibri"/>
          <w:bCs/>
          <w:color w:val="000000"/>
          <w:lang w:eastAsia="it-IT"/>
        </w:rPr>
        <w:t>, autorizzato in Italia da più di 10 anni.</w:t>
      </w:r>
    </w:p>
    <w:p w:rsidR="00242BC3" w:rsidRPr="00F877BD" w:rsidRDefault="00242BC3" w:rsidP="00F877BD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1B7D19" w:rsidRPr="00F877BD" w:rsidRDefault="00151BC3" w:rsidP="00F877BD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242BC3" w:rsidRPr="00F877BD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EC4E99" w:rsidRPr="00F877BD">
        <w:t>S01ED</w:t>
      </w:r>
      <w:r w:rsidRPr="00F877BD">
        <w:t>0</w:t>
      </w:r>
      <w:r w:rsidR="00EC4E99" w:rsidRPr="00F877BD">
        <w:t>1</w:t>
      </w:r>
      <w:r w:rsidR="001B7D19" w:rsidRPr="00F877BD">
        <w:t>,</w:t>
      </w:r>
      <w:r w:rsidR="00EC4E99" w:rsidRPr="00F877BD">
        <w:t xml:space="preserve"> contiene </w:t>
      </w:r>
      <w:r w:rsidR="00242BC3" w:rsidRPr="00F877BD">
        <w:rPr>
          <w:rFonts w:eastAsia="Calibri" w:cs="Calibri"/>
          <w:bCs/>
          <w:color w:val="000000"/>
          <w:lang w:eastAsia="it-IT"/>
        </w:rPr>
        <w:t>i</w:t>
      </w:r>
      <w:r w:rsidRPr="00F877BD">
        <w:rPr>
          <w:rFonts w:eastAsia="Calibri" w:cs="Calibri"/>
          <w:bCs/>
          <w:color w:val="000000"/>
          <w:lang w:eastAsia="it-IT"/>
        </w:rPr>
        <w:t>l</w:t>
      </w:r>
      <w:r w:rsidR="00242BC3" w:rsidRPr="00F877BD">
        <w:rPr>
          <w:rFonts w:eastAsia="Calibri" w:cs="Calibri"/>
          <w:bCs/>
          <w:color w:val="000000"/>
          <w:lang w:eastAsia="it-IT"/>
        </w:rPr>
        <w:t xml:space="preserve"> principi</w:t>
      </w:r>
      <w:r w:rsidRPr="00F877BD">
        <w:rPr>
          <w:rFonts w:eastAsia="Calibri" w:cs="Calibri"/>
          <w:bCs/>
          <w:color w:val="000000"/>
          <w:lang w:eastAsia="it-IT"/>
        </w:rPr>
        <w:t>o</w:t>
      </w:r>
      <w:r w:rsidR="00242BC3" w:rsidRPr="00F877BD">
        <w:rPr>
          <w:rFonts w:eastAsia="Calibri" w:cs="Calibri"/>
          <w:bCs/>
          <w:color w:val="000000"/>
          <w:lang w:eastAsia="it-IT"/>
        </w:rPr>
        <w:t xml:space="preserve"> attiv</w:t>
      </w:r>
      <w:r w:rsidRPr="00F877BD">
        <w:rPr>
          <w:rFonts w:eastAsia="Calibri" w:cs="Calibri"/>
          <w:bCs/>
          <w:color w:val="000000"/>
          <w:lang w:eastAsia="it-IT"/>
        </w:rPr>
        <w:t>o</w:t>
      </w:r>
      <w:r w:rsidR="00F70B1B" w:rsidRPr="00F877B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70B1B" w:rsidRPr="00F877BD">
        <w:rPr>
          <w:rFonts w:eastAsia="Calibri" w:cs="Calibri"/>
          <w:bCs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bCs/>
          <w:color w:val="000000"/>
          <w:lang w:eastAsia="it-IT"/>
        </w:rPr>
        <w:t>maleato</w:t>
      </w:r>
      <w:proofErr w:type="spellEnd"/>
      <w:r w:rsidRPr="00F877BD">
        <w:rPr>
          <w:rFonts w:eastAsia="Calibri" w:cs="Calibri"/>
          <w:bCs/>
          <w:color w:val="000000"/>
          <w:lang w:eastAsia="it-IT"/>
        </w:rPr>
        <w:t xml:space="preserve"> </w:t>
      </w:r>
      <w:r w:rsidRPr="00F877BD">
        <w:rPr>
          <w:rFonts w:eastAsia="Calibri" w:cs="Calibri"/>
          <w:lang w:eastAsia="it-IT"/>
        </w:rPr>
        <w:t>che</w:t>
      </w:r>
      <w:r w:rsidR="00F70B1B" w:rsidRPr="00F877BD">
        <w:rPr>
          <w:rFonts w:eastAsia="Calibri" w:cs="Calibri"/>
          <w:lang w:eastAsia="it-IT"/>
        </w:rPr>
        <w:t xml:space="preserve"> </w:t>
      </w:r>
      <w:r w:rsidR="001B7D19" w:rsidRPr="00F877BD">
        <w:rPr>
          <w:rFonts w:eastAsia="Calibri" w:cs="Calibri"/>
          <w:lang w:eastAsia="it-IT"/>
        </w:rPr>
        <w:t xml:space="preserve">appartiene alla categoria dei medicinali noti come beta-bloccanti ed </w:t>
      </w:r>
      <w:r w:rsidR="00F70B1B" w:rsidRPr="00F877BD">
        <w:rPr>
          <w:rFonts w:eastAsia="Calibri" w:cs="Calibri"/>
          <w:lang w:eastAsia="it-IT"/>
        </w:rPr>
        <w:t>agisce rallentando la produzione di liquido all’interno dell’occhio.</w:t>
      </w:r>
    </w:p>
    <w:p w:rsidR="001B7D19" w:rsidRPr="00F877BD" w:rsidRDefault="001B7D19" w:rsidP="00F877BD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5726E5" w:rsidRPr="00F877BD" w:rsidRDefault="00151BC3" w:rsidP="00F877BD">
      <w:pPr>
        <w:numPr>
          <w:ilvl w:val="12"/>
          <w:numId w:val="0"/>
        </w:numPr>
        <w:spacing w:after="0" w:line="240" w:lineRule="auto"/>
        <w:jc w:val="both"/>
        <w:rPr>
          <w:noProof/>
        </w:rPr>
      </w:pPr>
      <w:proofErr w:type="spellStart"/>
      <w:r w:rsidRPr="00F877BD">
        <w:rPr>
          <w:rFonts w:eastAsia="Calibri" w:cs="Calibri"/>
          <w:color w:val="000000"/>
          <w:lang w:eastAsia="it-IT"/>
        </w:rPr>
        <w:t>Timololo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Tubilux</w:t>
      </w:r>
      <w:proofErr w:type="spellEnd"/>
      <w:r w:rsidRPr="00F8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877BD">
        <w:rPr>
          <w:rFonts w:eastAsia="Calibri" w:cs="Calibri"/>
          <w:color w:val="000000"/>
          <w:lang w:eastAsia="it-IT"/>
        </w:rPr>
        <w:t>Pharma</w:t>
      </w:r>
      <w:proofErr w:type="spellEnd"/>
      <w:r w:rsidR="001B7D19" w:rsidRPr="00F877BD">
        <w:rPr>
          <w:rFonts w:eastAsia="Calibri" w:cs="Calibri"/>
          <w:lang w:eastAsia="it-IT"/>
        </w:rPr>
        <w:t xml:space="preserve"> viene utilizzato per </w:t>
      </w:r>
      <w:r w:rsidR="005726E5" w:rsidRPr="00F877BD">
        <w:rPr>
          <w:noProof/>
        </w:rPr>
        <w:t>trattamento di alcune condizioni in cui si verifica un aumento della pressione all’interno dell’occhio come:</w:t>
      </w:r>
    </w:p>
    <w:p w:rsidR="005726E5" w:rsidRPr="00F877BD" w:rsidRDefault="005726E5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>ipertensione oculare;</w:t>
      </w:r>
    </w:p>
    <w:p w:rsidR="005726E5" w:rsidRPr="00F877BD" w:rsidRDefault="005726E5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>glaucoma cronico ad angolo aperto;</w:t>
      </w:r>
    </w:p>
    <w:p w:rsidR="005726E5" w:rsidRPr="00F877BD" w:rsidRDefault="005726E5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 xml:space="preserve">glaucoma in pazienti </w:t>
      </w:r>
      <w:proofErr w:type="spellStart"/>
      <w:r w:rsidRPr="00F877BD">
        <w:t>afachici</w:t>
      </w:r>
      <w:proofErr w:type="spellEnd"/>
      <w:r w:rsidRPr="00F877BD">
        <w:t xml:space="preserve"> (privi del cristallino, la lente interna dell’occhio);</w:t>
      </w:r>
    </w:p>
    <w:p w:rsidR="005726E5" w:rsidRPr="00F877BD" w:rsidRDefault="005726E5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 xml:space="preserve">glaucoma ad angolo chiuso e con episodi precedenti di chiusura d’angolo, spontanea o causata da una terapia medica (iatrogena), nell’occhio </w:t>
      </w:r>
      <w:proofErr w:type="spellStart"/>
      <w:r w:rsidRPr="00F877BD">
        <w:t>controlaterale</w:t>
      </w:r>
      <w:proofErr w:type="spellEnd"/>
      <w:r w:rsidRPr="00F877BD">
        <w:t>;</w:t>
      </w:r>
    </w:p>
    <w:p w:rsidR="005726E5" w:rsidRPr="00F877BD" w:rsidRDefault="005726E5" w:rsidP="00F877BD">
      <w:pPr>
        <w:numPr>
          <w:ilvl w:val="0"/>
          <w:numId w:val="9"/>
        </w:numPr>
        <w:spacing w:after="0" w:line="240" w:lineRule="auto"/>
        <w:ind w:left="357" w:hanging="357"/>
        <w:jc w:val="both"/>
      </w:pPr>
      <w:r w:rsidRPr="00F877BD">
        <w:t>glaucoma nei bambini e negli adolescenti (pediatrico), in associazione ad altri medicinali per il trattamento di questo disturbo (altre terapie antiglaucoma).</w:t>
      </w:r>
    </w:p>
    <w:p w:rsidR="00F70B1B" w:rsidRPr="00F877BD" w:rsidRDefault="00F70B1B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Poiché </w:t>
      </w:r>
      <w:proofErr w:type="spellStart"/>
      <w:r w:rsidR="003A5E03" w:rsidRPr="00F877BD">
        <w:t>Timololo</w:t>
      </w:r>
      <w:proofErr w:type="spellEnd"/>
      <w:r w:rsidR="003A5E03" w:rsidRPr="00F877BD">
        <w:t xml:space="preserve"> </w:t>
      </w:r>
      <w:proofErr w:type="spellStart"/>
      <w:r w:rsidR="003A5E03" w:rsidRPr="00F877BD">
        <w:t>Tubilux</w:t>
      </w:r>
      <w:proofErr w:type="spellEnd"/>
      <w:r w:rsidR="003A5E03" w:rsidRPr="00F877BD">
        <w:t xml:space="preserve"> </w:t>
      </w:r>
      <w:proofErr w:type="spellStart"/>
      <w:r w:rsidR="003A5E03" w:rsidRPr="00F877BD">
        <w:t>Pharma</w:t>
      </w:r>
      <w:proofErr w:type="spellEnd"/>
      <w:r w:rsidRPr="00F877BD">
        <w:t xml:space="preserve"> contiene </w:t>
      </w:r>
      <w:r w:rsidR="00AD3546" w:rsidRPr="00F877BD">
        <w:t>un</w:t>
      </w:r>
      <w:r w:rsidR="001B7D19" w:rsidRPr="00F877BD">
        <w:t xml:space="preserve"> </w:t>
      </w:r>
      <w:r w:rsidRPr="00F877BD">
        <w:t>principi</w:t>
      </w:r>
      <w:r w:rsidR="00AD3546" w:rsidRPr="00F877BD">
        <w:t>o</w:t>
      </w:r>
      <w:r w:rsidRPr="00F877BD">
        <w:t xml:space="preserve"> </w:t>
      </w:r>
      <w:r w:rsidR="001B7D19" w:rsidRPr="00F877BD">
        <w:t>attiv</w:t>
      </w:r>
      <w:r w:rsidR="00AD3546" w:rsidRPr="00F877BD">
        <w:t>o</w:t>
      </w:r>
      <w:r w:rsidR="001B7D19" w:rsidRPr="00F877BD">
        <w:t xml:space="preserve"> not</w:t>
      </w:r>
      <w:r w:rsidR="00AD3546" w:rsidRPr="00F877BD">
        <w:t>o</w:t>
      </w:r>
      <w:r w:rsidR="001B7D19" w:rsidRPr="00F877BD">
        <w:t xml:space="preserve">, </w:t>
      </w:r>
      <w:r w:rsidRPr="00F877BD">
        <w:t xml:space="preserve">non sono stati forniti nuovi dati non clinici e clinici: questo approccio è accettabile poiché il medicinale di riferimento </w:t>
      </w:r>
      <w:proofErr w:type="spellStart"/>
      <w:r w:rsidR="00AD3546" w:rsidRPr="00F877BD">
        <w:t>Timoptol</w:t>
      </w:r>
      <w:proofErr w:type="spellEnd"/>
      <w:r w:rsidRPr="00F877BD">
        <w:t xml:space="preserve"> è autorizzato in Italia da oltre 10 anni; poiché </w:t>
      </w:r>
      <w:proofErr w:type="spellStart"/>
      <w:r w:rsidR="00AD3546" w:rsidRPr="00F877BD">
        <w:t>Timololo</w:t>
      </w:r>
      <w:proofErr w:type="spellEnd"/>
      <w:r w:rsidR="00AD3546" w:rsidRPr="00F877BD">
        <w:t xml:space="preserve"> </w:t>
      </w:r>
      <w:proofErr w:type="spellStart"/>
      <w:r w:rsidR="00AD3546" w:rsidRPr="00F877BD">
        <w:t>Tubilux</w:t>
      </w:r>
      <w:proofErr w:type="spellEnd"/>
      <w:r w:rsidR="00AD3546" w:rsidRPr="00F877BD">
        <w:t xml:space="preserve"> </w:t>
      </w:r>
      <w:proofErr w:type="spellStart"/>
      <w:r w:rsidR="00AD3546" w:rsidRPr="00F877BD">
        <w:t>Pharma</w:t>
      </w:r>
      <w:proofErr w:type="spellEnd"/>
      <w:r w:rsidR="005713BE" w:rsidRPr="00F877BD">
        <w:t xml:space="preserve"> è somministrato come collirio</w:t>
      </w:r>
      <w:r w:rsidR="008F262B" w:rsidRPr="00F877BD">
        <w:t xml:space="preserve"> (soluzione oftalmica) con le stesse </w:t>
      </w:r>
      <w:r w:rsidR="008F262B" w:rsidRPr="00F877BD">
        <w:rPr>
          <w:rFonts w:cs="Arial"/>
        </w:rPr>
        <w:t>caratteristiche chimico-fisiche del medicinale di riferimento e</w:t>
      </w:r>
      <w:r w:rsidR="005713BE" w:rsidRPr="00F877BD">
        <w:t xml:space="preserve"> i</w:t>
      </w:r>
      <w:r w:rsidR="001B7D19" w:rsidRPr="00F877BD">
        <w:t>n</w:t>
      </w:r>
      <w:r w:rsidR="005713BE" w:rsidRPr="00F877BD">
        <w:t xml:space="preserve"> cui </w:t>
      </w:r>
      <w:r w:rsidR="00AD3546" w:rsidRPr="00F877BD">
        <w:t xml:space="preserve">il </w:t>
      </w:r>
      <w:r w:rsidR="005713BE" w:rsidRPr="00F877BD">
        <w:t>principi</w:t>
      </w:r>
      <w:r w:rsidR="00AD3546" w:rsidRPr="00F877BD">
        <w:t>o</w:t>
      </w:r>
      <w:r w:rsidR="005713BE" w:rsidRPr="00F877BD">
        <w:t xml:space="preserve"> attiv</w:t>
      </w:r>
      <w:r w:rsidR="00AD3546" w:rsidRPr="00F877BD">
        <w:t>o</w:t>
      </w:r>
      <w:r w:rsidR="005713BE" w:rsidRPr="00F877BD">
        <w:t xml:space="preserve"> </w:t>
      </w:r>
      <w:r w:rsidR="00AD3546" w:rsidRPr="00F877BD">
        <w:t>è</w:t>
      </w:r>
      <w:r w:rsidR="005713BE" w:rsidRPr="00F877BD">
        <w:t xml:space="preserve"> nella stessa concentrazione del medicinale di riferimento, è </w:t>
      </w:r>
      <w:r w:rsidR="001B7D19" w:rsidRPr="00F877BD">
        <w:t xml:space="preserve">stato possibile concedere </w:t>
      </w:r>
      <w:r w:rsidR="005713BE" w:rsidRPr="00F877BD">
        <w:t>l’esenzione della conduzione  di studi clinici di confronto con il medicinale di riferimento</w:t>
      </w:r>
      <w:r w:rsidR="002657CA" w:rsidRPr="00F877BD">
        <w:t xml:space="preserve">. </w:t>
      </w:r>
    </w:p>
    <w:p w:rsidR="001A4FBC" w:rsidRPr="00F877BD" w:rsidRDefault="001A4FBC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  <w:r w:rsidRPr="00F877BD">
        <w:t>Le officine coinvolte nella produzione sono conformi alle linee guida di Buona Pratica di Fabbricazione (</w:t>
      </w:r>
      <w:proofErr w:type="spellStart"/>
      <w:r w:rsidRPr="00F877BD">
        <w:rPr>
          <w:i/>
        </w:rPr>
        <w:t>Good</w:t>
      </w:r>
      <w:proofErr w:type="spellEnd"/>
      <w:r w:rsidRPr="00F877BD">
        <w:rPr>
          <w:i/>
        </w:rPr>
        <w:t xml:space="preserve"> Manufacturing </w:t>
      </w:r>
      <w:proofErr w:type="spellStart"/>
      <w:r w:rsidRPr="00F877BD">
        <w:rPr>
          <w:i/>
        </w:rPr>
        <w:t>Practice</w:t>
      </w:r>
      <w:proofErr w:type="spellEnd"/>
      <w:r w:rsidRPr="00F877BD">
        <w:t xml:space="preserve"> - GMP). Le autorità </w:t>
      </w:r>
      <w:proofErr w:type="spellStart"/>
      <w:r w:rsidRPr="00F877BD">
        <w:t>regolatorie</w:t>
      </w:r>
      <w:proofErr w:type="spellEnd"/>
      <w:r w:rsidRPr="00F877BD">
        <w:t xml:space="preserve"> europee competenti hanno rilasciato i certificati GMP per i siti di produzione.</w:t>
      </w:r>
    </w:p>
    <w:p w:rsidR="00242BC3" w:rsidRPr="00F877BD" w:rsidRDefault="00242BC3" w:rsidP="00F877BD">
      <w:pPr>
        <w:spacing w:after="0" w:line="240" w:lineRule="auto"/>
        <w:jc w:val="both"/>
        <w:rPr>
          <w:highlight w:val="yellow"/>
        </w:rPr>
      </w:pPr>
    </w:p>
    <w:p w:rsidR="00242BC3" w:rsidRPr="00F877BD" w:rsidRDefault="00242BC3" w:rsidP="00F877BD">
      <w:pPr>
        <w:spacing w:after="0" w:line="240" w:lineRule="auto"/>
        <w:jc w:val="both"/>
      </w:pPr>
      <w:r w:rsidRPr="00F877BD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877BD">
        <w:rPr>
          <w:i/>
        </w:rPr>
        <w:t>Risk</w:t>
      </w:r>
      <w:proofErr w:type="spellEnd"/>
      <w:r w:rsidRPr="00F877BD">
        <w:rPr>
          <w:i/>
        </w:rPr>
        <w:t xml:space="preserve"> Management </w:t>
      </w:r>
      <w:proofErr w:type="spellStart"/>
      <w:r w:rsidRPr="00F877BD">
        <w:rPr>
          <w:i/>
        </w:rPr>
        <w:t>Plan</w:t>
      </w:r>
      <w:proofErr w:type="spellEnd"/>
      <w:r w:rsidRPr="00F877BD">
        <w:t xml:space="preserve"> – RMP) accettabile.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D3546" w:rsidRPr="00F877BD">
        <w:t>Timololo</w:t>
      </w:r>
      <w:proofErr w:type="spellEnd"/>
      <w:r w:rsidR="00AD3546" w:rsidRPr="00F877BD">
        <w:t xml:space="preserve"> </w:t>
      </w:r>
      <w:proofErr w:type="spellStart"/>
      <w:r w:rsidR="00AD3546" w:rsidRPr="00F877BD">
        <w:t>Tubilux</w:t>
      </w:r>
      <w:proofErr w:type="spellEnd"/>
      <w:r w:rsidR="00AD3546" w:rsidRPr="00F877BD">
        <w:t xml:space="preserve"> </w:t>
      </w:r>
      <w:proofErr w:type="spellStart"/>
      <w:r w:rsidR="00AD3546" w:rsidRPr="00F877BD">
        <w:t>Pharma</w:t>
      </w:r>
      <w:proofErr w:type="spellEnd"/>
      <w:r w:rsidR="002657CA" w:rsidRPr="00F877BD">
        <w:t xml:space="preserve"> </w:t>
      </w:r>
      <w:r w:rsidRPr="00F877BD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877BD">
        <w:rPr>
          <w:b/>
        </w:rPr>
        <w:t>ASPETTI DI QUALITA’</w:t>
      </w:r>
    </w:p>
    <w:p w:rsidR="00601004" w:rsidRPr="00F877BD" w:rsidRDefault="00601004" w:rsidP="00F877BD">
      <w:pPr>
        <w:spacing w:after="0" w:line="240" w:lineRule="auto"/>
        <w:jc w:val="both"/>
      </w:pPr>
      <w:r w:rsidRPr="00F877BD">
        <w:rPr>
          <w:b/>
        </w:rPr>
        <w:t>II.</w:t>
      </w:r>
      <w:r w:rsidR="008F262B" w:rsidRPr="00F877BD">
        <w:rPr>
          <w:b/>
        </w:rPr>
        <w:t xml:space="preserve">1 </w:t>
      </w:r>
      <w:r w:rsidRPr="00F877BD">
        <w:rPr>
          <w:b/>
        </w:rPr>
        <w:t xml:space="preserve">PRINCIPIO ATTIVO </w:t>
      </w:r>
      <w:r w:rsidR="001C029D" w:rsidRPr="00F877BD">
        <w:rPr>
          <w:b/>
        </w:rPr>
        <w:t>TIMOLOLO</w:t>
      </w:r>
      <w:r w:rsidR="00B527AD" w:rsidRPr="00F877BD">
        <w:rPr>
          <w:b/>
        </w:rPr>
        <w:t xml:space="preserve"> MALEATO</w:t>
      </w:r>
    </w:p>
    <w:p w:rsidR="00400F57" w:rsidRDefault="00601004" w:rsidP="00F877BD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F877BD">
        <w:rPr>
          <w:u w:val="single"/>
          <w:lang w:val="en-US"/>
        </w:rPr>
        <w:t xml:space="preserve">Nome </w:t>
      </w:r>
      <w:proofErr w:type="spellStart"/>
      <w:r w:rsidRPr="00F877BD">
        <w:rPr>
          <w:u w:val="single"/>
          <w:lang w:val="en-US"/>
        </w:rPr>
        <w:t>chimico</w:t>
      </w:r>
      <w:proofErr w:type="spellEnd"/>
      <w:r w:rsidRPr="00F877BD">
        <w:rPr>
          <w:lang w:val="en-US"/>
        </w:rPr>
        <w:t xml:space="preserve">: </w:t>
      </w:r>
      <w:r w:rsidR="00B527AD" w:rsidRPr="00F877BD">
        <w:rPr>
          <w:lang w:val="en-US"/>
        </w:rPr>
        <w:t>(</w:t>
      </w:r>
      <w:r w:rsidR="00400F57" w:rsidRPr="00F877BD">
        <w:rPr>
          <w:lang w:val="en-US"/>
        </w:rPr>
        <w:t>2S)-1-[(1,1-Dimethylethyl)amino]-3-[[4-(morpholin-4-yl)-1,2,5-thiadiazol-3-yl]oxy]propan-2-ol (Z)-</w:t>
      </w:r>
      <w:proofErr w:type="spellStart"/>
      <w:r w:rsidR="00400F57" w:rsidRPr="00F877BD">
        <w:rPr>
          <w:lang w:val="en-US"/>
        </w:rPr>
        <w:t>butenedioate</w:t>
      </w:r>
      <w:proofErr w:type="spellEnd"/>
      <w:r w:rsidR="00400F57" w:rsidRPr="00F877BD">
        <w:rPr>
          <w:lang w:val="en-US"/>
        </w:rPr>
        <w:t>.</w:t>
      </w:r>
    </w:p>
    <w:p w:rsidR="00F877BD" w:rsidRDefault="00F877BD" w:rsidP="00F877BD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F877BD" w:rsidRDefault="00F877BD" w:rsidP="00F877BD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F877BD" w:rsidRPr="00F877BD" w:rsidRDefault="00F877BD" w:rsidP="00F877BD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601004" w:rsidRPr="00F877BD" w:rsidRDefault="00601004" w:rsidP="00F877BD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F877BD">
        <w:rPr>
          <w:u w:val="single"/>
        </w:rPr>
        <w:lastRenderedPageBreak/>
        <w:t>Struttura</w:t>
      </w:r>
      <w:r w:rsidRPr="00F877BD">
        <w:t>:</w:t>
      </w:r>
    </w:p>
    <w:p w:rsidR="00601004" w:rsidRPr="00F877BD" w:rsidRDefault="00577A45" w:rsidP="00F877BD">
      <w:pPr>
        <w:spacing w:after="0" w:line="240" w:lineRule="auto"/>
        <w:jc w:val="center"/>
        <w:rPr>
          <w:noProof/>
          <w:lang w:eastAsia="it-IT"/>
        </w:rPr>
      </w:pPr>
      <w:r w:rsidRPr="00F877BD">
        <w:rPr>
          <w:noProof/>
          <w:lang w:eastAsia="it-IT"/>
        </w:rPr>
        <w:drawing>
          <wp:inline distT="0" distB="0" distL="0" distR="0">
            <wp:extent cx="1492950" cy="615706"/>
            <wp:effectExtent l="19050" t="0" r="0" b="0"/>
            <wp:docPr id="6" name="Immagine 3" descr="cf0572-b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0572-b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38" cy="61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F57" w:rsidRPr="00F877BD" w:rsidRDefault="00601004" w:rsidP="00F877BD">
      <w:pPr>
        <w:shd w:val="clear" w:color="auto" w:fill="FFFFFF"/>
        <w:spacing w:after="0" w:line="240" w:lineRule="auto"/>
        <w:jc w:val="both"/>
        <w:rPr>
          <w:rStyle w:val="s1"/>
          <w:rFonts w:asciiTheme="minorHAnsi" w:hAnsiTheme="minorHAnsi"/>
        </w:rPr>
      </w:pPr>
      <w:r w:rsidRPr="00F877BD">
        <w:rPr>
          <w:u w:val="single"/>
        </w:rPr>
        <w:t>Formula molecolare</w:t>
      </w:r>
      <w:r w:rsidRPr="00F877BD">
        <w:t xml:space="preserve">: </w:t>
      </w:r>
      <w:r w:rsidR="00400F57" w:rsidRPr="00F877BD">
        <w:rPr>
          <w:rStyle w:val="s1"/>
          <w:rFonts w:asciiTheme="minorHAnsi" w:hAnsiTheme="minorHAnsi"/>
        </w:rPr>
        <w:t>C</w:t>
      </w:r>
      <w:r w:rsidR="00400F57" w:rsidRPr="00F877BD">
        <w:rPr>
          <w:rStyle w:val="s1"/>
          <w:rFonts w:asciiTheme="minorHAnsi" w:hAnsiTheme="minorHAnsi"/>
          <w:vertAlign w:val="subscript"/>
        </w:rPr>
        <w:t>17</w:t>
      </w:r>
      <w:r w:rsidR="00400F57" w:rsidRPr="00F877BD">
        <w:rPr>
          <w:rStyle w:val="s1"/>
          <w:rFonts w:asciiTheme="minorHAnsi" w:hAnsiTheme="minorHAnsi"/>
        </w:rPr>
        <w:t>H</w:t>
      </w:r>
      <w:r w:rsidR="00400F57" w:rsidRPr="00F877BD">
        <w:rPr>
          <w:rStyle w:val="s1"/>
          <w:rFonts w:asciiTheme="minorHAnsi" w:hAnsiTheme="minorHAnsi"/>
          <w:vertAlign w:val="subscript"/>
        </w:rPr>
        <w:t>28</w:t>
      </w:r>
      <w:r w:rsidR="00400F57" w:rsidRPr="00F877BD">
        <w:rPr>
          <w:rStyle w:val="s1"/>
          <w:rFonts w:asciiTheme="minorHAnsi" w:hAnsiTheme="minorHAnsi"/>
        </w:rPr>
        <w:t>N</w:t>
      </w:r>
      <w:r w:rsidR="00400F57" w:rsidRPr="00F877BD">
        <w:rPr>
          <w:rStyle w:val="s1"/>
          <w:rFonts w:asciiTheme="minorHAnsi" w:hAnsiTheme="minorHAnsi"/>
          <w:vertAlign w:val="subscript"/>
        </w:rPr>
        <w:t>4</w:t>
      </w:r>
      <w:r w:rsidR="00400F57" w:rsidRPr="00F877BD">
        <w:rPr>
          <w:rStyle w:val="s1"/>
          <w:rFonts w:asciiTheme="minorHAnsi" w:hAnsiTheme="minorHAnsi"/>
        </w:rPr>
        <w:t>O</w:t>
      </w:r>
      <w:r w:rsidR="00400F57" w:rsidRPr="00F877BD">
        <w:rPr>
          <w:rStyle w:val="s1"/>
          <w:rFonts w:asciiTheme="minorHAnsi" w:hAnsiTheme="minorHAnsi"/>
          <w:vertAlign w:val="subscript"/>
        </w:rPr>
        <w:t>7</w:t>
      </w:r>
      <w:r w:rsidR="00400F57" w:rsidRPr="00F877BD">
        <w:rPr>
          <w:rStyle w:val="s1"/>
          <w:rFonts w:asciiTheme="minorHAnsi" w:hAnsiTheme="minorHAnsi"/>
        </w:rPr>
        <w:t>S</w:t>
      </w:r>
    </w:p>
    <w:p w:rsidR="00601004" w:rsidRPr="00F877BD" w:rsidRDefault="00601004" w:rsidP="00F877BD">
      <w:pPr>
        <w:shd w:val="clear" w:color="auto" w:fill="FFFFFF"/>
        <w:spacing w:after="0" w:line="240" w:lineRule="auto"/>
        <w:jc w:val="both"/>
        <w:rPr>
          <w:rFonts w:cs="Arial"/>
          <w:color w:val="2E385A"/>
        </w:rPr>
      </w:pPr>
      <w:r w:rsidRPr="00F877BD">
        <w:rPr>
          <w:u w:val="single"/>
        </w:rPr>
        <w:t>Peso molecolare</w:t>
      </w:r>
      <w:r w:rsidRPr="00F877BD">
        <w:t xml:space="preserve">: </w:t>
      </w:r>
      <w:r w:rsidRPr="00F877BD">
        <w:rPr>
          <w:rStyle w:val="s1"/>
          <w:rFonts w:asciiTheme="minorHAnsi" w:hAnsiTheme="minorHAnsi"/>
        </w:rPr>
        <w:t>432</w:t>
      </w:r>
      <w:r w:rsidR="002D15B5" w:rsidRPr="00F877BD">
        <w:rPr>
          <w:rStyle w:val="s1"/>
          <w:rFonts w:asciiTheme="minorHAnsi" w:hAnsiTheme="minorHAnsi"/>
        </w:rPr>
        <w:t>,</w:t>
      </w:r>
      <w:r w:rsidR="00B527AD" w:rsidRPr="00F877BD">
        <w:rPr>
          <w:rStyle w:val="s1"/>
          <w:rFonts w:asciiTheme="minorHAnsi" w:hAnsiTheme="minorHAnsi"/>
        </w:rPr>
        <w:t>4</w:t>
      </w:r>
      <w:r w:rsidRPr="00F877BD">
        <w:rPr>
          <w:rStyle w:val="s1"/>
          <w:rFonts w:asciiTheme="minorHAnsi" w:hAnsiTheme="minorHAnsi"/>
        </w:rPr>
        <w:t>9 g/mol</w:t>
      </w:r>
    </w:p>
    <w:p w:rsidR="00601004" w:rsidRPr="00F877BD" w:rsidRDefault="00601004" w:rsidP="00F877BD">
      <w:pPr>
        <w:pStyle w:val="Titolo1"/>
        <w:shd w:val="clear" w:color="auto" w:fill="FFFFFF"/>
        <w:spacing w:before="0" w:beforeAutospacing="0" w:after="0" w:afterAutospacing="0"/>
        <w:jc w:val="both"/>
        <w:rPr>
          <w:rStyle w:val="s1"/>
          <w:rFonts w:asciiTheme="minorHAnsi" w:eastAsiaTheme="minorHAnsi" w:hAnsiTheme="minorHAnsi"/>
          <w:bCs w:val="0"/>
          <w:kern w:val="0"/>
          <w:sz w:val="22"/>
          <w:szCs w:val="22"/>
          <w:lang w:eastAsia="en-US"/>
        </w:rPr>
      </w:pPr>
      <w:r w:rsidRPr="00F877B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F877BD">
        <w:rPr>
          <w:rFonts w:asciiTheme="minorHAnsi" w:hAnsiTheme="minorHAnsi"/>
          <w:b w:val="0"/>
          <w:sz w:val="22"/>
          <w:szCs w:val="22"/>
        </w:rPr>
        <w:t xml:space="preserve">: </w:t>
      </w:r>
      <w:r w:rsidRPr="00F877BD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[</w:t>
      </w:r>
      <w:r w:rsidR="00B527AD" w:rsidRPr="00F877BD">
        <w:rPr>
          <w:rFonts w:asciiTheme="minorHAnsi" w:eastAsiaTheme="minorHAnsi" w:hAnsiTheme="minorHAnsi" w:cs="Arial"/>
          <w:b w:val="0"/>
          <w:bCs w:val="0"/>
          <w:kern w:val="0"/>
          <w:sz w:val="22"/>
          <w:szCs w:val="22"/>
          <w:lang w:eastAsia="en-US"/>
        </w:rPr>
        <w:t>26921-17-5</w:t>
      </w:r>
      <w:r w:rsidRPr="00F877BD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]</w:t>
      </w:r>
    </w:p>
    <w:p w:rsidR="00601004" w:rsidRPr="00F877BD" w:rsidRDefault="00601004" w:rsidP="00F877BD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F877BD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F877BD">
        <w:rPr>
          <w:rFonts w:asciiTheme="minorHAnsi" w:hAnsiTheme="minorHAnsi"/>
          <w:b w:val="0"/>
          <w:sz w:val="22"/>
          <w:szCs w:val="22"/>
        </w:rPr>
        <w:t xml:space="preserve">: polvere cristallina bianca o quasi bianca </w:t>
      </w:r>
      <w:r w:rsidR="00400F57" w:rsidRPr="00F877BD">
        <w:rPr>
          <w:rFonts w:asciiTheme="minorHAnsi" w:hAnsiTheme="minorHAnsi"/>
          <w:b w:val="0"/>
          <w:sz w:val="22"/>
          <w:szCs w:val="22"/>
        </w:rPr>
        <w:t>o cristalli incolore</w:t>
      </w:r>
    </w:p>
    <w:p w:rsidR="00601004" w:rsidRPr="00F877BD" w:rsidRDefault="00177292" w:rsidP="00F877BD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F877BD">
        <w:rPr>
          <w:rFonts w:asciiTheme="minorHAnsi" w:hAnsiTheme="minorHAnsi"/>
          <w:b w:val="0"/>
          <w:sz w:val="22"/>
          <w:szCs w:val="22"/>
          <w:u w:val="single"/>
        </w:rPr>
        <w:t>Solubilità:</w:t>
      </w:r>
      <w:r w:rsidRPr="00F877BD">
        <w:rPr>
          <w:rFonts w:asciiTheme="minorHAnsi" w:hAnsiTheme="minorHAnsi"/>
          <w:b w:val="0"/>
          <w:sz w:val="22"/>
          <w:szCs w:val="22"/>
        </w:rPr>
        <w:t xml:space="preserve"> </w:t>
      </w:r>
      <w:r w:rsidRPr="00F877B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solubile in acqua e </w:t>
      </w:r>
      <w:r w:rsidR="00601004" w:rsidRPr="00F877BD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in etanolo 96% poco solubile in metilene cloruro.</w:t>
      </w:r>
    </w:p>
    <w:p w:rsidR="00601004" w:rsidRPr="00F877BD" w:rsidRDefault="00601004" w:rsidP="00F877BD">
      <w:pPr>
        <w:spacing w:after="0" w:line="240" w:lineRule="auto"/>
        <w:jc w:val="both"/>
      </w:pPr>
    </w:p>
    <w:p w:rsidR="00601004" w:rsidRPr="00F877BD" w:rsidRDefault="00601004" w:rsidP="00F877BD">
      <w:pPr>
        <w:spacing w:after="0" w:line="240" w:lineRule="auto"/>
        <w:jc w:val="both"/>
      </w:pPr>
      <w:r w:rsidRPr="00F877BD">
        <w:t xml:space="preserve">Il principio attivo </w:t>
      </w:r>
      <w:proofErr w:type="spellStart"/>
      <w:r w:rsidR="00B527AD" w:rsidRPr="00F877BD">
        <w:t>timololo</w:t>
      </w:r>
      <w:proofErr w:type="spellEnd"/>
      <w:r w:rsidR="00B527AD" w:rsidRPr="00F877BD">
        <w:t xml:space="preserve"> </w:t>
      </w:r>
      <w:proofErr w:type="spellStart"/>
      <w:r w:rsidR="00B527AD" w:rsidRPr="00F877BD">
        <w:t>maleato</w:t>
      </w:r>
      <w:proofErr w:type="spellEnd"/>
      <w:r w:rsidR="002D15B5" w:rsidRPr="00F877BD">
        <w:t xml:space="preserve"> </w:t>
      </w:r>
      <w:r w:rsidRPr="00F877BD">
        <w:t xml:space="preserve">è presente in Farmacopea Europea e il </w:t>
      </w:r>
      <w:proofErr w:type="spellStart"/>
      <w:r w:rsidRPr="00F877BD">
        <w:t>Direttorato</w:t>
      </w:r>
      <w:proofErr w:type="spellEnd"/>
      <w:r w:rsidRPr="00F877BD">
        <w:t xml:space="preserve"> Europeo per la Qualità dei Medicinali (</w:t>
      </w:r>
      <w:proofErr w:type="spellStart"/>
      <w:r w:rsidRPr="00F877BD">
        <w:rPr>
          <w:i/>
        </w:rPr>
        <w:t>European</w:t>
      </w:r>
      <w:proofErr w:type="spellEnd"/>
      <w:r w:rsidR="008F262B" w:rsidRPr="00F877BD">
        <w:rPr>
          <w:i/>
        </w:rPr>
        <w:t xml:space="preserve"> </w:t>
      </w:r>
      <w:proofErr w:type="spellStart"/>
      <w:r w:rsidRPr="00F877BD">
        <w:rPr>
          <w:i/>
        </w:rPr>
        <w:t>Directorate</w:t>
      </w:r>
      <w:proofErr w:type="spellEnd"/>
      <w:r w:rsidRPr="00F877BD">
        <w:rPr>
          <w:i/>
        </w:rPr>
        <w:t xml:space="preserve"> </w:t>
      </w:r>
      <w:proofErr w:type="spellStart"/>
      <w:r w:rsidRPr="00F877BD">
        <w:rPr>
          <w:i/>
        </w:rPr>
        <w:t>for</w:t>
      </w:r>
      <w:proofErr w:type="spellEnd"/>
      <w:r w:rsidRPr="00F877BD">
        <w:rPr>
          <w:i/>
        </w:rPr>
        <w:t xml:space="preserve"> </w:t>
      </w:r>
      <w:proofErr w:type="spellStart"/>
      <w:r w:rsidRPr="00F877BD">
        <w:rPr>
          <w:i/>
        </w:rPr>
        <w:t>Quality</w:t>
      </w:r>
      <w:proofErr w:type="spellEnd"/>
      <w:r w:rsidRPr="00F877BD">
        <w:rPr>
          <w:i/>
        </w:rPr>
        <w:t xml:space="preserve"> </w:t>
      </w:r>
      <w:proofErr w:type="spellStart"/>
      <w:r w:rsidRPr="00F877BD">
        <w:rPr>
          <w:i/>
        </w:rPr>
        <w:t>of</w:t>
      </w:r>
      <w:proofErr w:type="spellEnd"/>
      <w:r w:rsidRPr="00F877BD">
        <w:rPr>
          <w:i/>
        </w:rPr>
        <w:t xml:space="preserve"> </w:t>
      </w:r>
      <w:proofErr w:type="spellStart"/>
      <w:r w:rsidRPr="00F877BD">
        <w:rPr>
          <w:i/>
        </w:rPr>
        <w:t>Medic</w:t>
      </w:r>
      <w:r w:rsidR="002D15B5" w:rsidRPr="00F877BD">
        <w:rPr>
          <w:i/>
        </w:rPr>
        <w:t>i</w:t>
      </w:r>
      <w:r w:rsidRPr="00F877BD">
        <w:rPr>
          <w:i/>
        </w:rPr>
        <w:t>nals</w:t>
      </w:r>
      <w:proofErr w:type="spellEnd"/>
      <w:r w:rsidRPr="00F877BD">
        <w:t xml:space="preserve"> – EDQM) ha rilasciato al produttore il certificato di conformità alla Farmacopea Europea.</w:t>
      </w:r>
    </w:p>
    <w:p w:rsidR="00601004" w:rsidRPr="00F877BD" w:rsidRDefault="00601004" w:rsidP="00F877BD">
      <w:pPr>
        <w:spacing w:after="0" w:line="240" w:lineRule="auto"/>
        <w:jc w:val="both"/>
      </w:pPr>
      <w:r w:rsidRPr="00F877BD">
        <w:t>Tutti gli aspetti di produzione e controllo sono coperti dal certificato di conformità alla Farmacopea Europea.</w:t>
      </w:r>
    </w:p>
    <w:p w:rsidR="00601004" w:rsidRPr="00F877BD" w:rsidRDefault="00601004" w:rsidP="00F877BD">
      <w:pPr>
        <w:spacing w:after="0" w:line="240" w:lineRule="auto"/>
        <w:jc w:val="both"/>
      </w:pPr>
      <w:r w:rsidRPr="00F877BD">
        <w:t xml:space="preserve">Il confezionamento primario è costituito da sacca in polietilene </w:t>
      </w:r>
      <w:r w:rsidR="00B527AD" w:rsidRPr="00F877BD">
        <w:t>in un’ulteriore sacca alluminio/polietilene</w:t>
      </w:r>
      <w:r w:rsidRPr="00F877BD">
        <w:t xml:space="preserve"> in un fusto in fibra ed è stato approvato un periodo di </w:t>
      </w:r>
      <w:proofErr w:type="spellStart"/>
      <w:r w:rsidRPr="00F877BD">
        <w:t>retest</w:t>
      </w:r>
      <w:proofErr w:type="spellEnd"/>
      <w:r w:rsidRPr="00F877BD">
        <w:t xml:space="preserve"> di </w:t>
      </w:r>
      <w:r w:rsidR="00B527AD" w:rsidRPr="00F877BD">
        <w:t>5 anni</w:t>
      </w:r>
      <w:r w:rsidRPr="00F877BD">
        <w:t>.</w:t>
      </w:r>
    </w:p>
    <w:p w:rsidR="00601004" w:rsidRPr="00F877BD" w:rsidRDefault="00601004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>II.2 PRODOTTO FINITO</w:t>
      </w: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>Descrizione e composizione</w:t>
      </w:r>
    </w:p>
    <w:p w:rsidR="00320D43" w:rsidRPr="00F877BD" w:rsidRDefault="00AD3546" w:rsidP="00F877BD">
      <w:pPr>
        <w:spacing w:after="0" w:line="240" w:lineRule="auto"/>
        <w:jc w:val="both"/>
      </w:pPr>
      <w:proofErr w:type="spellStart"/>
      <w:r w:rsidRPr="00F877BD">
        <w:t>Timololo</w:t>
      </w:r>
      <w:proofErr w:type="spellEnd"/>
      <w:r w:rsidRPr="00F877BD">
        <w:t xml:space="preserve"> </w:t>
      </w:r>
      <w:proofErr w:type="spellStart"/>
      <w:r w:rsidRPr="00F877BD">
        <w:t>Tubilux</w:t>
      </w:r>
      <w:proofErr w:type="spellEnd"/>
      <w:r w:rsidRPr="00F877BD">
        <w:t xml:space="preserve"> </w:t>
      </w:r>
      <w:proofErr w:type="spellStart"/>
      <w:r w:rsidRPr="00F877BD">
        <w:t>Pharma</w:t>
      </w:r>
      <w:proofErr w:type="spellEnd"/>
      <w:r w:rsidR="00320D43" w:rsidRPr="00F877BD">
        <w:t xml:space="preserve"> è disponibile come collirio (soluzione oftalmica) contenente i</w:t>
      </w:r>
      <w:r w:rsidRPr="00F877BD">
        <w:t>l</w:t>
      </w:r>
      <w:r w:rsidR="00320D43" w:rsidRPr="00F877BD">
        <w:t xml:space="preserve"> principi</w:t>
      </w:r>
      <w:r w:rsidRPr="00F877BD">
        <w:t>o</w:t>
      </w:r>
      <w:r w:rsidR="00320D43" w:rsidRPr="00F877BD">
        <w:t xml:space="preserve"> attiv</w:t>
      </w:r>
      <w:r w:rsidRPr="00F877BD">
        <w:t>o</w:t>
      </w:r>
      <w:r w:rsidR="008F262B" w:rsidRPr="00F877BD">
        <w:t xml:space="preserve"> </w:t>
      </w:r>
      <w:proofErr w:type="spellStart"/>
      <w:r w:rsidR="008F262B" w:rsidRPr="00F877BD">
        <w:t>timololo</w:t>
      </w:r>
      <w:proofErr w:type="spellEnd"/>
      <w:r w:rsidR="008F262B" w:rsidRPr="00F877BD">
        <w:t xml:space="preserve"> </w:t>
      </w:r>
      <w:r w:rsidR="00320D43" w:rsidRPr="00F877BD">
        <w:t xml:space="preserve">alla concentrazione di </w:t>
      </w:r>
      <w:r w:rsidR="008D312D" w:rsidRPr="00F877BD">
        <w:t>5 mg/ml</w:t>
      </w:r>
      <w:r w:rsidR="00320D43" w:rsidRPr="00F877BD">
        <w:t xml:space="preserve">. </w:t>
      </w:r>
    </w:p>
    <w:p w:rsidR="008D312D" w:rsidRPr="00F877BD" w:rsidRDefault="00242BC3" w:rsidP="00F877BD">
      <w:pPr>
        <w:spacing w:after="0" w:line="240" w:lineRule="auto"/>
        <w:jc w:val="both"/>
      </w:pPr>
      <w:r w:rsidRPr="00F877BD">
        <w:t>Gli eccipienti sono</w:t>
      </w:r>
      <w:r w:rsidR="008D312D" w:rsidRPr="00F877BD">
        <w:t>:</w:t>
      </w:r>
      <w:r w:rsidR="008F262B" w:rsidRPr="00F877BD">
        <w:t xml:space="preserve"> </w:t>
      </w:r>
      <w:r w:rsidR="00AD3546" w:rsidRPr="00F877BD">
        <w:t xml:space="preserve">alcool polivinilico; sodio fosfato monobasico monoidrato; sodio fosfato bibasico </w:t>
      </w:r>
      <w:proofErr w:type="spellStart"/>
      <w:r w:rsidR="00AD3546" w:rsidRPr="00F877BD">
        <w:t>eptaidrato</w:t>
      </w:r>
      <w:proofErr w:type="spellEnd"/>
      <w:r w:rsidR="00AD3546" w:rsidRPr="00F877BD">
        <w:t xml:space="preserve">; </w:t>
      </w:r>
      <w:proofErr w:type="spellStart"/>
      <w:r w:rsidR="00AD3546" w:rsidRPr="00F877BD">
        <w:t>benzalconio</w:t>
      </w:r>
      <w:proofErr w:type="spellEnd"/>
      <w:r w:rsidR="00AD3546" w:rsidRPr="00F877BD">
        <w:t xml:space="preserve"> cloruro; sodio idrossido o acido cloridrico (regolatori di pH), acqua purificata</w:t>
      </w:r>
      <w:r w:rsidR="002D15B5" w:rsidRPr="00F877BD">
        <w:t>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Tutti gli eccipienti sono conformi alla relativa monog</w:t>
      </w:r>
      <w:r w:rsidR="008D312D" w:rsidRPr="00F877BD">
        <w:t xml:space="preserve">rafia di Farmacopea Europea tranne </w:t>
      </w:r>
      <w:r w:rsidR="00AD3546" w:rsidRPr="00F877BD">
        <w:t xml:space="preserve">il sodio fosfato monobasico monoidrato ed il sodio fosfato bibasico </w:t>
      </w:r>
      <w:proofErr w:type="spellStart"/>
      <w:r w:rsidR="00AD3546" w:rsidRPr="00F877BD">
        <w:t>eptaidrato</w:t>
      </w:r>
      <w:proofErr w:type="spellEnd"/>
      <w:r w:rsidR="00AD3546" w:rsidRPr="00F877BD">
        <w:t xml:space="preserve"> </w:t>
      </w:r>
      <w:r w:rsidR="008D312D" w:rsidRPr="00F877BD">
        <w:t xml:space="preserve">che </w:t>
      </w:r>
      <w:r w:rsidR="00AD3546" w:rsidRPr="00F877BD">
        <w:t>sono</w:t>
      </w:r>
      <w:r w:rsidR="008D312D" w:rsidRPr="00F877BD">
        <w:t xml:space="preserve"> conform</w:t>
      </w:r>
      <w:r w:rsidR="00AD3546" w:rsidRPr="00F877BD">
        <w:t>i</w:t>
      </w:r>
      <w:r w:rsidR="008D312D" w:rsidRPr="00F877BD">
        <w:t xml:space="preserve"> all</w:t>
      </w:r>
      <w:r w:rsidR="00AD3546" w:rsidRPr="00F877BD">
        <w:t>e</w:t>
      </w:r>
      <w:r w:rsidR="008D312D" w:rsidRPr="00F877BD">
        <w:t xml:space="preserve"> monografi</w:t>
      </w:r>
      <w:r w:rsidR="00AD3546" w:rsidRPr="00F877BD">
        <w:t>e</w:t>
      </w:r>
      <w:r w:rsidR="008D312D" w:rsidRPr="00F877BD">
        <w:t xml:space="preserve"> </w:t>
      </w:r>
      <w:r w:rsidR="008F262B" w:rsidRPr="00F877BD">
        <w:t>della Farmacopea degli Stati Uniti (</w:t>
      </w:r>
      <w:r w:rsidR="008D312D" w:rsidRPr="00F877BD">
        <w:t>USP</w:t>
      </w:r>
      <w:r w:rsidR="008F262B" w:rsidRPr="00F877BD">
        <w:t>).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Nessun eccipiente è ottenuto da organismi geneticamente modificati; non sono presenti eccipienti mai utilizzati nell’uomo.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>Sviluppo farmaceutico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Sono stati forniti dettagli dello sviluppo farmaceutico e questi sono stati ritenuti soddisfacenti.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Lo scopo era quello di ottenere un medicinale </w:t>
      </w:r>
      <w:proofErr w:type="spellStart"/>
      <w:r w:rsidR="00AD3546" w:rsidRPr="00F877BD">
        <w:t>terapeuticamente</w:t>
      </w:r>
      <w:proofErr w:type="spellEnd"/>
      <w:r w:rsidR="00AD3546" w:rsidRPr="00F877BD">
        <w:t xml:space="preserve"> </w:t>
      </w:r>
      <w:r w:rsidRPr="00F877BD">
        <w:t xml:space="preserve">equivalente al medicinale di riferimento </w:t>
      </w:r>
      <w:proofErr w:type="spellStart"/>
      <w:r w:rsidR="00AD3546" w:rsidRPr="00F877BD">
        <w:t>Timoptol</w:t>
      </w:r>
      <w:proofErr w:type="spellEnd"/>
      <w:r w:rsidRPr="00F877BD">
        <w:t>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 xml:space="preserve">Produzione 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Sono stati forniti una descrizione del metodo di produzione e la relativa flow-chart.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>Specifiche del prodotto finito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8F262B" w:rsidRPr="00F877BD">
        <w:t>il</w:t>
      </w:r>
      <w:r w:rsidRPr="00F877BD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>Contenitore</w:t>
      </w:r>
    </w:p>
    <w:p w:rsidR="00242BC3" w:rsidRPr="00F877BD" w:rsidRDefault="00A055C7" w:rsidP="00F877BD">
      <w:pPr>
        <w:spacing w:after="0" w:line="240" w:lineRule="auto"/>
        <w:jc w:val="both"/>
      </w:pPr>
      <w:proofErr w:type="spellStart"/>
      <w:r w:rsidRPr="00F877BD">
        <w:t>Timololo</w:t>
      </w:r>
      <w:proofErr w:type="spellEnd"/>
      <w:r w:rsidRPr="00F877BD">
        <w:t xml:space="preserve"> </w:t>
      </w:r>
      <w:proofErr w:type="spellStart"/>
      <w:r w:rsidRPr="00F877BD">
        <w:t>Tubilux</w:t>
      </w:r>
      <w:proofErr w:type="spellEnd"/>
      <w:r w:rsidRPr="00F877BD">
        <w:t xml:space="preserve"> </w:t>
      </w:r>
      <w:proofErr w:type="spellStart"/>
      <w:r w:rsidRPr="00F877BD">
        <w:t>Pharma</w:t>
      </w:r>
      <w:proofErr w:type="spellEnd"/>
      <w:r w:rsidR="00242BC3" w:rsidRPr="00F877BD">
        <w:t xml:space="preserve"> è confezionato </w:t>
      </w:r>
      <w:r w:rsidR="008D312D" w:rsidRPr="00F877BD">
        <w:t xml:space="preserve">in flacone con contagocce in </w:t>
      </w:r>
      <w:r w:rsidR="00E92697" w:rsidRPr="00F877BD">
        <w:t>polietilene</w:t>
      </w:r>
      <w:r w:rsidR="008D312D" w:rsidRPr="00F877BD">
        <w:t xml:space="preserve"> </w:t>
      </w:r>
      <w:r w:rsidRPr="00F877BD">
        <w:t xml:space="preserve">a bassa densità </w:t>
      </w:r>
      <w:r w:rsidR="008D312D" w:rsidRPr="00F877BD">
        <w:t xml:space="preserve">e </w:t>
      </w:r>
      <w:r w:rsidR="005726E5" w:rsidRPr="00F877BD">
        <w:t>tappo a vite in polistirene</w:t>
      </w:r>
      <w:r w:rsidR="00242BC3" w:rsidRPr="00F877BD">
        <w:t>. Sono state fornite specifiche e certificati analitici per tutti i componenti del confezionamento primario, che è adeguato per il medicinale.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lastRenderedPageBreak/>
        <w:t>Stabilità</w:t>
      </w:r>
    </w:p>
    <w:p w:rsidR="006F4BEC" w:rsidRPr="00F877BD" w:rsidRDefault="00242BC3" w:rsidP="00F877BD">
      <w:pPr>
        <w:spacing w:after="0" w:line="240" w:lineRule="auto"/>
        <w:jc w:val="both"/>
      </w:pPr>
      <w:r w:rsidRPr="00F877BD">
        <w:t xml:space="preserve">Studi di stabilità sul prodotto finito sono stati condotti in accordo alle correnti linee guida e i risultati sono entro i limiti delle specifiche autorizzate. Sulla base di questi risultati, è stato autorizzato un periodo di </w:t>
      </w:r>
      <w:r w:rsidR="005713BE" w:rsidRPr="00F877BD">
        <w:t xml:space="preserve">validità di </w:t>
      </w:r>
      <w:r w:rsidR="005726E5" w:rsidRPr="00F877BD">
        <w:t>1 anno</w:t>
      </w:r>
      <w:r w:rsidR="008F262B" w:rsidRPr="00F877BD">
        <w:t xml:space="preserve">, conservando il medicinale </w:t>
      </w:r>
      <w:r w:rsidR="005726E5" w:rsidRPr="00F877BD">
        <w:t>a temperatura non superiore a 25°C</w:t>
      </w:r>
      <w:r w:rsidR="006F4BEC" w:rsidRPr="00F877BD">
        <w:t xml:space="preserve">. </w:t>
      </w:r>
    </w:p>
    <w:p w:rsidR="006F4BEC" w:rsidRPr="00F877BD" w:rsidRDefault="006F4BEC" w:rsidP="00F877BD">
      <w:pPr>
        <w:spacing w:after="0" w:line="240" w:lineRule="auto"/>
        <w:jc w:val="both"/>
      </w:pPr>
      <w:r w:rsidRPr="00F877BD">
        <w:t xml:space="preserve">Dopo la prima apertura del flacone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="008F262B" w:rsidRPr="00F877BD">
        <w:t xml:space="preserve"> </w:t>
      </w:r>
      <w:r w:rsidRPr="00F877BD">
        <w:t>deve essere utilizzato entro 28 giorni</w:t>
      </w:r>
      <w:r w:rsidR="002D15B5" w:rsidRPr="00F877BD">
        <w:t>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  <w:rPr>
          <w:b/>
        </w:rPr>
      </w:pPr>
      <w:r w:rsidRPr="00F877BD">
        <w:rPr>
          <w:b/>
        </w:rPr>
        <w:t>II.3 Discussione sugli aspetti di qualità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Tutte le criticità evidenziate nel corso della valutazione sono state risolte e la qualità di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Pr="00F877BD">
        <w:t xml:space="preserve"> è considerata adeguata. Non ci sono obiezioni per l’approvazione di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="005726E5" w:rsidRPr="00F877BD">
        <w:t xml:space="preserve"> </w:t>
      </w:r>
      <w:r w:rsidRPr="00F877BD">
        <w:t>dal punto di vista chimico-farmaceutico.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877BD">
        <w:rPr>
          <w:b/>
        </w:rPr>
        <w:t>ASPETTI NON CLINICI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Non sono stati condotti specifici studi non clinici, in quanto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Pr="00F877BD">
        <w:t xml:space="preserve"> contiene un principio attivo noto: questo approccio è accettabile poiché il medicinale di riferimento </w:t>
      </w:r>
      <w:proofErr w:type="spellStart"/>
      <w:r w:rsidR="005726E5" w:rsidRPr="00F877BD">
        <w:t>Timoptol</w:t>
      </w:r>
      <w:proofErr w:type="spellEnd"/>
      <w:r w:rsidRPr="00F877BD">
        <w:t xml:space="preserve"> è autorizzato in Italia da oltre 10 anni.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Non ci sono obiezioni per l’approvazione dal punto di vista non clinico.</w:t>
      </w: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877BD">
        <w:rPr>
          <w:b/>
        </w:rPr>
        <w:t>ASPETTI CLINICI</w:t>
      </w:r>
    </w:p>
    <w:p w:rsidR="005726E5" w:rsidRPr="00F877BD" w:rsidRDefault="005726E5" w:rsidP="00F877BD">
      <w:pPr>
        <w:spacing w:after="0" w:line="240" w:lineRule="auto"/>
        <w:jc w:val="both"/>
      </w:pPr>
      <w:proofErr w:type="spellStart"/>
      <w:r w:rsidRPr="00F877BD">
        <w:t>Timololo</w:t>
      </w:r>
      <w:proofErr w:type="spellEnd"/>
      <w:r w:rsidRPr="00F877BD">
        <w:t xml:space="preserve"> </w:t>
      </w:r>
      <w:proofErr w:type="spellStart"/>
      <w:r w:rsidRPr="00F877BD">
        <w:t>Tubilux</w:t>
      </w:r>
      <w:proofErr w:type="spellEnd"/>
      <w:r w:rsidRPr="00F877BD">
        <w:t xml:space="preserve"> </w:t>
      </w:r>
      <w:proofErr w:type="spellStart"/>
      <w:r w:rsidRPr="00F877BD">
        <w:t>Pharma</w:t>
      </w:r>
      <w:proofErr w:type="spellEnd"/>
      <w:r w:rsidR="008F262B" w:rsidRPr="00F877BD">
        <w:rPr>
          <w:rFonts w:eastAsia="Calibri" w:cs="Calibri"/>
          <w:lang w:eastAsia="it-IT"/>
        </w:rPr>
        <w:t xml:space="preserve"> viene utilizzato per ridurre </w:t>
      </w:r>
      <w:r w:rsidR="008F262B" w:rsidRPr="00F877BD">
        <w:t xml:space="preserve">la pressione intraoculare (PIO) </w:t>
      </w:r>
      <w:r w:rsidRPr="00F877BD">
        <w:t>nei seguenti casi:</w:t>
      </w:r>
    </w:p>
    <w:p w:rsidR="005726E5" w:rsidRPr="00F877BD" w:rsidRDefault="005726E5" w:rsidP="00F877BD">
      <w:pPr>
        <w:numPr>
          <w:ilvl w:val="0"/>
          <w:numId w:val="10"/>
        </w:numPr>
        <w:tabs>
          <w:tab w:val="clear" w:pos="360"/>
          <w:tab w:val="num" w:pos="1134"/>
        </w:tabs>
        <w:spacing w:after="0" w:line="240" w:lineRule="auto"/>
        <w:jc w:val="both"/>
      </w:pPr>
      <w:r w:rsidRPr="00F877BD">
        <w:t>pazienti con ipertensione oculare</w:t>
      </w:r>
    </w:p>
    <w:p w:rsidR="005726E5" w:rsidRPr="00F877BD" w:rsidRDefault="005726E5" w:rsidP="00F877BD">
      <w:pPr>
        <w:numPr>
          <w:ilvl w:val="0"/>
          <w:numId w:val="10"/>
        </w:numPr>
        <w:spacing w:after="0" w:line="240" w:lineRule="auto"/>
        <w:jc w:val="both"/>
      </w:pPr>
      <w:r w:rsidRPr="00F877BD">
        <w:t>pazienti con glaucoma cronico ad angolo aperto</w:t>
      </w:r>
    </w:p>
    <w:p w:rsidR="005726E5" w:rsidRPr="00F877BD" w:rsidRDefault="005726E5" w:rsidP="00F877BD">
      <w:pPr>
        <w:numPr>
          <w:ilvl w:val="0"/>
          <w:numId w:val="10"/>
        </w:numPr>
        <w:spacing w:after="0" w:line="240" w:lineRule="auto"/>
        <w:jc w:val="both"/>
      </w:pPr>
      <w:r w:rsidRPr="00F877BD">
        <w:t xml:space="preserve">pazienti </w:t>
      </w:r>
      <w:proofErr w:type="spellStart"/>
      <w:r w:rsidRPr="00F877BD">
        <w:t>afachici</w:t>
      </w:r>
      <w:proofErr w:type="spellEnd"/>
      <w:r w:rsidRPr="00F877BD">
        <w:t xml:space="preserve"> con glaucoma </w:t>
      </w:r>
    </w:p>
    <w:p w:rsidR="005726E5" w:rsidRPr="00F877BD" w:rsidRDefault="005726E5" w:rsidP="00F877BD">
      <w:pPr>
        <w:numPr>
          <w:ilvl w:val="0"/>
          <w:numId w:val="10"/>
        </w:numPr>
        <w:spacing w:after="0" w:line="240" w:lineRule="auto"/>
        <w:jc w:val="both"/>
      </w:pPr>
      <w:r w:rsidRPr="00F877BD">
        <w:t xml:space="preserve">pazienti con glaucoma ad angolo chiuso e con episodi precedenti di chiusura d’angolo, spontanea o iatrogena, nell’occhio </w:t>
      </w:r>
      <w:proofErr w:type="spellStart"/>
      <w:r w:rsidRPr="00F877BD">
        <w:t>controlaterale</w:t>
      </w:r>
      <w:proofErr w:type="spellEnd"/>
      <w:r w:rsidRPr="00F877BD">
        <w:t>, in cui sia necessario ridurre la pressione oculare.</w:t>
      </w:r>
    </w:p>
    <w:p w:rsidR="005726E5" w:rsidRPr="00F877BD" w:rsidRDefault="005726E5" w:rsidP="00F877BD">
      <w:pPr>
        <w:spacing w:after="0" w:line="240" w:lineRule="auto"/>
        <w:jc w:val="both"/>
      </w:pPr>
      <w:proofErr w:type="spellStart"/>
      <w:r w:rsidRPr="00F877BD">
        <w:t>Timololo</w:t>
      </w:r>
      <w:proofErr w:type="spellEnd"/>
      <w:r w:rsidRPr="00F877BD">
        <w:t xml:space="preserve"> </w:t>
      </w:r>
      <w:proofErr w:type="spellStart"/>
      <w:r w:rsidRPr="00F877BD">
        <w:t>Tubilux</w:t>
      </w:r>
      <w:proofErr w:type="spellEnd"/>
      <w:r w:rsidRPr="00F877BD">
        <w:t xml:space="preserve"> </w:t>
      </w:r>
      <w:proofErr w:type="spellStart"/>
      <w:r w:rsidRPr="00F877BD">
        <w:t>Pharma</w:t>
      </w:r>
      <w:proofErr w:type="spellEnd"/>
      <w:r w:rsidRPr="00F877BD">
        <w:t xml:space="preserve"> è anche indicato come terapia concomitante nel glaucoma pediatrico, che sia inadeguatamente controllato con altre terapie antiglaucoma.</w:t>
      </w:r>
    </w:p>
    <w:p w:rsidR="00E92697" w:rsidRPr="00F877BD" w:rsidRDefault="00E92697" w:rsidP="00F877BD">
      <w:pPr>
        <w:spacing w:after="0" w:line="240" w:lineRule="auto"/>
        <w:jc w:val="both"/>
        <w:rPr>
          <w:rFonts w:eastAsia="Times New Roman"/>
          <w:lang w:eastAsia="it-IT"/>
        </w:rPr>
      </w:pPr>
    </w:p>
    <w:p w:rsidR="00E92697" w:rsidRPr="00F877BD" w:rsidRDefault="00E92697" w:rsidP="00F877BD">
      <w:pPr>
        <w:spacing w:after="0" w:line="240" w:lineRule="auto"/>
        <w:jc w:val="both"/>
        <w:rPr>
          <w:rFonts w:eastAsia="Times New Roman"/>
          <w:lang w:eastAsia="it-IT"/>
        </w:rPr>
      </w:pPr>
    </w:p>
    <w:p w:rsidR="00242BC3" w:rsidRPr="00F877BD" w:rsidRDefault="00242BC3" w:rsidP="00F877BD">
      <w:pPr>
        <w:spacing w:after="0" w:line="240" w:lineRule="auto"/>
        <w:ind w:right="6"/>
        <w:jc w:val="both"/>
        <w:rPr>
          <w:b/>
        </w:rPr>
      </w:pPr>
      <w:r w:rsidRPr="00F877BD">
        <w:rPr>
          <w:b/>
        </w:rPr>
        <w:t>Posologia e modalità di somministrazione</w:t>
      </w:r>
    </w:p>
    <w:p w:rsidR="00242BC3" w:rsidRPr="00F877BD" w:rsidRDefault="00242BC3" w:rsidP="00F877B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877BD">
        <w:t>Le informazioni sulla posologia e sulle modalità di somministrazione sono riportate nel Riassunto delle Caratteristiche del Prodotto pubblicato sul sito dell’Agenzia Italiana del Farmaco - AIFA /</w:t>
      </w:r>
      <w:r w:rsidRPr="00F877BD">
        <w:rPr>
          <w:rFonts w:eastAsia="Calibri" w:cs="Calibri"/>
          <w:lang w:eastAsia="it-IT"/>
        </w:rPr>
        <w:t>(</w:t>
      </w:r>
      <w:hyperlink r:id="rId9" w:history="1">
        <w:r w:rsidRPr="00F877B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877BD">
        <w:rPr>
          <w:rFonts w:eastAsia="Calibri" w:cs="Calibri"/>
          <w:lang w:eastAsia="it-IT"/>
        </w:rPr>
        <w:t>).</w:t>
      </w:r>
    </w:p>
    <w:p w:rsidR="00242BC3" w:rsidRPr="00F877BD" w:rsidRDefault="00242BC3" w:rsidP="00F877B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42BC3" w:rsidRPr="00F877BD" w:rsidRDefault="00242BC3" w:rsidP="00F877BD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877BD">
        <w:rPr>
          <w:rFonts w:eastAsia="Calibri" w:cs="Calibri"/>
          <w:b/>
          <w:lang w:eastAsia="it-IT"/>
        </w:rPr>
        <w:t>Tossicologia</w:t>
      </w:r>
    </w:p>
    <w:p w:rsidR="00242BC3" w:rsidRPr="00F877BD" w:rsidRDefault="00242BC3" w:rsidP="00F877B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877BD">
        <w:rPr>
          <w:rFonts w:eastAsia="Calibri" w:cs="Calibri"/>
          <w:lang w:eastAsia="it-IT"/>
        </w:rPr>
        <w:t xml:space="preserve">La tossicologia di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Pr="00F877BD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42BC3" w:rsidRPr="00F877BD" w:rsidRDefault="00242BC3" w:rsidP="00F877B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42BC3" w:rsidRPr="00F877BD" w:rsidRDefault="00242BC3" w:rsidP="00F877BD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877BD">
        <w:rPr>
          <w:rFonts w:eastAsia="Times New Roman" w:cs="Times New Roman"/>
          <w:b/>
        </w:rPr>
        <w:t>Farmacologia clinica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rPr>
          <w:rFonts w:eastAsia="Calibri" w:cs="Calibri"/>
          <w:lang w:eastAsia="it-IT"/>
        </w:rPr>
        <w:t xml:space="preserve">La farmacologia clinica di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="002D15B5" w:rsidRPr="00F877BD">
        <w:rPr>
          <w:rFonts w:eastAsia="Calibri" w:cs="Calibri"/>
          <w:color w:val="000000"/>
          <w:lang w:eastAsia="it-IT"/>
        </w:rPr>
        <w:t xml:space="preserve"> </w:t>
      </w:r>
      <w:r w:rsidRPr="00F877BD">
        <w:rPr>
          <w:rFonts w:eastAsia="Calibri" w:cs="Calibri"/>
          <w:lang w:eastAsia="it-IT"/>
        </w:rPr>
        <w:t xml:space="preserve">è ben conosciuta. </w:t>
      </w:r>
      <w:r w:rsidR="006F4BEC" w:rsidRPr="00F877BD">
        <w:t>N</w:t>
      </w:r>
      <w:r w:rsidRPr="00F877BD">
        <w:t xml:space="preserve">on sono stati condotti nuovi studi clinici di farmacodinamica e farmacocinetica, in quanto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Pr="00F877BD">
        <w:t xml:space="preserve"> contiene </w:t>
      </w:r>
      <w:r w:rsidR="005726E5" w:rsidRPr="00F877BD">
        <w:t>lo stesso</w:t>
      </w:r>
      <w:r w:rsidR="008F262B" w:rsidRPr="00F877BD">
        <w:t xml:space="preserve"> </w:t>
      </w:r>
      <w:r w:rsidRPr="00F877BD">
        <w:t>principi</w:t>
      </w:r>
      <w:r w:rsidR="005726E5" w:rsidRPr="00F877BD">
        <w:t>o</w:t>
      </w:r>
      <w:r w:rsidRPr="00F877BD">
        <w:t xml:space="preserve"> attiv</w:t>
      </w:r>
      <w:r w:rsidR="005726E5" w:rsidRPr="00F877BD">
        <w:t>o</w:t>
      </w:r>
      <w:r w:rsidRPr="00F877BD">
        <w:t xml:space="preserve"> </w:t>
      </w:r>
      <w:r w:rsidR="008F262B" w:rsidRPr="00F877BD">
        <w:t>not</w:t>
      </w:r>
      <w:r w:rsidR="005726E5" w:rsidRPr="00F877BD">
        <w:t xml:space="preserve">o,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maleato</w:t>
      </w:r>
      <w:proofErr w:type="spellEnd"/>
      <w:r w:rsidR="005726E5" w:rsidRPr="00F877BD">
        <w:t>,</w:t>
      </w:r>
      <w:r w:rsidR="008F262B" w:rsidRPr="00F877BD">
        <w:t xml:space="preserve"> present</w:t>
      </w:r>
      <w:r w:rsidR="005726E5" w:rsidRPr="00F877BD">
        <w:t>e</w:t>
      </w:r>
      <w:r w:rsidR="008F262B" w:rsidRPr="00F877BD">
        <w:t xml:space="preserve"> </w:t>
      </w:r>
      <w:r w:rsidRPr="00F877BD">
        <w:t xml:space="preserve">nel medicinale </w:t>
      </w:r>
      <w:proofErr w:type="spellStart"/>
      <w:r w:rsidR="005726E5" w:rsidRPr="00F877BD">
        <w:t>Timoptol</w:t>
      </w:r>
      <w:proofErr w:type="spellEnd"/>
      <w:r w:rsidRPr="00F877BD">
        <w:t xml:space="preserve"> autorizzato in Italia da più di 10 anni.</w:t>
      </w:r>
    </w:p>
    <w:p w:rsidR="00E92697" w:rsidRPr="00F877BD" w:rsidRDefault="00E92697" w:rsidP="00F877BD">
      <w:pPr>
        <w:spacing w:after="0" w:line="240" w:lineRule="auto"/>
        <w:jc w:val="both"/>
        <w:rPr>
          <w:rFonts w:cs="Arial"/>
          <w:b/>
        </w:rPr>
      </w:pPr>
    </w:p>
    <w:p w:rsidR="00242BC3" w:rsidRPr="00F877BD" w:rsidRDefault="00242BC3" w:rsidP="00F877BD">
      <w:pPr>
        <w:spacing w:after="0" w:line="240" w:lineRule="auto"/>
        <w:jc w:val="both"/>
        <w:rPr>
          <w:rFonts w:cs="Arial"/>
          <w:b/>
        </w:rPr>
      </w:pPr>
      <w:r w:rsidRPr="00F877BD">
        <w:rPr>
          <w:rFonts w:cs="Arial"/>
          <w:b/>
        </w:rPr>
        <w:t>Efficacia e sicurezza clinica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Pr="00F877BD">
        <w:rPr>
          <w:rFonts w:cs="Arial"/>
        </w:rPr>
        <w:t xml:space="preserve"> è ben conosciuto; inoltre è stato possibile concedere l’esenzione dalla conduzione di studi clinici di confronto con il medicinale di riferimento in quanto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="008F262B" w:rsidRPr="00F877BD">
        <w:rPr>
          <w:rFonts w:cs="Arial"/>
        </w:rPr>
        <w:t xml:space="preserve"> </w:t>
      </w:r>
      <w:r w:rsidR="00D25E01" w:rsidRPr="00F877BD">
        <w:t xml:space="preserve">è somministrato come collirio (soluzione oftalmica) con le stesse </w:t>
      </w:r>
      <w:r w:rsidR="00D25E01" w:rsidRPr="00F877BD">
        <w:rPr>
          <w:rFonts w:cs="Arial"/>
        </w:rPr>
        <w:t>caratteristiche chimico-fisiche del medicinale di riferimento e</w:t>
      </w:r>
      <w:r w:rsidR="00D25E01" w:rsidRPr="00F877BD">
        <w:t xml:space="preserve"> in cui </w:t>
      </w:r>
      <w:r w:rsidR="005726E5" w:rsidRPr="00F877BD">
        <w:t xml:space="preserve">il </w:t>
      </w:r>
      <w:r w:rsidR="00D25E01" w:rsidRPr="00F877BD">
        <w:t>principi</w:t>
      </w:r>
      <w:r w:rsidR="005726E5" w:rsidRPr="00F877BD">
        <w:t>o</w:t>
      </w:r>
      <w:r w:rsidR="00D25E01" w:rsidRPr="00F877BD">
        <w:t xml:space="preserve"> attiv</w:t>
      </w:r>
      <w:r w:rsidR="005726E5" w:rsidRPr="00F877BD">
        <w:t>o</w:t>
      </w:r>
      <w:r w:rsidR="00D25E01" w:rsidRPr="00F877BD">
        <w:t xml:space="preserve"> </w:t>
      </w:r>
      <w:r w:rsidR="005726E5" w:rsidRPr="00F877BD">
        <w:t>è</w:t>
      </w:r>
      <w:r w:rsidR="00D25E01" w:rsidRPr="00F877BD">
        <w:t xml:space="preserve"> nella stessa concentrazione del medicinale di riferimento </w:t>
      </w:r>
      <w:proofErr w:type="spellStart"/>
      <w:r w:rsidR="005726E5" w:rsidRPr="00F877BD">
        <w:t>Timoptol</w:t>
      </w:r>
      <w:proofErr w:type="spellEnd"/>
      <w:r w:rsidR="00D25E01" w:rsidRPr="00F877BD">
        <w:t>.</w:t>
      </w:r>
    </w:p>
    <w:p w:rsidR="00D25E01" w:rsidRPr="00F877BD" w:rsidRDefault="00D25E01" w:rsidP="00F877BD">
      <w:pPr>
        <w:pStyle w:val="Paragrafoelenco"/>
        <w:spacing w:after="0" w:line="240" w:lineRule="auto"/>
        <w:ind w:left="0"/>
        <w:jc w:val="both"/>
        <w:rPr>
          <w:b/>
        </w:rPr>
      </w:pP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  <w:rPr>
          <w:b/>
        </w:rPr>
      </w:pPr>
      <w:r w:rsidRPr="00F877BD">
        <w:rPr>
          <w:b/>
        </w:rPr>
        <w:lastRenderedPageBreak/>
        <w:t>Piano di Valutazione del Rischio (</w:t>
      </w:r>
      <w:proofErr w:type="spellStart"/>
      <w:r w:rsidRPr="00F877BD">
        <w:rPr>
          <w:b/>
          <w:i/>
        </w:rPr>
        <w:t>Risk</w:t>
      </w:r>
      <w:proofErr w:type="spellEnd"/>
      <w:r w:rsidRPr="00F877BD">
        <w:rPr>
          <w:b/>
          <w:i/>
        </w:rPr>
        <w:t xml:space="preserve"> Management </w:t>
      </w:r>
      <w:proofErr w:type="spellStart"/>
      <w:r w:rsidRPr="00F877BD">
        <w:rPr>
          <w:b/>
          <w:i/>
        </w:rPr>
        <w:t>Plan</w:t>
      </w:r>
      <w:proofErr w:type="spellEnd"/>
      <w:r w:rsidRPr="00F877BD">
        <w:rPr>
          <w:b/>
        </w:rPr>
        <w:t xml:space="preserve"> - RMP)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r w:rsidRPr="00F877BD">
        <w:t xml:space="preserve">E’ stato presentato un RMP in accordo a quanto previsto dalla Direttiva 2001/83/EU </w:t>
      </w:r>
      <w:proofErr w:type="spellStart"/>
      <w:r w:rsidRPr="00F877BD">
        <w:t>s.m.i.</w:t>
      </w:r>
      <w:proofErr w:type="spellEnd"/>
      <w:r w:rsidRPr="00F877BD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726E5" w:rsidRPr="00F877BD">
        <w:t>Timololo</w:t>
      </w:r>
      <w:proofErr w:type="spellEnd"/>
      <w:r w:rsidR="005726E5" w:rsidRPr="00F877BD">
        <w:t xml:space="preserve"> </w:t>
      </w:r>
      <w:proofErr w:type="spellStart"/>
      <w:r w:rsidR="005726E5" w:rsidRPr="00F877BD">
        <w:t>Tubilux</w:t>
      </w:r>
      <w:proofErr w:type="spellEnd"/>
      <w:r w:rsidR="005726E5" w:rsidRPr="00F877BD">
        <w:t xml:space="preserve"> </w:t>
      </w:r>
      <w:proofErr w:type="spellStart"/>
      <w:r w:rsidR="005726E5" w:rsidRPr="00F877BD">
        <w:t>Pharma</w:t>
      </w:r>
      <w:proofErr w:type="spellEnd"/>
      <w:r w:rsidRPr="00F877BD">
        <w:t>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r w:rsidRPr="00F877BD">
        <w:t>Il riassunto delle problematiche di sicurezza è riportato nella tabella seguente.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03"/>
        <w:gridCol w:w="5653"/>
      </w:tblGrid>
      <w:tr w:rsidR="00242BC3" w:rsidRPr="00F877BD" w:rsidTr="00F877BD">
        <w:trPr>
          <w:jc w:val="center"/>
        </w:trPr>
        <w:tc>
          <w:tcPr>
            <w:tcW w:w="1772" w:type="pct"/>
            <w:shd w:val="clear" w:color="auto" w:fill="auto"/>
          </w:tcPr>
          <w:p w:rsidR="00242BC3" w:rsidRPr="00F877BD" w:rsidRDefault="00242BC3" w:rsidP="00F877B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="00D25E01"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  <w:r w:rsidR="00D25E01"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228" w:type="pct"/>
            <w:shd w:val="clear" w:color="auto" w:fill="auto"/>
          </w:tcPr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Patologia della cornea (ad esempio occhio secco, cheratite, erosioni,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cheratopatia</w:t>
            </w:r>
            <w:proofErr w:type="spellEnd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ulcerativa tossica);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Irritazione oculare e decolorazione delle lenti a contatto morbide;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Disturbi cardiaci (ad esempio bradicardia, palpitazioni, aritmia, insufficienza cardiaca congestizia, blocco atrioventricolare);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Ipotensione;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Disturbi cardiovascolari (fenomeno di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Raynaud</w:t>
            </w:r>
            <w:proofErr w:type="spellEnd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);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Broncocostrizione</w:t>
            </w:r>
            <w:proofErr w:type="spellEnd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(principalmente in pazienti con anamnesi di patologia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broncospastica</w:t>
            </w:r>
            <w:proofErr w:type="spellEnd"/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);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Ipoglicemia;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Reazioni anafilattiche;</w:t>
            </w:r>
          </w:p>
          <w:p w:rsidR="00056574" w:rsidRPr="00F877BD" w:rsidRDefault="00056574" w:rsidP="00F877BD">
            <w:pPr>
              <w:pStyle w:val="TabletextrowsAgency"/>
              <w:numPr>
                <w:ilvl w:val="0"/>
                <w:numId w:val="11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 w:eastAsia="en-GB"/>
              </w:rPr>
              <w:t>Distacco della coroide.</w:t>
            </w:r>
          </w:p>
          <w:p w:rsidR="00242BC3" w:rsidRPr="00F877BD" w:rsidRDefault="00242BC3" w:rsidP="00F877BD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</w:tc>
      </w:tr>
      <w:tr w:rsidR="00242BC3" w:rsidRPr="00F877BD" w:rsidTr="00F877BD">
        <w:trPr>
          <w:jc w:val="center"/>
        </w:trPr>
        <w:tc>
          <w:tcPr>
            <w:tcW w:w="17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42BC3" w:rsidRPr="00F877BD" w:rsidRDefault="00242BC3" w:rsidP="00F877B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="005713BE"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  <w:r w:rsidR="005713BE"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095B" w:rsidRPr="00F877BD" w:rsidRDefault="00056574" w:rsidP="00F877B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sz w:val="20"/>
                <w:lang w:eastAsia="en-GB"/>
              </w:rPr>
            </w:pPr>
            <w:r w:rsidRPr="00F877BD">
              <w:rPr>
                <w:sz w:val="20"/>
                <w:lang w:eastAsia="en-GB"/>
              </w:rPr>
              <w:t>Interazione con l’anestesia;</w:t>
            </w:r>
          </w:p>
          <w:p w:rsidR="00056574" w:rsidRPr="00F877BD" w:rsidRDefault="00056574" w:rsidP="00F877B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sz w:val="20"/>
                <w:lang w:eastAsia="en-GB"/>
              </w:rPr>
            </w:pPr>
            <w:r w:rsidRPr="00F877BD">
              <w:rPr>
                <w:sz w:val="20"/>
                <w:lang w:eastAsia="en-GB"/>
              </w:rPr>
              <w:t>Interazione con altri farmaci beta-bloccanti;</w:t>
            </w:r>
          </w:p>
          <w:p w:rsidR="00056574" w:rsidRPr="00F877BD" w:rsidRDefault="00056574" w:rsidP="00F877B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sz w:val="20"/>
                <w:lang w:eastAsia="en-GB"/>
              </w:rPr>
            </w:pPr>
            <w:r w:rsidRPr="00F877BD">
              <w:rPr>
                <w:sz w:val="20"/>
                <w:lang w:eastAsia="en-GB"/>
              </w:rPr>
              <w:t>Lupus eritematoso sistemico;</w:t>
            </w:r>
          </w:p>
          <w:p w:rsidR="00056574" w:rsidRPr="00F877BD" w:rsidRDefault="00056574" w:rsidP="00F877B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sz w:val="20"/>
                <w:lang w:eastAsia="en-GB"/>
              </w:rPr>
            </w:pPr>
            <w:r w:rsidRPr="00F877BD">
              <w:rPr>
                <w:sz w:val="20"/>
                <w:lang w:eastAsia="en-GB"/>
              </w:rPr>
              <w:t>Peggioramento dei sintomi della miastenia grave;</w:t>
            </w:r>
          </w:p>
          <w:p w:rsidR="00056574" w:rsidRPr="00F877BD" w:rsidRDefault="00056574" w:rsidP="00F877B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sz w:val="20"/>
                <w:lang w:eastAsia="en-GB"/>
              </w:rPr>
            </w:pPr>
            <w:r w:rsidRPr="00F877BD">
              <w:rPr>
                <w:sz w:val="20"/>
                <w:lang w:eastAsia="en-GB"/>
              </w:rPr>
              <w:t>Mascheramento dei sintomi dell’ipotiroidismo;</w:t>
            </w:r>
          </w:p>
          <w:p w:rsidR="00056574" w:rsidRPr="00F877BD" w:rsidRDefault="00056574" w:rsidP="00F877B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sz w:val="20"/>
                <w:lang w:eastAsia="en-GB"/>
              </w:rPr>
            </w:pPr>
            <w:r w:rsidRPr="00F877BD">
              <w:rPr>
                <w:sz w:val="20"/>
                <w:lang w:eastAsia="en-GB"/>
              </w:rPr>
              <w:t>Disturbi visivi.</w:t>
            </w:r>
          </w:p>
        </w:tc>
      </w:tr>
      <w:tr w:rsidR="00242BC3" w:rsidRPr="00F877BD" w:rsidTr="00F877BD">
        <w:trPr>
          <w:jc w:val="center"/>
        </w:trPr>
        <w:tc>
          <w:tcPr>
            <w:tcW w:w="17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42BC3" w:rsidRPr="00F877BD" w:rsidRDefault="00242BC3" w:rsidP="00F877B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="00D25E01"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F877BD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2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95B" w:rsidRPr="00F877BD" w:rsidRDefault="00885107" w:rsidP="00F877BD">
            <w:pPr>
              <w:pStyle w:val="TabletextrowsAgency"/>
              <w:numPr>
                <w:ilvl w:val="0"/>
                <w:numId w:val="13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/>
              </w:rPr>
              <w:t>Uso in gravidanza e durante l’allattamento;</w:t>
            </w:r>
          </w:p>
          <w:p w:rsidR="00885107" w:rsidRPr="00F877BD" w:rsidRDefault="00885107" w:rsidP="00F877BD">
            <w:pPr>
              <w:pStyle w:val="TabletextrowsAgency"/>
              <w:numPr>
                <w:ilvl w:val="0"/>
                <w:numId w:val="13"/>
              </w:numPr>
              <w:spacing w:line="240" w:lineRule="auto"/>
              <w:ind w:left="317" w:hanging="283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F877BD">
              <w:rPr>
                <w:rFonts w:asciiTheme="minorHAnsi" w:hAnsiTheme="minorHAnsi"/>
                <w:sz w:val="20"/>
                <w:szCs w:val="22"/>
                <w:lang w:val="it-IT"/>
              </w:rPr>
              <w:t>Uso nella popolazione pediatrica.</w:t>
            </w:r>
          </w:p>
        </w:tc>
      </w:tr>
    </w:tbl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r w:rsidRPr="00F877BD">
        <w:t>Azioni routinarie di farmacovigilanza e di minimizzazione del rischio sono proposte per tutte le problematiche di sicurezza.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r w:rsidRPr="00F877BD">
        <w:t>Oltre le misure previste nel Riassunto delle caratteristiche del prodotto non sono previste attività addizionali di minimizzazione del rischio</w:t>
      </w:r>
      <w:r w:rsidR="00D25E01" w:rsidRPr="00F877BD">
        <w:t>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  <w:rPr>
          <w:b/>
        </w:rPr>
      </w:pPr>
      <w:r w:rsidRPr="00F877BD">
        <w:rPr>
          <w:b/>
        </w:rPr>
        <w:t>Conclusioni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r w:rsidRPr="00F877BD">
        <w:t xml:space="preserve">Per la richiesta di AIC di </w:t>
      </w:r>
      <w:proofErr w:type="spellStart"/>
      <w:r w:rsidR="00885107" w:rsidRPr="00F877BD">
        <w:t>Timololo</w:t>
      </w:r>
      <w:proofErr w:type="spellEnd"/>
      <w:r w:rsidR="00885107" w:rsidRPr="00F877BD">
        <w:t xml:space="preserve"> </w:t>
      </w:r>
      <w:proofErr w:type="spellStart"/>
      <w:r w:rsidR="00885107" w:rsidRPr="00F877BD">
        <w:t>Tubilux</w:t>
      </w:r>
      <w:proofErr w:type="spellEnd"/>
      <w:r w:rsidR="00885107" w:rsidRPr="00F877BD">
        <w:t xml:space="preserve"> </w:t>
      </w:r>
      <w:proofErr w:type="spellStart"/>
      <w:r w:rsidR="00885107" w:rsidRPr="00F877BD">
        <w:t>Pharma</w:t>
      </w:r>
      <w:proofErr w:type="spellEnd"/>
      <w:r w:rsidRPr="00F877BD">
        <w:t xml:space="preserve"> sono state presentate sufficienti informazioni cliniche.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r w:rsidRPr="00F877BD">
        <w:t xml:space="preserve">Il rapporto beneficio/rischio di </w:t>
      </w:r>
      <w:proofErr w:type="spellStart"/>
      <w:r w:rsidR="00885107" w:rsidRPr="00F877BD">
        <w:t>Timololo</w:t>
      </w:r>
      <w:proofErr w:type="spellEnd"/>
      <w:r w:rsidR="00885107" w:rsidRPr="00F877BD">
        <w:t xml:space="preserve"> </w:t>
      </w:r>
      <w:proofErr w:type="spellStart"/>
      <w:r w:rsidR="00885107" w:rsidRPr="00F877BD">
        <w:t>Tubilux</w:t>
      </w:r>
      <w:proofErr w:type="spellEnd"/>
      <w:r w:rsidR="00885107" w:rsidRPr="00F877BD">
        <w:t xml:space="preserve"> </w:t>
      </w:r>
      <w:proofErr w:type="spellStart"/>
      <w:r w:rsidR="00885107" w:rsidRPr="00F877BD">
        <w:t>Pharma</w:t>
      </w:r>
      <w:proofErr w:type="spellEnd"/>
      <w:r w:rsidRPr="00F877BD">
        <w:t xml:space="preserve"> è considerato favorevole dal punto di vista clinico.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  <w:bookmarkStart w:id="1" w:name="_GoBack"/>
      <w:bookmarkEnd w:id="1"/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</w:p>
    <w:p w:rsidR="00242BC3" w:rsidRPr="00F877BD" w:rsidRDefault="00242BC3" w:rsidP="00F877B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877BD">
        <w:rPr>
          <w:b/>
        </w:rPr>
        <w:t>CONSULTAZIONE SUL FOGLIO ILLUSTRATIVO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Il foglio illustrativo è stato sottoposto al test di leggibilità in accordo ai requisiti dell’art. 59(3) e 61(1) della direttiva 2001/83/EU </w:t>
      </w:r>
      <w:proofErr w:type="spellStart"/>
      <w:r w:rsidRPr="00F877BD">
        <w:t>s.m.i.</w:t>
      </w:r>
      <w:proofErr w:type="spellEnd"/>
      <w:r w:rsidRPr="00F877BD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242BC3" w:rsidRPr="00F877BD" w:rsidRDefault="00242BC3" w:rsidP="00F877BD">
      <w:pPr>
        <w:pStyle w:val="Paragrafoelenco"/>
        <w:spacing w:after="0" w:line="240" w:lineRule="auto"/>
        <w:ind w:left="0"/>
        <w:jc w:val="both"/>
      </w:pPr>
    </w:p>
    <w:p w:rsidR="00242BC3" w:rsidRPr="00F877BD" w:rsidRDefault="00242BC3" w:rsidP="00F877BD">
      <w:pPr>
        <w:spacing w:after="0" w:line="240" w:lineRule="auto"/>
        <w:jc w:val="both"/>
      </w:pPr>
    </w:p>
    <w:p w:rsidR="00242BC3" w:rsidRPr="00F877BD" w:rsidRDefault="00242BC3" w:rsidP="00F877B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877BD">
        <w:rPr>
          <w:b/>
        </w:rPr>
        <w:t>CONCLUSIONI, VALUTAZIONE DEL RAPPORTO BENEFICIO/RISCHIO E RACCOMANDAZIONI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La qualità di </w:t>
      </w:r>
      <w:proofErr w:type="spellStart"/>
      <w:r w:rsidR="00885107" w:rsidRPr="00F877BD">
        <w:t>Timololo</w:t>
      </w:r>
      <w:proofErr w:type="spellEnd"/>
      <w:r w:rsidR="00885107" w:rsidRPr="00F877BD">
        <w:t xml:space="preserve"> </w:t>
      </w:r>
      <w:proofErr w:type="spellStart"/>
      <w:r w:rsidR="00885107" w:rsidRPr="00F877BD">
        <w:t>Tubilux</w:t>
      </w:r>
      <w:proofErr w:type="spellEnd"/>
      <w:r w:rsidR="00885107" w:rsidRPr="00F877BD">
        <w:t xml:space="preserve"> </w:t>
      </w:r>
      <w:proofErr w:type="spellStart"/>
      <w:r w:rsidR="00885107" w:rsidRPr="00F877BD">
        <w:t>Pharma</w:t>
      </w:r>
      <w:proofErr w:type="spellEnd"/>
      <w:r w:rsidRPr="00F877BD">
        <w:t xml:space="preserve"> è accettabile e non sono state rilevate criticità da un punto di vista non clinico e clinico.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>Il rapporto beneficio/rischio è considerato positivo.</w:t>
      </w:r>
    </w:p>
    <w:p w:rsidR="00242BC3" w:rsidRPr="00F877BD" w:rsidRDefault="00242BC3" w:rsidP="00F877BD">
      <w:pPr>
        <w:spacing w:after="0" w:line="240" w:lineRule="auto"/>
        <w:jc w:val="both"/>
      </w:pPr>
      <w:r w:rsidRPr="00F877BD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877BD">
        <w:rPr>
          <w:rFonts w:eastAsia="Calibri" w:cs="Calibri"/>
          <w:lang w:eastAsia="it-IT"/>
        </w:rPr>
        <w:t>(</w:t>
      </w:r>
      <w:hyperlink r:id="rId10" w:history="1">
        <w:r w:rsidRPr="00F877B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877BD">
        <w:rPr>
          <w:rFonts w:eastAsia="Calibri" w:cs="Calibri"/>
          <w:lang w:eastAsia="it-IT"/>
        </w:rPr>
        <w:t>).</w:t>
      </w:r>
    </w:p>
    <w:p w:rsidR="00242BC3" w:rsidRPr="00F877BD" w:rsidRDefault="00242BC3" w:rsidP="00F877BD">
      <w:pPr>
        <w:spacing w:after="0" w:line="240" w:lineRule="auto"/>
        <w:jc w:val="both"/>
      </w:pPr>
    </w:p>
    <w:sectPr w:rsidR="00242BC3" w:rsidRPr="00F877BD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5BB"/>
    <w:multiLevelType w:val="hybridMultilevel"/>
    <w:tmpl w:val="9EFA8454"/>
    <w:lvl w:ilvl="0" w:tplc="FFFFFFFF">
      <w:start w:val="1"/>
      <w:numFmt w:val="bullet"/>
      <w:lvlText w:val=""/>
      <w:lvlJc w:val="left"/>
      <w:pPr>
        <w:tabs>
          <w:tab w:val="num" w:pos="521"/>
        </w:tabs>
        <w:ind w:left="5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41"/>
        </w:tabs>
        <w:ind w:left="12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1"/>
        </w:tabs>
        <w:ind w:left="19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1"/>
        </w:tabs>
        <w:ind w:left="26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1"/>
        </w:tabs>
        <w:ind w:left="34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1"/>
        </w:tabs>
        <w:ind w:left="41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1"/>
        </w:tabs>
        <w:ind w:left="48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1"/>
        </w:tabs>
        <w:ind w:left="55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1"/>
        </w:tabs>
        <w:ind w:left="6281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C57C65"/>
    <w:multiLevelType w:val="singleLevel"/>
    <w:tmpl w:val="818C46E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F62D1"/>
    <w:multiLevelType w:val="hybridMultilevel"/>
    <w:tmpl w:val="8C0E72C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81420"/>
    <w:multiLevelType w:val="hybridMultilevel"/>
    <w:tmpl w:val="7B086DF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D2769"/>
    <w:multiLevelType w:val="singleLevel"/>
    <w:tmpl w:val="028026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F604EE"/>
    <w:multiLevelType w:val="hybridMultilevel"/>
    <w:tmpl w:val="7B18D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A46DAE"/>
    <w:multiLevelType w:val="hybridMultilevel"/>
    <w:tmpl w:val="E8C09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C1F30"/>
    <w:multiLevelType w:val="hybridMultilevel"/>
    <w:tmpl w:val="65B08114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3D2B0B"/>
    <w:multiLevelType w:val="hybridMultilevel"/>
    <w:tmpl w:val="63C845E6"/>
    <w:lvl w:ilvl="0" w:tplc="DB5E25D6">
      <w:start w:val="1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0"/>
  </w:num>
  <w:num w:numId="8">
    <w:abstractNumId w:val="8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ce Milica Vlangar">
    <w15:presenceInfo w15:providerId="AD" w15:userId="S-1-5-21-777629428-1071641645-2429031218-219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4241AC"/>
    <w:rsid w:val="000013CC"/>
    <w:rsid w:val="00002B04"/>
    <w:rsid w:val="00013020"/>
    <w:rsid w:val="00025995"/>
    <w:rsid w:val="00027AD2"/>
    <w:rsid w:val="00045A52"/>
    <w:rsid w:val="00051F8C"/>
    <w:rsid w:val="00056574"/>
    <w:rsid w:val="00057A00"/>
    <w:rsid w:val="00062636"/>
    <w:rsid w:val="00077016"/>
    <w:rsid w:val="000B1B56"/>
    <w:rsid w:val="000B1FBB"/>
    <w:rsid w:val="000B6ED0"/>
    <w:rsid w:val="000F53E7"/>
    <w:rsid w:val="00111824"/>
    <w:rsid w:val="00111E9E"/>
    <w:rsid w:val="0012413E"/>
    <w:rsid w:val="00132837"/>
    <w:rsid w:val="001449DA"/>
    <w:rsid w:val="00146906"/>
    <w:rsid w:val="00147D04"/>
    <w:rsid w:val="00151BC3"/>
    <w:rsid w:val="001575D2"/>
    <w:rsid w:val="001677DD"/>
    <w:rsid w:val="00177292"/>
    <w:rsid w:val="001A4FBC"/>
    <w:rsid w:val="001B7D19"/>
    <w:rsid w:val="001C029D"/>
    <w:rsid w:val="001F543F"/>
    <w:rsid w:val="00204906"/>
    <w:rsid w:val="002213E3"/>
    <w:rsid w:val="00221FA9"/>
    <w:rsid w:val="00232F44"/>
    <w:rsid w:val="00240086"/>
    <w:rsid w:val="00242BC3"/>
    <w:rsid w:val="0024701B"/>
    <w:rsid w:val="00247206"/>
    <w:rsid w:val="002657CA"/>
    <w:rsid w:val="00274E88"/>
    <w:rsid w:val="002D15B5"/>
    <w:rsid w:val="002E4ACA"/>
    <w:rsid w:val="00313D1C"/>
    <w:rsid w:val="00317D07"/>
    <w:rsid w:val="00320D43"/>
    <w:rsid w:val="003265E4"/>
    <w:rsid w:val="00331C6F"/>
    <w:rsid w:val="00354BAE"/>
    <w:rsid w:val="00356407"/>
    <w:rsid w:val="00375A65"/>
    <w:rsid w:val="003A3DB3"/>
    <w:rsid w:val="003A5E03"/>
    <w:rsid w:val="003B4191"/>
    <w:rsid w:val="003E54E5"/>
    <w:rsid w:val="003E5B64"/>
    <w:rsid w:val="00400F57"/>
    <w:rsid w:val="004241AC"/>
    <w:rsid w:val="004358FE"/>
    <w:rsid w:val="00453412"/>
    <w:rsid w:val="00481DE3"/>
    <w:rsid w:val="004827BB"/>
    <w:rsid w:val="004962C0"/>
    <w:rsid w:val="004B20A8"/>
    <w:rsid w:val="004C17D6"/>
    <w:rsid w:val="00525BA8"/>
    <w:rsid w:val="0053000F"/>
    <w:rsid w:val="00534062"/>
    <w:rsid w:val="00555069"/>
    <w:rsid w:val="005713BE"/>
    <w:rsid w:val="005720F8"/>
    <w:rsid w:val="005726E5"/>
    <w:rsid w:val="0057477D"/>
    <w:rsid w:val="00577A45"/>
    <w:rsid w:val="00596DA3"/>
    <w:rsid w:val="005D0EF0"/>
    <w:rsid w:val="005E601D"/>
    <w:rsid w:val="005F3439"/>
    <w:rsid w:val="00601004"/>
    <w:rsid w:val="00640FAE"/>
    <w:rsid w:val="0064737A"/>
    <w:rsid w:val="00651F43"/>
    <w:rsid w:val="006615E6"/>
    <w:rsid w:val="00665963"/>
    <w:rsid w:val="006737C4"/>
    <w:rsid w:val="006833A4"/>
    <w:rsid w:val="00686B6F"/>
    <w:rsid w:val="006956E9"/>
    <w:rsid w:val="006A4448"/>
    <w:rsid w:val="006B75F0"/>
    <w:rsid w:val="006E1735"/>
    <w:rsid w:val="006F4BEC"/>
    <w:rsid w:val="0073554C"/>
    <w:rsid w:val="0074438A"/>
    <w:rsid w:val="00754FC4"/>
    <w:rsid w:val="007577B5"/>
    <w:rsid w:val="007625AF"/>
    <w:rsid w:val="00793BA0"/>
    <w:rsid w:val="007C482D"/>
    <w:rsid w:val="007D68D9"/>
    <w:rsid w:val="007D7D00"/>
    <w:rsid w:val="00803D08"/>
    <w:rsid w:val="00853768"/>
    <w:rsid w:val="00864133"/>
    <w:rsid w:val="00864E5F"/>
    <w:rsid w:val="00885107"/>
    <w:rsid w:val="008971A2"/>
    <w:rsid w:val="008B4301"/>
    <w:rsid w:val="008B7903"/>
    <w:rsid w:val="008C1038"/>
    <w:rsid w:val="008C26ED"/>
    <w:rsid w:val="008C3F3B"/>
    <w:rsid w:val="008D312D"/>
    <w:rsid w:val="008E108A"/>
    <w:rsid w:val="008E3280"/>
    <w:rsid w:val="008E4407"/>
    <w:rsid w:val="008E4526"/>
    <w:rsid w:val="008E52AA"/>
    <w:rsid w:val="008F117C"/>
    <w:rsid w:val="008F262B"/>
    <w:rsid w:val="0092393F"/>
    <w:rsid w:val="00950A7E"/>
    <w:rsid w:val="00971337"/>
    <w:rsid w:val="00991A93"/>
    <w:rsid w:val="009929DA"/>
    <w:rsid w:val="009A260F"/>
    <w:rsid w:val="009B03DB"/>
    <w:rsid w:val="009B2B4C"/>
    <w:rsid w:val="009C08A8"/>
    <w:rsid w:val="00A00D3F"/>
    <w:rsid w:val="00A05212"/>
    <w:rsid w:val="00A055C7"/>
    <w:rsid w:val="00A1005E"/>
    <w:rsid w:val="00A11192"/>
    <w:rsid w:val="00A12887"/>
    <w:rsid w:val="00A146BC"/>
    <w:rsid w:val="00A30CA9"/>
    <w:rsid w:val="00A35B2D"/>
    <w:rsid w:val="00A40FF3"/>
    <w:rsid w:val="00A42B0C"/>
    <w:rsid w:val="00A46A38"/>
    <w:rsid w:val="00A4735F"/>
    <w:rsid w:val="00A5706B"/>
    <w:rsid w:val="00A60670"/>
    <w:rsid w:val="00A7095B"/>
    <w:rsid w:val="00A81DFC"/>
    <w:rsid w:val="00AA1253"/>
    <w:rsid w:val="00AC076B"/>
    <w:rsid w:val="00AD3546"/>
    <w:rsid w:val="00AE6831"/>
    <w:rsid w:val="00AF2A36"/>
    <w:rsid w:val="00B248F6"/>
    <w:rsid w:val="00B45F4F"/>
    <w:rsid w:val="00B527AD"/>
    <w:rsid w:val="00B551AA"/>
    <w:rsid w:val="00B614A2"/>
    <w:rsid w:val="00B63A1F"/>
    <w:rsid w:val="00B73E77"/>
    <w:rsid w:val="00B7524A"/>
    <w:rsid w:val="00B80E70"/>
    <w:rsid w:val="00B849DC"/>
    <w:rsid w:val="00B90F33"/>
    <w:rsid w:val="00BA7998"/>
    <w:rsid w:val="00BB1ED2"/>
    <w:rsid w:val="00BB7DE3"/>
    <w:rsid w:val="00BC74C2"/>
    <w:rsid w:val="00BD24FA"/>
    <w:rsid w:val="00BD269C"/>
    <w:rsid w:val="00BD69AF"/>
    <w:rsid w:val="00BE394B"/>
    <w:rsid w:val="00C23A2C"/>
    <w:rsid w:val="00C37E25"/>
    <w:rsid w:val="00C41506"/>
    <w:rsid w:val="00C45804"/>
    <w:rsid w:val="00C61520"/>
    <w:rsid w:val="00C716AD"/>
    <w:rsid w:val="00C93AFA"/>
    <w:rsid w:val="00C970DF"/>
    <w:rsid w:val="00CA61D6"/>
    <w:rsid w:val="00CB779C"/>
    <w:rsid w:val="00CC7AFF"/>
    <w:rsid w:val="00CC7B61"/>
    <w:rsid w:val="00CF241C"/>
    <w:rsid w:val="00CF71EE"/>
    <w:rsid w:val="00D20170"/>
    <w:rsid w:val="00D25E01"/>
    <w:rsid w:val="00D85E7D"/>
    <w:rsid w:val="00D916E3"/>
    <w:rsid w:val="00DD17CC"/>
    <w:rsid w:val="00DD7DDB"/>
    <w:rsid w:val="00DE6785"/>
    <w:rsid w:val="00DF0ED6"/>
    <w:rsid w:val="00DF79A0"/>
    <w:rsid w:val="00E1054C"/>
    <w:rsid w:val="00E43089"/>
    <w:rsid w:val="00E54A66"/>
    <w:rsid w:val="00E76804"/>
    <w:rsid w:val="00E76FEE"/>
    <w:rsid w:val="00E83F8D"/>
    <w:rsid w:val="00E92697"/>
    <w:rsid w:val="00EC0D6A"/>
    <w:rsid w:val="00EC4E99"/>
    <w:rsid w:val="00EF062E"/>
    <w:rsid w:val="00F3715C"/>
    <w:rsid w:val="00F5767E"/>
    <w:rsid w:val="00F66767"/>
    <w:rsid w:val="00F70B1B"/>
    <w:rsid w:val="00F877BD"/>
    <w:rsid w:val="00FA2702"/>
    <w:rsid w:val="00FA5D90"/>
    <w:rsid w:val="00FB0413"/>
    <w:rsid w:val="00FB5CE3"/>
    <w:rsid w:val="00FD54EC"/>
    <w:rsid w:val="00FE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Paragraph">
    <w:name w:val="Paragraph"/>
    <w:rsid w:val="00AF2A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2Unnumbered">
    <w:name w:val="Heading 2 Unnumbered"/>
    <w:next w:val="Paragraph"/>
    <w:rsid w:val="00A4735F"/>
    <w:pPr>
      <w:keepNext/>
      <w:spacing w:after="240" w:line="240" w:lineRule="auto"/>
      <w:outlineLvl w:val="1"/>
    </w:pPr>
    <w:rPr>
      <w:rFonts w:ascii="Times New Roman Bold" w:eastAsia="Times New Roman" w:hAnsi="Times New Roman Bold" w:cs="Times New Roman"/>
      <w:b/>
      <w:sz w:val="24"/>
      <w:szCs w:val="20"/>
      <w:lang w:val="en-US"/>
    </w:rPr>
  </w:style>
  <w:style w:type="paragraph" w:styleId="Puntoelenco">
    <w:name w:val="List Bullet"/>
    <w:rsid w:val="00EC0D6A"/>
    <w:pPr>
      <w:tabs>
        <w:tab w:val="num" w:pos="360"/>
      </w:tabs>
      <w:spacing w:after="24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rowsAgency">
    <w:name w:val="Table text rows (Agency)"/>
    <w:basedOn w:val="Normale"/>
    <w:semiHidden/>
    <w:rsid w:val="00242BC3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styleId="Enfasicorsivo">
    <w:name w:val="Emphasis"/>
    <w:uiPriority w:val="20"/>
    <w:qFormat/>
    <w:rsid w:val="00601004"/>
    <w:rPr>
      <w:i/>
      <w:iCs/>
    </w:rPr>
  </w:style>
  <w:style w:type="paragraph" w:customStyle="1" w:styleId="TitlePage">
    <w:name w:val="Title Page"/>
    <w:rsid w:val="00320D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BA7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6168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635">
              <w:marLeft w:val="30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15866642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5411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9387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8498B-3217-466A-9536-6734BCD4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2536</Words>
  <Characters>14457</Characters>
  <Application>Microsoft Office Word</Application>
  <DocSecurity>0</DocSecurity>
  <Lines>120</Lines>
  <Paragraphs>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2017-05-09T07:43:00Z</dcterms:created>
  <dcterms:modified xsi:type="dcterms:W3CDTF">2018-05-17T10:55:00Z</dcterms:modified>
</cp:coreProperties>
</file>