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EE3B" w14:textId="77777777" w:rsidR="00320E08" w:rsidRPr="005E7E9D" w:rsidRDefault="00320E08" w:rsidP="00320E08">
      <w:pPr>
        <w:pStyle w:val="Corpodeltesto2"/>
        <w:spacing w:line="320" w:lineRule="exact"/>
        <w:rPr>
          <w:rFonts w:ascii="Calibri" w:hAnsi="Calibri"/>
          <w:b w:val="0"/>
          <w:i/>
        </w:rPr>
      </w:pPr>
      <w:r>
        <w:rPr>
          <w:rFonts w:ascii="Calibri" w:hAnsi="Calibri"/>
          <w:b w:val="0"/>
          <w:i/>
        </w:rPr>
        <w:t xml:space="preserve">Dichiarazione </w:t>
      </w:r>
      <w:r w:rsidRPr="005E7E9D">
        <w:rPr>
          <w:rFonts w:ascii="Calibri" w:hAnsi="Calibri"/>
          <w:b w:val="0"/>
          <w:i/>
        </w:rPr>
        <w:t xml:space="preserve">di accettazione ad effettuare il </w:t>
      </w:r>
      <w:proofErr w:type="spellStart"/>
      <w:r w:rsidRPr="005E7E9D">
        <w:rPr>
          <w:rFonts w:ascii="Calibri" w:hAnsi="Calibri"/>
          <w:b w:val="0"/>
          <w:i/>
        </w:rPr>
        <w:t>riconfezionamento</w:t>
      </w:r>
      <w:proofErr w:type="spellEnd"/>
      <w:r w:rsidRPr="005E7E9D">
        <w:rPr>
          <w:rFonts w:ascii="Calibri" w:hAnsi="Calibri"/>
          <w:b w:val="0"/>
          <w:i/>
        </w:rPr>
        <w:t xml:space="preserve"> secondario in GMP</w:t>
      </w:r>
      <w:r>
        <w:rPr>
          <w:rFonts w:ascii="Calibri" w:hAnsi="Calibri"/>
          <w:b w:val="0"/>
          <w:i/>
        </w:rPr>
        <w:t xml:space="preserve"> per il medicinale di importazione parallela</w:t>
      </w:r>
    </w:p>
    <w:p w14:paraId="7AE4FAC3" w14:textId="77777777" w:rsidR="00320E08" w:rsidRPr="005E7E9D" w:rsidRDefault="00320E08" w:rsidP="00320E08">
      <w:pPr>
        <w:pStyle w:val="Corpodeltesto2"/>
        <w:spacing w:line="320" w:lineRule="exact"/>
        <w:rPr>
          <w:rFonts w:ascii="Calibri" w:hAnsi="Calibri"/>
          <w:b w:val="0"/>
          <w:i/>
        </w:rPr>
      </w:pPr>
      <w:r w:rsidRPr="005E7E9D">
        <w:rPr>
          <w:rFonts w:ascii="Calibri" w:hAnsi="Calibri"/>
          <w:b w:val="0"/>
          <w:i/>
        </w:rPr>
        <w:t>(da redigere su carta intestata dell’officina</w:t>
      </w:r>
      <w:r>
        <w:rPr>
          <w:rFonts w:ascii="Calibri" w:hAnsi="Calibri"/>
          <w:b w:val="0"/>
          <w:i/>
        </w:rPr>
        <w:t xml:space="preserve"> GMP a firma della QP</w:t>
      </w:r>
      <w:r w:rsidRPr="005E7E9D">
        <w:rPr>
          <w:rFonts w:ascii="Calibri" w:hAnsi="Calibri"/>
          <w:b w:val="0"/>
          <w:i/>
        </w:rPr>
        <w:t xml:space="preserve">) </w:t>
      </w:r>
    </w:p>
    <w:p w14:paraId="3D7506EC" w14:textId="77777777" w:rsidR="00320E08" w:rsidRPr="005E7E9D" w:rsidRDefault="00320E08" w:rsidP="00320E08">
      <w:pPr>
        <w:pStyle w:val="Corpodeltesto2"/>
        <w:spacing w:line="320" w:lineRule="exact"/>
        <w:rPr>
          <w:rFonts w:asciiTheme="minorHAnsi" w:hAnsiTheme="minorHAnsi"/>
          <w:b w:val="0"/>
          <w:i/>
        </w:rPr>
      </w:pPr>
    </w:p>
    <w:p w14:paraId="4D976C2B" w14:textId="77777777" w:rsidR="00320E08" w:rsidRPr="00A87DAE" w:rsidRDefault="00320E08" w:rsidP="00320E08">
      <w:pPr>
        <w:pStyle w:val="Rientrocorpodeltesto2"/>
        <w:spacing w:line="320" w:lineRule="exact"/>
        <w:jc w:val="both"/>
        <w:rPr>
          <w:rFonts w:ascii="Calibri" w:hAnsi="Calibri"/>
          <w:b/>
        </w:rPr>
      </w:pPr>
      <w:r w:rsidRPr="00A87DAE">
        <w:rPr>
          <w:rFonts w:ascii="Calibri" w:hAnsi="Calibri"/>
        </w:rPr>
        <w:t xml:space="preserve">Il/La sottoscritto/a ___________________________________, nato/a </w:t>
      </w:r>
      <w:proofErr w:type="spellStart"/>
      <w:r w:rsidRPr="00A87DAE">
        <w:rPr>
          <w:rFonts w:ascii="Calibri" w:hAnsi="Calibri"/>
        </w:rPr>
        <w:t>a</w:t>
      </w:r>
      <w:proofErr w:type="spellEnd"/>
      <w:r w:rsidRPr="00A87DAE">
        <w:rPr>
          <w:rFonts w:ascii="Calibri" w:hAnsi="Calibri"/>
        </w:rPr>
        <w:t xml:space="preserve"> _________________, Pr. _______, il _______</w:t>
      </w:r>
      <w:proofErr w:type="gramStart"/>
      <w:r w:rsidRPr="00A87DAE">
        <w:rPr>
          <w:rFonts w:ascii="Calibri" w:hAnsi="Calibri"/>
        </w:rPr>
        <w:t xml:space="preserve">_, </w:t>
      </w:r>
      <w:r>
        <w:rPr>
          <w:rFonts w:ascii="Calibri" w:hAnsi="Calibri"/>
        </w:rPr>
        <w:t xml:space="preserve"> C.F.</w:t>
      </w:r>
      <w:proofErr w:type="gramEnd"/>
      <w:r w:rsidRPr="006E23F6">
        <w:rPr>
          <w:rFonts w:ascii="Calibri" w:hAnsi="Calibri"/>
        </w:rPr>
        <w:t xml:space="preserve"> </w:t>
      </w:r>
      <w:r w:rsidRPr="00A87DAE">
        <w:rPr>
          <w:rFonts w:ascii="Calibri" w:hAnsi="Calibri"/>
        </w:rPr>
        <w:t xml:space="preserve"> ________________</w:t>
      </w:r>
      <w:proofErr w:type="gramStart"/>
      <w:r w:rsidRPr="00A87DAE">
        <w:rPr>
          <w:rFonts w:ascii="Calibri" w:hAnsi="Calibri"/>
        </w:rPr>
        <w:t xml:space="preserve">_, </w:t>
      </w:r>
      <w:r>
        <w:rPr>
          <w:rFonts w:ascii="Calibri" w:hAnsi="Calibri"/>
        </w:rPr>
        <w:t xml:space="preserve"> in</w:t>
      </w:r>
      <w:proofErr w:type="gramEnd"/>
      <w:r>
        <w:rPr>
          <w:rFonts w:ascii="Calibri" w:hAnsi="Calibri"/>
        </w:rPr>
        <w:t xml:space="preserve"> qualità di persona qualificata dell’officina di produzione</w:t>
      </w:r>
      <w:r w:rsidRPr="002F5FC5">
        <w:rPr>
          <w:rFonts w:ascii="Calibri" w:hAnsi="Calibri"/>
          <w:u w:val="single"/>
        </w:rPr>
        <w:t xml:space="preserve">  ___________________________________,</w:t>
      </w:r>
      <w:r>
        <w:rPr>
          <w:rFonts w:ascii="Calibri" w:hAnsi="Calibri"/>
        </w:rPr>
        <w:t xml:space="preserve"> autorizzata con decreto n. </w:t>
      </w:r>
      <w:r w:rsidRPr="00A87DAE">
        <w:rPr>
          <w:rFonts w:ascii="Calibri" w:hAnsi="Calibri"/>
        </w:rPr>
        <w:t xml:space="preserve"> _________________,</w:t>
      </w:r>
      <w:r>
        <w:rPr>
          <w:rFonts w:ascii="Calibri" w:hAnsi="Calibri"/>
        </w:rPr>
        <w:t xml:space="preserve"> </w:t>
      </w:r>
      <w:proofErr w:type="gramStart"/>
      <w:r>
        <w:rPr>
          <w:rFonts w:ascii="Calibri" w:hAnsi="Calibri"/>
        </w:rPr>
        <w:t>del  _</w:t>
      </w:r>
      <w:proofErr w:type="gramEnd"/>
      <w:r>
        <w:rPr>
          <w:rFonts w:ascii="Calibri" w:hAnsi="Calibri"/>
        </w:rPr>
        <w:t>_____</w:t>
      </w:r>
    </w:p>
    <w:p w14:paraId="451D7EB2" w14:textId="77777777" w:rsidR="00320E08" w:rsidRDefault="00320E08" w:rsidP="00320E08">
      <w:pPr>
        <w:pStyle w:val="Rientrocorpodeltesto2"/>
        <w:spacing w:line="320" w:lineRule="exact"/>
        <w:jc w:val="center"/>
        <w:rPr>
          <w:rFonts w:ascii="Calibri" w:hAnsi="Calibri"/>
        </w:rPr>
      </w:pPr>
      <w:r w:rsidRPr="00A87DAE">
        <w:rPr>
          <w:rFonts w:ascii="Calibri" w:hAnsi="Calibri"/>
        </w:rPr>
        <w:t>DICHIARA</w:t>
      </w:r>
    </w:p>
    <w:p w14:paraId="17923AAC" w14:textId="7FE9FF35" w:rsidR="00320E08" w:rsidRPr="001B0EFD" w:rsidRDefault="00320E08" w:rsidP="00320E08">
      <w:pPr>
        <w:pStyle w:val="Rientrocorpodeltesto2"/>
        <w:numPr>
          <w:ilvl w:val="0"/>
          <w:numId w:val="1"/>
        </w:numPr>
        <w:spacing w:line="320" w:lineRule="exact"/>
        <w:jc w:val="both"/>
        <w:rPr>
          <w:rFonts w:ascii="Calibri" w:hAnsi="Calibri"/>
        </w:rPr>
      </w:pPr>
      <w:r w:rsidRPr="001B0EFD">
        <w:rPr>
          <w:rFonts w:ascii="Calibri" w:hAnsi="Calibri"/>
        </w:rPr>
        <w:t xml:space="preserve">di accettare l’incarico ad effettuare le operazioni di </w:t>
      </w:r>
      <w:proofErr w:type="spellStart"/>
      <w:r w:rsidRPr="001B0EFD">
        <w:rPr>
          <w:rFonts w:ascii="Calibri" w:hAnsi="Calibri"/>
        </w:rPr>
        <w:t>riconfezionamento</w:t>
      </w:r>
      <w:proofErr w:type="spellEnd"/>
      <w:r w:rsidRPr="001B0EFD">
        <w:rPr>
          <w:rFonts w:ascii="Calibri" w:hAnsi="Calibri"/>
        </w:rPr>
        <w:t xml:space="preserve"> secondario per conto della ditta &lt;</w:t>
      </w:r>
      <w:r w:rsidRPr="001B0EFD">
        <w:rPr>
          <w:rFonts w:ascii="Calibri" w:hAnsi="Calibri"/>
          <w:i/>
        </w:rPr>
        <w:t>specificare l’importatore parallelo</w:t>
      </w:r>
      <w:r w:rsidRPr="001B0EFD">
        <w:rPr>
          <w:rFonts w:ascii="Calibri" w:hAnsi="Calibri"/>
        </w:rPr>
        <w:t xml:space="preserve">&gt; </w:t>
      </w:r>
      <w:r w:rsidRPr="001B0EFD">
        <w:rPr>
          <w:rFonts w:cstheme="minorHAnsi"/>
        </w:rPr>
        <w:t>del medicinale</w:t>
      </w:r>
      <w:r w:rsidRPr="001B0EFD">
        <w:rPr>
          <w:rFonts w:ascii="Calibri" w:hAnsi="Calibri"/>
          <w:i/>
        </w:rPr>
        <w:t xml:space="preserve"> </w:t>
      </w:r>
      <w:r>
        <w:rPr>
          <w:rFonts w:ascii="Calibri" w:hAnsi="Calibri"/>
          <w:i/>
        </w:rPr>
        <w:t xml:space="preserve">&lt;specificare </w:t>
      </w:r>
      <w:r w:rsidRPr="001B0EFD">
        <w:rPr>
          <w:rFonts w:ascii="Calibri" w:hAnsi="Calibri"/>
          <w:i/>
        </w:rPr>
        <w:t xml:space="preserve">denominazione, marketing </w:t>
      </w:r>
      <w:proofErr w:type="spellStart"/>
      <w:r w:rsidRPr="001B0EFD">
        <w:rPr>
          <w:rFonts w:ascii="Calibri" w:hAnsi="Calibri"/>
          <w:i/>
        </w:rPr>
        <w:t>authorisation</w:t>
      </w:r>
      <w:proofErr w:type="spellEnd"/>
      <w:r w:rsidRPr="001B0EFD">
        <w:rPr>
          <w:rFonts w:ascii="Calibri" w:hAnsi="Calibri"/>
          <w:i/>
        </w:rPr>
        <w:t xml:space="preserve"> </w:t>
      </w:r>
      <w:proofErr w:type="spellStart"/>
      <w:r w:rsidRPr="001B0EFD">
        <w:rPr>
          <w:rFonts w:ascii="Calibri" w:hAnsi="Calibri"/>
          <w:i/>
        </w:rPr>
        <w:t>number</w:t>
      </w:r>
      <w:proofErr w:type="spellEnd"/>
      <w:r w:rsidRPr="001B0EFD">
        <w:rPr>
          <w:rFonts w:ascii="Calibri" w:hAnsi="Calibri"/>
          <w:i/>
        </w:rPr>
        <w:t>, dosaggio, forma farmaceutica, numero delle unità posologiche, confezionamento primario e Paese di origine</w:t>
      </w:r>
      <w:r>
        <w:rPr>
          <w:rFonts w:ascii="Calibri" w:hAnsi="Calibri"/>
          <w:i/>
        </w:rPr>
        <w:t>&gt;</w:t>
      </w:r>
    </w:p>
    <w:p w14:paraId="5FE1A150" w14:textId="77777777" w:rsidR="00320E08" w:rsidRPr="001B0EFD" w:rsidRDefault="00320E08" w:rsidP="00320E08">
      <w:pPr>
        <w:pStyle w:val="Rientrocorpodeltesto2"/>
        <w:numPr>
          <w:ilvl w:val="0"/>
          <w:numId w:val="1"/>
        </w:numPr>
        <w:spacing w:line="320" w:lineRule="exact"/>
        <w:jc w:val="both"/>
        <w:rPr>
          <w:rFonts w:cstheme="minorHAnsi"/>
          <w:sz w:val="18"/>
          <w:szCs w:val="18"/>
        </w:rPr>
      </w:pPr>
      <w:r>
        <w:rPr>
          <w:rFonts w:cstheme="minorHAnsi"/>
        </w:rPr>
        <w:t xml:space="preserve">il </w:t>
      </w:r>
      <w:proofErr w:type="spellStart"/>
      <w:r>
        <w:rPr>
          <w:rFonts w:cstheme="minorHAnsi"/>
        </w:rPr>
        <w:t>riconfezionamento</w:t>
      </w:r>
      <w:proofErr w:type="spellEnd"/>
      <w:r>
        <w:rPr>
          <w:rFonts w:cstheme="minorHAnsi"/>
        </w:rPr>
        <w:t xml:space="preserve"> prevede le seguenti modifiche della </w:t>
      </w:r>
      <w:r w:rsidRPr="001B0EFD">
        <w:rPr>
          <w:rFonts w:cstheme="minorHAnsi"/>
        </w:rPr>
        <w:t>confezione originaria</w:t>
      </w:r>
      <w:r>
        <w:rPr>
          <w:rFonts w:cstheme="minorHAnsi"/>
        </w:rPr>
        <w:t>:</w:t>
      </w: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3706"/>
      </w:tblGrid>
      <w:tr w:rsidR="00320E08" w:rsidRPr="009A4649" w14:paraId="7AA47157" w14:textId="77777777" w:rsidTr="002E41B4">
        <w:tc>
          <w:tcPr>
            <w:tcW w:w="4961" w:type="dxa"/>
          </w:tcPr>
          <w:p w14:paraId="6DF6692E" w14:textId="77777777" w:rsidR="00320E08" w:rsidRPr="009A4649" w:rsidRDefault="00320E08" w:rsidP="002E41B4">
            <w:pPr>
              <w:autoSpaceDE w:val="0"/>
              <w:autoSpaceDN w:val="0"/>
              <w:adjustRightInd w:val="0"/>
              <w:rPr>
                <w:rFonts w:cstheme="minorHAnsi"/>
              </w:rPr>
            </w:pPr>
            <w:r w:rsidRPr="009A4649">
              <w:rPr>
                <w:rFonts w:cstheme="minorHAnsi"/>
              </w:rPr>
              <w:t>Sostituzione del confezionamento esterno</w:t>
            </w:r>
          </w:p>
        </w:tc>
        <w:tc>
          <w:tcPr>
            <w:tcW w:w="3706" w:type="dxa"/>
          </w:tcPr>
          <w:p w14:paraId="212DF1DD" w14:textId="77777777" w:rsidR="00320E08" w:rsidRPr="009A4649" w:rsidRDefault="00320E08" w:rsidP="002E41B4">
            <w:pPr>
              <w:autoSpaceDE w:val="0"/>
              <w:autoSpaceDN w:val="0"/>
              <w:adjustRightInd w:val="0"/>
              <w:rPr>
                <w:rFonts w:cstheme="minorHAnsi"/>
              </w:rPr>
            </w:pPr>
            <w:r w:rsidRPr="009A4649">
              <w:rPr>
                <w:rFonts w:cs="Arial"/>
              </w:rPr>
              <w:t xml:space="preserve">SI </w:t>
            </w:r>
            <w:r w:rsidRPr="00C62880">
              <w:sym w:font="ZapfDingbats" w:char="F06F"/>
            </w:r>
            <w:r w:rsidRPr="009A4649">
              <w:rPr>
                <w:rFonts w:cs="Arial"/>
              </w:rPr>
              <w:t xml:space="preserve">   NO </w:t>
            </w:r>
            <w:r w:rsidRPr="00C62880">
              <w:sym w:font="ZapfDingbats" w:char="F06F"/>
            </w:r>
          </w:p>
        </w:tc>
      </w:tr>
      <w:tr w:rsidR="00320E08" w:rsidRPr="009A4649" w14:paraId="1617DF70" w14:textId="77777777" w:rsidTr="002E41B4">
        <w:tc>
          <w:tcPr>
            <w:tcW w:w="4961" w:type="dxa"/>
          </w:tcPr>
          <w:p w14:paraId="119D1071" w14:textId="77777777" w:rsidR="00320E08" w:rsidRPr="009A4649" w:rsidRDefault="00320E08" w:rsidP="002E41B4">
            <w:pPr>
              <w:autoSpaceDE w:val="0"/>
              <w:autoSpaceDN w:val="0"/>
              <w:adjustRightInd w:val="0"/>
              <w:rPr>
                <w:rFonts w:cstheme="minorHAnsi"/>
              </w:rPr>
            </w:pPr>
            <w:r w:rsidRPr="009A4649">
              <w:rPr>
                <w:rFonts w:cstheme="minorHAnsi"/>
              </w:rPr>
              <w:t>Sostituzione del foglio illustrativo</w:t>
            </w:r>
          </w:p>
        </w:tc>
        <w:tc>
          <w:tcPr>
            <w:tcW w:w="3706" w:type="dxa"/>
          </w:tcPr>
          <w:p w14:paraId="518C8003" w14:textId="77777777" w:rsidR="00320E08" w:rsidRPr="009A4649" w:rsidRDefault="00320E08" w:rsidP="002E41B4">
            <w:pPr>
              <w:autoSpaceDE w:val="0"/>
              <w:autoSpaceDN w:val="0"/>
              <w:adjustRightInd w:val="0"/>
              <w:rPr>
                <w:rFonts w:cstheme="minorHAnsi"/>
              </w:rPr>
            </w:pPr>
            <w:r w:rsidRPr="009A4649">
              <w:rPr>
                <w:rFonts w:cs="Arial"/>
              </w:rPr>
              <w:t xml:space="preserve">SI </w:t>
            </w:r>
            <w:r w:rsidRPr="00C62880">
              <w:sym w:font="ZapfDingbats" w:char="F06F"/>
            </w:r>
            <w:r w:rsidRPr="009A4649">
              <w:rPr>
                <w:rFonts w:cs="Arial"/>
              </w:rPr>
              <w:t xml:space="preserve">   NO </w:t>
            </w:r>
            <w:r w:rsidRPr="00C62880">
              <w:sym w:font="ZapfDingbats" w:char="F06F"/>
            </w:r>
          </w:p>
        </w:tc>
      </w:tr>
      <w:tr w:rsidR="00320E08" w:rsidRPr="009A4649" w14:paraId="1B898E56" w14:textId="77777777" w:rsidTr="002E41B4">
        <w:tc>
          <w:tcPr>
            <w:tcW w:w="4961" w:type="dxa"/>
          </w:tcPr>
          <w:p w14:paraId="2CE39831" w14:textId="77777777" w:rsidR="00320E08" w:rsidRPr="009A4649" w:rsidRDefault="00320E08" w:rsidP="002E41B4">
            <w:pPr>
              <w:autoSpaceDE w:val="0"/>
              <w:autoSpaceDN w:val="0"/>
              <w:adjustRightInd w:val="0"/>
              <w:rPr>
                <w:rFonts w:cstheme="minorHAnsi"/>
              </w:rPr>
            </w:pPr>
            <w:proofErr w:type="spellStart"/>
            <w:r w:rsidRPr="009A4649">
              <w:rPr>
                <w:rFonts w:cstheme="minorHAnsi"/>
              </w:rPr>
              <w:t>Rietichettatura</w:t>
            </w:r>
            <w:proofErr w:type="spellEnd"/>
            <w:r w:rsidRPr="009A4649">
              <w:rPr>
                <w:rFonts w:cstheme="minorHAnsi"/>
              </w:rPr>
              <w:t xml:space="preserve"> del confezionamento primario</w:t>
            </w:r>
          </w:p>
        </w:tc>
        <w:tc>
          <w:tcPr>
            <w:tcW w:w="3706" w:type="dxa"/>
          </w:tcPr>
          <w:p w14:paraId="325254BC" w14:textId="77777777" w:rsidR="00320E08" w:rsidRPr="009A4649" w:rsidRDefault="00320E08" w:rsidP="002E41B4">
            <w:pPr>
              <w:autoSpaceDE w:val="0"/>
              <w:autoSpaceDN w:val="0"/>
              <w:adjustRightInd w:val="0"/>
              <w:rPr>
                <w:rFonts w:cstheme="minorHAnsi"/>
              </w:rPr>
            </w:pPr>
            <w:r w:rsidRPr="009A4649">
              <w:rPr>
                <w:rFonts w:cs="Arial"/>
              </w:rPr>
              <w:t xml:space="preserve">SI </w:t>
            </w:r>
            <w:r w:rsidRPr="00C62880">
              <w:sym w:font="ZapfDingbats" w:char="F06F"/>
            </w:r>
            <w:r w:rsidRPr="009A4649">
              <w:rPr>
                <w:rFonts w:cs="Arial"/>
              </w:rPr>
              <w:t xml:space="preserve">   NO </w:t>
            </w:r>
            <w:r w:rsidRPr="00C62880">
              <w:sym w:font="ZapfDingbats" w:char="F06F"/>
            </w:r>
          </w:p>
        </w:tc>
      </w:tr>
      <w:tr w:rsidR="00320E08" w:rsidRPr="009A4649" w14:paraId="0B52D1A4" w14:textId="77777777" w:rsidTr="002E41B4">
        <w:tc>
          <w:tcPr>
            <w:tcW w:w="4961" w:type="dxa"/>
          </w:tcPr>
          <w:p w14:paraId="07262B26" w14:textId="77777777" w:rsidR="00320E08" w:rsidRPr="009A4649" w:rsidRDefault="00320E08" w:rsidP="002E41B4">
            <w:pPr>
              <w:autoSpaceDE w:val="0"/>
              <w:autoSpaceDN w:val="0"/>
              <w:adjustRightInd w:val="0"/>
              <w:rPr>
                <w:rFonts w:cstheme="minorHAnsi"/>
              </w:rPr>
            </w:pPr>
            <w:r w:rsidRPr="009A4649">
              <w:rPr>
                <w:rFonts w:cstheme="minorHAnsi"/>
              </w:rPr>
              <w:t xml:space="preserve">Modifica delle dimensioni della confezione originaria </w:t>
            </w:r>
          </w:p>
        </w:tc>
        <w:tc>
          <w:tcPr>
            <w:tcW w:w="3706" w:type="dxa"/>
          </w:tcPr>
          <w:p w14:paraId="5E52033B" w14:textId="77777777" w:rsidR="00320E08" w:rsidRPr="009A4649" w:rsidRDefault="00320E08" w:rsidP="002E41B4">
            <w:pPr>
              <w:autoSpaceDE w:val="0"/>
              <w:autoSpaceDN w:val="0"/>
              <w:adjustRightInd w:val="0"/>
              <w:rPr>
                <w:rFonts w:cstheme="minorHAnsi"/>
              </w:rPr>
            </w:pPr>
            <w:r w:rsidRPr="009A4649">
              <w:rPr>
                <w:rFonts w:cs="Arial"/>
              </w:rPr>
              <w:t xml:space="preserve">SI </w:t>
            </w:r>
            <w:r w:rsidRPr="00C62880">
              <w:sym w:font="ZapfDingbats" w:char="F06F"/>
            </w:r>
            <w:r w:rsidRPr="009A4649">
              <w:rPr>
                <w:rFonts w:cs="Arial"/>
              </w:rPr>
              <w:t xml:space="preserve">   NO </w:t>
            </w:r>
            <w:r w:rsidRPr="00C62880">
              <w:sym w:font="ZapfDingbats" w:char="F06F"/>
            </w:r>
          </w:p>
        </w:tc>
      </w:tr>
      <w:tr w:rsidR="00320E08" w:rsidRPr="009A4649" w14:paraId="7A4B2E2A" w14:textId="77777777" w:rsidTr="002E41B4">
        <w:tc>
          <w:tcPr>
            <w:tcW w:w="8667" w:type="dxa"/>
            <w:gridSpan w:val="2"/>
          </w:tcPr>
          <w:p w14:paraId="034146F1" w14:textId="77777777" w:rsidR="00320E08" w:rsidRPr="009A4649" w:rsidRDefault="00320E08" w:rsidP="002E41B4">
            <w:pPr>
              <w:autoSpaceDE w:val="0"/>
              <w:autoSpaceDN w:val="0"/>
              <w:adjustRightInd w:val="0"/>
              <w:rPr>
                <w:rFonts w:cs="Arial"/>
              </w:rPr>
            </w:pPr>
            <w:r w:rsidRPr="009A4649">
              <w:rPr>
                <w:rFonts w:cstheme="minorHAnsi"/>
              </w:rPr>
              <w:t>Se si, indicare il numero di unità posologiche:</w:t>
            </w:r>
          </w:p>
        </w:tc>
      </w:tr>
      <w:tr w:rsidR="00320E08" w:rsidRPr="009A4649" w14:paraId="6707E969" w14:textId="77777777" w:rsidTr="002E41B4">
        <w:tc>
          <w:tcPr>
            <w:tcW w:w="4961" w:type="dxa"/>
          </w:tcPr>
          <w:p w14:paraId="3136FE51" w14:textId="77777777" w:rsidR="00320E08" w:rsidRPr="009A4649" w:rsidRDefault="00320E08" w:rsidP="002E41B4">
            <w:pPr>
              <w:autoSpaceDE w:val="0"/>
              <w:autoSpaceDN w:val="0"/>
              <w:adjustRightInd w:val="0"/>
              <w:rPr>
                <w:rFonts w:cstheme="minorHAnsi"/>
              </w:rPr>
            </w:pPr>
            <w:r w:rsidRPr="009A4649">
              <w:rPr>
                <w:rFonts w:cstheme="minorHAnsi"/>
              </w:rPr>
              <w:t>Altre operazioni</w:t>
            </w:r>
            <w:r>
              <w:rPr>
                <w:rFonts w:cstheme="minorHAnsi"/>
              </w:rPr>
              <w:t xml:space="preserve"> di modifica della confezione originaria</w:t>
            </w:r>
            <w:r w:rsidRPr="009A4649">
              <w:rPr>
                <w:rFonts w:cstheme="minorHAnsi"/>
              </w:rPr>
              <w:t xml:space="preserve"> (es. </w:t>
            </w:r>
            <w:r>
              <w:rPr>
                <w:rFonts w:cstheme="minorHAnsi"/>
              </w:rPr>
              <w:t>sostituzione di un dispositivo/</w:t>
            </w:r>
            <w:r w:rsidRPr="003979A4">
              <w:rPr>
                <w:rFonts w:cstheme="minorHAnsi"/>
                <w:i/>
              </w:rPr>
              <w:t>wallet</w:t>
            </w:r>
            <w:r w:rsidRPr="009A4649">
              <w:rPr>
                <w:rFonts w:cstheme="minorHAnsi"/>
              </w:rPr>
              <w:t xml:space="preserve">) </w:t>
            </w:r>
          </w:p>
        </w:tc>
        <w:tc>
          <w:tcPr>
            <w:tcW w:w="3706" w:type="dxa"/>
          </w:tcPr>
          <w:p w14:paraId="25C739FA" w14:textId="77777777" w:rsidR="00320E08" w:rsidRPr="009A4649" w:rsidRDefault="00320E08" w:rsidP="002E41B4">
            <w:pPr>
              <w:autoSpaceDE w:val="0"/>
              <w:autoSpaceDN w:val="0"/>
              <w:adjustRightInd w:val="0"/>
              <w:rPr>
                <w:rFonts w:cstheme="minorHAnsi"/>
              </w:rPr>
            </w:pPr>
            <w:r w:rsidRPr="009A4649">
              <w:rPr>
                <w:rFonts w:cs="Arial"/>
              </w:rPr>
              <w:t xml:space="preserve">SI </w:t>
            </w:r>
            <w:r w:rsidRPr="00C62880">
              <w:sym w:font="ZapfDingbats" w:char="F06F"/>
            </w:r>
            <w:r w:rsidRPr="009A4649">
              <w:rPr>
                <w:rFonts w:cs="Arial"/>
              </w:rPr>
              <w:t xml:space="preserve">   NO </w:t>
            </w:r>
            <w:r w:rsidRPr="00C62880">
              <w:sym w:font="ZapfDingbats" w:char="F06F"/>
            </w:r>
          </w:p>
        </w:tc>
      </w:tr>
      <w:tr w:rsidR="00320E08" w:rsidRPr="009A4649" w14:paraId="47B3D2C9" w14:textId="77777777" w:rsidTr="002E41B4">
        <w:tc>
          <w:tcPr>
            <w:tcW w:w="8667" w:type="dxa"/>
            <w:gridSpan w:val="2"/>
          </w:tcPr>
          <w:p w14:paraId="359246D3" w14:textId="77777777" w:rsidR="00320E08" w:rsidRPr="009A4649" w:rsidRDefault="00320E08" w:rsidP="002E41B4">
            <w:pPr>
              <w:autoSpaceDE w:val="0"/>
              <w:autoSpaceDN w:val="0"/>
              <w:adjustRightInd w:val="0"/>
              <w:rPr>
                <w:rFonts w:cs="Arial"/>
              </w:rPr>
            </w:pPr>
            <w:r w:rsidRPr="009A4649">
              <w:rPr>
                <w:rFonts w:cstheme="minorHAnsi"/>
              </w:rPr>
              <w:t xml:space="preserve">Se si, </w:t>
            </w:r>
            <w:r>
              <w:rPr>
                <w:rFonts w:cstheme="minorHAnsi"/>
              </w:rPr>
              <w:t>indicare tali operazioni</w:t>
            </w:r>
            <w:r w:rsidRPr="009A4649">
              <w:rPr>
                <w:rFonts w:cstheme="minorHAnsi"/>
              </w:rPr>
              <w:t>:</w:t>
            </w:r>
          </w:p>
        </w:tc>
      </w:tr>
    </w:tbl>
    <w:p w14:paraId="58AA4375" w14:textId="77777777" w:rsidR="00320E08" w:rsidRPr="00C37674" w:rsidRDefault="00320E08" w:rsidP="00320E08">
      <w:pPr>
        <w:pStyle w:val="Paragrafoelenco"/>
        <w:autoSpaceDE w:val="0"/>
        <w:autoSpaceDN w:val="0"/>
        <w:adjustRightInd w:val="0"/>
        <w:spacing w:after="0" w:line="240" w:lineRule="auto"/>
        <w:rPr>
          <w:rFonts w:ascii="Verdana" w:hAnsi="Verdana" w:cs="Verdana"/>
          <w:sz w:val="18"/>
          <w:szCs w:val="18"/>
        </w:rPr>
      </w:pPr>
      <w:r w:rsidRPr="00C37674">
        <w:rPr>
          <w:rFonts w:ascii="Verdana" w:hAnsi="Verdana" w:cs="Verdana"/>
        </w:rPr>
        <w:t xml:space="preserve"> </w:t>
      </w:r>
    </w:p>
    <w:p w14:paraId="16EAC290" w14:textId="77777777" w:rsidR="00BE7354" w:rsidRPr="001A4728" w:rsidRDefault="00BE7354" w:rsidP="00320E08">
      <w:pPr>
        <w:pStyle w:val="Rientrocorpodeltesto2"/>
        <w:numPr>
          <w:ilvl w:val="0"/>
          <w:numId w:val="1"/>
        </w:numPr>
        <w:spacing w:line="320" w:lineRule="exact"/>
        <w:jc w:val="both"/>
        <w:rPr>
          <w:rFonts w:ascii="Calibri" w:hAnsi="Calibri"/>
        </w:rPr>
      </w:pPr>
      <w:r w:rsidRPr="001A4728">
        <w:t>che verrà lavorato un singolo lotto alla volta</w:t>
      </w:r>
    </w:p>
    <w:p w14:paraId="4736C6BC" w14:textId="4B779318" w:rsidR="00BE7354" w:rsidRPr="001A4728" w:rsidRDefault="00BE7354" w:rsidP="00320E08">
      <w:pPr>
        <w:pStyle w:val="Rientrocorpodeltesto2"/>
        <w:numPr>
          <w:ilvl w:val="0"/>
          <w:numId w:val="1"/>
        </w:numPr>
        <w:spacing w:line="320" w:lineRule="exact"/>
        <w:jc w:val="both"/>
        <w:rPr>
          <w:rFonts w:ascii="Calibri" w:hAnsi="Calibri"/>
        </w:rPr>
      </w:pPr>
      <w:r w:rsidRPr="001A4728">
        <w:t xml:space="preserve">che le operazioni di </w:t>
      </w:r>
      <w:proofErr w:type="spellStart"/>
      <w:r w:rsidRPr="001A4728">
        <w:t>rietichettatura</w:t>
      </w:r>
      <w:proofErr w:type="spellEnd"/>
      <w:r w:rsidRPr="001A4728">
        <w:t xml:space="preserve"> saranno tali da lasciare visibili i dati variabili (numero di lotto e data di scadenza) o in alternativa, che i dati variabili verranno stampati sulle nuove etichette</w:t>
      </w:r>
    </w:p>
    <w:p w14:paraId="1B72EB86" w14:textId="079D9882" w:rsidR="00BE7354" w:rsidRPr="001A4728" w:rsidRDefault="00DE0597" w:rsidP="00320E08">
      <w:pPr>
        <w:pStyle w:val="Rientrocorpodeltesto2"/>
        <w:numPr>
          <w:ilvl w:val="0"/>
          <w:numId w:val="1"/>
        </w:numPr>
        <w:spacing w:line="320" w:lineRule="exact"/>
        <w:jc w:val="both"/>
        <w:rPr>
          <w:rFonts w:ascii="Calibri" w:hAnsi="Calibri"/>
        </w:rPr>
      </w:pPr>
      <w:r w:rsidRPr="001A4728">
        <w:t xml:space="preserve">che le etichette adoperate per le operazioni di </w:t>
      </w:r>
      <w:proofErr w:type="spellStart"/>
      <w:r w:rsidRPr="001A4728">
        <w:t>riconfezio</w:t>
      </w:r>
      <w:r w:rsidR="00DA2165" w:rsidRPr="001A4728">
        <w:t>na</w:t>
      </w:r>
      <w:r w:rsidRPr="001A4728">
        <w:t>mento</w:t>
      </w:r>
      <w:proofErr w:type="spellEnd"/>
      <w:r w:rsidR="00DA2165" w:rsidRPr="001A4728">
        <w:t xml:space="preserve"> sono inamovibili,</w:t>
      </w:r>
      <w:r w:rsidRPr="001A4728">
        <w:t xml:space="preserve"> i materiali utilizzati idonei per l’uso e certificati dal fornitore</w:t>
      </w:r>
      <w:r w:rsidR="00DA2165" w:rsidRPr="001A4728">
        <w:t xml:space="preserve"> e </w:t>
      </w:r>
      <w:r w:rsidRPr="001A4728">
        <w:t xml:space="preserve">che la </w:t>
      </w:r>
      <w:proofErr w:type="spellStart"/>
      <w:r w:rsidRPr="001A4728">
        <w:t>rietichettatura</w:t>
      </w:r>
      <w:proofErr w:type="spellEnd"/>
      <w:r w:rsidRPr="001A4728">
        <w:t xml:space="preserve"> consent</w:t>
      </w:r>
      <w:r w:rsidR="00DA2165" w:rsidRPr="001A4728">
        <w:t>e</w:t>
      </w:r>
      <w:r w:rsidRPr="001A4728">
        <w:t xml:space="preserve"> un’agevole estrazione delle unità posologiche </w:t>
      </w:r>
    </w:p>
    <w:p w14:paraId="43F06B6C" w14:textId="777C8AE9" w:rsidR="009A3A78" w:rsidRPr="001A4728" w:rsidRDefault="009A3A78" w:rsidP="001A4728">
      <w:pPr>
        <w:pStyle w:val="Rientrocorpodeltesto2"/>
        <w:numPr>
          <w:ilvl w:val="0"/>
          <w:numId w:val="1"/>
        </w:numPr>
        <w:spacing w:line="320" w:lineRule="exact"/>
        <w:jc w:val="both"/>
        <w:rPr>
          <w:rFonts w:ascii="Calibri" w:hAnsi="Calibri"/>
        </w:rPr>
      </w:pPr>
      <w:r w:rsidRPr="001A4728">
        <w:t>che lo stato originale del prodotto non sarà alterato dalle modifiche del confezionamento</w:t>
      </w:r>
      <w:r w:rsidR="001A4728" w:rsidRPr="001A4728">
        <w:t xml:space="preserve"> secondario,</w:t>
      </w:r>
      <w:r w:rsidRPr="001A4728">
        <w:t xml:space="preserve"> che tali operazioni verranno svolte in accordo alle norme GMP</w:t>
      </w:r>
      <w:r w:rsidR="001A4728" w:rsidRPr="001A4728">
        <w:t xml:space="preserve"> e in conformità al protocollo di convalida del processo di </w:t>
      </w:r>
      <w:proofErr w:type="spellStart"/>
      <w:r w:rsidR="001A4728" w:rsidRPr="001A4728">
        <w:t>riconfezionamento</w:t>
      </w:r>
      <w:proofErr w:type="spellEnd"/>
    </w:p>
    <w:p w14:paraId="488CFE6F" w14:textId="162D6286" w:rsidR="001A6588" w:rsidRPr="001A4728" w:rsidRDefault="001A6588" w:rsidP="001A4728">
      <w:pPr>
        <w:pStyle w:val="Paragrafoelenco"/>
        <w:numPr>
          <w:ilvl w:val="0"/>
          <w:numId w:val="1"/>
        </w:numPr>
        <w:rPr>
          <w:rFonts w:ascii="Calibri" w:hAnsi="Calibri"/>
        </w:rPr>
      </w:pPr>
      <w:r>
        <w:rPr>
          <w:rFonts w:ascii="Calibri" w:hAnsi="Calibri"/>
        </w:rPr>
        <w:t xml:space="preserve">che il </w:t>
      </w:r>
      <w:r w:rsidRPr="001A6588">
        <w:rPr>
          <w:rFonts w:ascii="Calibri" w:hAnsi="Calibri"/>
        </w:rPr>
        <w:t>taglio del blister non compromette la visibilità del numero di lotto/ data di scadenza né causa</w:t>
      </w:r>
      <w:bookmarkStart w:id="0" w:name="_GoBack"/>
      <w:bookmarkEnd w:id="0"/>
      <w:r w:rsidRPr="001A6588">
        <w:rPr>
          <w:rFonts w:ascii="Calibri" w:hAnsi="Calibri"/>
        </w:rPr>
        <w:t xml:space="preserve"> potenziali danni (bordi taglienti; etichette non chiare, </w:t>
      </w:r>
      <w:proofErr w:type="spellStart"/>
      <w:r w:rsidRPr="001A6588">
        <w:rPr>
          <w:rFonts w:ascii="Calibri" w:hAnsi="Calibri"/>
        </w:rPr>
        <w:t>etc</w:t>
      </w:r>
      <w:proofErr w:type="spellEnd"/>
      <w:r w:rsidRPr="001A6588">
        <w:rPr>
          <w:rFonts w:ascii="Calibri" w:hAnsi="Calibri"/>
        </w:rPr>
        <w:t>)</w:t>
      </w:r>
      <w:r>
        <w:rPr>
          <w:rFonts w:ascii="Calibri" w:hAnsi="Calibri"/>
        </w:rPr>
        <w:t xml:space="preserve"> [ove applicabile]</w:t>
      </w:r>
    </w:p>
    <w:p w14:paraId="22C22343" w14:textId="77777777" w:rsidR="00320E08" w:rsidRPr="00D369CE" w:rsidRDefault="00320E08" w:rsidP="00320E08">
      <w:pPr>
        <w:pStyle w:val="Rientrocorpodeltesto2"/>
        <w:numPr>
          <w:ilvl w:val="0"/>
          <w:numId w:val="1"/>
        </w:numPr>
        <w:spacing w:line="320" w:lineRule="exact"/>
        <w:jc w:val="both"/>
        <w:rPr>
          <w:rFonts w:ascii="Calibri" w:hAnsi="Calibri"/>
        </w:rPr>
      </w:pPr>
      <w:r>
        <w:rPr>
          <w:rFonts w:ascii="Calibri" w:hAnsi="Calibri"/>
        </w:rPr>
        <w:t>che ogni lotto sarà certificato in conformità all’Autorizzazione all’Importazione Parallela (AIP), ad ogni eventuale successiva variazione autorizzata dell’AIP ed alle GMP</w:t>
      </w:r>
      <w:r>
        <w:rPr>
          <w:rStyle w:val="Rimandonotaapidipagina"/>
          <w:rFonts w:ascii="Calibri" w:hAnsi="Calibri"/>
        </w:rPr>
        <w:footnoteReference w:id="1"/>
      </w:r>
    </w:p>
    <w:p w14:paraId="0CCF81EE" w14:textId="77777777" w:rsidR="00320E08" w:rsidRDefault="00320E08" w:rsidP="00320E08">
      <w:pPr>
        <w:pStyle w:val="Rientrocorpodeltesto2"/>
        <w:numPr>
          <w:ilvl w:val="0"/>
          <w:numId w:val="1"/>
        </w:numPr>
        <w:spacing w:line="320" w:lineRule="exact"/>
        <w:jc w:val="both"/>
        <w:rPr>
          <w:rFonts w:ascii="Calibri" w:hAnsi="Calibri"/>
        </w:rPr>
      </w:pPr>
      <w:r>
        <w:rPr>
          <w:rFonts w:ascii="Calibri" w:hAnsi="Calibri"/>
        </w:rPr>
        <w:lastRenderedPageBreak/>
        <w:t xml:space="preserve">il </w:t>
      </w:r>
      <w:r w:rsidRPr="004F78DC">
        <w:rPr>
          <w:rFonts w:ascii="Calibri" w:hAnsi="Calibri"/>
        </w:rPr>
        <w:t xml:space="preserve">sistema di gestione della qualità dei fornitori garantisce che </w:t>
      </w:r>
      <w:r>
        <w:rPr>
          <w:rFonts w:ascii="Calibri" w:hAnsi="Calibri"/>
        </w:rPr>
        <w:t xml:space="preserve">i </w:t>
      </w:r>
      <w:r w:rsidRPr="004F78DC">
        <w:rPr>
          <w:rFonts w:ascii="Calibri" w:hAnsi="Calibri"/>
        </w:rPr>
        <w:t xml:space="preserve">materiali </w:t>
      </w:r>
      <w:r>
        <w:rPr>
          <w:rFonts w:ascii="Calibri" w:hAnsi="Calibri"/>
        </w:rPr>
        <w:t xml:space="preserve">di </w:t>
      </w:r>
      <w:proofErr w:type="spellStart"/>
      <w:r>
        <w:rPr>
          <w:rFonts w:ascii="Calibri" w:hAnsi="Calibri"/>
        </w:rPr>
        <w:t>riconfezionamento</w:t>
      </w:r>
      <w:proofErr w:type="spellEnd"/>
      <w:r>
        <w:rPr>
          <w:rFonts w:ascii="Calibri" w:hAnsi="Calibri"/>
        </w:rPr>
        <w:t xml:space="preserve"> utilizzati siano idonei per l’uso</w:t>
      </w:r>
    </w:p>
    <w:p w14:paraId="0FB850F8" w14:textId="77777777" w:rsidR="00320E08" w:rsidRPr="00C32BD8" w:rsidRDefault="00320E08" w:rsidP="00320E08">
      <w:pPr>
        <w:pStyle w:val="Rientrocorpodeltesto2"/>
        <w:numPr>
          <w:ilvl w:val="0"/>
          <w:numId w:val="1"/>
        </w:numPr>
        <w:spacing w:line="320" w:lineRule="exact"/>
        <w:jc w:val="both"/>
        <w:rPr>
          <w:rFonts w:ascii="Calibri" w:hAnsi="Calibri"/>
        </w:rPr>
      </w:pPr>
      <w:r>
        <w:rPr>
          <w:rFonts w:ascii="Calibri" w:hAnsi="Calibri"/>
        </w:rPr>
        <w:t xml:space="preserve">il </w:t>
      </w:r>
      <w:r w:rsidRPr="009F0BCF">
        <w:rPr>
          <w:rFonts w:ascii="Calibri" w:hAnsi="Calibri"/>
        </w:rPr>
        <w:t xml:space="preserve"> “</w:t>
      </w:r>
      <w:proofErr w:type="spellStart"/>
      <w:r w:rsidRPr="009F0BCF">
        <w:rPr>
          <w:rFonts w:ascii="Calibri" w:hAnsi="Calibri"/>
        </w:rPr>
        <w:t>quality</w:t>
      </w:r>
      <w:proofErr w:type="spellEnd"/>
      <w:r w:rsidRPr="009F0BCF">
        <w:rPr>
          <w:rFonts w:ascii="Calibri" w:hAnsi="Calibri"/>
        </w:rPr>
        <w:t xml:space="preserve"> </w:t>
      </w:r>
      <w:proofErr w:type="spellStart"/>
      <w:r w:rsidRPr="009F0BCF">
        <w:rPr>
          <w:rFonts w:ascii="Calibri" w:hAnsi="Calibri"/>
        </w:rPr>
        <w:t>agreement</w:t>
      </w:r>
      <w:proofErr w:type="spellEnd"/>
      <w:r w:rsidRPr="009F0BCF">
        <w:rPr>
          <w:rFonts w:ascii="Calibri" w:hAnsi="Calibri"/>
        </w:rPr>
        <w:t xml:space="preserve">” </w:t>
      </w:r>
      <w:r>
        <w:rPr>
          <w:rFonts w:ascii="Calibri" w:hAnsi="Calibri"/>
        </w:rPr>
        <w:t xml:space="preserve">vigente </w:t>
      </w:r>
      <w:r w:rsidRPr="009F0BCF">
        <w:rPr>
          <w:rFonts w:ascii="Calibri" w:hAnsi="Calibri"/>
        </w:rPr>
        <w:t>con</w:t>
      </w:r>
      <w:r>
        <w:rPr>
          <w:rFonts w:ascii="Calibri" w:hAnsi="Calibri"/>
        </w:rPr>
        <w:t xml:space="preserve"> la ditta</w:t>
      </w:r>
      <w:r w:rsidRPr="009F0BCF">
        <w:rPr>
          <w:rFonts w:ascii="Calibri" w:hAnsi="Calibri"/>
        </w:rPr>
        <w:t xml:space="preserve"> </w:t>
      </w:r>
      <w:r>
        <w:rPr>
          <w:rFonts w:ascii="Calibri" w:hAnsi="Calibri"/>
        </w:rPr>
        <w:t>&lt;</w:t>
      </w:r>
      <w:r w:rsidRPr="006C374F">
        <w:rPr>
          <w:rFonts w:ascii="Calibri" w:hAnsi="Calibri"/>
          <w:i/>
        </w:rPr>
        <w:t>specificare l’importatore parallelo</w:t>
      </w:r>
      <w:r w:rsidRPr="006C374F">
        <w:rPr>
          <w:rFonts w:ascii="Calibri" w:hAnsi="Calibri"/>
        </w:rPr>
        <w:t>&gt;</w:t>
      </w:r>
      <w:r>
        <w:rPr>
          <w:rFonts w:ascii="Calibri" w:hAnsi="Calibri"/>
        </w:rPr>
        <w:t xml:space="preserve"> </w:t>
      </w:r>
      <w:r w:rsidRPr="00C32BD8">
        <w:rPr>
          <w:rFonts w:ascii="Calibri" w:hAnsi="Calibri"/>
        </w:rPr>
        <w:t>garanti</w:t>
      </w:r>
      <w:r>
        <w:rPr>
          <w:rFonts w:ascii="Calibri" w:hAnsi="Calibri"/>
        </w:rPr>
        <w:t>sce</w:t>
      </w:r>
      <w:r w:rsidRPr="00C32BD8">
        <w:rPr>
          <w:rFonts w:ascii="Calibri" w:hAnsi="Calibri"/>
        </w:rPr>
        <w:t xml:space="preserve"> che </w:t>
      </w:r>
      <w:r>
        <w:rPr>
          <w:rFonts w:ascii="Calibri" w:hAnsi="Calibri"/>
        </w:rPr>
        <w:t xml:space="preserve">i </w:t>
      </w:r>
      <w:r w:rsidRPr="00C32BD8">
        <w:rPr>
          <w:rFonts w:ascii="Calibri" w:hAnsi="Calibri"/>
        </w:rPr>
        <w:t>materiali</w:t>
      </w:r>
      <w:r>
        <w:rPr>
          <w:rFonts w:ascii="Calibri" w:hAnsi="Calibri"/>
        </w:rPr>
        <w:t xml:space="preserve"> utilizzati, le o</w:t>
      </w:r>
      <w:r>
        <w:t xml:space="preserve">perazioni di </w:t>
      </w:r>
      <w:proofErr w:type="spellStart"/>
      <w:r w:rsidRPr="00C32BD8">
        <w:rPr>
          <w:rFonts w:ascii="Calibri" w:hAnsi="Calibri"/>
        </w:rPr>
        <w:t>riconfezionamento</w:t>
      </w:r>
      <w:proofErr w:type="spellEnd"/>
      <w:r>
        <w:rPr>
          <w:rFonts w:ascii="Calibri" w:hAnsi="Calibri"/>
        </w:rPr>
        <w:t xml:space="preserve"> ed il </w:t>
      </w:r>
      <w:r w:rsidRPr="00C32BD8">
        <w:rPr>
          <w:rFonts w:ascii="Calibri" w:hAnsi="Calibri"/>
        </w:rPr>
        <w:t>contenuto della confezione</w:t>
      </w:r>
      <w:r>
        <w:rPr>
          <w:rFonts w:ascii="Calibri" w:hAnsi="Calibri"/>
        </w:rPr>
        <w:t xml:space="preserve"> (</w:t>
      </w:r>
      <w:r w:rsidRPr="00C32BD8">
        <w:rPr>
          <w:rFonts w:ascii="Calibri" w:hAnsi="Calibri"/>
        </w:rPr>
        <w:t xml:space="preserve">in particolare le informazioni </w:t>
      </w:r>
      <w:r>
        <w:rPr>
          <w:rFonts w:ascii="Calibri" w:hAnsi="Calibri"/>
        </w:rPr>
        <w:t>contenute nel</w:t>
      </w:r>
      <w:r w:rsidRPr="00C32BD8">
        <w:rPr>
          <w:rFonts w:ascii="Calibri" w:hAnsi="Calibri"/>
        </w:rPr>
        <w:t xml:space="preserve"> foglio illustrativo</w:t>
      </w:r>
      <w:r>
        <w:rPr>
          <w:rFonts w:ascii="Calibri" w:hAnsi="Calibri"/>
        </w:rPr>
        <w:t xml:space="preserve"> e l’etichettatura del </w:t>
      </w:r>
      <w:r w:rsidRPr="00C32BD8">
        <w:rPr>
          <w:rFonts w:ascii="Calibri" w:hAnsi="Calibri"/>
        </w:rPr>
        <w:t>confeziona</w:t>
      </w:r>
      <w:r>
        <w:rPr>
          <w:rFonts w:ascii="Calibri" w:hAnsi="Calibri"/>
        </w:rPr>
        <w:t>mento primario e secondario)</w:t>
      </w:r>
      <w:r w:rsidRPr="00C32BD8">
        <w:rPr>
          <w:rFonts w:ascii="Calibri" w:hAnsi="Calibri"/>
        </w:rPr>
        <w:t xml:space="preserve"> siano conformi all</w:t>
      </w:r>
      <w:r>
        <w:rPr>
          <w:rFonts w:ascii="Calibri" w:hAnsi="Calibri"/>
        </w:rPr>
        <w:t>’AIP ed alle eventuali successive variazioni dell’AIP</w:t>
      </w:r>
      <w:r w:rsidRPr="00C32BD8">
        <w:rPr>
          <w:rFonts w:ascii="Calibri" w:hAnsi="Calibri"/>
        </w:rPr>
        <w:t xml:space="preserve">, alle normative </w:t>
      </w:r>
      <w:r>
        <w:rPr>
          <w:rFonts w:ascii="Calibri" w:hAnsi="Calibri"/>
        </w:rPr>
        <w:t xml:space="preserve">vigenti </w:t>
      </w:r>
      <w:r w:rsidRPr="00C32BD8">
        <w:rPr>
          <w:rFonts w:ascii="Calibri" w:hAnsi="Calibri"/>
        </w:rPr>
        <w:t>ed alle linee guida applicabili</w:t>
      </w:r>
      <w:r>
        <w:rPr>
          <w:rStyle w:val="Rimandonotaapidipagina"/>
          <w:rFonts w:ascii="Calibri" w:hAnsi="Calibri"/>
        </w:rPr>
        <w:footnoteReference w:id="2"/>
      </w:r>
    </w:p>
    <w:p w14:paraId="2D06F4D7" w14:textId="77777777" w:rsidR="00320E08" w:rsidRDefault="00320E08" w:rsidP="00320E08">
      <w:pPr>
        <w:spacing w:line="320" w:lineRule="exact"/>
        <w:jc w:val="both"/>
        <w:outlineLvl w:val="0"/>
      </w:pPr>
      <w:r w:rsidRPr="00195DD0">
        <w:t>L</w:t>
      </w:r>
      <w:r w:rsidRPr="00A87DAE">
        <w:t xml:space="preserve">uogo e data _________________                                                                    </w:t>
      </w:r>
    </w:p>
    <w:p w14:paraId="7EEB9F2A" w14:textId="77777777" w:rsidR="00320E08" w:rsidRPr="00A87DAE" w:rsidRDefault="00320E08" w:rsidP="00320E08">
      <w:pPr>
        <w:spacing w:line="320" w:lineRule="exact"/>
        <w:ind w:left="6372"/>
        <w:jc w:val="both"/>
        <w:outlineLvl w:val="0"/>
      </w:pPr>
      <w:r w:rsidRPr="00A87DAE">
        <w:t xml:space="preserve"> In fede</w:t>
      </w:r>
    </w:p>
    <w:p w14:paraId="3045FDE7" w14:textId="77777777" w:rsidR="00320E08" w:rsidRPr="00650981" w:rsidRDefault="00320E08" w:rsidP="00650981">
      <w:pPr>
        <w:spacing w:line="320" w:lineRule="exact"/>
        <w:jc w:val="both"/>
        <w:outlineLvl w:val="0"/>
        <w:rPr>
          <w:i/>
        </w:rPr>
      </w:pPr>
      <w:r w:rsidRPr="00A87DAE">
        <w:t xml:space="preserve">                                                                                                                           </w:t>
      </w:r>
      <w:r w:rsidRPr="00A87DAE">
        <w:rPr>
          <w:i/>
        </w:rPr>
        <w:t>Nome, Cognome</w:t>
      </w:r>
    </w:p>
    <w:sectPr w:rsidR="00320E08" w:rsidRPr="00650981" w:rsidSect="005C4BF0">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A049" w14:textId="77777777" w:rsidR="006A48D9" w:rsidRDefault="006A48D9" w:rsidP="00320E08">
      <w:r>
        <w:separator/>
      </w:r>
    </w:p>
  </w:endnote>
  <w:endnote w:type="continuationSeparator" w:id="0">
    <w:p w14:paraId="7A42A067" w14:textId="77777777" w:rsidR="006A48D9" w:rsidRDefault="006A48D9" w:rsidP="0032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B868" w14:textId="77777777" w:rsidR="006A48D9" w:rsidRDefault="006A48D9" w:rsidP="00320E08">
      <w:r>
        <w:separator/>
      </w:r>
    </w:p>
  </w:footnote>
  <w:footnote w:type="continuationSeparator" w:id="0">
    <w:p w14:paraId="3E7BD936" w14:textId="77777777" w:rsidR="006A48D9" w:rsidRDefault="006A48D9" w:rsidP="00320E08">
      <w:r>
        <w:continuationSeparator/>
      </w:r>
    </w:p>
  </w:footnote>
  <w:footnote w:id="1">
    <w:p w14:paraId="33A86FC6" w14:textId="77777777" w:rsidR="00320E08" w:rsidRPr="006C374F" w:rsidRDefault="00320E08" w:rsidP="00320E08">
      <w:pPr>
        <w:pStyle w:val="Testonotaapidipagina"/>
        <w:rPr>
          <w:lang w:val="en-US"/>
        </w:rPr>
      </w:pPr>
      <w:r>
        <w:rPr>
          <w:rStyle w:val="Rimandonotaapidipagina"/>
        </w:rPr>
        <w:footnoteRef/>
      </w:r>
      <w:r w:rsidRPr="00041DC9">
        <w:rPr>
          <w:lang w:val="en-US"/>
        </w:rPr>
        <w:t xml:space="preserve"> </w:t>
      </w:r>
      <w:r w:rsidRPr="006C374F">
        <w:rPr>
          <w:lang w:val="en-US"/>
        </w:rPr>
        <w:t xml:space="preserve">Good Manufacturing Practice - Annex 16 </w:t>
      </w:r>
    </w:p>
    <w:p w14:paraId="5FD4D000" w14:textId="77777777" w:rsidR="00320E08" w:rsidRPr="006C374F" w:rsidRDefault="00320E08" w:rsidP="00320E08">
      <w:pPr>
        <w:pStyle w:val="Testonotaapidipagina"/>
        <w:rPr>
          <w:lang w:val="en-US"/>
        </w:rPr>
      </w:pPr>
      <w:r w:rsidRPr="0069166F">
        <w:rPr>
          <w:i/>
          <w:lang w:val="en-US"/>
        </w:rPr>
        <w:t xml:space="preserve">1.9 </w:t>
      </w:r>
      <w:r w:rsidRPr="006C374F">
        <w:rPr>
          <w:lang w:val="en-US"/>
        </w:rPr>
        <w:t xml:space="preserve">In the case of parallel importation and parallel distribution any repackaging operation carried out on a batch which has already been released must be approved by the competent authority of the intended market. </w:t>
      </w:r>
    </w:p>
    <w:p w14:paraId="023C7E60" w14:textId="77777777" w:rsidR="00320E08" w:rsidRPr="006C374F" w:rsidRDefault="00320E08" w:rsidP="00320E08">
      <w:pPr>
        <w:pStyle w:val="Testonotaapidipagina"/>
        <w:rPr>
          <w:lang w:val="en-US"/>
        </w:rPr>
      </w:pPr>
      <w:r w:rsidRPr="006C374F">
        <w:rPr>
          <w:lang w:val="en-US"/>
        </w:rPr>
        <w:t xml:space="preserve">1.9.1 Prior to certification of a repacked batch the QP should confirm compliance with national requirements for parallel importation and EU rules for parallel distribution. </w:t>
      </w:r>
    </w:p>
    <w:p w14:paraId="65C8CB57" w14:textId="77777777" w:rsidR="00320E08" w:rsidRPr="00041DC9" w:rsidRDefault="00320E08" w:rsidP="00320E08">
      <w:pPr>
        <w:pStyle w:val="Testonotaapidipagina"/>
        <w:rPr>
          <w:lang w:val="en-US"/>
        </w:rPr>
      </w:pPr>
      <w:r w:rsidRPr="006C374F">
        <w:rPr>
          <w:lang w:val="en-US"/>
        </w:rPr>
        <w:t xml:space="preserve">1.9.2 The QP of the MIA holder, who is named responsible for the certification of the batch in the MA of the repackaged finished product, certifies that the repackaging has been performed in accordance with the relevant </w:t>
      </w:r>
      <w:proofErr w:type="spellStart"/>
      <w:r w:rsidRPr="006C374F">
        <w:rPr>
          <w:lang w:val="en-US"/>
        </w:rPr>
        <w:t>authorisation</w:t>
      </w:r>
      <w:proofErr w:type="spellEnd"/>
      <w:r w:rsidRPr="006C374F">
        <w:rPr>
          <w:lang w:val="en-US"/>
        </w:rPr>
        <w:t xml:space="preserve"> pertaining to the repackaged product and GMP</w:t>
      </w:r>
    </w:p>
  </w:footnote>
  <w:footnote w:id="2">
    <w:p w14:paraId="632DB7BA" w14:textId="77777777" w:rsidR="00320E08" w:rsidRPr="00521AF7" w:rsidRDefault="00320E08" w:rsidP="00320E08">
      <w:pPr>
        <w:pStyle w:val="Testonotaapidipagina"/>
        <w:rPr>
          <w:lang w:val="en-US"/>
        </w:rPr>
      </w:pPr>
      <w:r>
        <w:rPr>
          <w:rStyle w:val="Rimandonotaapidipagina"/>
        </w:rPr>
        <w:footnoteRef/>
      </w:r>
      <w:r w:rsidRPr="00521AF7">
        <w:rPr>
          <w:lang w:val="en-US"/>
        </w:rPr>
        <w:t xml:space="preserve"> </w:t>
      </w:r>
      <w:hyperlink r:id="rId1" w:history="1">
        <w:r w:rsidRPr="00521AF7">
          <w:rPr>
            <w:rStyle w:val="Collegamentoipertestuale"/>
            <w:lang w:val="en-US"/>
          </w:rPr>
          <w:t>https://www.aifa.gov.it/hu/web/guest/importazione-e-distribuzione-parallela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F4838"/>
    <w:multiLevelType w:val="hybridMultilevel"/>
    <w:tmpl w:val="527E236A"/>
    <w:lvl w:ilvl="0" w:tplc="E6D0407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37"/>
    <w:rsid w:val="001451A0"/>
    <w:rsid w:val="00197C86"/>
    <w:rsid w:val="001A4728"/>
    <w:rsid w:val="001A6588"/>
    <w:rsid w:val="001C7FF6"/>
    <w:rsid w:val="001E2B5E"/>
    <w:rsid w:val="002148DE"/>
    <w:rsid w:val="002655F6"/>
    <w:rsid w:val="002B0444"/>
    <w:rsid w:val="00320E08"/>
    <w:rsid w:val="00371EEF"/>
    <w:rsid w:val="004F709F"/>
    <w:rsid w:val="005C4BF0"/>
    <w:rsid w:val="00650981"/>
    <w:rsid w:val="006A48D9"/>
    <w:rsid w:val="007044B8"/>
    <w:rsid w:val="007C4237"/>
    <w:rsid w:val="008B7249"/>
    <w:rsid w:val="00904696"/>
    <w:rsid w:val="00934E1A"/>
    <w:rsid w:val="00950BF5"/>
    <w:rsid w:val="009A3A78"/>
    <w:rsid w:val="009B4AC6"/>
    <w:rsid w:val="009D3D67"/>
    <w:rsid w:val="00A20ACB"/>
    <w:rsid w:val="00A54A2A"/>
    <w:rsid w:val="00A62B03"/>
    <w:rsid w:val="00A71565"/>
    <w:rsid w:val="00AA23DC"/>
    <w:rsid w:val="00AD5D2C"/>
    <w:rsid w:val="00B6416A"/>
    <w:rsid w:val="00B80117"/>
    <w:rsid w:val="00BE7354"/>
    <w:rsid w:val="00C762EB"/>
    <w:rsid w:val="00D527FF"/>
    <w:rsid w:val="00D53BEE"/>
    <w:rsid w:val="00DA2165"/>
    <w:rsid w:val="00DC7D21"/>
    <w:rsid w:val="00DE0597"/>
    <w:rsid w:val="00E470FD"/>
    <w:rsid w:val="00E51326"/>
    <w:rsid w:val="00EC4E37"/>
    <w:rsid w:val="00EE2710"/>
    <w:rsid w:val="00F01F27"/>
    <w:rsid w:val="00F21D3F"/>
    <w:rsid w:val="00FC4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ED9A"/>
  <w15:docId w15:val="{0522EF9F-5A03-45EB-99D4-019FF182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firstLine="70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0A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42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237"/>
    <w:rPr>
      <w:rFonts w:ascii="Tahoma" w:hAnsi="Tahoma" w:cs="Tahoma"/>
      <w:sz w:val="16"/>
      <w:szCs w:val="16"/>
    </w:rPr>
  </w:style>
  <w:style w:type="paragraph" w:styleId="Corpodeltesto2">
    <w:name w:val="Body Text 2"/>
    <w:basedOn w:val="Normale"/>
    <w:link w:val="Corpodeltesto2Carattere"/>
    <w:rsid w:val="007C4237"/>
    <w:pPr>
      <w:ind w:firstLine="0"/>
      <w:jc w:val="center"/>
    </w:pPr>
    <w:rPr>
      <w:rFonts w:ascii="Times New Roman" w:eastAsia="Times New Roman" w:hAnsi="Times New Roman" w:cs="Times New Roman"/>
      <w:b/>
      <w:bCs/>
      <w:sz w:val="24"/>
      <w:szCs w:val="24"/>
      <w:lang w:eastAsia="it-IT"/>
    </w:rPr>
  </w:style>
  <w:style w:type="character" w:customStyle="1" w:styleId="Corpodeltesto2Carattere">
    <w:name w:val="Corpo del testo 2 Carattere"/>
    <w:basedOn w:val="Carpredefinitoparagrafo"/>
    <w:link w:val="Corpodeltesto2"/>
    <w:rsid w:val="007C4237"/>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320E08"/>
    <w:pPr>
      <w:spacing w:after="200" w:line="276" w:lineRule="auto"/>
      <w:ind w:left="720" w:firstLine="0"/>
      <w:contextualSpacing/>
    </w:pPr>
  </w:style>
  <w:style w:type="table" w:styleId="Grigliatabella">
    <w:name w:val="Table Grid"/>
    <w:basedOn w:val="Tabellanormale"/>
    <w:uiPriority w:val="59"/>
    <w:rsid w:val="00320E08"/>
    <w:pPr>
      <w:ind w:firstLine="0"/>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unhideWhenUsed/>
    <w:rsid w:val="00320E08"/>
    <w:pPr>
      <w:spacing w:after="120" w:line="480" w:lineRule="auto"/>
      <w:ind w:left="283" w:firstLine="0"/>
    </w:pPr>
  </w:style>
  <w:style w:type="character" w:customStyle="1" w:styleId="Rientrocorpodeltesto2Carattere">
    <w:name w:val="Rientro corpo del testo 2 Carattere"/>
    <w:basedOn w:val="Carpredefinitoparagrafo"/>
    <w:link w:val="Rientrocorpodeltesto2"/>
    <w:uiPriority w:val="99"/>
    <w:rsid w:val="00320E08"/>
  </w:style>
  <w:style w:type="character" w:styleId="Rimandonotaapidipagina">
    <w:name w:val="footnote reference"/>
    <w:basedOn w:val="Carpredefinitoparagrafo"/>
    <w:rsid w:val="00320E08"/>
    <w:rPr>
      <w:vertAlign w:val="superscript"/>
    </w:rPr>
  </w:style>
  <w:style w:type="paragraph" w:styleId="Testonotaapidipagina">
    <w:name w:val="footnote text"/>
    <w:basedOn w:val="Normale"/>
    <w:link w:val="TestonotaapidipaginaCarattere"/>
    <w:uiPriority w:val="99"/>
    <w:semiHidden/>
    <w:unhideWhenUsed/>
    <w:rsid w:val="00320E08"/>
    <w:pPr>
      <w:ind w:firstLin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0E08"/>
    <w:rPr>
      <w:sz w:val="20"/>
      <w:szCs w:val="20"/>
    </w:rPr>
  </w:style>
  <w:style w:type="character" w:styleId="Collegamentoipertestuale">
    <w:name w:val="Hyperlink"/>
    <w:basedOn w:val="Carpredefinitoparagrafo"/>
    <w:uiPriority w:val="99"/>
    <w:semiHidden/>
    <w:unhideWhenUsed/>
    <w:rsid w:val="00320E08"/>
    <w:rPr>
      <w:color w:val="0000FF"/>
      <w:u w:val="single"/>
    </w:rPr>
  </w:style>
  <w:style w:type="character" w:styleId="Rimandocommento">
    <w:name w:val="annotation reference"/>
    <w:basedOn w:val="Carpredefinitoparagrafo"/>
    <w:uiPriority w:val="99"/>
    <w:semiHidden/>
    <w:unhideWhenUsed/>
    <w:rsid w:val="00DE0597"/>
    <w:rPr>
      <w:sz w:val="16"/>
      <w:szCs w:val="16"/>
    </w:rPr>
  </w:style>
  <w:style w:type="paragraph" w:styleId="Testocommento">
    <w:name w:val="annotation text"/>
    <w:basedOn w:val="Normale"/>
    <w:link w:val="TestocommentoCarattere"/>
    <w:uiPriority w:val="99"/>
    <w:unhideWhenUsed/>
    <w:rsid w:val="00DE0597"/>
    <w:pPr>
      <w:spacing w:after="200"/>
      <w:ind w:firstLine="0"/>
    </w:pPr>
    <w:rPr>
      <w:rFonts w:eastAsiaTheme="minorEastAsia"/>
      <w:sz w:val="20"/>
      <w:szCs w:val="20"/>
      <w:lang w:eastAsia="it-IT"/>
    </w:rPr>
  </w:style>
  <w:style w:type="character" w:customStyle="1" w:styleId="TestocommentoCarattere">
    <w:name w:val="Testo commento Carattere"/>
    <w:basedOn w:val="Carpredefinitoparagrafo"/>
    <w:link w:val="Testocommento"/>
    <w:uiPriority w:val="99"/>
    <w:rsid w:val="00DE0597"/>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A2165"/>
    <w:pPr>
      <w:spacing w:after="0"/>
      <w:ind w:firstLine="703"/>
    </w:pPr>
    <w:rPr>
      <w:rFonts w:eastAsiaTheme="minorHAnsi"/>
      <w:b/>
      <w:bCs/>
      <w:lang w:eastAsia="en-US"/>
    </w:rPr>
  </w:style>
  <w:style w:type="character" w:customStyle="1" w:styleId="SoggettocommentoCarattere">
    <w:name w:val="Soggetto commento Carattere"/>
    <w:basedOn w:val="TestocommentoCarattere"/>
    <w:link w:val="Soggettocommento"/>
    <w:uiPriority w:val="99"/>
    <w:semiHidden/>
    <w:rsid w:val="00DA2165"/>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ifa.gov.it/hu/web/guest/importazione-e-distribuzione-paralle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10-10-2024</dc:subject>
  <dc:creator>AIFA</dc:creator>
  <cp:lastModifiedBy>Fasullo Valeria</cp:lastModifiedBy>
  <cp:revision>3</cp:revision>
  <dcterms:created xsi:type="dcterms:W3CDTF">2024-10-10T12:13:00Z</dcterms:created>
  <dcterms:modified xsi:type="dcterms:W3CDTF">2024-10-10T13:34:00Z</dcterms:modified>
</cp:coreProperties>
</file>