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4199D" w:rsidP="004241AC">
      <w:pPr>
        <w:spacing w:after="0" w:line="240" w:lineRule="auto"/>
        <w:jc w:val="center"/>
        <w:rPr>
          <w:lang w:val="en-US"/>
        </w:rPr>
      </w:pPr>
      <w:r w:rsidRPr="004E3D2F">
        <w:rPr>
          <w:noProof/>
          <w:lang w:eastAsia="it-IT"/>
        </w:rPr>
        <w:drawing>
          <wp:inline distT="0" distB="0" distL="0" distR="0">
            <wp:extent cx="2922557" cy="110879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7A2215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AMITRIPTILINA MYLAN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</w:t>
      </w:r>
      <w:proofErr w:type="spellStart"/>
      <w:r w:rsidR="007A2215">
        <w:rPr>
          <w:snapToGrid w:val="0"/>
        </w:rPr>
        <w:t>Amitriptilina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7416" w:rsidRPr="000235D4" w:rsidRDefault="00F02BA9" w:rsidP="004241AC">
      <w:pPr>
        <w:spacing w:after="0" w:line="240" w:lineRule="auto"/>
        <w:jc w:val="center"/>
        <w:rPr>
          <w:b/>
        </w:rPr>
      </w:pPr>
      <w:r w:rsidRPr="00F02BA9">
        <w:rPr>
          <w:b/>
        </w:rPr>
        <w:t>ABC Farmaceutici S.p.A.</w:t>
      </w:r>
    </w:p>
    <w:p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>Numero di AIC:</w:t>
      </w:r>
      <w:r w:rsidR="004F1411">
        <w:rPr>
          <w:b/>
        </w:rPr>
        <w:t xml:space="preserve"> </w:t>
      </w:r>
      <w:r w:rsidR="004F1411" w:rsidRPr="004F1411">
        <w:rPr>
          <w:b/>
        </w:rPr>
        <w:t>045418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03D62">
        <w:rPr>
          <w:rFonts w:eastAsia="Calibri" w:cs="Calibri"/>
          <w:color w:val="000000"/>
          <w:lang w:eastAsia="it-IT"/>
        </w:rPr>
        <w:t>Amitriptilina</w:t>
      </w:r>
      <w:proofErr w:type="spellEnd"/>
      <w:r w:rsidR="00603D6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03D62">
        <w:rPr>
          <w:rFonts w:eastAsia="Calibri" w:cs="Calibri"/>
          <w:color w:val="000000"/>
          <w:lang w:eastAsia="it-IT"/>
        </w:rPr>
        <w:t>Mylan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03D62">
        <w:rPr>
          <w:rFonts w:eastAsia="Calibri" w:cs="Calibri"/>
          <w:color w:val="000000"/>
          <w:lang w:eastAsia="it-IT"/>
        </w:rPr>
        <w:t>Amitriptilina</w:t>
      </w:r>
      <w:proofErr w:type="spellEnd"/>
      <w:r w:rsidR="00603D6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03D62">
        <w:rPr>
          <w:rFonts w:eastAsia="Calibri" w:cs="Calibri"/>
          <w:color w:val="000000"/>
          <w:lang w:eastAsia="it-IT"/>
        </w:rPr>
        <w:t>Mylan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è stat</w:t>
      </w:r>
      <w:r w:rsidR="00571C18">
        <w:rPr>
          <w:rFonts w:eastAsia="Calibri" w:cs="Calibri"/>
          <w:color w:val="000000"/>
          <w:lang w:eastAsia="it-IT"/>
        </w:rPr>
        <w:t>a</w:t>
      </w:r>
      <w:r w:rsidRPr="009F1B70">
        <w:rPr>
          <w:rFonts w:eastAsia="Calibri" w:cs="Calibri"/>
          <w:color w:val="000000"/>
          <w:lang w:eastAsia="it-IT"/>
        </w:rPr>
        <w:t xml:space="preserve"> valutat</w:t>
      </w:r>
      <w:r w:rsidR="00571C18">
        <w:rPr>
          <w:rFonts w:eastAsia="Calibri" w:cs="Calibri"/>
          <w:color w:val="000000"/>
          <w:lang w:eastAsia="it-IT"/>
        </w:rPr>
        <w:t>a</w:t>
      </w:r>
      <w:r w:rsidRPr="009F1B70">
        <w:rPr>
          <w:rFonts w:eastAsia="Calibri" w:cs="Calibri"/>
          <w:color w:val="000000"/>
          <w:lang w:eastAsia="it-IT"/>
        </w:rPr>
        <w:t xml:space="preserve">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E4BEF">
        <w:rPr>
          <w:rFonts w:eastAsia="Calibri" w:cs="Calibri"/>
          <w:color w:val="000000"/>
          <w:lang w:eastAsia="it-IT"/>
        </w:rPr>
        <w:t>Amitriptilina</w:t>
      </w:r>
      <w:proofErr w:type="spellEnd"/>
      <w:r w:rsidR="005E4BE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E4BEF">
        <w:rPr>
          <w:rFonts w:eastAsia="Calibri" w:cs="Calibri"/>
          <w:color w:val="000000"/>
          <w:lang w:eastAsia="it-IT"/>
        </w:rPr>
        <w:t>Mylan</w:t>
      </w:r>
      <w:proofErr w:type="spellEnd"/>
      <w:r w:rsidR="005E4BEF">
        <w:rPr>
          <w:rFonts w:eastAsia="Calibri" w:cs="Calibri"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E4BEF">
        <w:rPr>
          <w:rFonts w:eastAsia="Calibri" w:cs="Calibri"/>
          <w:color w:val="000000"/>
          <w:lang w:eastAsia="it-IT"/>
        </w:rPr>
        <w:t>Amitriptilina</w:t>
      </w:r>
      <w:proofErr w:type="spellEnd"/>
      <w:r w:rsidR="005E4BE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E4BEF">
        <w:rPr>
          <w:rFonts w:eastAsia="Calibri" w:cs="Calibri"/>
          <w:color w:val="000000"/>
          <w:lang w:eastAsia="it-IT"/>
        </w:rPr>
        <w:t>Mylan</w:t>
      </w:r>
      <w:proofErr w:type="spellEnd"/>
      <w:r w:rsidR="005E4BEF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5E4BEF">
        <w:rPr>
          <w:rFonts w:eastAsia="Calibri" w:cs="Calibri"/>
          <w:b/>
          <w:color w:val="000000"/>
          <w:lang w:eastAsia="it-IT"/>
        </w:rPr>
        <w:t xml:space="preserve">AMITRIPTILINA MYLAN 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797416" w:rsidRDefault="0067582F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</w:t>
      </w:r>
    </w:p>
    <w:p w:rsidR="00BB2AF8" w:rsidRDefault="0067582F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gocce orali</w:t>
      </w:r>
      <w:r w:rsidR="00CD7928">
        <w:rPr>
          <w:rFonts w:eastAsia="Calibri" w:cs="Calibri"/>
          <w:color w:val="000000"/>
          <w:lang w:eastAsia="it-IT"/>
        </w:rPr>
        <w:t>, soluzione</w:t>
      </w:r>
      <w:r w:rsidR="00BB2AF8">
        <w:rPr>
          <w:rFonts w:eastAsia="Calibri" w:cs="Calibri"/>
          <w:color w:val="000000"/>
          <w:lang w:eastAsia="it-IT"/>
        </w:rPr>
        <w:t xml:space="preserve"> 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CD7928">
        <w:rPr>
          <w:rFonts w:eastAsia="Calibri" w:cs="Calibri"/>
          <w:color w:val="000000"/>
          <w:lang w:eastAsia="it-IT"/>
        </w:rPr>
        <w:t>40</w:t>
      </w:r>
      <w:r w:rsidR="00797416">
        <w:rPr>
          <w:rFonts w:eastAsia="Calibri" w:cs="Calibri"/>
          <w:color w:val="000000"/>
          <w:lang w:eastAsia="it-IT"/>
        </w:rPr>
        <w:t>mg</w:t>
      </w:r>
      <w:r w:rsidR="00CD7928">
        <w:rPr>
          <w:rFonts w:eastAsia="Calibri" w:cs="Calibri"/>
          <w:color w:val="000000"/>
          <w:lang w:eastAsia="it-IT"/>
        </w:rPr>
        <w:t>/ml</w:t>
      </w:r>
      <w:r w:rsidR="00797416">
        <w:rPr>
          <w:rFonts w:eastAsia="Calibri" w:cs="Calibri"/>
          <w:color w:val="000000"/>
          <w:lang w:eastAsia="it-IT"/>
        </w:rPr>
        <w:t xml:space="preserve">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BB2AF8" w:rsidRPr="000E0632">
        <w:rPr>
          <w:rFonts w:eastAsia="Calibri" w:cs="Calibri"/>
          <w:color w:val="000000"/>
          <w:lang w:eastAsia="it-IT"/>
        </w:rPr>
        <w:t>.</w:t>
      </w:r>
    </w:p>
    <w:p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  <w:lang w:eastAsia="it-IT"/>
        </w:rPr>
      </w:pPr>
    </w:p>
    <w:p w:rsidR="00797416" w:rsidRDefault="00CD7928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Laroxyl</w:t>
      </w:r>
      <w:proofErr w:type="spellEnd"/>
      <w:r w:rsidR="00797416">
        <w:rPr>
          <w:rFonts w:eastAsia="Calibri" w:cs="Calibri"/>
          <w:color w:val="000000"/>
          <w:lang w:eastAsia="it-IT"/>
        </w:rPr>
        <w:t>, già autorizzato in Italia.</w:t>
      </w:r>
    </w:p>
    <w:p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8" w:history="1">
        <w:r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D2683B">
        <w:rPr>
          <w:rFonts w:eastAsia="Calibri" w:cs="Calibri"/>
          <w:lang w:eastAsia="it-IT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904209">
        <w:rPr>
          <w:rFonts w:eastAsia="Calibri" w:cs="Calibri"/>
          <w:color w:val="000000"/>
          <w:lang w:eastAsia="it-IT"/>
        </w:rPr>
        <w:t>Laroxyl</w:t>
      </w:r>
      <w:proofErr w:type="spellEnd"/>
      <w:r w:rsidRPr="00D2683B">
        <w:rPr>
          <w:rFonts w:eastAsia="Calibri" w:cs="Calibri"/>
          <w:color w:val="000000"/>
          <w:lang w:eastAsia="it-IT"/>
        </w:rPr>
        <w:t>.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300BEA" w:rsidRDefault="003373D7" w:rsidP="005E1CC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color w:val="000000"/>
          <w:sz w:val="20"/>
          <w:szCs w:val="24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</w:t>
      </w:r>
      <w:r w:rsidR="0045646F">
        <w:rPr>
          <w:rFonts w:eastAsia="Calibri" w:cs="Calibri"/>
          <w:color w:val="000000"/>
          <w:lang w:eastAsia="it-IT"/>
        </w:rPr>
        <w:t>y</w:t>
      </w:r>
      <w:r>
        <w:rPr>
          <w:rFonts w:eastAsia="Calibri" w:cs="Calibri"/>
          <w:color w:val="000000"/>
          <w:lang w:eastAsia="it-IT"/>
        </w:rPr>
        <w:t>lan</w:t>
      </w:r>
      <w:proofErr w:type="spellEnd"/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5E1CC3">
        <w:rPr>
          <w:rFonts w:eastAsia="Calibri" w:cs="Calibri"/>
          <w:lang w:eastAsia="it-IT"/>
        </w:rPr>
        <w:t xml:space="preserve"> </w:t>
      </w:r>
      <w:r w:rsidR="00CC3E8C">
        <w:rPr>
          <w:rFonts w:eastAsia="Calibri" w:cs="Calibri"/>
          <w:lang w:eastAsia="it-IT"/>
        </w:rPr>
        <w:t xml:space="preserve">per </w:t>
      </w:r>
      <w:r w:rsidR="005E1CC3" w:rsidRPr="005E1CC3">
        <w:rPr>
          <w:rFonts w:eastAsia="Calibri" w:cs="Calibri"/>
          <w:lang w:eastAsia="it-IT"/>
        </w:rPr>
        <w:t>trattare diverse forme di depressione</w:t>
      </w:r>
      <w:r w:rsidR="005E1CC3">
        <w:rPr>
          <w:rFonts w:eastAsia="Calibri" w:cs="Calibri"/>
          <w:lang w:eastAsia="it-IT"/>
        </w:rPr>
        <w:t xml:space="preserve">, </w:t>
      </w:r>
      <w:r w:rsidR="00CC3E8C" w:rsidRPr="00CC3E8C">
        <w:rPr>
          <w:rFonts w:eastAsia="Calibri" w:cs="Calibri"/>
          <w:lang w:eastAsia="it-IT"/>
        </w:rPr>
        <w:t>per la prevenzione dell’emicrania e delle cefalee</w:t>
      </w:r>
      <w:r w:rsidR="00A12355">
        <w:rPr>
          <w:rFonts w:eastAsia="Calibri" w:cs="Calibri"/>
          <w:lang w:eastAsia="it-IT"/>
        </w:rPr>
        <w:t xml:space="preserve"> e </w:t>
      </w:r>
      <w:r w:rsidR="009672F5" w:rsidRPr="009672F5">
        <w:rPr>
          <w:rFonts w:eastAsia="Calibri" w:cs="Calibri"/>
          <w:lang w:eastAsia="it-IT"/>
        </w:rPr>
        <w:t>nel trattamento del dolore cronico causato da un danno del sistema nervoso</w:t>
      </w:r>
      <w:r w:rsidR="00BC27A1">
        <w:rPr>
          <w:rFonts w:eastAsia="Calibri" w:cs="Calibri"/>
          <w:lang w:eastAsia="it-IT"/>
        </w:rPr>
        <w:t xml:space="preserve"> nell’adulto.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COME E’ PRESCRITT</w:t>
      </w:r>
      <w:r w:rsidR="00904209">
        <w:rPr>
          <w:rFonts w:eastAsia="Calibri" w:cs="Calibri"/>
          <w:b/>
          <w:bCs/>
          <w:color w:val="000000"/>
          <w:lang w:eastAsia="it-IT"/>
        </w:rPr>
        <w:t xml:space="preserve">A 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5646F">
        <w:rPr>
          <w:rFonts w:eastAsia="Calibri" w:cs="Calibri"/>
          <w:b/>
          <w:color w:val="000000"/>
          <w:lang w:eastAsia="it-IT"/>
        </w:rPr>
        <w:t>AMITRIPTILINA MYLAN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300BEA" w:rsidRPr="001C15DF" w:rsidRDefault="0045646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proofErr w:type="spellStart"/>
      <w:r>
        <w:rPr>
          <w:rFonts w:asciiTheme="minorHAnsi" w:eastAsia="Calibri" w:hAnsiTheme="minorHAnsi" w:cs="Calibri"/>
          <w:color w:val="000000"/>
          <w:sz w:val="22"/>
          <w:szCs w:val="22"/>
        </w:rPr>
        <w:t>Amitriptilina</w:t>
      </w:r>
      <w:proofErr w:type="spellEnd"/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="Calibri"/>
          <w:color w:val="000000"/>
          <w:sz w:val="22"/>
          <w:szCs w:val="22"/>
        </w:rPr>
        <w:t>Mylan</w:t>
      </w:r>
      <w:proofErr w:type="spellEnd"/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>può essere ottenut</w:t>
      </w:r>
      <w:r w:rsidR="00904209">
        <w:rPr>
          <w:rFonts w:asciiTheme="minorHAnsi" w:eastAsia="Calibri" w:hAnsiTheme="minorHAnsi" w:cs="Calibri"/>
          <w:color w:val="000000"/>
          <w:sz w:val="22"/>
          <w:szCs w:val="22"/>
        </w:rPr>
        <w:t>a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</w:t>
      </w:r>
      <w:r w:rsidR="00F0790D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</w:p>
    <w:p w:rsidR="001C15DF" w:rsidRPr="001C15DF" w:rsidRDefault="001C15D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D906F5" w:rsidRDefault="00D906F5" w:rsidP="001C15DF">
      <w:pPr>
        <w:tabs>
          <w:tab w:val="left" w:pos="0"/>
        </w:tabs>
        <w:spacing w:after="0" w:line="240" w:lineRule="auto"/>
        <w:jc w:val="both"/>
        <w:rPr>
          <w:b/>
          <w:bCs/>
        </w:rPr>
      </w:pPr>
      <w:r w:rsidRPr="00D906F5">
        <w:rPr>
          <w:b/>
          <w:bCs/>
        </w:rPr>
        <w:t>Trattamento della depressione</w:t>
      </w:r>
    </w:p>
    <w:p w:rsidR="00701508" w:rsidRPr="00D906F5" w:rsidRDefault="00701508" w:rsidP="001C15DF">
      <w:pPr>
        <w:tabs>
          <w:tab w:val="left" w:pos="0"/>
        </w:tabs>
        <w:spacing w:after="0" w:line="240" w:lineRule="auto"/>
        <w:jc w:val="both"/>
        <w:rPr>
          <w:b/>
          <w:bCs/>
        </w:rPr>
      </w:pPr>
      <w:r w:rsidRPr="00701508">
        <w:rPr>
          <w:b/>
          <w:bCs/>
        </w:rPr>
        <w:t>Trattamento ambulatoriale</w:t>
      </w:r>
    </w:p>
    <w:p w:rsidR="00BB2AF8" w:rsidRDefault="00BB2AF8" w:rsidP="001C15DF">
      <w:pPr>
        <w:tabs>
          <w:tab w:val="left" w:pos="0"/>
        </w:tabs>
        <w:spacing w:after="0" w:line="240" w:lineRule="auto"/>
        <w:jc w:val="both"/>
      </w:pPr>
      <w:r w:rsidRPr="00B7597D">
        <w:lastRenderedPageBreak/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Pr="00B7597D">
        <w:t xml:space="preserve">è di </w:t>
      </w:r>
      <w:r w:rsidR="00A125D8" w:rsidRPr="00A125D8">
        <w:t xml:space="preserve">50 mg di </w:t>
      </w:r>
      <w:proofErr w:type="spellStart"/>
      <w:r w:rsidR="00A125D8" w:rsidRPr="00A125D8">
        <w:t>Amitriptilina</w:t>
      </w:r>
      <w:proofErr w:type="spellEnd"/>
      <w:r w:rsidR="00A125D8" w:rsidRPr="00A125D8">
        <w:t xml:space="preserve"> </w:t>
      </w:r>
      <w:proofErr w:type="spellStart"/>
      <w:r w:rsidR="00A125D8" w:rsidRPr="00A125D8">
        <w:t>Mylan</w:t>
      </w:r>
      <w:proofErr w:type="spellEnd"/>
      <w:r w:rsidR="00A125D8" w:rsidRPr="00A125D8">
        <w:t xml:space="preserve"> al giorno che, secondo le sue specifiche necessità, potrà essere ridotta oppure aumentata progressivamente dal medico sino al conseguimento dell’effetto ottimale</w:t>
      </w:r>
      <w:r w:rsidR="005177D3">
        <w:t xml:space="preserve">. </w:t>
      </w:r>
      <w:r w:rsidR="00D906F5" w:rsidRPr="00D906F5">
        <w:t>Di questa dose, 30 mg vanno assunti la sera al momento di coricarsi, 10 mg il mattino e 10 mg a mezzogiorno.</w:t>
      </w:r>
    </w:p>
    <w:p w:rsidR="00701508" w:rsidRDefault="00701508" w:rsidP="001C15DF">
      <w:pPr>
        <w:tabs>
          <w:tab w:val="left" w:pos="0"/>
        </w:tabs>
        <w:spacing w:after="0" w:line="240" w:lineRule="auto"/>
        <w:jc w:val="both"/>
      </w:pPr>
    </w:p>
    <w:p w:rsidR="00690455" w:rsidRPr="00690455" w:rsidRDefault="00690455" w:rsidP="00690455">
      <w:pPr>
        <w:tabs>
          <w:tab w:val="left" w:pos="0"/>
        </w:tabs>
        <w:spacing w:after="0" w:line="240" w:lineRule="auto"/>
        <w:jc w:val="both"/>
        <w:rPr>
          <w:b/>
          <w:bCs/>
        </w:rPr>
      </w:pPr>
      <w:r w:rsidRPr="00690455">
        <w:rPr>
          <w:b/>
          <w:bCs/>
        </w:rPr>
        <w:t xml:space="preserve">Trattamento ospedaliero </w:t>
      </w:r>
    </w:p>
    <w:p w:rsidR="00690455" w:rsidRDefault="00690455" w:rsidP="00690455">
      <w:pPr>
        <w:tabs>
          <w:tab w:val="left" w:pos="0"/>
        </w:tabs>
        <w:spacing w:after="0" w:line="240" w:lineRule="auto"/>
        <w:jc w:val="both"/>
      </w:pPr>
      <w:r>
        <w:t xml:space="preserve">La dose iniziale raccomandata è di 25 mg da ripetere 2-4 volte nel corso della giornata (dose totale 50- 100 mg al giorno); in caso di necessità la dose totale giornaliera può essere portata sino a 200-250 mg. Stabilita la dose iniziale ottimale, il medico potrà decidere di mantenerla per 1-3 settimane, per poi diminuirla gradualmente sino alla dose efficace di mantenimento. </w:t>
      </w:r>
    </w:p>
    <w:p w:rsidR="00690455" w:rsidRDefault="00690455" w:rsidP="00690455">
      <w:pPr>
        <w:tabs>
          <w:tab w:val="left" w:pos="0"/>
        </w:tabs>
        <w:spacing w:after="0" w:line="240" w:lineRule="auto"/>
        <w:jc w:val="both"/>
      </w:pPr>
      <w:r>
        <w:t xml:space="preserve">Il medico stabilirà la dose di mantenimento sulla base delle specifiche condizioni di salute. Generalmente tale dose è di 25 mg ripetuta 2-4 volte nella giornata. </w:t>
      </w:r>
    </w:p>
    <w:p w:rsidR="00701508" w:rsidRDefault="00690455" w:rsidP="00690455">
      <w:pPr>
        <w:tabs>
          <w:tab w:val="left" w:pos="0"/>
        </w:tabs>
        <w:spacing w:after="0" w:line="240" w:lineRule="auto"/>
        <w:jc w:val="both"/>
      </w:pPr>
      <w:proofErr w:type="spellStart"/>
      <w:r>
        <w:t>Amitriptilina</w:t>
      </w:r>
      <w:proofErr w:type="spellEnd"/>
      <w:r>
        <w:t xml:space="preserve"> </w:t>
      </w:r>
      <w:proofErr w:type="spellStart"/>
      <w:r>
        <w:t>Mylan</w:t>
      </w:r>
      <w:proofErr w:type="spellEnd"/>
      <w:r>
        <w:t xml:space="preserve"> può essere associata ad altri psicofarmaci come pure alla terapia fisica.</w:t>
      </w:r>
    </w:p>
    <w:p w:rsidR="00D906F5" w:rsidRDefault="00D906F5" w:rsidP="001C15DF">
      <w:pPr>
        <w:tabs>
          <w:tab w:val="left" w:pos="0"/>
        </w:tabs>
        <w:spacing w:after="0" w:line="240" w:lineRule="auto"/>
        <w:jc w:val="both"/>
      </w:pPr>
    </w:p>
    <w:p w:rsidR="00D906F5" w:rsidRPr="00F858AE" w:rsidRDefault="00F10CE0" w:rsidP="001C15DF">
      <w:pPr>
        <w:tabs>
          <w:tab w:val="left" w:pos="0"/>
        </w:tabs>
        <w:spacing w:after="0" w:line="240" w:lineRule="auto"/>
        <w:jc w:val="both"/>
        <w:rPr>
          <w:b/>
          <w:bCs/>
        </w:rPr>
      </w:pPr>
      <w:r w:rsidRPr="00F858AE">
        <w:rPr>
          <w:b/>
          <w:bCs/>
        </w:rPr>
        <w:t>Prevenzione dell’emicrania e delle cefalee</w:t>
      </w:r>
    </w:p>
    <w:p w:rsidR="00F10CE0" w:rsidRDefault="0038460C" w:rsidP="001C15DF">
      <w:pPr>
        <w:tabs>
          <w:tab w:val="left" w:pos="0"/>
        </w:tabs>
        <w:spacing w:after="0" w:line="240" w:lineRule="auto"/>
        <w:jc w:val="both"/>
      </w:pPr>
      <w:r w:rsidRPr="0038460C">
        <w:t xml:space="preserve">La dose iniziale raccomandata è di 30-50 mg di </w:t>
      </w:r>
      <w:proofErr w:type="spellStart"/>
      <w:r w:rsidRPr="0038460C">
        <w:t>Amitriptilina</w:t>
      </w:r>
      <w:proofErr w:type="spellEnd"/>
      <w:r w:rsidRPr="0038460C">
        <w:t xml:space="preserve"> </w:t>
      </w:r>
      <w:proofErr w:type="spellStart"/>
      <w:r w:rsidRPr="0038460C">
        <w:t>Mylan</w:t>
      </w:r>
      <w:proofErr w:type="spellEnd"/>
      <w:r w:rsidRPr="0038460C">
        <w:t xml:space="preserve"> al giorno che, secondo le specifiche necessità, potrà essere ridotta oppure aumentata progressivamente dal medico sino al conseguimento dell’effetto ottimale</w:t>
      </w:r>
      <w:r>
        <w:t>.</w:t>
      </w:r>
      <w:r w:rsidR="00F858AE" w:rsidRPr="00F858AE">
        <w:t xml:space="preserve"> La dose iniziale dovrà essere suddivisa in tre dosi, la dose maggiore deve essere assunta la sera al momento di coricarsi, una seconda al mattino ed una terza a mezzogiorno.</w:t>
      </w:r>
    </w:p>
    <w:p w:rsidR="0038460C" w:rsidRPr="00B7597D" w:rsidRDefault="0038460C" w:rsidP="001C15DF">
      <w:pPr>
        <w:tabs>
          <w:tab w:val="left" w:pos="0"/>
        </w:tabs>
        <w:spacing w:after="0" w:line="240" w:lineRule="auto"/>
        <w:jc w:val="both"/>
      </w:pPr>
    </w:p>
    <w:p w:rsidR="00FA6E02" w:rsidRPr="00FA6E02" w:rsidRDefault="00FA6E02" w:rsidP="00FA6E02">
      <w:pPr>
        <w:autoSpaceDE w:val="0"/>
        <w:autoSpaceDN w:val="0"/>
        <w:adjustRightInd w:val="0"/>
        <w:spacing w:after="0" w:line="240" w:lineRule="auto"/>
        <w:jc w:val="both"/>
        <w:rPr>
          <w:b/>
          <w:iCs/>
        </w:rPr>
      </w:pPr>
      <w:r w:rsidRPr="00FA6E02">
        <w:rPr>
          <w:b/>
          <w:iCs/>
        </w:rPr>
        <w:t>Trattamento del dolore cronico causato da un danno del sistema nervoso</w:t>
      </w:r>
    </w:p>
    <w:p w:rsidR="008A6FEC" w:rsidRDefault="00FA6E02" w:rsidP="00FA6E02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FA6E02">
        <w:rPr>
          <w:bCs/>
          <w:iCs/>
        </w:rPr>
        <w:t>Il trattamento deve iniziare a basse dosi. La dose iniziale raccomandata è di 12,5 mg a 25 mg al giorno per una settimana. Successivamente il medico aumenterà la dose ogni settimana con incrementi graduali da 12,5 mg a 25 mg. La dose ottimale può variare da 50 mg a 150 mg al giorno e dipenderà anche da eventuali trattamenti analgesici associati. La terapia di mantenimento deve essere condotta alla più bassa dose efficace. Il medico valuterà periodicamente l’opportunità di un’interruzione del trattamento.</w:t>
      </w:r>
    </w:p>
    <w:p w:rsidR="0049130F" w:rsidRDefault="0049130F" w:rsidP="00FA6E02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</w:p>
    <w:p w:rsidR="0049130F" w:rsidRPr="00FA6E02" w:rsidRDefault="0049130F" w:rsidP="00FA6E02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  <w:highlight w:val="green"/>
        </w:rPr>
      </w:pPr>
      <w:r>
        <w:rPr>
          <w:bCs/>
          <w:iCs/>
        </w:rPr>
        <w:t>U</w:t>
      </w:r>
      <w:r w:rsidRPr="0049130F">
        <w:rPr>
          <w:bCs/>
          <w:iCs/>
        </w:rPr>
        <w:t xml:space="preserve">na goccia = 2 mg di </w:t>
      </w:r>
      <w:proofErr w:type="spellStart"/>
      <w:r w:rsidRPr="0049130F">
        <w:rPr>
          <w:bCs/>
          <w:iCs/>
        </w:rPr>
        <w:t>amitriptilina</w:t>
      </w:r>
      <w:proofErr w:type="spellEnd"/>
      <w:r>
        <w:rPr>
          <w:bCs/>
          <w:iCs/>
        </w:rPr>
        <w:t>.</w:t>
      </w:r>
    </w:p>
    <w:p w:rsidR="008A6FEC" w:rsidRDefault="008A6FEC" w:rsidP="00BB2AF8">
      <w:pPr>
        <w:tabs>
          <w:tab w:val="left" w:pos="0"/>
        </w:tabs>
        <w:spacing w:after="0" w:line="240" w:lineRule="auto"/>
        <w:jc w:val="both"/>
        <w:rPr>
          <w:b/>
          <w:i/>
          <w:sz w:val="20"/>
          <w:highlight w:val="green"/>
        </w:rPr>
      </w:pPr>
    </w:p>
    <w:p w:rsidR="00BB2AF8" w:rsidRDefault="00BB2AF8" w:rsidP="00BB2AF8">
      <w:pPr>
        <w:tabs>
          <w:tab w:val="left" w:pos="0"/>
        </w:tabs>
        <w:spacing w:after="0" w:line="240" w:lineRule="auto"/>
        <w:jc w:val="both"/>
      </w:pPr>
      <w:r w:rsidRPr="00B7597D">
        <w:t>Nei pazienti</w:t>
      </w:r>
      <w:r w:rsidR="007F7B85">
        <w:t xml:space="preserve"> </w:t>
      </w:r>
      <w:r w:rsidR="001C15DF">
        <w:t xml:space="preserve">anziani, </w:t>
      </w:r>
      <w:r w:rsidRPr="00B7597D">
        <w:t>il dosaggio può essere più basso.</w:t>
      </w: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 xml:space="preserve">Questo medicinale </w:t>
      </w:r>
      <w:r w:rsidR="00E82048">
        <w:rPr>
          <w:rFonts w:ascii="Calibri" w:eastAsia="Calibri" w:hAnsi="Calibri" w:cs="Times New Roman"/>
          <w:iCs/>
        </w:rPr>
        <w:t xml:space="preserve">è controindicato </w:t>
      </w:r>
      <w:r>
        <w:rPr>
          <w:rFonts w:ascii="Calibri" w:eastAsia="Calibri" w:hAnsi="Calibri" w:cs="Times New Roman"/>
          <w:iCs/>
        </w:rPr>
        <w:t xml:space="preserve"> nella popolazione pediatrica.</w:t>
      </w: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>3</w:t>
      </w:r>
      <w:r w:rsidRPr="008558B0">
        <w:rPr>
          <w:rFonts w:eastAsia="Calibri" w:cs="Calibri"/>
          <w:b/>
          <w:bCs/>
          <w:color w:val="000000"/>
          <w:lang w:eastAsia="it-IT"/>
        </w:rPr>
        <w:t>) COME FUNZIONA</w:t>
      </w:r>
      <w:r w:rsidR="001871E7" w:rsidRPr="008558B0">
        <w:rPr>
          <w:rFonts w:eastAsia="Calibri" w:cs="Calibri"/>
          <w:b/>
          <w:color w:val="000000"/>
          <w:lang w:eastAsia="it-IT"/>
        </w:rPr>
        <w:t xml:space="preserve"> AMITRIPTILINA MYLAN</w:t>
      </w:r>
      <w:r w:rsidRPr="008558B0">
        <w:rPr>
          <w:rFonts w:eastAsia="Calibri" w:cs="Calibri"/>
          <w:b/>
          <w:bCs/>
          <w:color w:val="000000"/>
          <w:lang w:eastAsia="it-IT"/>
        </w:rPr>
        <w:t>?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BB2AF8" w:rsidRPr="00F96473" w:rsidRDefault="001871E7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</w:t>
      </w:r>
      <w:r w:rsidRPr="001871E7">
        <w:t xml:space="preserve"> </w:t>
      </w:r>
      <w:r w:rsidRPr="001871E7">
        <w:rPr>
          <w:rFonts w:eastAsia="Calibri" w:cs="Calibri"/>
          <w:bCs/>
          <w:color w:val="000000"/>
          <w:lang w:eastAsia="it-IT"/>
        </w:rPr>
        <w:t>N06AA09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>contiene il principio attivo</w:t>
      </w:r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>appartiene alla classe de</w:t>
      </w:r>
      <w:r>
        <w:t xml:space="preserve">gli antidepressivi </w:t>
      </w:r>
      <w:proofErr w:type="spellStart"/>
      <w:r>
        <w:t>triciclici</w:t>
      </w:r>
      <w:proofErr w:type="spellEnd"/>
      <w:r>
        <w:t xml:space="preserve"> </w:t>
      </w:r>
      <w:r w:rsidR="00BB2AF8" w:rsidRPr="00EF6711">
        <w:t xml:space="preserve"> e agisce </w:t>
      </w:r>
      <w:r>
        <w:t xml:space="preserve">aumentando la </w:t>
      </w:r>
      <w:r w:rsidRPr="001871E7">
        <w:t xml:space="preserve"> concentrazione di amine cerebrali (noradrenalina, serotonina)</w:t>
      </w:r>
      <w:r>
        <w:t>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>4) COME È STAT</w:t>
      </w:r>
      <w:r w:rsidR="004F4C7D">
        <w:rPr>
          <w:rFonts w:eastAsia="Calibri" w:cs="Calibri"/>
          <w:b/>
          <w:bCs/>
          <w:lang w:eastAsia="it-IT"/>
        </w:rPr>
        <w:t>A</w:t>
      </w:r>
      <w:r w:rsidRPr="004B4170">
        <w:rPr>
          <w:rFonts w:eastAsia="Calibri" w:cs="Calibri"/>
          <w:b/>
          <w:bCs/>
          <w:lang w:eastAsia="it-IT"/>
        </w:rPr>
        <w:t xml:space="preserve"> STUDIAT</w:t>
      </w:r>
      <w:r w:rsidR="004F4C7D">
        <w:rPr>
          <w:rFonts w:eastAsia="Calibri" w:cs="Calibri"/>
          <w:b/>
          <w:bCs/>
          <w:lang w:eastAsia="it-IT"/>
        </w:rPr>
        <w:t>A</w:t>
      </w:r>
      <w:r w:rsidR="009C7B2D">
        <w:rPr>
          <w:rFonts w:eastAsia="Calibri" w:cs="Calibri"/>
          <w:b/>
          <w:color w:val="000000"/>
          <w:lang w:eastAsia="it-IT"/>
        </w:rPr>
        <w:t xml:space="preserve"> AMITRIPTILINA MYLAN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BB2AF8" w:rsidRDefault="00BB2AF8" w:rsidP="00BB2AF8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3C28BA">
        <w:rPr>
          <w:rFonts w:eastAsia="Calibri" w:cs="Calibri"/>
          <w:color w:val="000000"/>
          <w:lang w:eastAsia="it-IT"/>
        </w:rPr>
        <w:t>Amitriptilina</w:t>
      </w:r>
      <w:proofErr w:type="spellEnd"/>
      <w:r w:rsidR="003C28B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C28BA">
        <w:rPr>
          <w:rFonts w:eastAsia="Calibri" w:cs="Calibri"/>
          <w:color w:val="000000"/>
          <w:lang w:eastAsia="it-IT"/>
        </w:rPr>
        <w:t>Mylan</w:t>
      </w:r>
      <w:proofErr w:type="spellEnd"/>
      <w:r w:rsidR="003C28BA">
        <w:rPr>
          <w:rFonts w:eastAsia="Calibri" w:cs="Calibri"/>
          <w:color w:val="000000"/>
          <w:lang w:eastAsia="it-IT"/>
        </w:rPr>
        <w:t xml:space="preserve"> </w:t>
      </w:r>
      <w:r w:rsidR="00F96473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è un medicinale generico ed è utilizzato come</w:t>
      </w:r>
      <w:r w:rsidR="00F96473">
        <w:rPr>
          <w:rFonts w:ascii="Calibri" w:hAnsi="Calibri" w:cs="Arial"/>
        </w:rPr>
        <w:t xml:space="preserve"> soluzione orale </w:t>
      </w:r>
      <w:r w:rsidR="003C28BA">
        <w:rPr>
          <w:rFonts w:ascii="Calibri" w:hAnsi="Calibri" w:cs="Arial"/>
        </w:rPr>
        <w:t xml:space="preserve"> </w:t>
      </w:r>
      <w:r w:rsidR="00F96473" w:rsidRPr="007840F1">
        <w:rPr>
          <w:rFonts w:ascii="Calibri" w:eastAsia="Calibri" w:hAnsi="Calibri" w:cs="Arial"/>
        </w:rPr>
        <w:t xml:space="preserve">con </w:t>
      </w:r>
      <w:r w:rsidR="00F96473">
        <w:rPr>
          <w:rFonts w:ascii="Calibri" w:eastAsia="Calibri" w:hAnsi="Calibri" w:cs="Arial"/>
        </w:rPr>
        <w:t xml:space="preserve">la </w:t>
      </w:r>
      <w:r w:rsidR="00F96473" w:rsidRPr="007840F1">
        <w:rPr>
          <w:rFonts w:ascii="Calibri" w:eastAsia="Calibri" w:hAnsi="Calibri" w:cs="Arial"/>
        </w:rPr>
        <w:t>stessa composizione del medicinale di riferimento</w:t>
      </w:r>
      <w:r>
        <w:rPr>
          <w:rFonts w:ascii="Calibri" w:hAnsi="Calibri" w:cs="Arial"/>
        </w:rPr>
        <w:t>, non è stato necessario effettuare ulteriori studi clinici</w:t>
      </w:r>
      <w:r w:rsidR="00F96473">
        <w:rPr>
          <w:rFonts w:ascii="Calibri" w:hAnsi="Calibri" w:cs="Arial"/>
        </w:rPr>
        <w:t xml:space="preserve"> di confronto con il medicinale di riferimento</w:t>
      </w:r>
      <w:r>
        <w:rPr>
          <w:rFonts w:ascii="Calibri" w:hAnsi="Calibri" w:cs="Arial"/>
        </w:rPr>
        <w:t xml:space="preserve">.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="003C28BA">
        <w:rPr>
          <w:rFonts w:eastAsia="Calibri" w:cs="Calibri"/>
          <w:b/>
          <w:color w:val="000000"/>
          <w:lang w:eastAsia="it-IT"/>
        </w:rPr>
        <w:t xml:space="preserve"> AMITRIPTILINA MYLAN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BB2AF8" w:rsidRPr="002A3F14" w:rsidRDefault="003C28B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3C28BA">
        <w:rPr>
          <w:rFonts w:eastAsia="Calibri" w:cs="Calibri"/>
          <w:color w:val="000000"/>
          <w:lang w:eastAsia="it-IT"/>
        </w:rPr>
        <w:t>Amitriptilina</w:t>
      </w:r>
      <w:proofErr w:type="spellEnd"/>
      <w:r w:rsidR="003C28B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C28BA">
        <w:rPr>
          <w:rFonts w:eastAsia="Calibri" w:cs="Calibri"/>
          <w:color w:val="000000"/>
          <w:lang w:eastAsia="it-IT"/>
        </w:rPr>
        <w:t>Mylan</w:t>
      </w:r>
      <w:proofErr w:type="spellEnd"/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lastRenderedPageBreak/>
        <w:t xml:space="preserve">6) </w:t>
      </w:r>
      <w:r w:rsidRPr="00DE13F8">
        <w:rPr>
          <w:rFonts w:eastAsia="Calibri" w:cs="Calibri"/>
          <w:b/>
          <w:bCs/>
          <w:lang w:eastAsia="it-IT"/>
        </w:rPr>
        <w:t xml:space="preserve">PERCHE’ </w:t>
      </w:r>
      <w:r w:rsidR="00375B23" w:rsidRPr="00DE13F8">
        <w:rPr>
          <w:rFonts w:eastAsia="Calibri" w:cs="Calibri"/>
          <w:b/>
          <w:color w:val="000000"/>
          <w:lang w:eastAsia="it-IT"/>
        </w:rPr>
        <w:t xml:space="preserve">AMITRIPTILINA MYLAN </w:t>
      </w:r>
      <w:r w:rsidR="007170D7" w:rsidRPr="00DE13F8">
        <w:rPr>
          <w:rFonts w:eastAsia="Calibri" w:cs="Calibri"/>
          <w:b/>
          <w:color w:val="000000"/>
          <w:lang w:eastAsia="it-IT"/>
        </w:rPr>
        <w:t xml:space="preserve"> </w:t>
      </w:r>
      <w:r w:rsidRPr="00DE13F8">
        <w:rPr>
          <w:rFonts w:eastAsia="Calibri" w:cs="Calibri"/>
          <w:b/>
          <w:bCs/>
          <w:lang w:eastAsia="it-IT"/>
        </w:rPr>
        <w:t>E’ STAT</w:t>
      </w:r>
      <w:r w:rsidR="009274C1">
        <w:rPr>
          <w:rFonts w:eastAsia="Calibri" w:cs="Calibri"/>
          <w:b/>
          <w:bCs/>
          <w:lang w:eastAsia="it-IT"/>
        </w:rPr>
        <w:t>A</w:t>
      </w:r>
      <w:r w:rsidRPr="00DE13F8">
        <w:rPr>
          <w:rFonts w:eastAsia="Calibri" w:cs="Calibri"/>
          <w:b/>
          <w:bCs/>
          <w:lang w:eastAsia="it-IT"/>
        </w:rPr>
        <w:t xml:space="preserve"> A</w:t>
      </w:r>
      <w:r w:rsidRPr="00666CCE">
        <w:rPr>
          <w:rFonts w:eastAsia="Calibri" w:cs="Calibri"/>
          <w:b/>
          <w:bCs/>
          <w:lang w:eastAsia="it-IT"/>
        </w:rPr>
        <w:t>PPROVAT</w:t>
      </w:r>
      <w:r w:rsidR="009274C1">
        <w:rPr>
          <w:rFonts w:eastAsia="Calibri" w:cs="Calibri"/>
          <w:b/>
          <w:bCs/>
          <w:lang w:eastAsia="it-IT"/>
        </w:rPr>
        <w:t>A</w:t>
      </w:r>
      <w:r w:rsidRPr="00666CCE">
        <w:rPr>
          <w:rFonts w:eastAsia="Calibri" w:cs="Calibri"/>
          <w:b/>
          <w:bCs/>
          <w:lang w:eastAsia="it-IT"/>
        </w:rPr>
        <w:t xml:space="preserve">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</w:t>
      </w:r>
      <w:r w:rsidR="000F4CB0" w:rsidRPr="000F4CB0">
        <w:t xml:space="preserve"> </w:t>
      </w:r>
      <w:r w:rsidR="000F4CB0" w:rsidRPr="000F4CB0">
        <w:rPr>
          <w:rFonts w:eastAsia="Calibri" w:cs="Calibri"/>
          <w:lang w:eastAsia="it-IT"/>
        </w:rPr>
        <w:t>CTS del 5, 6, 7 e 8 Marzo 2019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0F4CB0">
        <w:rPr>
          <w:rFonts w:eastAsia="Calibri" w:cs="Calibri"/>
          <w:lang w:eastAsia="it-IT"/>
        </w:rPr>
        <w:t>Laroxyl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proofErr w:type="spellStart"/>
      <w:r w:rsidR="00534CBF">
        <w:rPr>
          <w:rFonts w:eastAsia="Calibri" w:cs="Calibri"/>
          <w:color w:val="000000"/>
          <w:lang w:eastAsia="it-IT"/>
        </w:rPr>
        <w:t>Amitriptilina</w:t>
      </w:r>
      <w:proofErr w:type="spellEnd"/>
      <w:r w:rsidR="00534CB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4CBF">
        <w:rPr>
          <w:rFonts w:eastAsia="Calibri" w:cs="Calibri"/>
          <w:color w:val="000000"/>
          <w:lang w:eastAsia="it-IT"/>
        </w:rPr>
        <w:t>Mylan</w:t>
      </w:r>
      <w:proofErr w:type="spellEnd"/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 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="00534CBF">
        <w:rPr>
          <w:rFonts w:eastAsia="Calibri" w:cs="Calibri"/>
          <w:b/>
          <w:i/>
          <w:sz w:val="20"/>
          <w:lang w:eastAsia="it-IT"/>
        </w:rPr>
        <w:t>(</w:t>
      </w:r>
      <w:r w:rsidR="007170D7">
        <w:rPr>
          <w:rFonts w:eastAsia="Calibri" w:cs="Calibri"/>
          <w:lang w:eastAsia="it-IT"/>
        </w:rPr>
        <w:t xml:space="preserve"> A</w:t>
      </w:r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r w:rsidR="003308A6">
        <w:rPr>
          <w:rFonts w:eastAsia="Calibri" w:cs="Calibri"/>
          <w:b/>
          <w:color w:val="000000"/>
          <w:lang w:eastAsia="it-IT"/>
        </w:rPr>
        <w:t>AMITRIPTILINA MYLAN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>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B65DFB">
        <w:rPr>
          <w:rFonts w:eastAsia="Calibri" w:cs="Calibri"/>
          <w:lang w:eastAsia="it-IT"/>
        </w:rPr>
        <w:t xml:space="preserve">d </w:t>
      </w:r>
      <w:proofErr w:type="spellStart"/>
      <w:r w:rsidR="00B65DFB">
        <w:rPr>
          <w:rFonts w:eastAsia="Calibri" w:cs="Calibri"/>
          <w:lang w:eastAsia="it-IT"/>
        </w:rPr>
        <w:t>Amitriptilina</w:t>
      </w:r>
      <w:proofErr w:type="spellEnd"/>
      <w:r w:rsidR="00B65DFB">
        <w:rPr>
          <w:rFonts w:eastAsia="Calibri" w:cs="Calibri"/>
          <w:lang w:eastAsia="it-IT"/>
        </w:rPr>
        <w:t xml:space="preserve"> </w:t>
      </w:r>
      <w:proofErr w:type="spellStart"/>
      <w:r w:rsidR="00B65DFB">
        <w:rPr>
          <w:rFonts w:eastAsia="Calibri" w:cs="Calibri"/>
          <w:lang w:eastAsia="it-IT"/>
        </w:rPr>
        <w:t>Mylan</w:t>
      </w:r>
      <w:proofErr w:type="spellEnd"/>
      <w:r w:rsidR="004241AC" w:rsidRPr="007170D7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</w:t>
      </w:r>
      <w:r w:rsidR="00AA77B0">
        <w:rPr>
          <w:rFonts w:eastAsia="Calibri" w:cs="Calibri"/>
          <w:b/>
          <w:bCs/>
          <w:lang w:eastAsia="it-IT"/>
        </w:rPr>
        <w:t>AD AMITRIPTILINA MYLAN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2F000D" w:rsidRPr="00072454">
        <w:rPr>
          <w:rFonts w:eastAsia="Calibri" w:cs="Calibri"/>
          <w:b/>
          <w:bCs/>
          <w:iCs/>
          <w:lang w:eastAsia="it-IT"/>
        </w:rPr>
        <w:t>03/02/2020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AA77B0">
        <w:rPr>
          <w:rFonts w:eastAsia="Calibri" w:cs="Calibri"/>
          <w:color w:val="000000"/>
          <w:lang w:eastAsia="it-IT"/>
        </w:rPr>
        <w:t>Amitriptilina</w:t>
      </w:r>
      <w:proofErr w:type="spellEnd"/>
      <w:r w:rsidR="00AA77B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A77B0">
        <w:rPr>
          <w:rFonts w:eastAsia="Calibri" w:cs="Calibri"/>
          <w:color w:val="000000"/>
          <w:lang w:eastAsia="it-IT"/>
        </w:rPr>
        <w:t>Mylan</w:t>
      </w:r>
      <w:proofErr w:type="spellEnd"/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03111A">
        <w:rPr>
          <w:rFonts w:eastAsia="Calibri" w:cs="Calibri"/>
          <w:color w:val="000000"/>
          <w:lang w:eastAsia="it-IT"/>
        </w:rPr>
        <w:t>Amitriptilina</w:t>
      </w:r>
      <w:proofErr w:type="spellEnd"/>
      <w:r w:rsidR="0003111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111A">
        <w:rPr>
          <w:rFonts w:eastAsia="Calibri" w:cs="Calibri"/>
          <w:color w:val="000000"/>
          <w:lang w:eastAsia="it-IT"/>
        </w:rPr>
        <w:t>Mylan</w:t>
      </w:r>
      <w:proofErr w:type="spellEnd"/>
      <w:r w:rsidR="0003111A">
        <w:rPr>
          <w:rFonts w:eastAsia="Calibri" w:cs="Calibri"/>
          <w:color w:val="000000"/>
          <w:lang w:eastAsia="it-IT"/>
        </w:rPr>
        <w:t xml:space="preserve"> 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9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03111A">
        <w:rPr>
          <w:rFonts w:eastAsia="Calibri" w:cs="Calibri"/>
          <w:lang w:eastAsia="it-IT"/>
        </w:rPr>
        <w:t xml:space="preserve"> il 10/10/2020</w:t>
      </w:r>
      <w:r w:rsidRPr="002A3F14">
        <w:rPr>
          <w:rFonts w:eastAsia="Calibri" w:cs="Calibri"/>
          <w:lang w:eastAsia="it-IT"/>
        </w:rPr>
        <w:t xml:space="preserve">.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9330EF" w:rsidRDefault="009330EF" w:rsidP="004E5A39">
      <w:pPr>
        <w:spacing w:after="0" w:line="240" w:lineRule="auto"/>
        <w:jc w:val="center"/>
        <w:rPr>
          <w:b/>
          <w:sz w:val="28"/>
        </w:rPr>
      </w:pPr>
    </w:p>
    <w:p w:rsidR="009330EF" w:rsidRDefault="009330EF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4E5A39" w:rsidRPr="00072454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EF6711">
        <w:t>Sulla base dei dati di qualità, sicurezza ed efficacia, l’AIFA ha rilasciato a</w:t>
      </w:r>
      <w:r w:rsidR="009330EF">
        <w:t>d</w:t>
      </w:r>
      <w:r w:rsidRPr="00EF6711">
        <w:t xml:space="preserve"> </w:t>
      </w:r>
      <w:r w:rsidR="00ED71EA" w:rsidRPr="00ED71EA">
        <w:t>ABC Farmaceutici S.p.A.</w:t>
      </w:r>
      <w:r w:rsidR="00AB5624">
        <w:t xml:space="preserve"> </w:t>
      </w:r>
      <w:r w:rsidRPr="00EF6711">
        <w:t xml:space="preserve">l’autorizzazione all’immissione in commercio (AIC) per il medicinale </w:t>
      </w:r>
      <w:proofErr w:type="spellStart"/>
      <w:r w:rsidR="00AB5624">
        <w:rPr>
          <w:rFonts w:eastAsia="Calibri" w:cs="Calibri"/>
          <w:color w:val="000000"/>
          <w:lang w:eastAsia="it-IT"/>
        </w:rPr>
        <w:t>Amitriptilina</w:t>
      </w:r>
      <w:proofErr w:type="spellEnd"/>
      <w:r w:rsidR="00AB562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B5624">
        <w:rPr>
          <w:rFonts w:eastAsia="Calibri" w:cs="Calibri"/>
          <w:color w:val="000000"/>
          <w:lang w:eastAsia="it-IT"/>
        </w:rPr>
        <w:t>Mylan</w:t>
      </w:r>
      <w:proofErr w:type="spellEnd"/>
      <w:r w:rsidR="00AB5624">
        <w:rPr>
          <w:rFonts w:eastAsia="Calibri" w:cs="Calibri"/>
          <w:color w:val="000000"/>
          <w:lang w:eastAsia="it-IT"/>
        </w:rPr>
        <w:t xml:space="preserve"> 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390B0A" w:rsidRPr="00072454">
        <w:rPr>
          <w:rFonts w:eastAsia="Calibri" w:cs="Calibri"/>
          <w:b/>
          <w:bCs/>
          <w:iCs/>
          <w:lang w:eastAsia="it-IT"/>
        </w:rPr>
        <w:t>03/02/2020</w:t>
      </w:r>
      <w:r w:rsidR="009E0140" w:rsidRPr="00072454">
        <w:rPr>
          <w:rFonts w:eastAsia="Calibri" w:cs="Calibri"/>
          <w:b/>
          <w:bCs/>
          <w:iCs/>
          <w:lang w:eastAsia="it-IT"/>
        </w:rPr>
        <w:t>.</w:t>
      </w:r>
      <w:r w:rsidRPr="00072454">
        <w:rPr>
          <w:b/>
        </w:rPr>
        <w:t xml:space="preserve"> 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AB5624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>può essere ottenut</w:t>
      </w:r>
      <w:r w:rsidR="009330EF">
        <w:rPr>
          <w:rFonts w:eastAsia="Calibri" w:cs="Calibri"/>
          <w:color w:val="000000"/>
          <w:lang w:eastAsia="it-IT"/>
        </w:rPr>
        <w:t>a</w:t>
      </w:r>
      <w:r w:rsidR="00EF6711" w:rsidRPr="00B7597D">
        <w:rPr>
          <w:rFonts w:eastAsia="Calibri" w:cs="Calibri"/>
          <w:color w:val="000000"/>
          <w:lang w:eastAsia="it-IT"/>
        </w:rPr>
        <w:t xml:space="preserve"> solo su</w:t>
      </w:r>
      <w:r w:rsidR="000F5569">
        <w:rPr>
          <w:rFonts w:eastAsia="Calibri" w:cs="Calibri"/>
          <w:color w:val="000000"/>
          <w:lang w:eastAsia="it-IT"/>
        </w:rPr>
        <w:t xml:space="preserve"> </w:t>
      </w:r>
      <w:r w:rsidR="000F5569" w:rsidRPr="000F5569">
        <w:rPr>
          <w:rFonts w:eastAsia="Calibri" w:cs="Calibri"/>
          <w:color w:val="000000"/>
          <w:lang w:eastAsia="it-IT"/>
        </w:rPr>
        <w:t>prescrizione da parte del medico (ricetta ripetibile)</w:t>
      </w:r>
      <w:r w:rsidR="00EF6711" w:rsidRPr="00B7597D">
        <w:rPr>
          <w:rFonts w:eastAsia="Calibri" w:cs="Calibri"/>
          <w:color w:val="000000"/>
          <w:lang w:eastAsia="it-IT"/>
        </w:rPr>
        <w:t>.</w:t>
      </w:r>
    </w:p>
    <w:p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0F5569">
        <w:t xml:space="preserve">10(1) </w:t>
      </w:r>
      <w:r w:rsidRPr="00EF6711">
        <w:t xml:space="preserve">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C34DE1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>
        <w:rPr>
          <w:rFonts w:eastAsia="Calibri" w:cs="Calibri"/>
          <w:lang w:eastAsia="it-IT"/>
        </w:rPr>
        <w:t xml:space="preserve">, </w:t>
      </w:r>
      <w:proofErr w:type="spellStart"/>
      <w:r>
        <w:rPr>
          <w:rFonts w:eastAsia="Calibri" w:cs="Calibri"/>
          <w:lang w:eastAsia="it-IT"/>
        </w:rPr>
        <w:t>Amitr</w:t>
      </w:r>
      <w:r w:rsidR="003E2E4C">
        <w:rPr>
          <w:rFonts w:eastAsia="Calibri" w:cs="Calibri"/>
          <w:lang w:eastAsia="it-IT"/>
        </w:rPr>
        <w:t>iptilina</w:t>
      </w:r>
      <w:proofErr w:type="spellEnd"/>
      <w:r w:rsidR="003E2E4C">
        <w:rPr>
          <w:rFonts w:eastAsia="Calibri" w:cs="Calibri"/>
          <w:lang w:eastAsia="it-IT"/>
        </w:rPr>
        <w:t xml:space="preserve">, </w:t>
      </w:r>
      <w:r w:rsidR="00C42AAC" w:rsidRPr="00EF6711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noto</w:t>
      </w:r>
      <w:r w:rsidR="0042214D">
        <w:rPr>
          <w:rFonts w:eastAsia="Calibri" w:cs="Calibri"/>
          <w:lang w:eastAsia="it-IT"/>
        </w:rPr>
        <w:t xml:space="preserve"> 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3E2E4C">
        <w:rPr>
          <w:rFonts w:eastAsia="Calibri" w:cs="Calibri"/>
          <w:lang w:eastAsia="it-IT"/>
        </w:rPr>
        <w:t>Laroxyl</w:t>
      </w:r>
      <w:proofErr w:type="spellEnd"/>
      <w:r w:rsidR="003E2E4C">
        <w:rPr>
          <w:rFonts w:eastAsia="Calibri" w:cs="Calibri"/>
          <w:lang w:eastAsia="it-IT"/>
        </w:rPr>
        <w:t xml:space="preserve"> </w:t>
      </w:r>
      <w:r w:rsidR="0042214D">
        <w:rPr>
          <w:rFonts w:eastAsia="Calibri" w:cs="Calibri"/>
          <w:lang w:eastAsia="it-IT"/>
        </w:rPr>
        <w:t>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A01AB1" w:rsidRPr="0042214D" w:rsidRDefault="00C37D15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>odice ATC è</w:t>
      </w:r>
      <w:r>
        <w:t xml:space="preserve"> </w:t>
      </w:r>
      <w:r w:rsidRPr="00C37D15">
        <w:t>N06AA09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Amitriptilina</w:t>
      </w:r>
      <w:proofErr w:type="spellEnd"/>
      <w:r w:rsidR="0042214D">
        <w:rPr>
          <w:rFonts w:eastAsia="Calibri" w:cs="Calibri"/>
          <w:lang w:eastAsia="it-IT"/>
        </w:rPr>
        <w:t xml:space="preserve"> </w:t>
      </w:r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2C5491" w:rsidRPr="002C5491">
        <w:rPr>
          <w:rFonts w:eastAsia="Calibri" w:cs="Calibri"/>
          <w:bCs/>
          <w:lang w:eastAsia="it-IT"/>
        </w:rPr>
        <w:t xml:space="preserve">un antidepressivo appartenente al gruppo dei </w:t>
      </w:r>
      <w:proofErr w:type="spellStart"/>
      <w:r w:rsidR="002C5491" w:rsidRPr="002C5491">
        <w:rPr>
          <w:rFonts w:eastAsia="Calibri" w:cs="Calibri"/>
          <w:bCs/>
          <w:lang w:eastAsia="it-IT"/>
        </w:rPr>
        <w:t>triciclici</w:t>
      </w:r>
      <w:proofErr w:type="spellEnd"/>
      <w:r w:rsidR="002C5491">
        <w:rPr>
          <w:rFonts w:eastAsia="Calibri" w:cs="Calibri"/>
          <w:bCs/>
          <w:lang w:eastAsia="it-IT"/>
        </w:rPr>
        <w:t xml:space="preserve">, </w:t>
      </w:r>
      <w:r w:rsidR="002C5491" w:rsidRPr="002C5491">
        <w:rPr>
          <w:rFonts w:eastAsia="Calibri" w:cs="Calibri"/>
          <w:bCs/>
          <w:lang w:eastAsia="it-IT"/>
        </w:rPr>
        <w:t xml:space="preserve"> caratterizzat</w:t>
      </w:r>
      <w:r w:rsidR="002C5491">
        <w:rPr>
          <w:rFonts w:eastAsia="Calibri" w:cs="Calibri"/>
          <w:bCs/>
          <w:lang w:eastAsia="it-IT"/>
        </w:rPr>
        <w:t>o</w:t>
      </w:r>
      <w:r w:rsidR="002C5491" w:rsidRPr="002C5491">
        <w:rPr>
          <w:rFonts w:eastAsia="Calibri" w:cs="Calibri"/>
          <w:bCs/>
          <w:lang w:eastAsia="it-IT"/>
        </w:rPr>
        <w:t xml:space="preserve"> dal punto di vista farmacologico da un’evidente attività anticolinergica e da un’azione inibente la </w:t>
      </w:r>
      <w:proofErr w:type="spellStart"/>
      <w:r w:rsidR="002C5491" w:rsidRPr="002C5491">
        <w:rPr>
          <w:rFonts w:eastAsia="Calibri" w:cs="Calibri"/>
          <w:bCs/>
          <w:lang w:eastAsia="it-IT"/>
        </w:rPr>
        <w:t>ricaptazione</w:t>
      </w:r>
      <w:proofErr w:type="spellEnd"/>
      <w:r w:rsidR="002C5491" w:rsidRPr="002C5491">
        <w:rPr>
          <w:rFonts w:eastAsia="Calibri" w:cs="Calibri"/>
          <w:bCs/>
          <w:lang w:eastAsia="it-IT"/>
        </w:rPr>
        <w:t xml:space="preserve"> di vari neurotrasmettitori a livello </w:t>
      </w:r>
      <w:proofErr w:type="spellStart"/>
      <w:r w:rsidR="002C5491" w:rsidRPr="002C5491">
        <w:rPr>
          <w:rFonts w:eastAsia="Calibri" w:cs="Calibri"/>
          <w:bCs/>
          <w:lang w:eastAsia="it-IT"/>
        </w:rPr>
        <w:t>presinaptico</w:t>
      </w:r>
      <w:proofErr w:type="spellEnd"/>
      <w:r w:rsidR="002C5491" w:rsidRPr="002C5491">
        <w:rPr>
          <w:rFonts w:eastAsia="Calibri" w:cs="Calibri"/>
          <w:bCs/>
          <w:lang w:eastAsia="it-IT"/>
        </w:rPr>
        <w:t>. L’</w:t>
      </w:r>
      <w:proofErr w:type="spellStart"/>
      <w:r w:rsidR="002C5491" w:rsidRPr="002C5491">
        <w:rPr>
          <w:rFonts w:eastAsia="Calibri" w:cs="Calibri"/>
          <w:bCs/>
          <w:lang w:eastAsia="it-IT"/>
        </w:rPr>
        <w:t>amitriptilina</w:t>
      </w:r>
      <w:proofErr w:type="spellEnd"/>
      <w:r w:rsidR="002C5491" w:rsidRPr="002C5491">
        <w:rPr>
          <w:rFonts w:eastAsia="Calibri" w:cs="Calibri"/>
          <w:bCs/>
          <w:lang w:eastAsia="it-IT"/>
        </w:rPr>
        <w:t xml:space="preserve"> esercita inoltre alla periferia un effetto </w:t>
      </w:r>
      <w:proofErr w:type="spellStart"/>
      <w:r w:rsidR="002C5491" w:rsidRPr="002C5491">
        <w:rPr>
          <w:rFonts w:eastAsia="Calibri" w:cs="Calibri"/>
          <w:bCs/>
          <w:lang w:eastAsia="it-IT"/>
        </w:rPr>
        <w:t>adrenolitico</w:t>
      </w:r>
      <w:proofErr w:type="spellEnd"/>
      <w:r w:rsidR="002C5491" w:rsidRPr="002C5491">
        <w:rPr>
          <w:rFonts w:eastAsia="Calibri" w:cs="Calibri"/>
          <w:bCs/>
          <w:lang w:eastAsia="it-IT"/>
        </w:rPr>
        <w:t>, mediante il blocco degli alfa-1-recettori</w:t>
      </w:r>
      <w:r w:rsidR="002C5491">
        <w:rPr>
          <w:rFonts w:eastAsia="Calibri" w:cs="Calibri"/>
          <w:bCs/>
          <w:lang w:eastAsia="it-IT"/>
        </w:rPr>
        <w:t>.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265B61" w:rsidRDefault="002C549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</w:t>
      </w:r>
      <w:r>
        <w:t>a</w:t>
      </w:r>
      <w:r w:rsidR="00265B61">
        <w:t xml:space="preserve"> per</w:t>
      </w:r>
      <w:r w:rsidR="00AA6AFE">
        <w:t>:</w:t>
      </w:r>
    </w:p>
    <w:p w:rsidR="00AA6AFE" w:rsidRPr="00AA6AFE" w:rsidRDefault="00AA6AFE" w:rsidP="00AA6AF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 w:rsidRPr="00AA6AFE">
        <w:rPr>
          <w:i/>
        </w:rPr>
        <w:t>-</w:t>
      </w:r>
      <w:r w:rsidRPr="00AA6AFE">
        <w:rPr>
          <w:i/>
        </w:rPr>
        <w:tab/>
        <w:t>Depressione endogena. Fase depressiva della psicosi maniaco-depressiva. Depressione reattiva. Depressione mascherata. Depressione neurotica. Depressione in corso di psicosi schizofreniche. Depressioni involutive. Depressioni gravi in corso di malattie neurologiche o di altre affezioni organiche.</w:t>
      </w:r>
    </w:p>
    <w:p w:rsidR="00AA6AFE" w:rsidRPr="00AA6AFE" w:rsidRDefault="00AA6AFE" w:rsidP="00AA6AF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 w:rsidRPr="00AA6AFE">
        <w:rPr>
          <w:i/>
        </w:rPr>
        <w:t>-</w:t>
      </w:r>
      <w:r w:rsidRPr="00AA6AFE">
        <w:rPr>
          <w:i/>
        </w:rPr>
        <w:tab/>
        <w:t>Profilassi dell’emicrania e delle cefalee croniche o ricorrenti.</w:t>
      </w:r>
    </w:p>
    <w:p w:rsidR="00AA6AFE" w:rsidRPr="0042214D" w:rsidRDefault="00AA6AFE" w:rsidP="00AA6AF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 w:rsidRPr="00AA6AFE">
        <w:rPr>
          <w:i/>
        </w:rPr>
        <w:t>-</w:t>
      </w:r>
      <w:r w:rsidRPr="00AA6AFE">
        <w:rPr>
          <w:i/>
        </w:rPr>
        <w:tab/>
        <w:t>Trattamento del dolore neuropatico periferico dell’adulto.</w:t>
      </w:r>
    </w:p>
    <w:p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C52A3" w:rsidRPr="0042214D" w:rsidRDefault="00CC52A3" w:rsidP="00CC52A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</w:p>
    <w:p w:rsidR="000E4494" w:rsidRPr="00EF6711" w:rsidRDefault="004E5A39" w:rsidP="00EF6711">
      <w:pPr>
        <w:spacing w:after="0" w:line="240" w:lineRule="auto"/>
        <w:jc w:val="both"/>
        <w:rPr>
          <w:rFonts w:cs="Arial"/>
        </w:rPr>
      </w:pPr>
      <w:r w:rsidRPr="00EF6711">
        <w:t xml:space="preserve">Poiché </w:t>
      </w:r>
      <w:proofErr w:type="spellStart"/>
      <w:r w:rsidR="00D71528">
        <w:rPr>
          <w:rFonts w:eastAsia="Calibri" w:cs="Calibri"/>
          <w:color w:val="000000"/>
          <w:lang w:eastAsia="it-IT"/>
        </w:rPr>
        <w:t>Amitriptilina</w:t>
      </w:r>
      <w:proofErr w:type="spellEnd"/>
      <w:r w:rsidR="00D71528">
        <w:rPr>
          <w:rFonts w:eastAsia="Calibri" w:cs="Calibri"/>
          <w:color w:val="000000"/>
          <w:lang w:eastAsia="it-IT"/>
        </w:rPr>
        <w:t xml:space="preserve"> 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71528">
        <w:rPr>
          <w:rFonts w:eastAsia="Calibri" w:cs="Calibri"/>
          <w:color w:val="000000"/>
          <w:lang w:eastAsia="it-IT"/>
        </w:rPr>
        <w:t>M</w:t>
      </w:r>
      <w:r w:rsidR="002F620D">
        <w:rPr>
          <w:rFonts w:eastAsia="Calibri" w:cs="Calibri"/>
          <w:color w:val="000000"/>
          <w:lang w:eastAsia="it-IT"/>
        </w:rPr>
        <w:t>ylan</w:t>
      </w:r>
      <w:proofErr w:type="spellEnd"/>
      <w:r w:rsidR="002F620D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 xml:space="preserve">, non sono stati forniti nuovi dati non clinici e clinici: questo approccio è accettabile poiché il medicinale di riferimento </w:t>
      </w:r>
      <w:proofErr w:type="spellStart"/>
      <w:r w:rsidR="002F620D">
        <w:rPr>
          <w:rFonts w:eastAsia="Calibri" w:cs="Calibri"/>
          <w:lang w:eastAsia="it-IT"/>
        </w:rPr>
        <w:t>Laroxyl</w:t>
      </w:r>
      <w:proofErr w:type="spellEnd"/>
      <w:r w:rsidR="002F620D">
        <w:rPr>
          <w:rFonts w:eastAsia="Calibri" w:cs="Calibri"/>
          <w:lang w:eastAsia="it-IT"/>
        </w:rPr>
        <w:t xml:space="preserve"> </w:t>
      </w:r>
      <w:r w:rsidR="00C42AAC" w:rsidRPr="00EF6711">
        <w:t xml:space="preserve"> </w:t>
      </w:r>
      <w:r w:rsidRPr="00EF6711">
        <w:t xml:space="preserve">è autorizzato in Italia </w:t>
      </w:r>
      <w:r w:rsidR="000E4494" w:rsidRPr="00EF6711">
        <w:t xml:space="preserve">da oltre 10 anni; poiché </w:t>
      </w:r>
      <w:proofErr w:type="spellStart"/>
      <w:r w:rsidR="002F620D">
        <w:rPr>
          <w:rFonts w:eastAsia="Calibri" w:cs="Calibri"/>
          <w:color w:val="000000"/>
          <w:lang w:eastAsia="it-IT"/>
        </w:rPr>
        <w:t>Amitriptilina</w:t>
      </w:r>
      <w:proofErr w:type="spellEnd"/>
      <w:r w:rsidR="002F620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F620D">
        <w:rPr>
          <w:rFonts w:eastAsia="Calibri" w:cs="Calibri"/>
          <w:color w:val="000000"/>
          <w:lang w:eastAsia="it-IT"/>
        </w:rPr>
        <w:t>Maylan</w:t>
      </w:r>
      <w:proofErr w:type="spellEnd"/>
      <w:r w:rsidR="0042214D">
        <w:rPr>
          <w:rFonts w:eastAsia="Calibri" w:cs="Calibri"/>
          <w:color w:val="000000"/>
          <w:lang w:eastAsia="it-IT"/>
        </w:rPr>
        <w:t xml:space="preserve">  </w:t>
      </w:r>
      <w:r w:rsidR="000E4494" w:rsidRPr="00EF6711">
        <w:rPr>
          <w:rFonts w:cs="Arial"/>
        </w:rPr>
        <w:t>è somministrat</w:t>
      </w:r>
      <w:r w:rsidR="00114277">
        <w:rPr>
          <w:rFonts w:cs="Arial"/>
        </w:rPr>
        <w:t>a</w:t>
      </w:r>
      <w:r w:rsidR="000E4494" w:rsidRPr="00EF6711">
        <w:rPr>
          <w:rFonts w:cs="Arial"/>
        </w:rPr>
        <w:t xml:space="preserve"> come </w:t>
      </w:r>
      <w:r w:rsidR="00CC52A3">
        <w:rPr>
          <w:rFonts w:ascii="Calibri" w:hAnsi="Calibri" w:cs="Arial"/>
        </w:rPr>
        <w:t>soluzione orale</w:t>
      </w:r>
      <w:r w:rsidR="002F620D">
        <w:rPr>
          <w:rFonts w:ascii="Calibri" w:hAnsi="Calibri" w:cs="Arial"/>
        </w:rPr>
        <w:t xml:space="preserve"> </w:t>
      </w:r>
      <w:r w:rsidR="000E4494" w:rsidRPr="00EF6711">
        <w:rPr>
          <w:rFonts w:cs="Arial"/>
        </w:rPr>
        <w:t>nella stessa composizione del medicinale di rifermento, è stat</w:t>
      </w:r>
      <w:r w:rsidR="00265B61">
        <w:rPr>
          <w:rFonts w:cs="Arial"/>
        </w:rPr>
        <w:t>o possibile</w:t>
      </w:r>
      <w:r w:rsidR="000E4494" w:rsidRPr="00EF6711">
        <w:rPr>
          <w:rFonts w:cs="Arial"/>
        </w:rPr>
        <w:t xml:space="preserve"> conce</w:t>
      </w:r>
      <w:r w:rsidR="00265B61">
        <w:rPr>
          <w:rFonts w:cs="Arial"/>
        </w:rPr>
        <w:t>dere</w:t>
      </w:r>
      <w:r w:rsidR="000E4494" w:rsidRPr="00EF6711">
        <w:rPr>
          <w:rFonts w:cs="Arial"/>
        </w:rPr>
        <w:t xml:space="preserve"> l’esenzione dalla conduzione di studi clinici di confronto con il medicinale di riferimento.</w:t>
      </w:r>
    </w:p>
    <w:p w:rsidR="004E5A39" w:rsidRDefault="004E5A39" w:rsidP="00EF6711">
      <w:pPr>
        <w:spacing w:after="0" w:line="240" w:lineRule="auto"/>
        <w:jc w:val="both"/>
      </w:pP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</w:t>
      </w:r>
      <w:proofErr w:type="spellStart"/>
      <w:r w:rsidRPr="00EF6711">
        <w:rPr>
          <w:i/>
        </w:rPr>
        <w:t>Plan</w:t>
      </w:r>
      <w:proofErr w:type="spellEnd"/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C9552C">
        <w:rPr>
          <w:rFonts w:eastAsia="Calibri" w:cs="Calibri"/>
          <w:color w:val="000000"/>
          <w:lang w:eastAsia="it-IT"/>
        </w:rPr>
        <w:t>Amitriptilina</w:t>
      </w:r>
      <w:proofErr w:type="spellEnd"/>
      <w:r w:rsidR="00C9552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9552C">
        <w:rPr>
          <w:rFonts w:eastAsia="Calibri" w:cs="Calibri"/>
          <w:color w:val="000000"/>
          <w:lang w:eastAsia="it-IT"/>
        </w:rPr>
        <w:t>Mylan</w:t>
      </w:r>
      <w:proofErr w:type="spellEnd"/>
      <w:r w:rsidR="00C9552C">
        <w:rPr>
          <w:rFonts w:eastAsia="Calibri" w:cs="Calibri"/>
          <w:color w:val="000000"/>
          <w:lang w:eastAsia="it-IT"/>
        </w:rPr>
        <w:t xml:space="preserve"> </w:t>
      </w:r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F102B2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102B2">
        <w:rPr>
          <w:b/>
        </w:rPr>
        <w:t xml:space="preserve">ASPETTI </w:t>
      </w:r>
      <w:proofErr w:type="spellStart"/>
      <w:r w:rsidRPr="00F102B2">
        <w:rPr>
          <w:b/>
        </w:rPr>
        <w:t>DI</w:t>
      </w:r>
      <w:proofErr w:type="spellEnd"/>
      <w:r w:rsidRPr="00F102B2">
        <w:rPr>
          <w:b/>
        </w:rPr>
        <w:t xml:space="preserve"> QUALITA’</w:t>
      </w:r>
    </w:p>
    <w:p w:rsidR="00922C1A" w:rsidRDefault="00922C1A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922C1A">
        <w:rPr>
          <w:b/>
        </w:rPr>
        <w:t>amitriptilina</w:t>
      </w:r>
      <w:proofErr w:type="spellEnd"/>
    </w:p>
    <w:p w:rsidR="00502173" w:rsidRPr="00502173" w:rsidRDefault="004E5A39" w:rsidP="00502173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  <w:r w:rsidR="00502173" w:rsidRPr="00502173">
        <w:rPr>
          <w:rStyle w:val="s1"/>
          <w:rFonts w:asciiTheme="minorHAnsi" w:hAnsiTheme="minorHAnsi"/>
        </w:rPr>
        <w:t xml:space="preserve">3-(10,11-Diidro-5H-dibenzo[a,d][7]annulen-5-ilidene)-N,N-dimetilpropan-1-amino cloridrato </w:t>
      </w:r>
    </w:p>
    <w:p w:rsidR="004E5A39" w:rsidRPr="00EF6711" w:rsidRDefault="004E5A39" w:rsidP="00502173">
      <w:pPr>
        <w:autoSpaceDE w:val="0"/>
        <w:autoSpaceDN w:val="0"/>
        <w:adjustRightInd w:val="0"/>
        <w:spacing w:after="0" w:line="240" w:lineRule="auto"/>
      </w:pPr>
      <w:r w:rsidRPr="00EF6711">
        <w:rPr>
          <w:u w:val="single"/>
        </w:rPr>
        <w:t>Struttura</w:t>
      </w:r>
      <w:r w:rsidRPr="00EF6711">
        <w:t>:</w:t>
      </w:r>
    </w:p>
    <w:p w:rsidR="004E5A39" w:rsidRPr="00CC52A3" w:rsidRDefault="004E5A39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</w:p>
    <w:p w:rsidR="004E5A39" w:rsidRPr="00EF6711" w:rsidRDefault="00691E7C" w:rsidP="00EF6711">
      <w:pPr>
        <w:spacing w:after="0" w:line="240" w:lineRule="auto"/>
        <w:jc w:val="center"/>
        <w:rPr>
          <w:highlight w:val="yellow"/>
        </w:rPr>
      </w:pPr>
      <w:r w:rsidRPr="00691E7C">
        <w:rPr>
          <w:noProof/>
          <w:lang w:eastAsia="it-IT"/>
        </w:rPr>
        <w:lastRenderedPageBreak/>
        <w:drawing>
          <wp:inline distT="0" distB="0" distL="0" distR="0">
            <wp:extent cx="1018722" cy="549361"/>
            <wp:effectExtent l="19050" t="0" r="0" b="0"/>
            <wp:docPr id="3" name="Immagine 1" descr="P:\_dp\903\XML-IN\Images\cf0464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3\XML-IN\Images\cf0464-b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84" cy="549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="00502173" w:rsidRPr="00502173">
        <w:rPr>
          <w:rStyle w:val="s1"/>
          <w:rFonts w:asciiTheme="minorHAnsi" w:hAnsiTheme="minorHAnsi"/>
        </w:rPr>
        <w:t xml:space="preserve"> C</w:t>
      </w:r>
      <w:r w:rsidR="00502173" w:rsidRPr="00502173">
        <w:rPr>
          <w:rStyle w:val="s1"/>
          <w:rFonts w:asciiTheme="minorHAnsi" w:hAnsiTheme="minorHAnsi"/>
          <w:vertAlign w:val="subscript"/>
        </w:rPr>
        <w:t>20</w:t>
      </w:r>
      <w:r w:rsidR="00502173" w:rsidRPr="00502173">
        <w:rPr>
          <w:rStyle w:val="s1"/>
          <w:rFonts w:asciiTheme="minorHAnsi" w:hAnsiTheme="minorHAnsi"/>
        </w:rPr>
        <w:t>H</w:t>
      </w:r>
      <w:r w:rsidR="00502173" w:rsidRPr="00502173">
        <w:rPr>
          <w:rStyle w:val="s1"/>
          <w:rFonts w:asciiTheme="minorHAnsi" w:hAnsiTheme="minorHAnsi"/>
          <w:vertAlign w:val="subscript"/>
        </w:rPr>
        <w:t>24</w:t>
      </w:r>
      <w:r w:rsidR="00502173" w:rsidRPr="00502173">
        <w:rPr>
          <w:rStyle w:val="s1"/>
          <w:rFonts w:asciiTheme="minorHAnsi" w:hAnsiTheme="minorHAnsi"/>
        </w:rPr>
        <w:t>ClN</w:t>
      </w:r>
      <w:r w:rsidR="00CC52A3" w:rsidRPr="00502173">
        <w:rPr>
          <w:rStyle w:val="s1"/>
          <w:rFonts w:asciiTheme="minorHAnsi" w:hAnsiTheme="minorHAnsi"/>
        </w:rP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691E7C" w:rsidRPr="00691E7C">
        <w:rPr>
          <w:rStyle w:val="s1"/>
          <w:rFonts w:asciiTheme="minorHAnsi" w:hAnsiTheme="minorHAnsi"/>
        </w:rPr>
        <w:t>313.9 g/mol</w:t>
      </w:r>
      <w:r w:rsidR="009A23DE" w:rsidRPr="00691E7C">
        <w:rPr>
          <w:rStyle w:val="s1"/>
          <w:rFonts w:asciiTheme="minorHAnsi" w:hAnsiTheme="minorHAnsi"/>
        </w:rPr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>:</w:t>
      </w:r>
      <w:r w:rsidR="00691E7C">
        <w:t xml:space="preserve"> </w:t>
      </w:r>
      <w:r w:rsidR="00691E7C" w:rsidRPr="00691E7C">
        <w:t>[549-18-8]</w:t>
      </w:r>
    </w:p>
    <w:p w:rsidR="004E5A39" w:rsidRPr="00691E7C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Aspetto</w:t>
      </w:r>
      <w:r w:rsidRPr="00EF6711">
        <w:t xml:space="preserve">: </w:t>
      </w:r>
      <w:r w:rsidR="00CC52A3" w:rsidRPr="00691E7C">
        <w:rPr>
          <w:rStyle w:val="s1"/>
          <w:rFonts w:asciiTheme="minorHAnsi" w:hAnsiTheme="minorHAnsi"/>
        </w:rPr>
        <w:t xml:space="preserve"> polvere cristallina </w:t>
      </w:r>
      <w:r w:rsidR="00691E7C" w:rsidRPr="00691E7C">
        <w:rPr>
          <w:rStyle w:val="s1"/>
          <w:rFonts w:asciiTheme="minorHAnsi" w:hAnsiTheme="minorHAnsi"/>
        </w:rPr>
        <w:t>bianca o quasi bianca</w:t>
      </w:r>
    </w:p>
    <w:p w:rsidR="004E5A39" w:rsidRPr="00EF6711" w:rsidRDefault="004E5A39" w:rsidP="00691E7C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691E7C">
        <w:rPr>
          <w:u w:val="single"/>
        </w:rPr>
        <w:t>Solubilità</w:t>
      </w:r>
      <w:r w:rsidRPr="00691E7C">
        <w:t>:</w:t>
      </w:r>
      <w:r w:rsidRPr="00691E7C">
        <w:rPr>
          <w:rStyle w:val="s1"/>
          <w:rFonts w:asciiTheme="minorHAnsi" w:hAnsiTheme="minorHAnsi"/>
        </w:rPr>
        <w:t xml:space="preserve"> </w:t>
      </w:r>
      <w:r w:rsidR="00691E7C">
        <w:rPr>
          <w:rStyle w:val="s1"/>
          <w:rFonts w:asciiTheme="minorHAnsi" w:hAnsiTheme="minorHAnsi"/>
        </w:rPr>
        <w:t>facilmente</w:t>
      </w:r>
      <w:r w:rsidR="00691E7C" w:rsidRPr="00691E7C">
        <w:rPr>
          <w:rStyle w:val="s1"/>
          <w:rFonts w:asciiTheme="minorHAnsi" w:hAnsiTheme="minorHAnsi"/>
        </w:rPr>
        <w:t xml:space="preserve"> solub</w:t>
      </w:r>
      <w:r w:rsidR="00691E7C">
        <w:rPr>
          <w:rStyle w:val="s1"/>
          <w:rFonts w:asciiTheme="minorHAnsi" w:hAnsiTheme="minorHAnsi"/>
        </w:rPr>
        <w:t>i</w:t>
      </w:r>
      <w:r w:rsidR="00691E7C" w:rsidRPr="00691E7C">
        <w:rPr>
          <w:rStyle w:val="s1"/>
          <w:rFonts w:asciiTheme="minorHAnsi" w:hAnsiTheme="minorHAnsi"/>
        </w:rPr>
        <w:t xml:space="preserve">le in acqua, metanolo, etanolo, cloruro di metilene e cloroformio.   </w:t>
      </w:r>
    </w:p>
    <w:p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:rsidR="00B30431" w:rsidRDefault="00B30431" w:rsidP="00EF6711">
      <w:pPr>
        <w:spacing w:after="0" w:line="240" w:lineRule="auto"/>
        <w:jc w:val="both"/>
      </w:pPr>
    </w:p>
    <w:p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:rsidR="000B7AC8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 w:rsidR="00502173">
        <w:t>60</w:t>
      </w:r>
      <w:r w:rsidRPr="00F93450">
        <w:t xml:space="preserve"> </w:t>
      </w:r>
      <w:r>
        <w:t>m</w:t>
      </w:r>
      <w:r w:rsidRPr="00F93450">
        <w:t>esi</w:t>
      </w:r>
      <w:r>
        <w:t xml:space="preserve">, quando confezionato in </w:t>
      </w:r>
      <w:r w:rsidR="00502173">
        <w:t>buste alluminio/polietilene posizionate in tamburi in fibra</w:t>
      </w:r>
      <w:r w:rsidRPr="00F93450">
        <w:t>.</w:t>
      </w:r>
    </w:p>
    <w:p w:rsidR="00CC52A3" w:rsidRPr="00EF6711" w:rsidRDefault="00CC52A3" w:rsidP="00EF6711">
      <w:pPr>
        <w:spacing w:after="0" w:line="240" w:lineRule="auto"/>
        <w:jc w:val="both"/>
      </w:pPr>
    </w:p>
    <w:p w:rsidR="00B30431" w:rsidRDefault="00B30431" w:rsidP="00EF6711">
      <w:pPr>
        <w:spacing w:after="0" w:line="240" w:lineRule="auto"/>
        <w:jc w:val="both"/>
      </w:pP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Pr="00502173" w:rsidRDefault="00502173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B5B97">
        <w:rPr>
          <w:rFonts w:eastAsia="Calibri" w:cs="Calibri"/>
          <w:color w:val="000000"/>
          <w:lang w:eastAsia="it-IT"/>
        </w:rPr>
        <w:t>Mylan</w:t>
      </w:r>
      <w:proofErr w:type="spellEnd"/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Pr="00502173">
        <w:rPr>
          <w:rFonts w:eastAsia="Calibri" w:cs="Calibri"/>
          <w:color w:val="000000"/>
          <w:lang w:eastAsia="it-IT"/>
        </w:rPr>
        <w:t>40 mg/</w:t>
      </w:r>
      <w:proofErr w:type="spellStart"/>
      <w:r w:rsidRPr="00502173">
        <w:rPr>
          <w:rFonts w:eastAsia="Calibri" w:cs="Calibri"/>
          <w:color w:val="000000"/>
          <w:lang w:eastAsia="it-IT"/>
        </w:rPr>
        <w:t>mL</w:t>
      </w:r>
      <w:proofErr w:type="spellEnd"/>
      <w:r w:rsidRPr="00502173">
        <w:rPr>
          <w:rFonts w:eastAsia="Calibri" w:cs="Calibri"/>
          <w:color w:val="000000"/>
          <w:lang w:eastAsia="it-IT"/>
        </w:rPr>
        <w:t xml:space="preserve"> gocce orali soluzione</w:t>
      </w:r>
      <w:r w:rsidR="004E5A39" w:rsidRPr="00502173">
        <w:rPr>
          <w:rFonts w:eastAsia="Calibri" w:cs="Calibri"/>
          <w:color w:val="000000"/>
          <w:lang w:eastAsia="it-IT"/>
        </w:rPr>
        <w:t xml:space="preserve"> </w:t>
      </w:r>
    </w:p>
    <w:p w:rsidR="00502173" w:rsidRPr="00CE5C72" w:rsidRDefault="00502173" w:rsidP="0050217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E5C72">
        <w:t xml:space="preserve">Gli eccipienti sono i seguenti: </w:t>
      </w:r>
      <w:r w:rsidRPr="00CE5C72">
        <w:rPr>
          <w:rFonts w:cs="Arial"/>
        </w:rPr>
        <w:t>acqua depurata ed acido cloridrico,</w:t>
      </w:r>
    </w:p>
    <w:p w:rsidR="00502173" w:rsidRPr="00CE5C72" w:rsidRDefault="00502173" w:rsidP="00502173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CE5C72">
        <w:t>Tutti gli eccipienti sono conformi alla relativa monografia di Farmacopea Europea.</w:t>
      </w:r>
    </w:p>
    <w:p w:rsidR="00502173" w:rsidRPr="00CE5C72" w:rsidRDefault="00502173" w:rsidP="00502173">
      <w:pPr>
        <w:spacing w:after="0" w:line="240" w:lineRule="auto"/>
        <w:jc w:val="both"/>
      </w:pPr>
      <w:r w:rsidRPr="00CE5C72">
        <w:t>Nessun eccipiente è ottenuto da organismi geneticamente modificati; non sono presenti eccipienti mai utilizzati nell’uomo.</w:t>
      </w:r>
    </w:p>
    <w:p w:rsidR="000808A3" w:rsidRPr="00EF6711" w:rsidRDefault="000808A3" w:rsidP="00EF6711">
      <w:pPr>
        <w:spacing w:after="0" w:line="240" w:lineRule="auto"/>
        <w:ind w:right="13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</w:t>
      </w:r>
      <w:proofErr w:type="spellStart"/>
      <w:r w:rsidRPr="00EF6711">
        <w:t>impurezze</w:t>
      </w:r>
      <w:proofErr w:type="spellEnd"/>
      <w:r w:rsidRPr="00EF6711">
        <w:t xml:space="preserve"> rispetto al medicinale di riferimento</w:t>
      </w:r>
      <w:r w:rsidR="00502173">
        <w:rPr>
          <w:rFonts w:eastAsia="Calibri" w:cs="Calibri"/>
          <w:lang w:eastAsia="it-IT"/>
        </w:rPr>
        <w:t>.</w:t>
      </w:r>
      <w:r w:rsidRPr="00EF6711">
        <w:t xml:space="preserve"> 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922C1A" w:rsidRDefault="004E5A39" w:rsidP="00EF6711">
      <w:pPr>
        <w:spacing w:after="0" w:line="240" w:lineRule="auto"/>
        <w:jc w:val="both"/>
        <w:rPr>
          <w:b/>
        </w:rPr>
      </w:pPr>
      <w:r w:rsidRPr="00922C1A">
        <w:rPr>
          <w:b/>
        </w:rPr>
        <w:t>Contenitore</w:t>
      </w:r>
    </w:p>
    <w:p w:rsidR="00922C1A" w:rsidRPr="00922C1A" w:rsidRDefault="00502173" w:rsidP="00922C1A">
      <w:pPr>
        <w:spacing w:after="0" w:line="240" w:lineRule="auto"/>
        <w:jc w:val="both"/>
      </w:pPr>
      <w:proofErr w:type="spellStart"/>
      <w:r w:rsidRPr="00922C1A">
        <w:t>Amitriptilina</w:t>
      </w:r>
      <w:proofErr w:type="spellEnd"/>
      <w:r w:rsidRPr="00922C1A">
        <w:t xml:space="preserve"> </w:t>
      </w:r>
      <w:proofErr w:type="spellStart"/>
      <w:r w:rsidR="008B5B97">
        <w:rPr>
          <w:rFonts w:eastAsia="Calibri" w:cs="Calibri"/>
          <w:color w:val="000000"/>
          <w:lang w:eastAsia="it-IT"/>
        </w:rPr>
        <w:t>Mylan</w:t>
      </w:r>
      <w:proofErr w:type="spellEnd"/>
      <w:r w:rsidR="000808A3" w:rsidRPr="00922C1A">
        <w:t xml:space="preserve"> </w:t>
      </w:r>
      <w:r w:rsidR="004E5A39" w:rsidRPr="00922C1A">
        <w:t xml:space="preserve">è confezionato in </w:t>
      </w:r>
      <w:r w:rsidR="00922C1A" w:rsidRPr="00922C1A">
        <w:t>n flacone di vetro scuro (color giallo ambra), con contagocce e tappo a vite a prova di bambino.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AD78E4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BA0ACD" w:rsidRPr="00EF6711">
        <w:t xml:space="preserve">.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proofErr w:type="spellStart"/>
      <w:r w:rsidR="00922C1A" w:rsidRPr="00922C1A">
        <w:t>Amitriptilina</w:t>
      </w:r>
      <w:proofErr w:type="spellEnd"/>
      <w:r w:rsidR="00922C1A" w:rsidRPr="00922C1A">
        <w:t xml:space="preserve"> </w:t>
      </w:r>
      <w:proofErr w:type="spellStart"/>
      <w:r w:rsidR="008B5B97">
        <w:rPr>
          <w:rFonts w:eastAsia="Calibri" w:cs="Calibri"/>
          <w:color w:val="000000"/>
          <w:lang w:eastAsia="it-IT"/>
        </w:rPr>
        <w:t>Mylan</w:t>
      </w:r>
      <w:proofErr w:type="spellEnd"/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proofErr w:type="spellStart"/>
      <w:r w:rsidR="00922C1A" w:rsidRPr="00922C1A">
        <w:t>Amitriptilina</w:t>
      </w:r>
      <w:proofErr w:type="spellEnd"/>
      <w:r w:rsidR="00922C1A" w:rsidRPr="00922C1A">
        <w:t xml:space="preserve"> </w:t>
      </w:r>
      <w:proofErr w:type="spellStart"/>
      <w:r w:rsidR="008B5B97">
        <w:rPr>
          <w:rFonts w:eastAsia="Calibri" w:cs="Calibri"/>
          <w:color w:val="000000"/>
          <w:lang w:eastAsia="it-IT"/>
        </w:rPr>
        <w:t>Mylan</w:t>
      </w:r>
      <w:proofErr w:type="spellEnd"/>
      <w:r w:rsidR="00922C1A"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proofErr w:type="spellStart"/>
      <w:r w:rsidR="00C468F8">
        <w:rPr>
          <w:rFonts w:eastAsia="Calibri" w:cs="Calibri"/>
          <w:color w:val="000000"/>
          <w:lang w:eastAsia="it-IT"/>
        </w:rPr>
        <w:t>Amitriptilina</w:t>
      </w:r>
      <w:proofErr w:type="spellEnd"/>
      <w:r w:rsidR="00C468F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468F8">
        <w:rPr>
          <w:rFonts w:eastAsia="Calibri" w:cs="Calibri"/>
          <w:color w:val="000000"/>
          <w:lang w:eastAsia="it-IT"/>
        </w:rPr>
        <w:t>Mylan</w:t>
      </w:r>
      <w:proofErr w:type="spellEnd"/>
      <w:r w:rsidR="00C468F8"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C468F8">
        <w:rPr>
          <w:rFonts w:eastAsia="Calibri" w:cs="Calibri"/>
          <w:lang w:eastAsia="it-IT"/>
        </w:rPr>
        <w:t>Laroxyl</w:t>
      </w:r>
      <w:proofErr w:type="spellEnd"/>
      <w:r w:rsidR="00C468F8">
        <w:rPr>
          <w:rFonts w:eastAsia="Calibri" w:cs="Calibri"/>
          <w:lang w:eastAsia="it-IT"/>
        </w:rPr>
        <w:t xml:space="preserve"> </w:t>
      </w:r>
      <w:r w:rsidRPr="00EF6711">
        <w:t>è autorizzato in Italia da oltre 10 anni</w:t>
      </w:r>
      <w:r w:rsidR="000808A3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proofErr w:type="spellStart"/>
      <w:r w:rsidR="00C468F8">
        <w:t>amitriptilina</w:t>
      </w:r>
      <w:proofErr w:type="spellEnd"/>
      <w:r>
        <w:t xml:space="preserve"> sono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 w:rsidR="00370DDB">
        <w:t>amitriptilina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265B61" w:rsidRDefault="00370DDB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Amitriptilina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Mylan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</w:t>
      </w:r>
      <w:r>
        <w:t>a</w:t>
      </w:r>
      <w:r w:rsidR="00265B61">
        <w:t xml:space="preserve"> per</w:t>
      </w:r>
      <w:r w:rsidR="009D614D">
        <w:t>:</w:t>
      </w:r>
    </w:p>
    <w:p w:rsidR="009D614D" w:rsidRDefault="009D614D" w:rsidP="009D614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-</w:t>
      </w:r>
      <w:r>
        <w:tab/>
        <w:t>Depressione endogena. Fase depressiva della psicosi maniaco-depressiva. Depressione reattiva. Depressione mascherata. Depressione neurotica. Depressione in corso di psicosi schizofreniche. Depressioni involutive. Depressioni gravi in corso di malattie neurologiche o di altre affezioni organiche.</w:t>
      </w:r>
    </w:p>
    <w:p w:rsidR="009D614D" w:rsidRDefault="009D614D" w:rsidP="009D614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-</w:t>
      </w:r>
      <w:r>
        <w:tab/>
        <w:t>Profilassi dell’emicrania e delle cefalee croniche o ricorrenti.</w:t>
      </w:r>
    </w:p>
    <w:p w:rsidR="009D614D" w:rsidRDefault="009D614D" w:rsidP="009D614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-</w:t>
      </w:r>
      <w:r>
        <w:tab/>
        <w:t>Trattamento del dolore neuropatico periferico dell’adulto.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370DDB">
        <w:t>Amitriptilina</w:t>
      </w:r>
      <w:proofErr w:type="spellEnd"/>
      <w:r w:rsidR="00370DDB">
        <w:t xml:space="preserve"> 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</w:p>
    <w:p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:rsidR="006727BD" w:rsidRP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lang w:eastAsia="it-IT"/>
        </w:rPr>
      </w:pPr>
    </w:p>
    <w:p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:rsidR="006727BD" w:rsidRPr="006727BD" w:rsidRDefault="006727BD" w:rsidP="00EF6711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7D4400">
        <w:rPr>
          <w:rFonts w:eastAsia="Calibri" w:cs="Calibri"/>
          <w:color w:val="000000"/>
          <w:lang w:eastAsia="it-IT"/>
        </w:rPr>
        <w:t>Amitriptilina</w:t>
      </w:r>
      <w:proofErr w:type="spellEnd"/>
      <w:r w:rsidR="007D440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D4400">
        <w:rPr>
          <w:rFonts w:eastAsia="Calibri" w:cs="Calibri"/>
          <w:color w:val="000000"/>
          <w:lang w:eastAsia="it-IT"/>
        </w:rPr>
        <w:t>Myl</w:t>
      </w:r>
      <w:r w:rsidR="0017274F">
        <w:rPr>
          <w:rFonts w:eastAsia="Calibri" w:cs="Calibri"/>
          <w:color w:val="000000"/>
          <w:lang w:eastAsia="it-IT"/>
        </w:rPr>
        <w:t>a</w:t>
      </w:r>
      <w:r w:rsidR="007D4400">
        <w:rPr>
          <w:rFonts w:eastAsia="Calibri" w:cs="Calibri"/>
          <w:color w:val="000000"/>
          <w:lang w:eastAsia="it-IT"/>
        </w:rPr>
        <w:t>n</w:t>
      </w:r>
      <w:proofErr w:type="spellEnd"/>
      <w:r w:rsidR="007D4400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ben conosciuto; inoltre, per </w:t>
      </w:r>
      <w:proofErr w:type="spellStart"/>
      <w:r w:rsidR="007D4400">
        <w:rPr>
          <w:rFonts w:eastAsia="Calibri" w:cs="Calibri"/>
          <w:color w:val="000000"/>
          <w:lang w:eastAsia="it-IT"/>
        </w:rPr>
        <w:t>Amitriptilina</w:t>
      </w:r>
      <w:proofErr w:type="spellEnd"/>
      <w:r w:rsidR="007D440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D4400">
        <w:rPr>
          <w:rFonts w:eastAsia="Calibri" w:cs="Calibri"/>
          <w:color w:val="000000"/>
          <w:lang w:eastAsia="it-IT"/>
        </w:rPr>
        <w:t>Mylan</w:t>
      </w:r>
      <w:proofErr w:type="spellEnd"/>
      <w:r w:rsidR="007D4400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proofErr w:type="spellStart"/>
      <w:r w:rsidR="007D4400">
        <w:rPr>
          <w:rFonts w:eastAsia="Calibri" w:cs="Calibri"/>
          <w:color w:val="000000"/>
          <w:lang w:eastAsia="it-IT"/>
        </w:rPr>
        <w:t>Amitriptilina</w:t>
      </w:r>
      <w:proofErr w:type="spellEnd"/>
      <w:r w:rsidR="007D440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D4400">
        <w:rPr>
          <w:rFonts w:eastAsia="Calibri" w:cs="Calibri"/>
          <w:color w:val="000000"/>
          <w:lang w:eastAsia="it-IT"/>
        </w:rPr>
        <w:t>Mylan</w:t>
      </w:r>
      <w:proofErr w:type="spellEnd"/>
      <w:r w:rsidR="007D4400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>è somministrat</w:t>
      </w:r>
      <w:r w:rsidR="00F513A6">
        <w:rPr>
          <w:rFonts w:cs="Arial"/>
        </w:rPr>
        <w:t>a</w:t>
      </w:r>
      <w:r>
        <w:rPr>
          <w:rFonts w:cs="Arial"/>
        </w:rPr>
        <w:t xml:space="preserve"> come soluzione orale</w:t>
      </w:r>
      <w:r w:rsidR="0017274F">
        <w:rPr>
          <w:rFonts w:cs="Arial"/>
        </w:rPr>
        <w:t>.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</w:t>
      </w:r>
      <w:proofErr w:type="spellStart"/>
      <w:r w:rsidRPr="00EF6711">
        <w:rPr>
          <w:b/>
          <w:i/>
        </w:rPr>
        <w:t>Plan</w:t>
      </w:r>
      <w:proofErr w:type="spellEnd"/>
      <w:r w:rsidRPr="00EF6711">
        <w:rPr>
          <w:b/>
        </w:rPr>
        <w:t xml:space="preserve"> - RMP)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AD6B23">
        <w:rPr>
          <w:rFonts w:eastAsia="Calibri" w:cs="Calibri"/>
          <w:color w:val="000000"/>
          <w:lang w:eastAsia="it-IT"/>
        </w:rPr>
        <w:t>Amitriptilina</w:t>
      </w:r>
      <w:proofErr w:type="spellEnd"/>
      <w:r w:rsidR="00AD6B2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D6B23">
        <w:rPr>
          <w:rFonts w:eastAsia="Calibri" w:cs="Calibri"/>
          <w:color w:val="000000"/>
          <w:lang w:eastAsia="it-IT"/>
        </w:rPr>
        <w:t>Myaln</w:t>
      </w:r>
      <w:proofErr w:type="spellEnd"/>
      <w:r w:rsidRPr="00EF6711"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A25DAF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8719A8" w:rsidRPr="00A25DAF" w:rsidRDefault="00A25DAF" w:rsidP="00A25DA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57" w:hanging="357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8719A8" w:rsidRPr="00A25DAF">
              <w:rPr>
                <w:sz w:val="20"/>
              </w:rPr>
              <w:t>Suicidio</w:t>
            </w: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  <w:r w:rsidRPr="008719A8">
              <w:rPr>
                <w:sz w:val="20"/>
              </w:rPr>
              <w:t xml:space="preserve">•             </w:t>
            </w:r>
            <w:r>
              <w:rPr>
                <w:sz w:val="20"/>
              </w:rPr>
              <w:t>Iponatremia</w:t>
            </w: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  <w:r w:rsidRPr="008719A8">
              <w:rPr>
                <w:sz w:val="20"/>
              </w:rPr>
              <w:t xml:space="preserve">•             </w:t>
            </w:r>
            <w:r>
              <w:rPr>
                <w:sz w:val="20"/>
              </w:rPr>
              <w:t>Si</w:t>
            </w:r>
            <w:r w:rsidR="002B5FD8">
              <w:rPr>
                <w:sz w:val="20"/>
              </w:rPr>
              <w:t>ndro</w:t>
            </w:r>
            <w:r>
              <w:rPr>
                <w:sz w:val="20"/>
              </w:rPr>
              <w:t xml:space="preserve">me di </w:t>
            </w:r>
            <w:proofErr w:type="spellStart"/>
            <w:r>
              <w:rPr>
                <w:sz w:val="20"/>
              </w:rPr>
              <w:t>Brugada</w:t>
            </w:r>
            <w:proofErr w:type="spellEnd"/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  <w:r w:rsidRPr="008719A8">
              <w:rPr>
                <w:sz w:val="20"/>
              </w:rPr>
              <w:lastRenderedPageBreak/>
              <w:t xml:space="preserve">•             </w:t>
            </w:r>
            <w:r>
              <w:rPr>
                <w:sz w:val="20"/>
              </w:rPr>
              <w:t xml:space="preserve">Sindrome </w:t>
            </w:r>
            <w:proofErr w:type="spellStart"/>
            <w:r>
              <w:rPr>
                <w:sz w:val="20"/>
              </w:rPr>
              <w:t>serotoninergica</w:t>
            </w:r>
            <w:proofErr w:type="spellEnd"/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  <w:r w:rsidRPr="008719A8">
              <w:rPr>
                <w:sz w:val="20"/>
              </w:rPr>
              <w:t>•             Prolungamento dell’intervallo QT</w:t>
            </w:r>
            <w:r>
              <w:rPr>
                <w:sz w:val="20"/>
              </w:rPr>
              <w:t xml:space="preserve"> </w:t>
            </w:r>
            <w:r w:rsidR="00A25DAF">
              <w:rPr>
                <w:sz w:val="20"/>
              </w:rPr>
              <w:t xml:space="preserve">e </w:t>
            </w:r>
            <w:proofErr w:type="spellStart"/>
            <w:r w:rsidRPr="008719A8">
              <w:rPr>
                <w:sz w:val="20"/>
              </w:rPr>
              <w:t>Torsades</w:t>
            </w:r>
            <w:proofErr w:type="spellEnd"/>
            <w:r w:rsidRPr="008719A8">
              <w:rPr>
                <w:sz w:val="20"/>
              </w:rPr>
              <w:t xml:space="preserve"> de </w:t>
            </w:r>
            <w:proofErr w:type="spellStart"/>
            <w:r w:rsidRPr="008719A8">
              <w:rPr>
                <w:sz w:val="20"/>
              </w:rPr>
              <w:t>Pointes</w:t>
            </w:r>
            <w:proofErr w:type="spellEnd"/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  <w:r w:rsidRPr="008719A8">
              <w:rPr>
                <w:sz w:val="20"/>
              </w:rPr>
              <w:t>•             Di</w:t>
            </w:r>
            <w:r>
              <w:rPr>
                <w:sz w:val="20"/>
              </w:rPr>
              <w:t xml:space="preserve">sturbi della coscienza </w:t>
            </w:r>
            <w:r w:rsidRPr="008719A8">
              <w:rPr>
                <w:sz w:val="20"/>
              </w:rPr>
              <w:t xml:space="preserve"> (so</w:t>
            </w:r>
            <w:r>
              <w:rPr>
                <w:sz w:val="20"/>
              </w:rPr>
              <w:t>nnolenza</w:t>
            </w:r>
            <w:r w:rsidRPr="008719A8">
              <w:rPr>
                <w:sz w:val="20"/>
              </w:rPr>
              <w:t xml:space="preserve">, </w:t>
            </w:r>
            <w:proofErr w:type="spellStart"/>
            <w:r w:rsidRPr="008719A8">
              <w:rPr>
                <w:sz w:val="20"/>
              </w:rPr>
              <w:t>seda</w:t>
            </w:r>
            <w:r>
              <w:rPr>
                <w:sz w:val="20"/>
              </w:rPr>
              <w:t>zione</w:t>
            </w:r>
            <w:proofErr w:type="spellEnd"/>
            <w:r w:rsidRPr="008719A8">
              <w:rPr>
                <w:sz w:val="20"/>
              </w:rPr>
              <w:t xml:space="preserve">, </w:t>
            </w:r>
            <w:r>
              <w:rPr>
                <w:sz w:val="20"/>
              </w:rPr>
              <w:t>sincope</w:t>
            </w:r>
            <w:r w:rsidRPr="008719A8">
              <w:rPr>
                <w:sz w:val="20"/>
              </w:rPr>
              <w:t xml:space="preserve">, coma, </w:t>
            </w:r>
            <w:r w:rsidR="00DF0DC9">
              <w:rPr>
                <w:sz w:val="20"/>
              </w:rPr>
              <w:t>C</w:t>
            </w:r>
            <w:r w:rsidRPr="008719A8">
              <w:rPr>
                <w:sz w:val="20"/>
              </w:rPr>
              <w:t xml:space="preserve">oma </w:t>
            </w:r>
            <w:r w:rsidR="00DF0DC9">
              <w:rPr>
                <w:sz w:val="20"/>
              </w:rPr>
              <w:t>S</w:t>
            </w:r>
            <w:r w:rsidRPr="008719A8">
              <w:rPr>
                <w:sz w:val="20"/>
              </w:rPr>
              <w:t xml:space="preserve">cale </w:t>
            </w:r>
            <w:r w:rsidR="00DF0DC9">
              <w:rPr>
                <w:sz w:val="20"/>
              </w:rPr>
              <w:t>anormale</w:t>
            </w:r>
            <w:r w:rsidRPr="008719A8">
              <w:rPr>
                <w:sz w:val="20"/>
              </w:rPr>
              <w:t xml:space="preserve">)   </w:t>
            </w: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DF0DC9" w:rsidRDefault="008719A8" w:rsidP="008719A8">
            <w:pPr>
              <w:spacing w:after="0" w:line="240" w:lineRule="auto"/>
              <w:rPr>
                <w:sz w:val="20"/>
              </w:rPr>
            </w:pPr>
            <w:r w:rsidRPr="00DF0DC9">
              <w:rPr>
                <w:sz w:val="20"/>
              </w:rPr>
              <w:t xml:space="preserve">•             </w:t>
            </w:r>
            <w:r w:rsidR="00DF0DC9" w:rsidRPr="00DF0DC9">
              <w:rPr>
                <w:sz w:val="20"/>
              </w:rPr>
              <w:t>Arresto cardiaco</w:t>
            </w:r>
            <w:r w:rsidRPr="00DF0DC9">
              <w:rPr>
                <w:sz w:val="20"/>
              </w:rPr>
              <w:t xml:space="preserve"> </w:t>
            </w:r>
            <w:r w:rsidR="00DF0DC9" w:rsidRPr="00DF0DC9">
              <w:rPr>
                <w:sz w:val="20"/>
              </w:rPr>
              <w:t>ed arresto c</w:t>
            </w:r>
            <w:r w:rsidR="00DF0DC9">
              <w:rPr>
                <w:sz w:val="20"/>
              </w:rPr>
              <w:t>ardio-respiratorio</w:t>
            </w:r>
          </w:p>
          <w:p w:rsidR="008719A8" w:rsidRPr="00DF0DC9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DF0DC9" w:rsidRDefault="008719A8" w:rsidP="008719A8">
            <w:pPr>
              <w:spacing w:after="0" w:line="240" w:lineRule="auto"/>
              <w:rPr>
                <w:sz w:val="20"/>
              </w:rPr>
            </w:pPr>
            <w:r w:rsidRPr="00DF0DC9">
              <w:rPr>
                <w:sz w:val="20"/>
              </w:rPr>
              <w:t xml:space="preserve">•             </w:t>
            </w:r>
            <w:r w:rsidR="00DF0DC9" w:rsidRPr="00DF0DC9">
              <w:rPr>
                <w:sz w:val="20"/>
              </w:rPr>
              <w:t xml:space="preserve">Arresto respiratorio con </w:t>
            </w:r>
            <w:r w:rsidR="00DF0DC9">
              <w:rPr>
                <w:sz w:val="20"/>
              </w:rPr>
              <w:t xml:space="preserve">overdose di </w:t>
            </w:r>
            <w:proofErr w:type="spellStart"/>
            <w:r w:rsidR="00DF0DC9">
              <w:rPr>
                <w:sz w:val="20"/>
              </w:rPr>
              <w:t>amitriptilina</w:t>
            </w:r>
            <w:proofErr w:type="spellEnd"/>
            <w:r w:rsidRPr="00DF0DC9">
              <w:rPr>
                <w:sz w:val="20"/>
              </w:rPr>
              <w:t xml:space="preserve"> </w:t>
            </w:r>
          </w:p>
          <w:p w:rsidR="008719A8" w:rsidRPr="00DF0DC9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DF0DC9" w:rsidRDefault="008719A8" w:rsidP="008719A8">
            <w:pPr>
              <w:spacing w:after="0" w:line="240" w:lineRule="auto"/>
              <w:rPr>
                <w:sz w:val="20"/>
              </w:rPr>
            </w:pPr>
            <w:r w:rsidRPr="00DF0DC9">
              <w:rPr>
                <w:sz w:val="20"/>
              </w:rPr>
              <w:t>•             Us</w:t>
            </w:r>
            <w:r w:rsidR="00DF0DC9" w:rsidRPr="00DF0DC9">
              <w:rPr>
                <w:sz w:val="20"/>
              </w:rPr>
              <w:t>o</w:t>
            </w:r>
            <w:r w:rsidRPr="00DF0DC9">
              <w:rPr>
                <w:sz w:val="20"/>
              </w:rPr>
              <w:t xml:space="preserve"> in </w:t>
            </w:r>
            <w:r w:rsidR="00DF0DC9" w:rsidRPr="00DF0DC9">
              <w:rPr>
                <w:sz w:val="20"/>
              </w:rPr>
              <w:t>gravidanza ed allatta</w:t>
            </w:r>
            <w:r w:rsidR="00DF0DC9">
              <w:rPr>
                <w:sz w:val="20"/>
              </w:rPr>
              <w:t xml:space="preserve">mento </w:t>
            </w:r>
          </w:p>
          <w:p w:rsidR="008719A8" w:rsidRPr="00DF0DC9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A25DAF" w:rsidRDefault="008719A8" w:rsidP="008719A8">
            <w:pPr>
              <w:spacing w:after="0" w:line="240" w:lineRule="auto"/>
              <w:rPr>
                <w:sz w:val="20"/>
              </w:rPr>
            </w:pPr>
            <w:r w:rsidRPr="00A25DAF">
              <w:rPr>
                <w:sz w:val="20"/>
              </w:rPr>
              <w:t xml:space="preserve">•             </w:t>
            </w:r>
            <w:r w:rsidR="00A25DAF" w:rsidRPr="00A25DAF">
              <w:rPr>
                <w:sz w:val="20"/>
              </w:rPr>
              <w:t>Morte</w:t>
            </w:r>
            <w:r w:rsidRPr="00A25DAF">
              <w:rPr>
                <w:sz w:val="20"/>
              </w:rPr>
              <w:t xml:space="preserve"> (</w:t>
            </w:r>
            <w:r w:rsidR="00A25DAF" w:rsidRPr="00A25DAF">
              <w:rPr>
                <w:sz w:val="20"/>
              </w:rPr>
              <w:t>incluse morte inaspettata</w:t>
            </w:r>
            <w:r w:rsidRPr="00A25DAF">
              <w:rPr>
                <w:sz w:val="20"/>
              </w:rPr>
              <w:t xml:space="preserve">, </w:t>
            </w:r>
            <w:r w:rsidR="00A25DAF" w:rsidRPr="00A25DAF">
              <w:rPr>
                <w:sz w:val="20"/>
              </w:rPr>
              <w:t>mo</w:t>
            </w:r>
            <w:r w:rsidR="00A25DAF">
              <w:rPr>
                <w:sz w:val="20"/>
              </w:rPr>
              <w:t>rte improvvisa</w:t>
            </w:r>
            <w:r w:rsidRPr="00A25DAF">
              <w:rPr>
                <w:sz w:val="20"/>
              </w:rPr>
              <w:t xml:space="preserve">, </w:t>
            </w:r>
            <w:r w:rsidR="00A25DAF">
              <w:rPr>
                <w:sz w:val="20"/>
              </w:rPr>
              <w:t>morte accidentale</w:t>
            </w:r>
            <w:r w:rsidRPr="00A25DAF">
              <w:rPr>
                <w:sz w:val="20"/>
              </w:rPr>
              <w:t>)</w:t>
            </w:r>
          </w:p>
          <w:p w:rsidR="008719A8" w:rsidRPr="00A25DAF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  <w:r w:rsidRPr="008719A8">
              <w:rPr>
                <w:sz w:val="20"/>
              </w:rPr>
              <w:t>•             Overdose</w:t>
            </w:r>
          </w:p>
          <w:p w:rsidR="008719A8" w:rsidRPr="008719A8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8719A8" w:rsidRPr="00A25DAF" w:rsidRDefault="008719A8" w:rsidP="008719A8">
            <w:pPr>
              <w:spacing w:after="0" w:line="240" w:lineRule="auto"/>
              <w:rPr>
                <w:sz w:val="20"/>
              </w:rPr>
            </w:pPr>
            <w:r w:rsidRPr="00A25DAF">
              <w:rPr>
                <w:sz w:val="20"/>
              </w:rPr>
              <w:t>•             Us</w:t>
            </w:r>
            <w:r w:rsidR="00A25DAF" w:rsidRPr="00A25DAF">
              <w:rPr>
                <w:sz w:val="20"/>
              </w:rPr>
              <w:t>o</w:t>
            </w:r>
            <w:r w:rsidRPr="00A25DAF">
              <w:rPr>
                <w:sz w:val="20"/>
              </w:rPr>
              <w:t xml:space="preserve"> in pa</w:t>
            </w:r>
            <w:r w:rsidR="002B5FD8">
              <w:rPr>
                <w:sz w:val="20"/>
              </w:rPr>
              <w:t>z</w:t>
            </w:r>
            <w:r w:rsidRPr="00A25DAF">
              <w:rPr>
                <w:sz w:val="20"/>
              </w:rPr>
              <w:t>ient</w:t>
            </w:r>
            <w:r w:rsidR="0092401D">
              <w:rPr>
                <w:sz w:val="20"/>
              </w:rPr>
              <w:t>i</w:t>
            </w:r>
            <w:r w:rsidRPr="00A25DAF">
              <w:rPr>
                <w:sz w:val="20"/>
              </w:rPr>
              <w:t xml:space="preserve"> </w:t>
            </w:r>
            <w:r w:rsidR="00A25DAF" w:rsidRPr="00A25DAF">
              <w:rPr>
                <w:sz w:val="20"/>
              </w:rPr>
              <w:t xml:space="preserve">con </w:t>
            </w:r>
            <w:proofErr w:type="spellStart"/>
            <w:r w:rsidR="00A25DAF" w:rsidRPr="00A25DAF">
              <w:rPr>
                <w:sz w:val="20"/>
              </w:rPr>
              <w:t>f</w:t>
            </w:r>
            <w:r w:rsidR="00A25DAF">
              <w:rPr>
                <w:sz w:val="20"/>
              </w:rPr>
              <w:t>eocromocitoma</w:t>
            </w:r>
            <w:proofErr w:type="spellEnd"/>
          </w:p>
          <w:p w:rsidR="008719A8" w:rsidRPr="00A25DAF" w:rsidRDefault="008719A8" w:rsidP="008719A8">
            <w:pPr>
              <w:spacing w:after="0" w:line="240" w:lineRule="auto"/>
              <w:rPr>
                <w:sz w:val="20"/>
              </w:rPr>
            </w:pPr>
          </w:p>
          <w:p w:rsidR="00265B61" w:rsidRPr="00A25DAF" w:rsidRDefault="008719A8" w:rsidP="008719A8">
            <w:pPr>
              <w:spacing w:after="0" w:line="240" w:lineRule="auto"/>
              <w:rPr>
                <w:sz w:val="20"/>
              </w:rPr>
            </w:pPr>
            <w:r w:rsidRPr="00A25DAF">
              <w:rPr>
                <w:sz w:val="20"/>
              </w:rPr>
              <w:t>•             Por</w:t>
            </w:r>
            <w:r w:rsidR="00A25DAF" w:rsidRPr="00A25DAF">
              <w:rPr>
                <w:sz w:val="20"/>
              </w:rPr>
              <w:t>f</w:t>
            </w:r>
            <w:r w:rsidR="00A25DAF">
              <w:rPr>
                <w:sz w:val="20"/>
              </w:rPr>
              <w:t>iria</w:t>
            </w:r>
          </w:p>
        </w:tc>
      </w:tr>
      <w:tr w:rsidR="00265B61" w:rsidRPr="006F0E6A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25DAF" w:rsidRPr="00A25DAF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br/>
              <w:t>•             Schizofrenia, psicosi,</w:t>
            </w:r>
            <w:r>
              <w:rPr>
                <w:rFonts w:ascii="Calibri" w:eastAsia="SimSun" w:hAnsi="Calibri" w:cs="Calibri"/>
                <w:color w:val="000000"/>
                <w:lang w:eastAsia="it-IT"/>
              </w:rPr>
              <w:t xml:space="preserve"> allu</w:t>
            </w:r>
            <w:r w:rsidR="006F0E6A">
              <w:rPr>
                <w:rFonts w:ascii="Calibri" w:eastAsia="SimSun" w:hAnsi="Calibri" w:cs="Calibri"/>
                <w:color w:val="000000"/>
                <w:lang w:eastAsia="it-IT"/>
              </w:rPr>
              <w:t>c</w:t>
            </w:r>
            <w:r>
              <w:rPr>
                <w:rFonts w:ascii="Calibri" w:eastAsia="SimSun" w:hAnsi="Calibri" w:cs="Calibri"/>
                <w:color w:val="000000"/>
                <w:lang w:eastAsia="it-IT"/>
              </w:rPr>
              <w:t>inazioni, delusioni para</w:t>
            </w:r>
            <w:r w:rsidR="006F0E6A">
              <w:rPr>
                <w:rFonts w:ascii="Calibri" w:eastAsia="SimSun" w:hAnsi="Calibri" w:cs="Calibri"/>
                <w:color w:val="000000"/>
                <w:lang w:eastAsia="it-IT"/>
              </w:rPr>
              <w:t xml:space="preserve">noiche </w:t>
            </w:r>
          </w:p>
          <w:p w:rsidR="00A25DAF" w:rsidRPr="00A25DAF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 xml:space="preserve">•             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>Ostilità</w:t>
            </w: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>/ aggression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>e</w:t>
            </w: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 xml:space="preserve"> </w:t>
            </w:r>
            <w:r w:rsidR="00CD7D1C">
              <w:rPr>
                <w:rFonts w:ascii="Calibri" w:eastAsia="SimSun" w:hAnsi="Calibri" w:cs="Calibri"/>
                <w:color w:val="000000"/>
                <w:lang w:eastAsia="it-IT"/>
              </w:rPr>
              <w:t xml:space="preserve">ed ideazioni </w:t>
            </w:r>
            <w:proofErr w:type="spellStart"/>
            <w:r w:rsidR="00CD7D1C">
              <w:rPr>
                <w:rFonts w:ascii="Calibri" w:eastAsia="SimSun" w:hAnsi="Calibri" w:cs="Calibri"/>
                <w:color w:val="000000"/>
                <w:lang w:eastAsia="it-IT"/>
              </w:rPr>
              <w:t>autolesive</w:t>
            </w:r>
            <w:proofErr w:type="spellEnd"/>
            <w:r w:rsidR="00CD7D1C">
              <w:rPr>
                <w:rFonts w:ascii="Calibri" w:eastAsia="SimSun" w:hAnsi="Calibri" w:cs="Calibri"/>
                <w:color w:val="000000"/>
                <w:lang w:eastAsia="it-IT"/>
              </w:rPr>
              <w:t xml:space="preserve"> </w:t>
            </w: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 xml:space="preserve"> in 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>bambini ed adolescenti</w:t>
            </w:r>
          </w:p>
          <w:p w:rsidR="00A25DAF" w:rsidRPr="002F000D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2F000D">
              <w:rPr>
                <w:rFonts w:ascii="Calibri" w:eastAsia="SimSun" w:hAnsi="Calibri" w:cs="Calibri"/>
                <w:color w:val="000000"/>
                <w:lang w:eastAsia="it-IT"/>
              </w:rPr>
              <w:t>•             N</w:t>
            </w:r>
            <w:r w:rsidR="006F0E6A" w:rsidRPr="002F000D">
              <w:rPr>
                <w:rFonts w:ascii="Calibri" w:eastAsia="SimSun" w:hAnsi="Calibri" w:cs="Calibri"/>
                <w:color w:val="000000"/>
                <w:lang w:eastAsia="it-IT"/>
              </w:rPr>
              <w:t>istagmo</w:t>
            </w:r>
          </w:p>
          <w:p w:rsidR="00A25DAF" w:rsidRPr="00A25DAF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>•            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 xml:space="preserve">Instabilità emodinamica </w:t>
            </w: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 xml:space="preserve"> (inclu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>so collasso</w:t>
            </w: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>)</w:t>
            </w:r>
          </w:p>
          <w:p w:rsidR="00265B61" w:rsidRPr="006F0E6A" w:rsidRDefault="00265B61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</w:tc>
      </w:tr>
      <w:tr w:rsidR="00265B61" w:rsidRPr="006F0E6A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DAF" w:rsidRPr="00A25DAF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br/>
              <w:t xml:space="preserve">•             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>Edema della tiroide</w:t>
            </w:r>
          </w:p>
          <w:p w:rsidR="00A25DAF" w:rsidRPr="00A25DAF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>•             Ence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>falopatia</w:t>
            </w:r>
          </w:p>
          <w:p w:rsidR="00A25DAF" w:rsidRPr="00A25DAF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>•             SOC “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>Distur</w:t>
            </w:r>
            <w:r w:rsidR="006F0E6A">
              <w:rPr>
                <w:rFonts w:ascii="Calibri" w:eastAsia="SimSun" w:hAnsi="Calibri" w:cs="Calibri"/>
                <w:color w:val="000000"/>
                <w:lang w:eastAsia="it-IT"/>
              </w:rPr>
              <w:t>bi congeniti, familiari e genetici</w:t>
            </w: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>”</w:t>
            </w:r>
          </w:p>
          <w:p w:rsidR="00A25DAF" w:rsidRPr="00A25DAF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 xml:space="preserve">•             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>Uso in pediatria e negli ad</w:t>
            </w:r>
            <w:r w:rsidR="006F0E6A">
              <w:rPr>
                <w:rFonts w:ascii="Calibri" w:eastAsia="SimSun" w:hAnsi="Calibri" w:cs="Calibri"/>
                <w:color w:val="000000"/>
                <w:lang w:eastAsia="it-IT"/>
              </w:rPr>
              <w:t xml:space="preserve">olescenti </w:t>
            </w:r>
          </w:p>
          <w:p w:rsidR="00A25DAF" w:rsidRPr="00A25DAF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A25DAF">
              <w:rPr>
                <w:rFonts w:ascii="Calibri" w:eastAsia="SimSun" w:hAnsi="Calibri" w:cs="Calibri"/>
                <w:color w:val="000000"/>
                <w:lang w:eastAsia="it-IT"/>
              </w:rPr>
              <w:t xml:space="preserve">•             </w:t>
            </w:r>
            <w:r w:rsidR="006F0E6A" w:rsidRPr="006F0E6A">
              <w:rPr>
                <w:rFonts w:ascii="Calibri" w:eastAsia="SimSun" w:hAnsi="Calibri" w:cs="Calibri"/>
                <w:color w:val="000000"/>
                <w:lang w:eastAsia="it-IT"/>
              </w:rPr>
              <w:t>Mancanza di efficacia ter</w:t>
            </w:r>
            <w:r w:rsidR="006F0E6A">
              <w:rPr>
                <w:rFonts w:ascii="Calibri" w:eastAsia="SimSun" w:hAnsi="Calibri" w:cs="Calibri"/>
                <w:color w:val="000000"/>
                <w:lang w:eastAsia="it-IT"/>
              </w:rPr>
              <w:t xml:space="preserve">apeutica </w:t>
            </w:r>
          </w:p>
          <w:p w:rsidR="00A25DAF" w:rsidRPr="000235D4" w:rsidRDefault="00A25DAF" w:rsidP="00A25DAF">
            <w:pPr>
              <w:shd w:val="clear" w:color="auto" w:fill="FDFCFA"/>
              <w:spacing w:after="0" w:line="240" w:lineRule="auto"/>
              <w:rPr>
                <w:rFonts w:ascii="SimSun" w:eastAsia="SimSun" w:hAnsi="SimSun" w:cs="Times New Roman"/>
                <w:color w:val="000000"/>
                <w:sz w:val="24"/>
                <w:szCs w:val="24"/>
                <w:lang w:eastAsia="it-IT"/>
              </w:rPr>
            </w:pPr>
            <w:r w:rsidRPr="000235D4">
              <w:rPr>
                <w:rFonts w:ascii="Calibri" w:eastAsia="SimSun" w:hAnsi="Calibri" w:cs="Calibri"/>
                <w:color w:val="000000"/>
                <w:lang w:eastAsia="it-IT"/>
              </w:rPr>
              <w:t xml:space="preserve">•             </w:t>
            </w:r>
            <w:r w:rsidR="006F0E6A" w:rsidRPr="000235D4">
              <w:rPr>
                <w:rFonts w:ascii="Calibri" w:eastAsia="SimSun" w:hAnsi="Calibri" w:cs="Calibri"/>
                <w:color w:val="000000"/>
                <w:lang w:eastAsia="it-IT"/>
              </w:rPr>
              <w:t>Uso o</w:t>
            </w:r>
            <w:r w:rsidRPr="000235D4">
              <w:rPr>
                <w:rFonts w:ascii="Calibri" w:eastAsia="SimSun" w:hAnsi="Calibri" w:cs="Calibri"/>
                <w:color w:val="000000"/>
                <w:lang w:eastAsia="it-IT"/>
              </w:rPr>
              <w:t xml:space="preserve">ff </w:t>
            </w:r>
            <w:proofErr w:type="spellStart"/>
            <w:r w:rsidRPr="000235D4">
              <w:rPr>
                <w:rFonts w:ascii="Calibri" w:eastAsia="SimSun" w:hAnsi="Calibri" w:cs="Calibri"/>
                <w:color w:val="000000"/>
                <w:lang w:eastAsia="it-IT"/>
              </w:rPr>
              <w:t>label</w:t>
            </w:r>
            <w:proofErr w:type="spellEnd"/>
            <w:r w:rsidRPr="000235D4">
              <w:rPr>
                <w:rFonts w:ascii="Calibri" w:eastAsia="SimSun" w:hAnsi="Calibri" w:cs="Calibri"/>
                <w:color w:val="000000"/>
                <w:lang w:eastAsia="it-IT"/>
              </w:rPr>
              <w:t xml:space="preserve"> </w:t>
            </w:r>
          </w:p>
          <w:p w:rsidR="00265B61" w:rsidRPr="000235D4" w:rsidRDefault="00265B61" w:rsidP="00BE7CDB">
            <w:pPr>
              <w:spacing w:after="0" w:line="240" w:lineRule="auto"/>
              <w:rPr>
                <w:sz w:val="20"/>
              </w:rPr>
            </w:pPr>
          </w:p>
        </w:tc>
      </w:tr>
    </w:tbl>
    <w:p w:rsidR="00265B61" w:rsidRPr="000235D4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Azioni </w:t>
      </w:r>
      <w:proofErr w:type="spellStart"/>
      <w:r w:rsidRPr="00EF6711">
        <w:t>routinarie</w:t>
      </w:r>
      <w:proofErr w:type="spellEnd"/>
      <w:r w:rsidRPr="00EF6711">
        <w:t xml:space="preserve">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proofErr w:type="spellStart"/>
      <w:r w:rsidR="006E6B77">
        <w:rPr>
          <w:rFonts w:eastAsia="Calibri" w:cs="Calibri"/>
          <w:color w:val="000000"/>
          <w:lang w:eastAsia="it-IT"/>
        </w:rPr>
        <w:t>mitriptilina</w:t>
      </w:r>
      <w:proofErr w:type="spellEnd"/>
      <w:r w:rsidR="006E6B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E6B77">
        <w:rPr>
          <w:rFonts w:eastAsia="Calibri" w:cs="Calibri"/>
          <w:color w:val="000000"/>
          <w:lang w:eastAsia="it-IT"/>
        </w:rPr>
        <w:t>Mylan</w:t>
      </w:r>
      <w:proofErr w:type="spellEnd"/>
      <w:r w:rsidR="006E6B77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proofErr w:type="spellStart"/>
      <w:r w:rsidR="006E6B77">
        <w:rPr>
          <w:rFonts w:eastAsia="Calibri" w:cs="Calibri"/>
          <w:color w:val="000000"/>
          <w:lang w:eastAsia="it-IT"/>
        </w:rPr>
        <w:t>Amitriptilina</w:t>
      </w:r>
      <w:proofErr w:type="spellEnd"/>
      <w:r w:rsidR="006E6B7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E6B77">
        <w:rPr>
          <w:rFonts w:eastAsia="Calibri" w:cs="Calibri"/>
          <w:color w:val="000000"/>
          <w:lang w:eastAsia="it-IT"/>
        </w:rPr>
        <w:t>Mylan</w:t>
      </w:r>
      <w:proofErr w:type="spellEnd"/>
      <w:r w:rsidR="006E6B77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lastRenderedPageBreak/>
        <w:t xml:space="preserve">La qualità di </w:t>
      </w:r>
      <w:proofErr w:type="spellStart"/>
      <w:r w:rsidR="006E6B77">
        <w:rPr>
          <w:rFonts w:eastAsia="Calibri" w:cs="Calibri"/>
          <w:color w:val="000000"/>
          <w:lang w:eastAsia="it-IT"/>
        </w:rPr>
        <w:t>Amitr</w:t>
      </w:r>
      <w:r w:rsidR="005D06C7">
        <w:rPr>
          <w:rFonts w:eastAsia="Calibri" w:cs="Calibri"/>
          <w:color w:val="000000"/>
          <w:lang w:eastAsia="it-IT"/>
        </w:rPr>
        <w:t>iptilina</w:t>
      </w:r>
      <w:proofErr w:type="spellEnd"/>
      <w:r w:rsidR="005D06C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D06C7">
        <w:rPr>
          <w:rFonts w:eastAsia="Calibri" w:cs="Calibri"/>
          <w:color w:val="000000"/>
          <w:lang w:eastAsia="it-IT"/>
        </w:rPr>
        <w:t>Mylan</w:t>
      </w:r>
      <w:proofErr w:type="spellEnd"/>
      <w:r w:rsidR="005D06C7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B71" w:rsidRDefault="009E3B71" w:rsidP="00760369">
      <w:pPr>
        <w:spacing w:after="0" w:line="240" w:lineRule="auto"/>
      </w:pPr>
      <w:r>
        <w:separator/>
      </w:r>
    </w:p>
  </w:endnote>
  <w:endnote w:type="continuationSeparator" w:id="0">
    <w:p w:rsidR="009E3B71" w:rsidRDefault="009E3B71" w:rsidP="0076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B71" w:rsidRDefault="009E3B71" w:rsidP="00760369">
      <w:pPr>
        <w:spacing w:after="0" w:line="240" w:lineRule="auto"/>
      </w:pPr>
      <w:r>
        <w:separator/>
      </w:r>
    </w:p>
  </w:footnote>
  <w:footnote w:type="continuationSeparator" w:id="0">
    <w:p w:rsidR="009E3B71" w:rsidRDefault="009E3B71" w:rsidP="00760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A283D"/>
    <w:multiLevelType w:val="hybridMultilevel"/>
    <w:tmpl w:val="D5164B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B4575"/>
    <w:multiLevelType w:val="hybridMultilevel"/>
    <w:tmpl w:val="CE8A0F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4743"/>
    <w:rsid w:val="00022511"/>
    <w:rsid w:val="000235D4"/>
    <w:rsid w:val="00023CEA"/>
    <w:rsid w:val="0003111A"/>
    <w:rsid w:val="00062636"/>
    <w:rsid w:val="00072454"/>
    <w:rsid w:val="000808A3"/>
    <w:rsid w:val="000A4BA1"/>
    <w:rsid w:val="000B7AC8"/>
    <w:rsid w:val="000E1F86"/>
    <w:rsid w:val="000E4494"/>
    <w:rsid w:val="000F4CB0"/>
    <w:rsid w:val="000F5569"/>
    <w:rsid w:val="000F658F"/>
    <w:rsid w:val="00111E9E"/>
    <w:rsid w:val="00114277"/>
    <w:rsid w:val="001460CA"/>
    <w:rsid w:val="00147DF4"/>
    <w:rsid w:val="0017274F"/>
    <w:rsid w:val="001871E7"/>
    <w:rsid w:val="001939EF"/>
    <w:rsid w:val="001C15DF"/>
    <w:rsid w:val="001D2100"/>
    <w:rsid w:val="00240888"/>
    <w:rsid w:val="00265B61"/>
    <w:rsid w:val="00277A0E"/>
    <w:rsid w:val="002B5FD8"/>
    <w:rsid w:val="002C5491"/>
    <w:rsid w:val="002F000D"/>
    <w:rsid w:val="002F2543"/>
    <w:rsid w:val="002F4000"/>
    <w:rsid w:val="002F620D"/>
    <w:rsid w:val="00300BEA"/>
    <w:rsid w:val="003061E0"/>
    <w:rsid w:val="003308A6"/>
    <w:rsid w:val="003328A4"/>
    <w:rsid w:val="003373D7"/>
    <w:rsid w:val="00367CE0"/>
    <w:rsid w:val="00370DDB"/>
    <w:rsid w:val="00375B23"/>
    <w:rsid w:val="0038460C"/>
    <w:rsid w:val="00390B0A"/>
    <w:rsid w:val="003A4794"/>
    <w:rsid w:val="003C28BA"/>
    <w:rsid w:val="003E2E4C"/>
    <w:rsid w:val="003F0239"/>
    <w:rsid w:val="004041BF"/>
    <w:rsid w:val="0042214D"/>
    <w:rsid w:val="00423A97"/>
    <w:rsid w:val="004241AC"/>
    <w:rsid w:val="0044199D"/>
    <w:rsid w:val="0045646F"/>
    <w:rsid w:val="004609F8"/>
    <w:rsid w:val="0049130F"/>
    <w:rsid w:val="004B20A8"/>
    <w:rsid w:val="004E5A39"/>
    <w:rsid w:val="004F1411"/>
    <w:rsid w:val="004F4C7D"/>
    <w:rsid w:val="00500ACA"/>
    <w:rsid w:val="00502173"/>
    <w:rsid w:val="005049A1"/>
    <w:rsid w:val="00504FC1"/>
    <w:rsid w:val="005177D3"/>
    <w:rsid w:val="00534CBF"/>
    <w:rsid w:val="00546721"/>
    <w:rsid w:val="0056372C"/>
    <w:rsid w:val="00567615"/>
    <w:rsid w:val="00571C18"/>
    <w:rsid w:val="005950D6"/>
    <w:rsid w:val="005D06C7"/>
    <w:rsid w:val="005E1CC3"/>
    <w:rsid w:val="005E4BEF"/>
    <w:rsid w:val="00603D62"/>
    <w:rsid w:val="00621AE2"/>
    <w:rsid w:val="00642D6A"/>
    <w:rsid w:val="0064646C"/>
    <w:rsid w:val="00654D9E"/>
    <w:rsid w:val="00664931"/>
    <w:rsid w:val="006727BD"/>
    <w:rsid w:val="0067582F"/>
    <w:rsid w:val="00690455"/>
    <w:rsid w:val="00691E7C"/>
    <w:rsid w:val="006B311C"/>
    <w:rsid w:val="006B3E12"/>
    <w:rsid w:val="006D3195"/>
    <w:rsid w:val="006D7B8C"/>
    <w:rsid w:val="006E6B77"/>
    <w:rsid w:val="006F0E6A"/>
    <w:rsid w:val="00701508"/>
    <w:rsid w:val="00716DF5"/>
    <w:rsid w:val="007170D7"/>
    <w:rsid w:val="007221B6"/>
    <w:rsid w:val="00760369"/>
    <w:rsid w:val="00766E26"/>
    <w:rsid w:val="00797416"/>
    <w:rsid w:val="007A1CAE"/>
    <w:rsid w:val="007A2215"/>
    <w:rsid w:val="007D4400"/>
    <w:rsid w:val="007F7B85"/>
    <w:rsid w:val="00810375"/>
    <w:rsid w:val="00823F4C"/>
    <w:rsid w:val="008547B3"/>
    <w:rsid w:val="008558B0"/>
    <w:rsid w:val="00871213"/>
    <w:rsid w:val="008719A8"/>
    <w:rsid w:val="008819D4"/>
    <w:rsid w:val="0088216F"/>
    <w:rsid w:val="008A6FEC"/>
    <w:rsid w:val="008B5B97"/>
    <w:rsid w:val="008B60D7"/>
    <w:rsid w:val="008C3D30"/>
    <w:rsid w:val="008D1529"/>
    <w:rsid w:val="00904209"/>
    <w:rsid w:val="00922C1A"/>
    <w:rsid w:val="0092401D"/>
    <w:rsid w:val="009274C1"/>
    <w:rsid w:val="009330EF"/>
    <w:rsid w:val="00943785"/>
    <w:rsid w:val="00957832"/>
    <w:rsid w:val="009672F5"/>
    <w:rsid w:val="009A23DE"/>
    <w:rsid w:val="009A260F"/>
    <w:rsid w:val="009B03DB"/>
    <w:rsid w:val="009C7B2D"/>
    <w:rsid w:val="009D3446"/>
    <w:rsid w:val="009D3FB3"/>
    <w:rsid w:val="009D614D"/>
    <w:rsid w:val="009E0140"/>
    <w:rsid w:val="009E2BC0"/>
    <w:rsid w:val="009E3B71"/>
    <w:rsid w:val="009F3867"/>
    <w:rsid w:val="00A01AB1"/>
    <w:rsid w:val="00A12355"/>
    <w:rsid w:val="00A125D8"/>
    <w:rsid w:val="00A25DAF"/>
    <w:rsid w:val="00A32BB4"/>
    <w:rsid w:val="00A40FF3"/>
    <w:rsid w:val="00A55710"/>
    <w:rsid w:val="00A62D55"/>
    <w:rsid w:val="00A81469"/>
    <w:rsid w:val="00A8542F"/>
    <w:rsid w:val="00A908B9"/>
    <w:rsid w:val="00A966D1"/>
    <w:rsid w:val="00AA6AFE"/>
    <w:rsid w:val="00AA71F5"/>
    <w:rsid w:val="00AA77B0"/>
    <w:rsid w:val="00AB5624"/>
    <w:rsid w:val="00AD6B23"/>
    <w:rsid w:val="00AD78E4"/>
    <w:rsid w:val="00B023E9"/>
    <w:rsid w:val="00B06280"/>
    <w:rsid w:val="00B1186F"/>
    <w:rsid w:val="00B30431"/>
    <w:rsid w:val="00B65DFB"/>
    <w:rsid w:val="00BA0ACD"/>
    <w:rsid w:val="00BB2AF8"/>
    <w:rsid w:val="00BB7B54"/>
    <w:rsid w:val="00BC27A1"/>
    <w:rsid w:val="00BC74C2"/>
    <w:rsid w:val="00BE7CDB"/>
    <w:rsid w:val="00BF55B9"/>
    <w:rsid w:val="00BF7A42"/>
    <w:rsid w:val="00C2565A"/>
    <w:rsid w:val="00C34DE1"/>
    <w:rsid w:val="00C37D15"/>
    <w:rsid w:val="00C42AAC"/>
    <w:rsid w:val="00C468F8"/>
    <w:rsid w:val="00C66597"/>
    <w:rsid w:val="00C9552C"/>
    <w:rsid w:val="00CC3E8C"/>
    <w:rsid w:val="00CC52A3"/>
    <w:rsid w:val="00CC7AFF"/>
    <w:rsid w:val="00CD7928"/>
    <w:rsid w:val="00CD7D1C"/>
    <w:rsid w:val="00CE62A1"/>
    <w:rsid w:val="00CF7A9B"/>
    <w:rsid w:val="00D20170"/>
    <w:rsid w:val="00D212AA"/>
    <w:rsid w:val="00D60600"/>
    <w:rsid w:val="00D71528"/>
    <w:rsid w:val="00D906F5"/>
    <w:rsid w:val="00DB359A"/>
    <w:rsid w:val="00DB6CB6"/>
    <w:rsid w:val="00DE13F8"/>
    <w:rsid w:val="00DE6FCB"/>
    <w:rsid w:val="00DF0DC9"/>
    <w:rsid w:val="00E10D6C"/>
    <w:rsid w:val="00E24B56"/>
    <w:rsid w:val="00E43089"/>
    <w:rsid w:val="00E82048"/>
    <w:rsid w:val="00E83F8D"/>
    <w:rsid w:val="00E93C0A"/>
    <w:rsid w:val="00EC3589"/>
    <w:rsid w:val="00ED71EA"/>
    <w:rsid w:val="00EF062E"/>
    <w:rsid w:val="00EF6711"/>
    <w:rsid w:val="00F02BA9"/>
    <w:rsid w:val="00F0790D"/>
    <w:rsid w:val="00F102B2"/>
    <w:rsid w:val="00F10CE0"/>
    <w:rsid w:val="00F3134B"/>
    <w:rsid w:val="00F513A6"/>
    <w:rsid w:val="00F66767"/>
    <w:rsid w:val="00F858AE"/>
    <w:rsid w:val="00F85989"/>
    <w:rsid w:val="00F96473"/>
    <w:rsid w:val="00FA2702"/>
    <w:rsid w:val="00FA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603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60369"/>
  </w:style>
  <w:style w:type="paragraph" w:styleId="Pidipagina">
    <w:name w:val="footer"/>
    <w:basedOn w:val="Normale"/>
    <w:link w:val="PidipaginaCarattere"/>
    <w:uiPriority w:val="99"/>
    <w:semiHidden/>
    <w:unhideWhenUsed/>
    <w:rsid w:val="007603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60369"/>
  </w:style>
  <w:style w:type="paragraph" w:styleId="Corpodeltesto">
    <w:name w:val="Body Text"/>
    <w:basedOn w:val="Normale"/>
    <w:link w:val="CorpodeltestoCarattere"/>
    <w:uiPriority w:val="1"/>
    <w:qFormat/>
    <w:rsid w:val="00922C1A"/>
    <w:pPr>
      <w:widowControl w:val="0"/>
      <w:autoSpaceDE w:val="0"/>
      <w:autoSpaceDN w:val="0"/>
      <w:spacing w:after="0" w:line="240" w:lineRule="auto"/>
      <w:ind w:left="400"/>
    </w:pPr>
    <w:rPr>
      <w:rFonts w:ascii="Times New Roman" w:eastAsia="Times New Roman" w:hAnsi="Times New Roman" w:cs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922C1A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</cp:revision>
  <dcterms:created xsi:type="dcterms:W3CDTF">2020-12-14T14:26:00Z</dcterms:created>
  <dcterms:modified xsi:type="dcterms:W3CDTF">2020-12-14T14:26:00Z</dcterms:modified>
</cp:coreProperties>
</file>