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145BC4" w:rsidP="004241AC">
      <w:pPr>
        <w:spacing w:after="0" w:line="240" w:lineRule="auto"/>
        <w:jc w:val="center"/>
        <w:rPr>
          <w:lang w:val="en-US"/>
        </w:rPr>
      </w:pPr>
      <w:r w:rsidRPr="00145BC4">
        <w:rPr>
          <w:noProof/>
          <w:lang w:eastAsia="it-IT"/>
        </w:rPr>
        <w:drawing>
          <wp:inline distT="0" distB="0" distL="0" distR="0">
            <wp:extent cx="1977390" cy="733425"/>
            <wp:effectExtent l="19050" t="0" r="3810" b="0"/>
            <wp:docPr id="2" name="Immagine 1" descr="AIFA18_Def_5,5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IFA18_Def_5,5c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F7A42" w:rsidRDefault="00850A61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ESOMEPRAZOLO MYLAN GENERICS</w:t>
      </w:r>
    </w:p>
    <w:p w:rsidR="004609F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</w:t>
      </w:r>
      <w:r w:rsidR="000448F0">
        <w:rPr>
          <w:snapToGrid w:val="0"/>
        </w:rPr>
        <w:t>[</w:t>
      </w:r>
      <w:proofErr w:type="spellStart"/>
      <w:r w:rsidR="00850A61">
        <w:rPr>
          <w:snapToGrid w:val="0"/>
        </w:rPr>
        <w:t>Esomeprazolo</w:t>
      </w:r>
      <w:proofErr w:type="spellEnd"/>
      <w:r w:rsidR="001C2283">
        <w:rPr>
          <w:snapToGrid w:val="0"/>
        </w:rPr>
        <w:t xml:space="preserve"> magnesio</w:t>
      </w:r>
      <w:r w:rsidR="000448F0">
        <w:rPr>
          <w:snapToGrid w:val="0"/>
        </w:rPr>
        <w:t xml:space="preserve"> (amorfo</w:t>
      </w:r>
      <w:r w:rsidR="001E1A9E">
        <w:rPr>
          <w:snapToGrid w:val="0"/>
        </w:rPr>
        <w:t>)</w:t>
      </w:r>
      <w:r w:rsidR="000448F0">
        <w:rPr>
          <w:snapToGrid w:val="0"/>
        </w:rPr>
        <w:t>]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97416" w:rsidRDefault="008D57FB" w:rsidP="004241AC">
      <w:pPr>
        <w:spacing w:after="0" w:line="240" w:lineRule="auto"/>
        <w:jc w:val="center"/>
        <w:rPr>
          <w:b/>
        </w:rPr>
      </w:pPr>
      <w:proofErr w:type="spellStart"/>
      <w:r>
        <w:rPr>
          <w:b/>
        </w:rPr>
        <w:t>Mylan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S.P.A.</w:t>
      </w:r>
      <w:proofErr w:type="spellEnd"/>
    </w:p>
    <w:p w:rsidR="00EC3589" w:rsidRDefault="00BF7A42" w:rsidP="004241AC">
      <w:pPr>
        <w:spacing w:after="0" w:line="240" w:lineRule="auto"/>
        <w:jc w:val="center"/>
        <w:rPr>
          <w:b/>
        </w:rPr>
      </w:pPr>
      <w:r w:rsidRPr="00BF7A42">
        <w:rPr>
          <w:b/>
        </w:rPr>
        <w:t xml:space="preserve"> </w:t>
      </w:r>
    </w:p>
    <w:p w:rsidR="004609F8" w:rsidRDefault="004609F8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850A61" w:rsidRPr="00850A61">
        <w:rPr>
          <w:rFonts w:cs="Helvetica"/>
          <w:b/>
        </w:rPr>
        <w:t>046185</w:t>
      </w:r>
    </w:p>
    <w:p w:rsidR="00797416" w:rsidRPr="00062636" w:rsidRDefault="00797416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E273B5">
        <w:rPr>
          <w:rFonts w:eastAsia="Calibri" w:cs="Calibri"/>
          <w:color w:val="000000"/>
          <w:lang w:eastAsia="it-IT"/>
        </w:rPr>
        <w:t>Esomeprazolo</w:t>
      </w:r>
      <w:proofErr w:type="spellEnd"/>
      <w:r w:rsidR="00E273B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273B5">
        <w:rPr>
          <w:rFonts w:eastAsia="Calibri" w:cs="Calibri"/>
          <w:color w:val="000000"/>
          <w:lang w:eastAsia="it-IT"/>
        </w:rPr>
        <w:t>Mylan</w:t>
      </w:r>
      <w:proofErr w:type="spellEnd"/>
      <w:r w:rsidR="00E273B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273B5">
        <w:rPr>
          <w:rFonts w:eastAsia="Calibri" w:cs="Calibri"/>
          <w:color w:val="000000"/>
          <w:lang w:eastAsia="it-IT"/>
        </w:rPr>
        <w:t>Generics</w:t>
      </w:r>
      <w:proofErr w:type="spellEnd"/>
      <w:r w:rsidR="00E273B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330196">
        <w:rPr>
          <w:rFonts w:eastAsia="Calibri" w:cs="Calibri"/>
          <w:color w:val="000000"/>
          <w:lang w:eastAsia="it-IT"/>
        </w:rPr>
        <w:t>Esomeprazolo</w:t>
      </w:r>
      <w:proofErr w:type="spellEnd"/>
      <w:r w:rsidR="0033019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30196">
        <w:rPr>
          <w:rFonts w:eastAsia="Calibri" w:cs="Calibri"/>
          <w:color w:val="000000"/>
          <w:lang w:eastAsia="it-IT"/>
        </w:rPr>
        <w:t>Mylan</w:t>
      </w:r>
      <w:proofErr w:type="spellEnd"/>
      <w:r w:rsidR="0033019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30196">
        <w:rPr>
          <w:rFonts w:eastAsia="Calibri" w:cs="Calibri"/>
          <w:color w:val="000000"/>
          <w:lang w:eastAsia="it-IT"/>
        </w:rPr>
        <w:t>Generics</w:t>
      </w:r>
      <w:proofErr w:type="spellEnd"/>
      <w:r w:rsidRPr="009F1B70">
        <w:rPr>
          <w:rFonts w:eastAsia="Calibri" w:cs="Calibri"/>
          <w:color w:val="000000"/>
          <w:lang w:eastAsia="it-IT"/>
        </w:rPr>
        <w:t xml:space="preserve"> è stato valutato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330196">
        <w:rPr>
          <w:rFonts w:eastAsia="Calibri" w:cs="Calibri"/>
          <w:color w:val="000000"/>
          <w:lang w:eastAsia="it-IT"/>
        </w:rPr>
        <w:t>Esomeprazolo</w:t>
      </w:r>
      <w:proofErr w:type="spellEnd"/>
      <w:r w:rsidR="0033019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30196">
        <w:rPr>
          <w:rFonts w:eastAsia="Calibri" w:cs="Calibri"/>
          <w:color w:val="000000"/>
          <w:lang w:eastAsia="it-IT"/>
        </w:rPr>
        <w:t>Mylan</w:t>
      </w:r>
      <w:proofErr w:type="spellEnd"/>
      <w:r w:rsidR="0033019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30196">
        <w:rPr>
          <w:rFonts w:eastAsia="Calibri" w:cs="Calibri"/>
          <w:color w:val="000000"/>
          <w:lang w:eastAsia="it-IT"/>
        </w:rPr>
        <w:t>Generics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330196">
        <w:rPr>
          <w:rFonts w:eastAsia="Calibri" w:cs="Calibri"/>
          <w:color w:val="000000"/>
          <w:lang w:eastAsia="it-IT"/>
        </w:rPr>
        <w:t>Esomeprazolo</w:t>
      </w:r>
      <w:proofErr w:type="spellEnd"/>
      <w:r w:rsidR="0033019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30196">
        <w:rPr>
          <w:rFonts w:eastAsia="Calibri" w:cs="Calibri"/>
          <w:color w:val="000000"/>
          <w:lang w:eastAsia="it-IT"/>
        </w:rPr>
        <w:t>Mylan</w:t>
      </w:r>
      <w:proofErr w:type="spellEnd"/>
      <w:r w:rsidR="0033019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30196">
        <w:rPr>
          <w:rFonts w:eastAsia="Calibri" w:cs="Calibri"/>
          <w:color w:val="000000"/>
          <w:lang w:eastAsia="it-IT"/>
        </w:rPr>
        <w:t>Generics</w:t>
      </w:r>
      <w:proofErr w:type="spellEnd"/>
      <w:r w:rsidR="00330196" w:rsidRPr="00BD5925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3836C8" w:rsidRPr="003836C8">
        <w:rPr>
          <w:rFonts w:eastAsia="Calibri" w:cs="Calibri"/>
          <w:b/>
          <w:color w:val="000000"/>
          <w:lang w:eastAsia="it-IT"/>
        </w:rPr>
        <w:t>ESOMEPRAZOLO MYLAN GENERICS</w:t>
      </w:r>
      <w:r w:rsidR="003836C8" w:rsidRPr="00797416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BB2AF8" w:rsidRDefault="00A75D23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Esomeprazolo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Mylan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Generics</w:t>
      </w:r>
      <w:proofErr w:type="spellEnd"/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 w:rsidRPr="000E0632">
        <w:rPr>
          <w:rFonts w:eastAsia="Calibri" w:cs="Calibri"/>
          <w:color w:val="000000"/>
          <w:lang w:eastAsia="it-IT"/>
        </w:rPr>
        <w:t>è un medicinale contenente i</w:t>
      </w:r>
      <w:r w:rsidR="00BB2AF8">
        <w:rPr>
          <w:rFonts w:eastAsia="Calibri" w:cs="Calibri"/>
          <w:color w:val="000000"/>
          <w:lang w:eastAsia="it-IT"/>
        </w:rPr>
        <w:t>l</w:t>
      </w:r>
      <w:r w:rsidR="00BB2AF8" w:rsidRPr="000E0632">
        <w:rPr>
          <w:rFonts w:eastAsia="Calibri" w:cs="Calibri"/>
          <w:color w:val="000000"/>
          <w:lang w:eastAsia="it-IT"/>
        </w:rPr>
        <w:t xml:space="preserve"> principi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attiv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esomeprazolo</w:t>
      </w:r>
      <w:proofErr w:type="spellEnd"/>
      <w:r>
        <w:rPr>
          <w:rFonts w:eastAsia="Calibri" w:cs="Calibri"/>
          <w:color w:val="000000"/>
          <w:lang w:eastAsia="it-IT"/>
        </w:rPr>
        <w:t xml:space="preserve"> magnesio </w:t>
      </w:r>
      <w:r w:rsidR="005437F5">
        <w:rPr>
          <w:rFonts w:eastAsia="Calibri" w:cs="Calibri"/>
          <w:color w:val="000000"/>
          <w:lang w:eastAsia="it-IT"/>
        </w:rPr>
        <w:t xml:space="preserve">(amorfo) </w:t>
      </w:r>
      <w:r w:rsidR="00BB2AF8">
        <w:rPr>
          <w:rFonts w:eastAsia="Calibri" w:cs="Calibri"/>
          <w:color w:val="000000"/>
          <w:lang w:eastAsia="it-IT"/>
        </w:rPr>
        <w:t xml:space="preserve">ed </w:t>
      </w:r>
      <w:r w:rsidR="00797416">
        <w:rPr>
          <w:rFonts w:eastAsia="Calibri" w:cs="Calibri"/>
          <w:color w:val="000000"/>
          <w:lang w:eastAsia="it-IT"/>
        </w:rPr>
        <w:t>è disponibile come</w:t>
      </w:r>
      <w:r>
        <w:rPr>
          <w:rFonts w:eastAsia="Calibri" w:cs="Calibri"/>
          <w:color w:val="000000"/>
          <w:lang w:eastAsia="it-IT"/>
        </w:rPr>
        <w:t xml:space="preserve"> c</w:t>
      </w:r>
      <w:r w:rsidR="00797416">
        <w:rPr>
          <w:rFonts w:eastAsia="Calibri" w:cs="Calibri"/>
          <w:color w:val="000000"/>
          <w:lang w:eastAsia="it-IT"/>
        </w:rPr>
        <w:t>ompresse</w:t>
      </w:r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gastroresistenti</w:t>
      </w:r>
      <w:proofErr w:type="spellEnd"/>
      <w:r w:rsidR="00BB2AF8">
        <w:rPr>
          <w:rFonts w:eastAsia="Calibri" w:cs="Calibri"/>
          <w:color w:val="000000"/>
          <w:lang w:eastAsia="it-IT"/>
        </w:rPr>
        <w:t xml:space="preserve"> contenent</w:t>
      </w:r>
      <w:r w:rsidR="00797416">
        <w:rPr>
          <w:rFonts w:eastAsia="Calibri" w:cs="Calibri"/>
          <w:color w:val="000000"/>
          <w:lang w:eastAsia="it-IT"/>
        </w:rPr>
        <w:t>i</w:t>
      </w:r>
      <w:r w:rsidR="00BB2AF8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20</w:t>
      </w:r>
      <w:r w:rsidR="00797416">
        <w:rPr>
          <w:rFonts w:eastAsia="Calibri" w:cs="Calibri"/>
          <w:color w:val="000000"/>
          <w:lang w:eastAsia="it-IT"/>
        </w:rPr>
        <w:t xml:space="preserve"> mg e </w:t>
      </w:r>
      <w:r>
        <w:rPr>
          <w:rFonts w:eastAsia="Calibri" w:cs="Calibri"/>
          <w:color w:val="000000"/>
          <w:lang w:eastAsia="it-IT"/>
        </w:rPr>
        <w:t>40</w:t>
      </w:r>
      <w:r w:rsidR="00797416">
        <w:rPr>
          <w:rFonts w:eastAsia="Calibri" w:cs="Calibri"/>
          <w:color w:val="000000"/>
          <w:lang w:eastAsia="it-IT"/>
        </w:rPr>
        <w:t xml:space="preserve"> mg di</w:t>
      </w:r>
      <w:r w:rsidR="00BB2AF8">
        <w:rPr>
          <w:rFonts w:eastAsia="Calibri" w:cs="Calibri"/>
          <w:color w:val="000000"/>
          <w:lang w:eastAsia="it-IT"/>
        </w:rPr>
        <w:t xml:space="preserve"> principio attivo</w:t>
      </w:r>
      <w:r w:rsidR="00BB2AF8" w:rsidRPr="000E0632">
        <w:rPr>
          <w:rFonts w:eastAsia="Calibri" w:cs="Calibri"/>
          <w:color w:val="000000"/>
          <w:lang w:eastAsia="it-IT"/>
        </w:rPr>
        <w:t>.</w:t>
      </w:r>
    </w:p>
    <w:p w:rsidR="00300BEA" w:rsidRDefault="00300BEA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75D23" w:rsidRPr="000E0632" w:rsidRDefault="00A75D23" w:rsidP="00A75D2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Esomeprazolo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Mylan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Generics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="00BB2AF8" w:rsidRPr="00E83F8D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proofErr w:type="spellStart"/>
      <w:r>
        <w:rPr>
          <w:rFonts w:eastAsia="Calibri" w:cs="Calibri"/>
          <w:color w:val="000000"/>
          <w:lang w:eastAsia="it-IT"/>
        </w:rPr>
        <w:t>Nexium</w:t>
      </w:r>
      <w:proofErr w:type="spellEnd"/>
      <w:r w:rsidR="00797416">
        <w:rPr>
          <w:rFonts w:eastAsia="Calibri" w:cs="Calibri"/>
          <w:color w:val="000000"/>
          <w:lang w:eastAsia="it-IT"/>
        </w:rPr>
        <w:t>, già autorizzato in Italia</w:t>
      </w:r>
      <w:r>
        <w:rPr>
          <w:rFonts w:eastAsia="Calibri" w:cs="Calibri"/>
          <w:color w:val="000000"/>
          <w:lang w:eastAsia="it-IT"/>
        </w:rPr>
        <w:t xml:space="preserve"> con una procedura di mutuo riconoscimento con la Svezia come stato di riferimento (</w:t>
      </w:r>
      <w:hyperlink r:id="rId6" w:history="1">
        <w:r w:rsidRPr="006D3B30">
          <w:rPr>
            <w:rStyle w:val="Collegamentoipertestuale"/>
            <w:rFonts w:eastAsia="Calibri" w:cs="Calibri"/>
            <w:lang w:eastAsia="it-IT"/>
          </w:rPr>
          <w:t>http://www.lakemedelsverket.se/</w:t>
        </w:r>
      </w:hyperlink>
      <w:r>
        <w:rPr>
          <w:rFonts w:eastAsia="Calibri" w:cs="Calibri"/>
          <w:color w:val="000000"/>
          <w:lang w:eastAsia="it-IT"/>
        </w:rPr>
        <w:t xml:space="preserve">). </w:t>
      </w:r>
      <w:r w:rsidRPr="00D2683B">
        <w:rPr>
          <w:rFonts w:eastAsia="Calibri" w:cs="Calibri"/>
          <w:color w:val="000000"/>
          <w:lang w:eastAsia="it-IT"/>
        </w:rPr>
        <w:t>Sul sito dell’Agenzia Italiana del Farmaco (AIFA) (</w:t>
      </w:r>
      <w:hyperlink r:id="rId7" w:history="1">
        <w:r w:rsidRPr="00D2683B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D2683B">
        <w:rPr>
          <w:rFonts w:eastAsia="Calibri" w:cs="Calibri"/>
          <w:lang w:eastAsia="it-IT"/>
        </w:rPr>
        <w:t>)</w:t>
      </w:r>
      <w:r>
        <w:rPr>
          <w:rFonts w:eastAsia="Calibri" w:cs="Calibri"/>
          <w:lang w:eastAsia="it-IT"/>
        </w:rPr>
        <w:t xml:space="preserve"> </w:t>
      </w:r>
      <w:r w:rsidRPr="00D2683B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>
        <w:rPr>
          <w:rFonts w:eastAsia="Calibri" w:cs="Calibri"/>
          <w:color w:val="000000"/>
          <w:lang w:eastAsia="it-IT"/>
        </w:rPr>
        <w:t>Nexium</w:t>
      </w:r>
      <w:proofErr w:type="spellEnd"/>
      <w:r>
        <w:rPr>
          <w:rFonts w:eastAsia="Calibri" w:cs="Calibri"/>
          <w:color w:val="000000"/>
          <w:lang w:eastAsia="it-IT"/>
        </w:rPr>
        <w:t>.</w:t>
      </w:r>
    </w:p>
    <w:p w:rsidR="006B311C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Default="00301CEF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Esomeprazolo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Mylan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Generics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="00BB2AF8" w:rsidRPr="00051F8C">
        <w:rPr>
          <w:rFonts w:eastAsia="Calibri" w:cs="Calibri"/>
          <w:lang w:eastAsia="it-IT"/>
        </w:rPr>
        <w:t>si usa</w:t>
      </w:r>
      <w:r>
        <w:rPr>
          <w:rFonts w:eastAsia="Calibri" w:cs="Calibri"/>
          <w:lang w:eastAsia="it-IT"/>
        </w:rPr>
        <w:t xml:space="preserve"> per il trattamento delle seguenti condizioni:</w:t>
      </w:r>
    </w:p>
    <w:p w:rsidR="00301CEF" w:rsidRPr="00301CEF" w:rsidRDefault="00301CEF" w:rsidP="00301CE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301CEF">
        <w:rPr>
          <w:rFonts w:eastAsia="Calibri" w:cs="Calibri"/>
          <w:b/>
          <w:lang w:eastAsia="it-IT"/>
        </w:rPr>
        <w:t>Adulti</w:t>
      </w:r>
    </w:p>
    <w:p w:rsidR="00301CEF" w:rsidRPr="00301CEF" w:rsidRDefault="00301CEF" w:rsidP="00301CE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01CEF">
        <w:rPr>
          <w:rFonts w:eastAsia="Calibri" w:cs="Calibri"/>
          <w:lang w:eastAsia="it-IT"/>
        </w:rPr>
        <w:t xml:space="preserve">“Malattia da reflusso </w:t>
      </w:r>
      <w:proofErr w:type="spellStart"/>
      <w:r w:rsidRPr="00301CEF">
        <w:rPr>
          <w:rFonts w:eastAsia="Calibri" w:cs="Calibri"/>
          <w:lang w:eastAsia="it-IT"/>
        </w:rPr>
        <w:t>gastroesofageo</w:t>
      </w:r>
      <w:proofErr w:type="spellEnd"/>
      <w:r w:rsidRPr="00301CEF">
        <w:rPr>
          <w:rFonts w:eastAsia="Calibri" w:cs="Calibri"/>
          <w:lang w:eastAsia="it-IT"/>
        </w:rPr>
        <w:t>” (MRGE). Si tratta di una malattia nella quale l'acido prodotto dallo stomaco sale nell'esofago (il tubo che collega la gola allo stomaco), provocando dolore, infiammazione e bruciore.</w:t>
      </w:r>
    </w:p>
    <w:p w:rsidR="00301CEF" w:rsidRPr="00301CEF" w:rsidRDefault="00301CEF" w:rsidP="00301CE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01CEF">
        <w:rPr>
          <w:rFonts w:eastAsia="Calibri" w:cs="Calibri"/>
          <w:lang w:eastAsia="it-IT"/>
        </w:rPr>
        <w:t>Ulcere nello stomaco o nella parte superiore dell'intestino, che vengono infettate da batteri chiamati “</w:t>
      </w:r>
      <w:proofErr w:type="spellStart"/>
      <w:r w:rsidRPr="00301CEF">
        <w:rPr>
          <w:rFonts w:eastAsia="Calibri" w:cs="Calibri"/>
          <w:i/>
          <w:iCs/>
          <w:lang w:eastAsia="it-IT"/>
        </w:rPr>
        <w:t>Helicobacter</w:t>
      </w:r>
      <w:proofErr w:type="spellEnd"/>
      <w:r w:rsidRPr="00301CEF">
        <w:rPr>
          <w:rFonts w:eastAsia="Calibri" w:cs="Calibri"/>
          <w:i/>
          <w:iCs/>
          <w:lang w:eastAsia="it-IT"/>
        </w:rPr>
        <w:t xml:space="preserve"> </w:t>
      </w:r>
      <w:proofErr w:type="spellStart"/>
      <w:r w:rsidRPr="00301CEF">
        <w:rPr>
          <w:rFonts w:eastAsia="Calibri" w:cs="Calibri"/>
          <w:i/>
          <w:iCs/>
          <w:lang w:eastAsia="it-IT"/>
        </w:rPr>
        <w:t>pylori</w:t>
      </w:r>
      <w:proofErr w:type="spellEnd"/>
      <w:r w:rsidRPr="00301CEF">
        <w:rPr>
          <w:rFonts w:eastAsia="Calibri" w:cs="Calibri"/>
          <w:i/>
          <w:iCs/>
          <w:lang w:eastAsia="it-IT"/>
        </w:rPr>
        <w:t xml:space="preserve">”. </w:t>
      </w:r>
      <w:r w:rsidRPr="00301CEF">
        <w:rPr>
          <w:rFonts w:eastAsia="Calibri" w:cs="Calibri"/>
          <w:lang w:eastAsia="it-IT"/>
        </w:rPr>
        <w:t>Se soffre di questa condizione, il medico potrà prescriverle anche antibiotici per trattare l'infezione e permettere la guarigione dell'ulcera.</w:t>
      </w:r>
    </w:p>
    <w:p w:rsidR="00301CEF" w:rsidRPr="00301CEF" w:rsidRDefault="00301CEF" w:rsidP="00301CE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01CEF">
        <w:rPr>
          <w:rFonts w:eastAsia="Calibri" w:cs="Calibri"/>
          <w:lang w:eastAsia="it-IT"/>
        </w:rPr>
        <w:t xml:space="preserve">Ulcere dello stomaco causate da medicinali chiamati FANS (Farmaci Antinfiammatori Non Steroidei). </w:t>
      </w:r>
      <w:proofErr w:type="spellStart"/>
      <w:r w:rsidRPr="00301CEF">
        <w:rPr>
          <w:rFonts w:eastAsia="Calibri" w:cs="Calibri"/>
          <w:lang w:eastAsia="it-IT"/>
        </w:rPr>
        <w:t>Esomeprazolo</w:t>
      </w:r>
      <w:proofErr w:type="spellEnd"/>
      <w:r w:rsidRPr="00301CEF">
        <w:rPr>
          <w:rFonts w:eastAsia="Calibri" w:cs="Calibri"/>
          <w:lang w:eastAsia="it-IT"/>
        </w:rPr>
        <w:t xml:space="preserve"> </w:t>
      </w:r>
      <w:proofErr w:type="spellStart"/>
      <w:r w:rsidRPr="00301CEF">
        <w:rPr>
          <w:rFonts w:eastAsia="Calibri" w:cs="Calibri"/>
          <w:lang w:eastAsia="it-IT"/>
        </w:rPr>
        <w:t>Mylan</w:t>
      </w:r>
      <w:proofErr w:type="spellEnd"/>
      <w:r w:rsidRPr="00301CEF">
        <w:rPr>
          <w:rFonts w:eastAsia="Calibri" w:cs="Calibri"/>
          <w:lang w:eastAsia="it-IT"/>
        </w:rPr>
        <w:t xml:space="preserve"> </w:t>
      </w:r>
      <w:proofErr w:type="spellStart"/>
      <w:r w:rsidRPr="00301CEF">
        <w:rPr>
          <w:rFonts w:eastAsia="Calibri" w:cs="Calibri"/>
          <w:lang w:eastAsia="it-IT"/>
        </w:rPr>
        <w:t>Generics</w:t>
      </w:r>
      <w:proofErr w:type="spellEnd"/>
      <w:r w:rsidRPr="00301CEF">
        <w:rPr>
          <w:rFonts w:eastAsia="Calibri" w:cs="Calibri"/>
          <w:lang w:eastAsia="it-IT"/>
        </w:rPr>
        <w:t xml:space="preserve"> può essere usato anche per arrestare la formazione di ulcere dello stomaco o nella parte superiore dell'intestino se sta assumendo FANS.</w:t>
      </w:r>
    </w:p>
    <w:p w:rsidR="00301CEF" w:rsidRPr="00301CEF" w:rsidRDefault="00301CEF" w:rsidP="00301CE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01CEF">
        <w:rPr>
          <w:rFonts w:eastAsia="Calibri" w:cs="Calibri"/>
          <w:lang w:eastAsia="it-IT"/>
        </w:rPr>
        <w:t xml:space="preserve">Acido in eccesso nello stomaco, causato da una crescita nel pancreas (sindrome di </w:t>
      </w:r>
      <w:proofErr w:type="spellStart"/>
      <w:r w:rsidRPr="00301CEF">
        <w:rPr>
          <w:rFonts w:eastAsia="Calibri" w:cs="Calibri"/>
          <w:lang w:eastAsia="it-IT"/>
        </w:rPr>
        <w:t>Zollinger</w:t>
      </w:r>
      <w:r w:rsidRPr="00301CEF">
        <w:rPr>
          <w:rFonts w:eastAsia="Calibri" w:cs="Calibri"/>
          <w:lang w:eastAsia="it-IT"/>
        </w:rPr>
        <w:noBreakHyphen/>
        <w:t>Ellison</w:t>
      </w:r>
      <w:proofErr w:type="spellEnd"/>
      <w:r w:rsidRPr="00301CEF">
        <w:rPr>
          <w:rFonts w:eastAsia="Calibri" w:cs="Calibri"/>
          <w:lang w:eastAsia="it-IT"/>
        </w:rPr>
        <w:t>).</w:t>
      </w:r>
    </w:p>
    <w:p w:rsidR="00301CEF" w:rsidRPr="00301CEF" w:rsidRDefault="00301CEF" w:rsidP="00301CE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01CEF">
        <w:rPr>
          <w:rFonts w:eastAsia="Calibri" w:cs="Calibri"/>
          <w:lang w:eastAsia="it-IT"/>
        </w:rPr>
        <w:lastRenderedPageBreak/>
        <w:t xml:space="preserve">Trattamento prolungato dopo prevenzione del </w:t>
      </w:r>
      <w:proofErr w:type="spellStart"/>
      <w:r w:rsidRPr="00301CEF">
        <w:rPr>
          <w:rFonts w:eastAsia="Calibri" w:cs="Calibri"/>
          <w:lang w:eastAsia="it-IT"/>
        </w:rPr>
        <w:t>ri-sanguinamento</w:t>
      </w:r>
      <w:proofErr w:type="spellEnd"/>
      <w:r w:rsidRPr="00301CEF">
        <w:rPr>
          <w:rFonts w:eastAsia="Calibri" w:cs="Calibri"/>
          <w:lang w:eastAsia="it-IT"/>
        </w:rPr>
        <w:t xml:space="preserve"> di ulcere con </w:t>
      </w:r>
      <w:proofErr w:type="spellStart"/>
      <w:r w:rsidRPr="00301CEF">
        <w:rPr>
          <w:rFonts w:eastAsia="Calibri" w:cs="Calibri"/>
          <w:lang w:eastAsia="it-IT"/>
        </w:rPr>
        <w:t>esomeprazolo</w:t>
      </w:r>
      <w:proofErr w:type="spellEnd"/>
      <w:r w:rsidRPr="00301CEF">
        <w:rPr>
          <w:rFonts w:eastAsia="Calibri" w:cs="Calibri"/>
          <w:lang w:eastAsia="it-IT"/>
        </w:rPr>
        <w:t xml:space="preserve"> per via endovenosa.</w:t>
      </w:r>
    </w:p>
    <w:p w:rsidR="00301CEF" w:rsidRPr="00301CEF" w:rsidRDefault="00301CEF" w:rsidP="00301CE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301CEF" w:rsidRPr="00301CEF" w:rsidRDefault="00301CEF" w:rsidP="00301CE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301CEF">
        <w:rPr>
          <w:rFonts w:eastAsia="Calibri" w:cs="Calibri"/>
          <w:b/>
          <w:lang w:eastAsia="it-IT"/>
        </w:rPr>
        <w:t>Adolescenti di età superiore a 12 anni</w:t>
      </w:r>
    </w:p>
    <w:p w:rsidR="00301CEF" w:rsidRPr="00301CEF" w:rsidRDefault="00301CEF" w:rsidP="00301CE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01CEF">
        <w:rPr>
          <w:rFonts w:eastAsia="Calibri" w:cs="Calibri"/>
          <w:lang w:eastAsia="it-IT"/>
        </w:rPr>
        <w:t xml:space="preserve">“Malattia da reflusso </w:t>
      </w:r>
      <w:proofErr w:type="spellStart"/>
      <w:r w:rsidRPr="00301CEF">
        <w:rPr>
          <w:rFonts w:eastAsia="Calibri" w:cs="Calibri"/>
          <w:lang w:eastAsia="it-IT"/>
        </w:rPr>
        <w:t>gastroesofageo</w:t>
      </w:r>
      <w:proofErr w:type="spellEnd"/>
      <w:r w:rsidRPr="00301CEF">
        <w:rPr>
          <w:rFonts w:eastAsia="Calibri" w:cs="Calibri"/>
          <w:lang w:eastAsia="it-IT"/>
        </w:rPr>
        <w:t>” (MRGE). Si tratta di una malattia nella quale l'acido prodotto dallo stomaco sale nell'esofago (il tubo che collega la gola allo stomaco), causando dolore, infiammazione e bruciore.</w:t>
      </w:r>
    </w:p>
    <w:p w:rsidR="00301CEF" w:rsidRPr="00301CEF" w:rsidRDefault="00301CEF" w:rsidP="00301CE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01CEF">
        <w:rPr>
          <w:rFonts w:eastAsia="Calibri" w:cs="Calibri"/>
          <w:lang w:eastAsia="it-IT"/>
        </w:rPr>
        <w:t>Ulcere nello stomaco o nella parte superiore dell'intestino, che vengono infettate dal batterio chiamato “</w:t>
      </w:r>
      <w:proofErr w:type="spellStart"/>
      <w:r w:rsidRPr="00301CEF">
        <w:rPr>
          <w:rFonts w:eastAsia="Calibri" w:cs="Calibri"/>
          <w:i/>
          <w:iCs/>
          <w:lang w:eastAsia="it-IT"/>
        </w:rPr>
        <w:t>Helicobacter</w:t>
      </w:r>
      <w:proofErr w:type="spellEnd"/>
      <w:r w:rsidRPr="00301CEF">
        <w:rPr>
          <w:rFonts w:eastAsia="Calibri" w:cs="Calibri"/>
          <w:i/>
          <w:iCs/>
          <w:lang w:eastAsia="it-IT"/>
        </w:rPr>
        <w:t xml:space="preserve"> </w:t>
      </w:r>
      <w:proofErr w:type="spellStart"/>
      <w:r w:rsidRPr="00301CEF">
        <w:rPr>
          <w:rFonts w:eastAsia="Calibri" w:cs="Calibri"/>
          <w:i/>
          <w:iCs/>
          <w:lang w:eastAsia="it-IT"/>
        </w:rPr>
        <w:t>pylori</w:t>
      </w:r>
      <w:proofErr w:type="spellEnd"/>
      <w:r w:rsidRPr="00301CEF">
        <w:rPr>
          <w:rFonts w:eastAsia="Calibri" w:cs="Calibri"/>
          <w:i/>
          <w:iCs/>
          <w:lang w:eastAsia="it-IT"/>
        </w:rPr>
        <w:t xml:space="preserve">”. </w:t>
      </w:r>
      <w:r w:rsidRPr="00301CEF">
        <w:rPr>
          <w:rFonts w:eastAsia="Calibri" w:cs="Calibri"/>
          <w:lang w:eastAsia="it-IT"/>
        </w:rPr>
        <w:t>Se soffre di questa condizione, il medico può prescriverle anche antibiotici per trattare l'infezione e permettere la guarigione dell'ulcera.</w:t>
      </w:r>
    </w:p>
    <w:p w:rsidR="00301CEF" w:rsidRPr="00301CEF" w:rsidRDefault="00301CEF" w:rsidP="00301CE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r w:rsidR="003836C8" w:rsidRPr="003836C8">
        <w:rPr>
          <w:rFonts w:eastAsia="Calibri" w:cs="Calibri"/>
          <w:b/>
          <w:color w:val="000000"/>
          <w:lang w:eastAsia="it-IT"/>
        </w:rPr>
        <w:t>ESOMEPRAZOLO MYLAN GENERICS</w:t>
      </w:r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:rsidR="001C15DF" w:rsidRPr="001C15DF" w:rsidRDefault="00301CEF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proofErr w:type="spellStart"/>
      <w:r w:rsidRPr="00301CEF">
        <w:rPr>
          <w:rFonts w:asciiTheme="minorHAnsi" w:eastAsia="Calibri" w:hAnsiTheme="minorHAnsi" w:cs="Calibri"/>
          <w:color w:val="000000"/>
          <w:sz w:val="22"/>
          <w:szCs w:val="22"/>
        </w:rPr>
        <w:t>Esomeprazolo</w:t>
      </w:r>
      <w:proofErr w:type="spellEnd"/>
      <w:r w:rsidRPr="00301CE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proofErr w:type="spellStart"/>
      <w:r w:rsidRPr="00301CEF">
        <w:rPr>
          <w:rFonts w:asciiTheme="minorHAnsi" w:eastAsia="Calibri" w:hAnsiTheme="minorHAnsi" w:cs="Calibri"/>
          <w:color w:val="000000"/>
          <w:sz w:val="22"/>
          <w:szCs w:val="22"/>
        </w:rPr>
        <w:t>Mylan</w:t>
      </w:r>
      <w:proofErr w:type="spellEnd"/>
      <w:r w:rsidRPr="00301CE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proofErr w:type="spellStart"/>
      <w:r w:rsidRPr="00301CEF">
        <w:rPr>
          <w:rFonts w:asciiTheme="minorHAnsi" w:eastAsia="Calibri" w:hAnsiTheme="minorHAnsi" w:cs="Calibri"/>
          <w:color w:val="000000"/>
          <w:sz w:val="22"/>
          <w:szCs w:val="22"/>
        </w:rPr>
        <w:t>Generics</w:t>
      </w:r>
      <w:proofErr w:type="spellEnd"/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B2AF8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>solo su prescrizione da parte del medico (ricetta ripetibile)</w:t>
      </w:r>
      <w:r w:rsidR="001E11E2">
        <w:rPr>
          <w:rFonts w:asciiTheme="minorHAnsi" w:eastAsia="Calibri" w:hAnsiTheme="minorHAnsi" w:cs="Calibri"/>
          <w:color w:val="000000"/>
          <w:sz w:val="22"/>
          <w:szCs w:val="22"/>
        </w:rPr>
        <w:t>.</w:t>
      </w:r>
    </w:p>
    <w:p w:rsidR="008A6FEC" w:rsidRDefault="00BB2AF8" w:rsidP="00301CEF">
      <w:pPr>
        <w:tabs>
          <w:tab w:val="left" w:pos="0"/>
        </w:tabs>
        <w:spacing w:after="0" w:line="240" w:lineRule="auto"/>
        <w:jc w:val="both"/>
        <w:rPr>
          <w:rFonts w:eastAsia="Calibri" w:cs="Calibri"/>
          <w:color w:val="000000"/>
        </w:rPr>
      </w:pPr>
      <w:r w:rsidRPr="00B7597D">
        <w:t>La dose raccomandata</w:t>
      </w:r>
      <w:r>
        <w:t xml:space="preserve"> </w:t>
      </w:r>
      <w:r w:rsidR="00EF6711">
        <w:t>giornaliera</w:t>
      </w:r>
      <w:r w:rsidRPr="00B7597D">
        <w:t xml:space="preserve"> </w:t>
      </w:r>
      <w:r w:rsidR="001C15DF">
        <w:t xml:space="preserve">negli adulti </w:t>
      </w:r>
      <w:r w:rsidR="001E11E2">
        <w:t xml:space="preserve">varia </w:t>
      </w:r>
      <w:r w:rsidR="00301CEF">
        <w:t>da 20 a 40</w:t>
      </w:r>
      <w:r w:rsidR="00300BEA">
        <w:t xml:space="preserve"> mg</w:t>
      </w:r>
      <w:r w:rsidR="00301CEF">
        <w:t xml:space="preserve"> al giorno.</w:t>
      </w:r>
      <w:r w:rsidR="00301CEF" w:rsidRPr="00301CEF">
        <w:rPr>
          <w:rFonts w:eastAsia="Calibri" w:cs="Calibri"/>
          <w:color w:val="000000"/>
        </w:rPr>
        <w:t xml:space="preserve"> </w:t>
      </w:r>
      <w:proofErr w:type="spellStart"/>
      <w:r w:rsidR="00301CEF" w:rsidRPr="00B74130">
        <w:rPr>
          <w:rFonts w:eastAsia="Calibri" w:cs="Calibri"/>
          <w:color w:val="000000"/>
        </w:rPr>
        <w:t>l</w:t>
      </w:r>
      <w:r w:rsidR="00301CEF">
        <w:rPr>
          <w:rFonts w:eastAsia="Calibri" w:cs="Calibri"/>
          <w:color w:val="000000"/>
        </w:rPr>
        <w:t>l</w:t>
      </w:r>
      <w:proofErr w:type="spellEnd"/>
      <w:r w:rsidR="00301CEF" w:rsidRPr="00B74130">
        <w:rPr>
          <w:rFonts w:eastAsia="Calibri" w:cs="Calibri"/>
          <w:color w:val="000000"/>
        </w:rPr>
        <w:t xml:space="preserve"> medico stabilirà la dose a seconda della patologia da trattare e dalle condizioni e dall’età del paziente.</w:t>
      </w:r>
    </w:p>
    <w:p w:rsidR="001E11E2" w:rsidRPr="004B4170" w:rsidRDefault="001E11E2" w:rsidP="001E11E2">
      <w:pPr>
        <w:tabs>
          <w:tab w:val="left" w:pos="284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t>L</w:t>
      </w:r>
      <w:r w:rsidRPr="00D95D44">
        <w:t xml:space="preserve">e compresse </w:t>
      </w:r>
      <w:r>
        <w:t>devono essere assunte intere (non frantumate o masticate) con un po’</w:t>
      </w:r>
      <w:r w:rsidRPr="00D95D44">
        <w:t xml:space="preserve"> d’</w:t>
      </w:r>
      <w:r>
        <w:t xml:space="preserve">acqua, indipendentemente dai pasti. </w:t>
      </w:r>
    </w:p>
    <w:p w:rsidR="008A6FEC" w:rsidRDefault="008A6FEC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>
        <w:rPr>
          <w:rFonts w:ascii="Calibri" w:eastAsia="Calibri" w:hAnsi="Calibri" w:cs="Times New Roman"/>
          <w:iCs/>
        </w:rPr>
        <w:t xml:space="preserve">Questo medicinale non è raccomandato </w:t>
      </w:r>
      <w:r w:rsidR="001E11E2">
        <w:rPr>
          <w:rFonts w:ascii="Calibri" w:eastAsia="Calibri" w:hAnsi="Calibri" w:cs="Times New Roman"/>
          <w:iCs/>
        </w:rPr>
        <w:t>nei bambini di età inferiore a 12 anni.</w:t>
      </w: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3836C8" w:rsidRPr="003836C8">
        <w:rPr>
          <w:rFonts w:eastAsia="Calibri" w:cs="Calibri"/>
          <w:b/>
          <w:color w:val="000000"/>
          <w:lang w:eastAsia="it-IT"/>
        </w:rPr>
        <w:t>ESOMEPRAZOLO MYLAN GENERICS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B83ACF" w:rsidRDefault="00B83ACF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B83ACF">
        <w:rPr>
          <w:rFonts w:eastAsia="Calibri" w:cs="Calibri"/>
          <w:color w:val="000000"/>
          <w:lang w:eastAsia="it-IT"/>
        </w:rPr>
        <w:t>Esomeprazolo</w:t>
      </w:r>
      <w:proofErr w:type="spellEnd"/>
      <w:r w:rsidRPr="00B83AC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301CEF">
        <w:rPr>
          <w:rFonts w:cs="Calibri"/>
          <w:color w:val="000000"/>
        </w:rPr>
        <w:t>Mylan</w:t>
      </w:r>
      <w:proofErr w:type="spellEnd"/>
      <w:r w:rsidRPr="00301CEF">
        <w:rPr>
          <w:rFonts w:cs="Calibri"/>
          <w:color w:val="000000"/>
        </w:rPr>
        <w:t xml:space="preserve"> </w:t>
      </w:r>
      <w:proofErr w:type="spellStart"/>
      <w:r w:rsidRPr="00301CEF">
        <w:rPr>
          <w:rFonts w:cs="Calibri"/>
          <w:color w:val="000000"/>
        </w:rPr>
        <w:t>Generics</w:t>
      </w:r>
      <w:proofErr w:type="spellEnd"/>
      <w:r w:rsidRPr="00B83ACF">
        <w:rPr>
          <w:rFonts w:eastAsia="Calibri" w:cs="Calibri"/>
          <w:color w:val="000000"/>
          <w:lang w:eastAsia="it-IT"/>
        </w:rPr>
        <w:t xml:space="preserve">, il cui codice ATC è A02B C05 contiene il principio attivo </w:t>
      </w:r>
      <w:proofErr w:type="spellStart"/>
      <w:r w:rsidRPr="00B83ACF">
        <w:rPr>
          <w:rFonts w:eastAsia="Calibri" w:cs="Calibri"/>
          <w:color w:val="000000"/>
          <w:lang w:eastAsia="it-IT"/>
        </w:rPr>
        <w:t>esomeprazolo</w:t>
      </w:r>
      <w:proofErr w:type="spellEnd"/>
      <w:r w:rsidRPr="00B83ACF">
        <w:rPr>
          <w:rFonts w:eastAsia="Calibri" w:cs="Calibri"/>
          <w:color w:val="000000"/>
          <w:lang w:eastAsia="it-IT"/>
        </w:rPr>
        <w:t xml:space="preserve"> che appartiene alla classe degli inibitori della pompa protonica e agisce riducendo la quantità di acido prodotta dallo</w:t>
      </w:r>
      <w:r>
        <w:rPr>
          <w:rFonts w:eastAsia="Calibri" w:cs="Calibri"/>
          <w:color w:val="000000"/>
          <w:lang w:eastAsia="it-IT"/>
        </w:rPr>
        <w:t xml:space="preserve"> </w:t>
      </w:r>
      <w:r w:rsidRPr="00B83ACF">
        <w:rPr>
          <w:rFonts w:eastAsia="Calibri" w:cs="Calibri"/>
          <w:color w:val="000000"/>
          <w:lang w:eastAsia="it-IT"/>
        </w:rPr>
        <w:t>stomaco</w:t>
      </w:r>
      <w:r>
        <w:rPr>
          <w:rFonts w:eastAsia="Calibri" w:cs="Calibri"/>
          <w:color w:val="000000"/>
          <w:lang w:eastAsia="it-IT"/>
        </w:rPr>
        <w:t>.</w:t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4B4170">
        <w:rPr>
          <w:rFonts w:cs="Arial"/>
          <w:color w:val="000000"/>
          <w:shd w:val="clear" w:color="auto" w:fill="FFFFFF"/>
        </w:rPr>
        <w:br/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3836C8" w:rsidRPr="003836C8">
        <w:rPr>
          <w:rFonts w:eastAsia="Calibri" w:cs="Calibri"/>
          <w:b/>
          <w:color w:val="000000"/>
          <w:lang w:eastAsia="it-IT"/>
        </w:rPr>
        <w:t>ESOMEPRAZOLO MYLAN GENERICS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:rsidR="00F96473" w:rsidRDefault="00F96473" w:rsidP="00F96473">
      <w:pPr>
        <w:spacing w:after="0" w:line="240" w:lineRule="auto"/>
        <w:jc w:val="both"/>
        <w:rPr>
          <w:rFonts w:ascii="Calibri" w:hAnsi="Calibri" w:cs="Arial"/>
        </w:rPr>
      </w:pPr>
      <w:r w:rsidRPr="00D85E7D">
        <w:rPr>
          <w:rFonts w:cs="Arial"/>
        </w:rPr>
        <w:t xml:space="preserve">Poiché </w:t>
      </w:r>
      <w:proofErr w:type="spellStart"/>
      <w:r w:rsidR="003836C8" w:rsidRPr="00B83ACF">
        <w:rPr>
          <w:rFonts w:eastAsia="Calibri" w:cs="Calibri"/>
          <w:color w:val="000000"/>
          <w:lang w:eastAsia="it-IT"/>
        </w:rPr>
        <w:t>Esomeprazolo</w:t>
      </w:r>
      <w:proofErr w:type="spellEnd"/>
      <w:r w:rsidR="003836C8" w:rsidRPr="00B83AC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836C8" w:rsidRPr="00301CEF">
        <w:rPr>
          <w:rFonts w:cs="Calibri"/>
          <w:color w:val="000000"/>
        </w:rPr>
        <w:t>Mylan</w:t>
      </w:r>
      <w:proofErr w:type="spellEnd"/>
      <w:r w:rsidR="003836C8" w:rsidRPr="00301CEF">
        <w:rPr>
          <w:rFonts w:cs="Calibri"/>
          <w:color w:val="000000"/>
        </w:rPr>
        <w:t xml:space="preserve"> </w:t>
      </w:r>
      <w:proofErr w:type="spellStart"/>
      <w:r w:rsidR="003836C8" w:rsidRPr="00301CEF">
        <w:rPr>
          <w:rFonts w:cs="Calibri"/>
          <w:color w:val="000000"/>
        </w:rPr>
        <w:t>Generics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Pr="00D85E7D">
        <w:rPr>
          <w:rFonts w:cs="Arial"/>
        </w:rPr>
        <w:t>è un medicinale generico, è stato sufficiente effettuare prove cliniche per determinare</w:t>
      </w:r>
      <w:r w:rsidRPr="00D85E7D">
        <w:rPr>
          <w:rFonts w:cs="Arial"/>
          <w:b/>
        </w:rPr>
        <w:t xml:space="preserve"> </w:t>
      </w:r>
      <w:r w:rsidRPr="00D85E7D">
        <w:rPr>
          <w:rFonts w:cs="Arial"/>
        </w:rPr>
        <w:t xml:space="preserve">la bioequivalenza rispetto al medicinale di riferimento </w:t>
      </w:r>
      <w:proofErr w:type="spellStart"/>
      <w:r w:rsidR="003836C8">
        <w:rPr>
          <w:rFonts w:cs="Arial"/>
        </w:rPr>
        <w:t>Nexium</w:t>
      </w:r>
      <w:proofErr w:type="spellEnd"/>
      <w:r w:rsidR="003836C8">
        <w:rPr>
          <w:rFonts w:cs="Arial"/>
        </w:rPr>
        <w:t>.</w:t>
      </w:r>
      <w:r w:rsidRPr="00D85E7D">
        <w:rPr>
          <w:rFonts w:cs="Arial"/>
        </w:rPr>
        <w:t xml:space="preserve"> Due medicinali sono</w:t>
      </w:r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bioequivalenti</w:t>
      </w:r>
      <w:proofErr w:type="spellEnd"/>
      <w:r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CC52A3" w:rsidRDefault="00CC52A3" w:rsidP="00F96473">
      <w:pPr>
        <w:spacing w:after="0" w:line="240" w:lineRule="auto"/>
        <w:jc w:val="both"/>
        <w:rPr>
          <w:rFonts w:ascii="Calibri" w:hAnsi="Calibri" w:cs="Arial"/>
        </w:rPr>
      </w:pPr>
    </w:p>
    <w:p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2A3F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r w:rsidR="003836C8" w:rsidRPr="003836C8">
        <w:rPr>
          <w:rFonts w:eastAsia="Calibri" w:cs="Calibri"/>
          <w:b/>
          <w:color w:val="000000"/>
          <w:lang w:eastAsia="it-IT"/>
        </w:rPr>
        <w:t>ESOMEPRAZOLO MYLAN GENERICS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BB2AF8" w:rsidRPr="002A3F14" w:rsidRDefault="003836C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B83ACF">
        <w:rPr>
          <w:rFonts w:eastAsia="Calibri" w:cs="Calibri"/>
          <w:color w:val="000000"/>
          <w:lang w:eastAsia="it-IT"/>
        </w:rPr>
        <w:t>Esomeprazolo</w:t>
      </w:r>
      <w:proofErr w:type="spellEnd"/>
      <w:r w:rsidRPr="00B83AC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301CEF">
        <w:rPr>
          <w:rFonts w:cs="Calibri"/>
          <w:color w:val="000000"/>
        </w:rPr>
        <w:t>Mylan</w:t>
      </w:r>
      <w:proofErr w:type="spellEnd"/>
      <w:r w:rsidRPr="00301CEF">
        <w:rPr>
          <w:rFonts w:cs="Calibri"/>
          <w:color w:val="000000"/>
        </w:rPr>
        <w:t xml:space="preserve"> </w:t>
      </w:r>
      <w:proofErr w:type="spellStart"/>
      <w:r w:rsidRPr="00301CEF">
        <w:rPr>
          <w:rFonts w:cs="Calibri"/>
          <w:color w:val="000000"/>
        </w:rPr>
        <w:t>Generics</w:t>
      </w:r>
      <w:proofErr w:type="spellEnd"/>
      <w:r w:rsidRPr="004241AC">
        <w:rPr>
          <w:rFonts w:eastAsia="Calibri" w:cs="Calibri"/>
          <w:lang w:eastAsia="it-IT"/>
        </w:rPr>
        <w:t xml:space="preserve"> </w:t>
      </w:r>
      <w:r w:rsidR="00BB2AF8" w:rsidRPr="004241AC">
        <w:rPr>
          <w:rFonts w:eastAsia="Calibri" w:cs="Calibri"/>
          <w:lang w:eastAsia="it-IT"/>
        </w:rPr>
        <w:t xml:space="preserve">è un medicinale </w:t>
      </w:r>
      <w:r w:rsidR="00BB2AF8">
        <w:rPr>
          <w:rFonts w:eastAsia="Calibri" w:cs="Calibri"/>
          <w:lang w:eastAsia="it-IT"/>
        </w:rPr>
        <w:t xml:space="preserve">generico ed è </w:t>
      </w:r>
      <w:proofErr w:type="spellStart"/>
      <w:r w:rsidR="00BB2AF8">
        <w:rPr>
          <w:rFonts w:eastAsia="Calibri" w:cs="Calibri"/>
          <w:lang w:eastAsia="it-IT"/>
        </w:rPr>
        <w:t>bioequivalente</w:t>
      </w:r>
      <w:proofErr w:type="spellEnd"/>
      <w:r w:rsidR="00BB2AF8">
        <w:rPr>
          <w:rFonts w:eastAsia="Calibri" w:cs="Calibri"/>
          <w:lang w:eastAsia="it-IT"/>
        </w:rPr>
        <w:t xml:space="preserve"> al medicinale di riferimento; pertanto,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i suoi</w:t>
      </w:r>
      <w:r w:rsidR="00BB2AF8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BB2AF8">
        <w:rPr>
          <w:rFonts w:eastAsia="Calibri" w:cs="Calibri"/>
          <w:lang w:eastAsia="it-IT"/>
        </w:rPr>
        <w:t>l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medicinale</w:t>
      </w:r>
      <w:r w:rsidR="00BB2AF8" w:rsidRPr="002A3F14">
        <w:rPr>
          <w:rFonts w:eastAsia="Calibri" w:cs="Calibri"/>
          <w:lang w:eastAsia="it-IT"/>
        </w:rPr>
        <w:t xml:space="preserve"> di riferimento. </w:t>
      </w:r>
    </w:p>
    <w:p w:rsidR="003836C8" w:rsidRDefault="003836C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i/>
          <w:sz w:val="20"/>
          <w:lang w:eastAsia="it-IT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3836C8" w:rsidRPr="003836C8">
        <w:rPr>
          <w:rFonts w:eastAsia="Calibri" w:cs="Calibri"/>
          <w:b/>
          <w:color w:val="000000"/>
          <w:lang w:eastAsia="it-IT"/>
        </w:rPr>
        <w:t>ESOMEPRAZOLO MYLAN GENERICS</w:t>
      </w:r>
      <w:r w:rsidR="003836C8" w:rsidRPr="00666CCE">
        <w:rPr>
          <w:rFonts w:eastAsia="Calibri" w:cs="Calibri"/>
          <w:b/>
          <w:bCs/>
          <w:lang w:eastAsia="it-IT"/>
        </w:rPr>
        <w:t xml:space="preserve"> </w:t>
      </w:r>
      <w:r w:rsidRPr="00666CCE">
        <w:rPr>
          <w:rFonts w:eastAsia="Calibri" w:cs="Calibri"/>
          <w:b/>
          <w:bCs/>
          <w:lang w:eastAsia="it-IT"/>
        </w:rPr>
        <w:t xml:space="preserve">E’ STATO APPROVATO? </w:t>
      </w:r>
    </w:p>
    <w:p w:rsidR="0068716B" w:rsidRPr="00CB3303" w:rsidRDefault="00BB2AF8" w:rsidP="0068716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nella riunione del </w:t>
      </w:r>
      <w:r w:rsidR="0068716B">
        <w:rPr>
          <w:rFonts w:eastAsia="Calibri" w:cs="Calibri"/>
          <w:bCs/>
          <w:iCs/>
          <w:lang w:eastAsia="it-IT"/>
        </w:rPr>
        <w:t>4-5 e 6 dicembre 2019</w:t>
      </w:r>
      <w:r>
        <w:rPr>
          <w:rFonts w:eastAsia="Calibri" w:cs="Calibri"/>
          <w:lang w:eastAsia="it-IT"/>
        </w:rPr>
        <w:t>,</w:t>
      </w:r>
      <w:r w:rsidRPr="00666CCE">
        <w:rPr>
          <w:rFonts w:eastAsia="Calibri" w:cs="Calibri"/>
          <w:lang w:eastAsia="it-IT"/>
        </w:rPr>
        <w:t xml:space="preserve"> ha concluso che, conformemente ai requisiti della normativa vigente, </w:t>
      </w:r>
      <w:r>
        <w:rPr>
          <w:rFonts w:eastAsia="Calibri" w:cs="Calibri"/>
          <w:lang w:eastAsia="it-IT"/>
        </w:rPr>
        <w:t xml:space="preserve">come nel caso del medicinale di riferimento </w:t>
      </w:r>
      <w:proofErr w:type="spellStart"/>
      <w:r w:rsidR="0068716B">
        <w:rPr>
          <w:rFonts w:eastAsia="Calibri" w:cs="Calibri"/>
          <w:lang w:eastAsia="it-IT"/>
        </w:rPr>
        <w:t>Nexium</w:t>
      </w:r>
      <w:proofErr w:type="spellEnd"/>
      <w:r>
        <w:rPr>
          <w:rFonts w:eastAsia="Calibri" w:cs="Calibri"/>
          <w:lang w:eastAsia="it-IT"/>
        </w:rPr>
        <w:t xml:space="preserve">, </w:t>
      </w:r>
      <w:r w:rsidRPr="00666CCE">
        <w:rPr>
          <w:rFonts w:eastAsia="Calibri" w:cs="Calibri"/>
          <w:lang w:eastAsia="it-IT"/>
        </w:rPr>
        <w:t xml:space="preserve">i benefici di </w:t>
      </w:r>
      <w:proofErr w:type="spellStart"/>
      <w:r w:rsidR="0068716B" w:rsidRPr="00B83ACF">
        <w:rPr>
          <w:rFonts w:eastAsia="Calibri" w:cs="Calibri"/>
          <w:color w:val="000000"/>
          <w:lang w:eastAsia="it-IT"/>
        </w:rPr>
        <w:t>Esomeprazolo</w:t>
      </w:r>
      <w:proofErr w:type="spellEnd"/>
      <w:r w:rsidR="0068716B" w:rsidRPr="00B83AC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8716B" w:rsidRPr="00301CEF">
        <w:rPr>
          <w:rFonts w:cs="Calibri"/>
          <w:color w:val="000000"/>
        </w:rPr>
        <w:t>Mylan</w:t>
      </w:r>
      <w:proofErr w:type="spellEnd"/>
      <w:r w:rsidR="0068716B" w:rsidRPr="00301CEF">
        <w:rPr>
          <w:rFonts w:cs="Calibri"/>
          <w:color w:val="000000"/>
        </w:rPr>
        <w:t xml:space="preserve"> </w:t>
      </w:r>
      <w:proofErr w:type="spellStart"/>
      <w:r w:rsidR="0068716B" w:rsidRPr="00301CEF">
        <w:rPr>
          <w:rFonts w:cs="Calibri"/>
          <w:color w:val="000000"/>
        </w:rPr>
        <w:t>Generics</w:t>
      </w:r>
      <w:proofErr w:type="spellEnd"/>
      <w:r w:rsidR="0068716B" w:rsidRPr="004241AC">
        <w:rPr>
          <w:rFonts w:eastAsia="Calibri" w:cs="Calibri"/>
          <w:lang w:eastAsia="it-IT"/>
        </w:rPr>
        <w:t xml:space="preserve"> </w:t>
      </w:r>
      <w:r w:rsidRPr="00666CCE">
        <w:rPr>
          <w:rFonts w:eastAsia="Calibri" w:cs="Calibri"/>
          <w:lang w:eastAsia="it-IT"/>
        </w:rPr>
        <w:t>sono superiori ai rischi individuati.</w:t>
      </w:r>
      <w:r w:rsidR="0068716B" w:rsidRPr="00CB3303">
        <w:rPr>
          <w:rFonts w:eastAsia="Calibri" w:cs="Calibri"/>
          <w:lang w:eastAsia="it-IT"/>
        </w:rPr>
        <w:t xml:space="preserve"> </w:t>
      </w:r>
    </w:p>
    <w:p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>
        <w:rPr>
          <w:rFonts w:eastAsia="Calibri" w:cs="Calibri"/>
          <w:lang w:eastAsia="it-IT"/>
        </w:rPr>
        <w:t>CTS</w:t>
      </w:r>
      <w:r w:rsidRPr="00666CCE">
        <w:rPr>
          <w:rFonts w:eastAsia="Calibri" w:cs="Calibri"/>
          <w:lang w:eastAsia="it-IT"/>
        </w:rPr>
        <w:t xml:space="preserve"> ha, inoltre,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 la</w:t>
      </w:r>
      <w:r w:rsidRPr="00CB3303">
        <w:rPr>
          <w:rFonts w:eastAsia="Calibri" w:cs="Calibri"/>
          <w:lang w:eastAsia="it-IT"/>
        </w:rPr>
        <w:t xml:space="preserve"> classe di rimborsabilità del medicinale</w:t>
      </w:r>
      <w:r w:rsidR="007170D7">
        <w:rPr>
          <w:rFonts w:eastAsia="Calibri" w:cs="Calibri"/>
          <w:lang w:eastAsia="it-IT"/>
        </w:rPr>
        <w:t xml:space="preserve"> </w:t>
      </w:r>
      <w:r w:rsidRPr="00516647">
        <w:rPr>
          <w:rFonts w:eastAsia="Calibri" w:cs="Calibri"/>
          <w:lang w:eastAsia="it-IT"/>
        </w:rPr>
        <w:t>(</w:t>
      </w:r>
      <w:r w:rsidR="0068716B" w:rsidRPr="00516647">
        <w:rPr>
          <w:rFonts w:eastAsia="Calibri" w:cs="Calibri"/>
          <w:lang w:eastAsia="it-IT"/>
        </w:rPr>
        <w:t>A con nota 1 e 48</w:t>
      </w:r>
      <w:r w:rsidR="007170D7" w:rsidRPr="00516647">
        <w:rPr>
          <w:rFonts w:eastAsia="Calibri" w:cs="Calibri"/>
          <w:lang w:eastAsia="it-IT"/>
        </w:rPr>
        <w:t>;</w:t>
      </w:r>
      <w:r w:rsidR="007170D7">
        <w:rPr>
          <w:rFonts w:eastAsia="Calibri" w:cs="Calibri"/>
          <w:lang w:eastAsia="it-IT"/>
        </w:rPr>
        <w:t xml:space="preserve"> la nota </w:t>
      </w:r>
      <w:r w:rsidR="007170D7" w:rsidRPr="00C305BF">
        <w:rPr>
          <w:rFonts w:eastAsia="Calibri" w:cs="Calibri"/>
          <w:lang w:eastAsia="it-IT"/>
        </w:rPr>
        <w:t>definisce i pazienti per i quali il medicinale è rimborsato dal Servizio Sanitario Nazionale</w:t>
      </w:r>
      <w:r w:rsidRPr="00CB3303">
        <w:rPr>
          <w:rFonts w:eastAsia="Calibri" w:cs="Calibri"/>
          <w:lang w:eastAsia="it-IT"/>
        </w:rPr>
        <w:t xml:space="preserve">).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r w:rsidR="00F97957" w:rsidRPr="003836C8">
        <w:rPr>
          <w:rFonts w:eastAsia="Calibri" w:cs="Calibri"/>
          <w:b/>
          <w:color w:val="000000"/>
          <w:lang w:eastAsia="it-IT"/>
        </w:rPr>
        <w:t>ESOMEPRAZOLO MYLAN GENERICS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</w:t>
      </w:r>
      <w:r w:rsidR="004241AC" w:rsidRPr="002A3F14">
        <w:rPr>
          <w:rFonts w:eastAsia="Calibri" w:cs="Calibri"/>
          <w:lang w:eastAsia="it-IT"/>
        </w:rPr>
        <w:lastRenderedPageBreak/>
        <w:t xml:space="preserve">attività di Farmacovigilanza e gli interventi finalizzati ad identificare, caratterizzare, prevenire o minimizzare i rischi correlati a </w:t>
      </w:r>
      <w:proofErr w:type="spellStart"/>
      <w:r w:rsidR="00F97957" w:rsidRPr="00B83ACF">
        <w:rPr>
          <w:rFonts w:eastAsia="Calibri" w:cs="Calibri"/>
          <w:color w:val="000000"/>
          <w:lang w:eastAsia="it-IT"/>
        </w:rPr>
        <w:t>Esomeprazolo</w:t>
      </w:r>
      <w:proofErr w:type="spellEnd"/>
      <w:r w:rsidR="00F97957" w:rsidRPr="00B83AC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97957" w:rsidRPr="00301CEF">
        <w:rPr>
          <w:rFonts w:cs="Calibri"/>
          <w:color w:val="000000"/>
        </w:rPr>
        <w:t>Mylan</w:t>
      </w:r>
      <w:proofErr w:type="spellEnd"/>
      <w:r w:rsidR="00F97957" w:rsidRPr="00301CEF">
        <w:rPr>
          <w:rFonts w:cs="Calibri"/>
          <w:color w:val="000000"/>
        </w:rPr>
        <w:t xml:space="preserve"> </w:t>
      </w:r>
      <w:proofErr w:type="spellStart"/>
      <w:r w:rsidR="00F97957" w:rsidRPr="00301CEF">
        <w:rPr>
          <w:rFonts w:cs="Calibri"/>
          <w:color w:val="000000"/>
        </w:rPr>
        <w:t>Generics</w:t>
      </w:r>
      <w:proofErr w:type="spellEnd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F97957" w:rsidRPr="00F97957">
        <w:rPr>
          <w:rFonts w:eastAsia="Calibri" w:cs="Calibri"/>
          <w:b/>
          <w:color w:val="000000"/>
          <w:lang w:eastAsia="it-IT"/>
        </w:rPr>
        <w:t>ESOMEPRAZOLO MYLAN GENERICS</w:t>
      </w: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B2AF8">
        <w:rPr>
          <w:rFonts w:eastAsia="Calibri" w:cs="Calibri"/>
          <w:bCs/>
          <w:iCs/>
          <w:lang w:eastAsia="it-IT"/>
        </w:rPr>
        <w:t xml:space="preserve">Il </w:t>
      </w:r>
      <w:r w:rsidR="000B5D9A" w:rsidRPr="000B5D9A">
        <w:rPr>
          <w:rFonts w:eastAsia="Calibri" w:cs="Calibri"/>
          <w:b/>
          <w:bCs/>
          <w:iCs/>
          <w:lang w:eastAsia="it-IT"/>
        </w:rPr>
        <w:t>06 Luglio 2020</w:t>
      </w:r>
      <w:r w:rsidR="000B5D9A">
        <w:rPr>
          <w:rFonts w:eastAsia="Calibri" w:cs="Calibri"/>
          <w:bCs/>
          <w:iCs/>
          <w:lang w:eastAsia="it-IT"/>
        </w:rPr>
        <w:t xml:space="preserve"> </w:t>
      </w:r>
      <w:r w:rsidRPr="00BB2AF8">
        <w:rPr>
          <w:rFonts w:eastAsia="Calibri" w:cs="Calibri"/>
          <w:bCs/>
          <w:iCs/>
          <w:lang w:eastAsia="it-IT"/>
        </w:rPr>
        <w:t xml:space="preserve">l’AIFA ha rilasciato l’autorizzazione all’immissione in commercio di </w:t>
      </w:r>
      <w:proofErr w:type="spellStart"/>
      <w:r w:rsidR="00F97957" w:rsidRPr="00F97957">
        <w:rPr>
          <w:rFonts w:eastAsia="Calibri" w:cs="Calibri"/>
          <w:color w:val="000000"/>
          <w:lang w:eastAsia="it-IT"/>
        </w:rPr>
        <w:t>Esomeprazolo</w:t>
      </w:r>
      <w:proofErr w:type="spellEnd"/>
      <w:r w:rsidR="00F97957" w:rsidRPr="00F9795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97957" w:rsidRPr="00F97957">
        <w:rPr>
          <w:rFonts w:eastAsia="Calibri" w:cs="Calibri"/>
          <w:color w:val="000000"/>
          <w:lang w:eastAsia="it-IT"/>
        </w:rPr>
        <w:t>Mylan</w:t>
      </w:r>
      <w:proofErr w:type="spellEnd"/>
      <w:r w:rsidR="00F97957" w:rsidRPr="00F9795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97957" w:rsidRPr="00F97957">
        <w:rPr>
          <w:rFonts w:eastAsia="Calibri" w:cs="Calibri"/>
          <w:color w:val="000000"/>
          <w:lang w:eastAsia="it-IT"/>
        </w:rPr>
        <w:t>Generics</w:t>
      </w:r>
      <w:proofErr w:type="spellEnd"/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F97957" w:rsidRPr="00F97957">
        <w:rPr>
          <w:rFonts w:eastAsia="Calibri" w:cs="Calibri"/>
          <w:color w:val="000000"/>
          <w:lang w:eastAsia="it-IT"/>
        </w:rPr>
        <w:t>Esomeprazolo</w:t>
      </w:r>
      <w:proofErr w:type="spellEnd"/>
      <w:r w:rsidR="00F97957" w:rsidRPr="00F9795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97957" w:rsidRPr="00F97957">
        <w:rPr>
          <w:rFonts w:eastAsia="Calibri" w:cs="Calibri"/>
          <w:color w:val="000000"/>
          <w:lang w:eastAsia="it-IT"/>
        </w:rPr>
        <w:t>Mylan</w:t>
      </w:r>
      <w:proofErr w:type="spellEnd"/>
      <w:r w:rsidR="00F97957" w:rsidRPr="00F9795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97957" w:rsidRPr="00F97957">
        <w:rPr>
          <w:rFonts w:eastAsia="Calibri" w:cs="Calibri"/>
          <w:color w:val="000000"/>
          <w:lang w:eastAsia="it-IT"/>
        </w:rPr>
        <w:t>Generics</w:t>
      </w:r>
      <w:proofErr w:type="spellEnd"/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8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>
        <w:rPr>
          <w:rFonts w:eastAsia="Calibri" w:cs="Calibri"/>
          <w:lang w:eastAsia="it-IT"/>
        </w:rPr>
        <w:t xml:space="preserve">data </w:t>
      </w:r>
      <w:r w:rsidR="00F97957">
        <w:rPr>
          <w:rFonts w:eastAsia="Calibri" w:cs="Calibri"/>
          <w:lang w:eastAsia="it-IT"/>
        </w:rPr>
        <w:t>0</w:t>
      </w:r>
      <w:r w:rsidR="00FC5B6A">
        <w:rPr>
          <w:rFonts w:eastAsia="Calibri" w:cs="Calibri"/>
          <w:lang w:eastAsia="it-IT"/>
        </w:rPr>
        <w:t>2</w:t>
      </w:r>
      <w:r w:rsidR="00F97957">
        <w:rPr>
          <w:rFonts w:eastAsia="Calibri" w:cs="Calibri"/>
          <w:lang w:eastAsia="it-IT"/>
        </w:rPr>
        <w:t>/12/2020</w:t>
      </w:r>
      <w:r w:rsidRPr="002A3F14">
        <w:rPr>
          <w:rFonts w:eastAsia="Calibri" w:cs="Calibri"/>
          <w:lang w:eastAsia="it-IT"/>
        </w:rPr>
        <w:t xml:space="preserve">. </w:t>
      </w: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BB7777" w:rsidRDefault="00BB7777" w:rsidP="004E5A39">
      <w:pPr>
        <w:spacing w:after="0" w:line="240" w:lineRule="auto"/>
        <w:jc w:val="center"/>
        <w:rPr>
          <w:b/>
          <w:sz w:val="28"/>
        </w:rPr>
      </w:pPr>
    </w:p>
    <w:p w:rsidR="00BB7777" w:rsidRDefault="00BB7777" w:rsidP="004E5A39">
      <w:pPr>
        <w:spacing w:after="0" w:line="240" w:lineRule="auto"/>
        <w:jc w:val="center"/>
        <w:rPr>
          <w:b/>
          <w:sz w:val="28"/>
        </w:rPr>
      </w:pPr>
    </w:p>
    <w:p w:rsidR="00BB7777" w:rsidRDefault="00BB7777" w:rsidP="004E5A39">
      <w:pPr>
        <w:spacing w:after="0" w:line="240" w:lineRule="auto"/>
        <w:jc w:val="center"/>
        <w:rPr>
          <w:b/>
          <w:sz w:val="28"/>
        </w:rPr>
      </w:pPr>
    </w:p>
    <w:p w:rsidR="00BB7777" w:rsidRDefault="00BB7777" w:rsidP="004E5A39">
      <w:pPr>
        <w:spacing w:after="0" w:line="240" w:lineRule="auto"/>
        <w:jc w:val="center"/>
        <w:rPr>
          <w:b/>
          <w:sz w:val="28"/>
        </w:rPr>
      </w:pPr>
    </w:p>
    <w:p w:rsidR="00BB7777" w:rsidRDefault="00BB7777" w:rsidP="004E5A39">
      <w:pPr>
        <w:spacing w:after="0" w:line="240" w:lineRule="auto"/>
        <w:jc w:val="center"/>
        <w:rPr>
          <w:b/>
          <w:sz w:val="28"/>
        </w:rPr>
      </w:pPr>
    </w:p>
    <w:p w:rsidR="00BB7777" w:rsidRDefault="00BB7777" w:rsidP="004E5A39">
      <w:pPr>
        <w:spacing w:after="0" w:line="240" w:lineRule="auto"/>
        <w:jc w:val="center"/>
        <w:rPr>
          <w:b/>
          <w:sz w:val="28"/>
        </w:rPr>
      </w:pPr>
    </w:p>
    <w:p w:rsidR="00BB7777" w:rsidRDefault="00BB7777" w:rsidP="004E5A39">
      <w:pPr>
        <w:spacing w:after="0" w:line="240" w:lineRule="auto"/>
        <w:jc w:val="center"/>
        <w:rPr>
          <w:b/>
          <w:sz w:val="28"/>
        </w:rPr>
      </w:pPr>
    </w:p>
    <w:p w:rsidR="00BB7777" w:rsidRDefault="00BB7777" w:rsidP="004E5A39">
      <w:pPr>
        <w:spacing w:after="0" w:line="240" w:lineRule="auto"/>
        <w:jc w:val="center"/>
        <w:rPr>
          <w:b/>
          <w:sz w:val="28"/>
        </w:rPr>
      </w:pPr>
    </w:p>
    <w:p w:rsidR="00BB7777" w:rsidRDefault="00BB7777" w:rsidP="004E5A39">
      <w:pPr>
        <w:spacing w:after="0" w:line="240" w:lineRule="auto"/>
        <w:jc w:val="center"/>
        <w:rPr>
          <w:b/>
          <w:sz w:val="28"/>
        </w:rPr>
      </w:pPr>
    </w:p>
    <w:p w:rsidR="00BB7777" w:rsidRDefault="00BB777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4E5A39" w:rsidRPr="002A3F14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EF6711" w:rsidRDefault="00EF6711" w:rsidP="004E5A39"/>
    <w:p w:rsidR="00EF6711" w:rsidRDefault="00EF6711" w:rsidP="004E5A39"/>
    <w:p w:rsidR="00EF6711" w:rsidRDefault="00EF6711" w:rsidP="004E5A39"/>
    <w:p w:rsidR="00CC52A3" w:rsidRDefault="00CC52A3" w:rsidP="004E5A39"/>
    <w:p w:rsidR="00CC52A3" w:rsidRDefault="00CC52A3" w:rsidP="004E5A39"/>
    <w:p w:rsidR="00EF6711" w:rsidRDefault="00EF6711" w:rsidP="004E5A39"/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lastRenderedPageBreak/>
        <w:t>INTRODUZIONE</w:t>
      </w:r>
    </w:p>
    <w:p w:rsidR="004E5A39" w:rsidRPr="000B5D9A" w:rsidRDefault="004E5A39" w:rsidP="00EF6711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EF6711">
        <w:t xml:space="preserve">Sulla base dei dati di qualità, sicurezza ed efficacia, l’AIFA ha rilasciato a </w:t>
      </w:r>
      <w:proofErr w:type="spellStart"/>
      <w:r w:rsidR="00BB7777">
        <w:t>Mylan</w:t>
      </w:r>
      <w:proofErr w:type="spellEnd"/>
      <w:r w:rsidR="00BB7777">
        <w:t xml:space="preserve"> </w:t>
      </w:r>
      <w:proofErr w:type="spellStart"/>
      <w:r w:rsidR="00BB7777">
        <w:t>S.P.A.</w:t>
      </w:r>
      <w:proofErr w:type="spellEnd"/>
      <w:r w:rsidR="00B1186F" w:rsidRPr="00EF6711">
        <w:t xml:space="preserve"> </w:t>
      </w:r>
      <w:r w:rsidRPr="00EF6711">
        <w:t xml:space="preserve">l’autorizzazione all’immissione in commercio (AIC) per il medicinale </w:t>
      </w:r>
      <w:proofErr w:type="spellStart"/>
      <w:r w:rsidR="00BB7777" w:rsidRPr="00BB7777">
        <w:rPr>
          <w:rFonts w:eastAsia="Calibri" w:cs="Calibri"/>
          <w:color w:val="000000"/>
          <w:lang w:eastAsia="it-IT"/>
        </w:rPr>
        <w:t>Esomeprazolo</w:t>
      </w:r>
      <w:proofErr w:type="spellEnd"/>
      <w:r w:rsidR="00BB7777" w:rsidRPr="00BB777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B7777" w:rsidRPr="00BB7777">
        <w:rPr>
          <w:rFonts w:eastAsia="Calibri" w:cs="Calibri"/>
          <w:color w:val="000000"/>
          <w:lang w:eastAsia="it-IT"/>
        </w:rPr>
        <w:t>Mylan</w:t>
      </w:r>
      <w:proofErr w:type="spellEnd"/>
      <w:r w:rsidR="00BB7777" w:rsidRPr="00BB777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B7777" w:rsidRPr="00BB7777">
        <w:rPr>
          <w:rFonts w:eastAsia="Calibri" w:cs="Calibri"/>
          <w:color w:val="000000"/>
          <w:lang w:eastAsia="it-IT"/>
        </w:rPr>
        <w:t>Generics</w:t>
      </w:r>
      <w:proofErr w:type="spellEnd"/>
      <w:r w:rsidR="00BB7777" w:rsidRPr="00BB7777">
        <w:rPr>
          <w:rFonts w:eastAsia="Calibri" w:cs="Calibri"/>
          <w:color w:val="000000"/>
          <w:lang w:eastAsia="it-IT"/>
        </w:rPr>
        <w:t xml:space="preserve"> </w:t>
      </w:r>
      <w:r w:rsidRPr="00EF6711">
        <w:rPr>
          <w:rFonts w:eastAsia="Calibri" w:cs="Calibri"/>
          <w:bCs/>
          <w:iCs/>
          <w:lang w:eastAsia="it-IT"/>
        </w:rPr>
        <w:t xml:space="preserve">il </w:t>
      </w:r>
      <w:r w:rsidR="000B5D9A" w:rsidRPr="000B5D9A">
        <w:rPr>
          <w:rFonts w:eastAsia="Calibri" w:cs="Calibri"/>
          <w:b/>
          <w:bCs/>
          <w:iCs/>
          <w:lang w:eastAsia="it-IT"/>
        </w:rPr>
        <w:t>0</w:t>
      </w:r>
      <w:r w:rsidR="00BB7777" w:rsidRPr="000B5D9A">
        <w:rPr>
          <w:rFonts w:eastAsia="Calibri" w:cs="Calibri"/>
          <w:b/>
          <w:bCs/>
          <w:iCs/>
          <w:lang w:eastAsia="it-IT"/>
        </w:rPr>
        <w:t>6 luglio 2020</w:t>
      </w:r>
      <w:r w:rsidR="0023362A" w:rsidRPr="000B5D9A">
        <w:rPr>
          <w:rFonts w:eastAsia="Calibri" w:cs="Calibri"/>
          <w:b/>
          <w:bCs/>
          <w:iCs/>
          <w:lang w:eastAsia="it-IT"/>
        </w:rPr>
        <w:t xml:space="preserve">. </w:t>
      </w:r>
    </w:p>
    <w:p w:rsidR="004E5A39" w:rsidRPr="000B5D9A" w:rsidRDefault="004E5A39" w:rsidP="00EF6711">
      <w:pPr>
        <w:spacing w:after="0" w:line="240" w:lineRule="auto"/>
        <w:jc w:val="both"/>
        <w:rPr>
          <w:b/>
        </w:rPr>
      </w:pPr>
    </w:p>
    <w:p w:rsidR="00BB7777" w:rsidRDefault="00BB7777" w:rsidP="00BB777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BB7777">
        <w:rPr>
          <w:rFonts w:eastAsia="Calibri" w:cs="Calibri"/>
          <w:color w:val="000000"/>
          <w:lang w:eastAsia="it-IT"/>
        </w:rPr>
        <w:t>Esomeprazolo</w:t>
      </w:r>
      <w:proofErr w:type="spellEnd"/>
      <w:r w:rsidRPr="00BB777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BB7777">
        <w:rPr>
          <w:rFonts w:eastAsia="Calibri" w:cs="Calibri"/>
          <w:color w:val="000000"/>
          <w:lang w:eastAsia="it-IT"/>
        </w:rPr>
        <w:t>Mylan</w:t>
      </w:r>
      <w:proofErr w:type="spellEnd"/>
      <w:r w:rsidRPr="00BB777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BB7777">
        <w:rPr>
          <w:rFonts w:eastAsia="Calibri" w:cs="Calibri"/>
          <w:color w:val="000000"/>
          <w:lang w:eastAsia="it-IT"/>
        </w:rPr>
        <w:t>Generics</w:t>
      </w:r>
      <w:proofErr w:type="spellEnd"/>
      <w:r w:rsidRPr="00BB7777">
        <w:rPr>
          <w:rFonts w:eastAsia="Calibri" w:cs="Calibri"/>
          <w:color w:val="000000"/>
          <w:lang w:eastAsia="it-IT"/>
        </w:rPr>
        <w:t xml:space="preserve"> </w:t>
      </w:r>
      <w:r w:rsidRPr="00B7597D">
        <w:rPr>
          <w:rFonts w:eastAsia="Calibri" w:cs="Calibri"/>
          <w:color w:val="000000"/>
          <w:lang w:eastAsia="it-IT"/>
        </w:rPr>
        <w:t xml:space="preserve">può essere ottenuto solo su </w:t>
      </w:r>
      <w:r w:rsidRPr="001C15DF">
        <w:rPr>
          <w:rFonts w:eastAsia="Calibri" w:cs="Calibri"/>
          <w:color w:val="000000"/>
        </w:rPr>
        <w:t>prescrizione da parte</w:t>
      </w:r>
      <w:r>
        <w:rPr>
          <w:rFonts w:eastAsia="Calibri" w:cs="Calibri"/>
          <w:color w:val="000000"/>
        </w:rPr>
        <w:t xml:space="preserve"> del medico (ricetta ripetibile).</w:t>
      </w:r>
    </w:p>
    <w:p w:rsidR="00BB7777" w:rsidRDefault="00BB7777" w:rsidP="00BB7777">
      <w:pPr>
        <w:autoSpaceDE w:val="0"/>
        <w:autoSpaceDN w:val="0"/>
        <w:adjustRightInd w:val="0"/>
        <w:spacing w:after="0" w:line="240" w:lineRule="auto"/>
        <w:jc w:val="both"/>
      </w:pPr>
    </w:p>
    <w:p w:rsidR="004E5A39" w:rsidRPr="00EF6711" w:rsidRDefault="004E5A39" w:rsidP="00BB7777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Questa procedura è stata presentata ai sensi dell’art. </w:t>
      </w:r>
      <w:r w:rsidR="00BB7777">
        <w:t>10.1</w:t>
      </w:r>
      <w:r w:rsidRPr="00EF6711">
        <w:t xml:space="preserve"> della Direttiva 2001/83/EU </w:t>
      </w:r>
      <w:proofErr w:type="spellStart"/>
      <w:r w:rsidRPr="00EF6711">
        <w:t>s.m.i.</w:t>
      </w:r>
      <w:proofErr w:type="spellEnd"/>
    </w:p>
    <w:p w:rsidR="004E5A39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4E5A39" w:rsidRPr="00EF6711" w:rsidRDefault="00BB7777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Esomeprazolo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Mylan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Generics</w:t>
      </w:r>
      <w:proofErr w:type="spellEnd"/>
      <w:r w:rsidR="0042214D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è un medicinale contenente un principio attivo</w:t>
      </w:r>
      <w:r w:rsidR="00C42AAC" w:rsidRPr="00EF6711">
        <w:rPr>
          <w:rFonts w:eastAsia="Calibri" w:cs="Calibri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noto</w:t>
      </w:r>
      <w:r w:rsidR="0042214D">
        <w:rPr>
          <w:rFonts w:eastAsia="Calibri" w:cs="Calibri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e present</w:t>
      </w:r>
      <w:r w:rsidR="00C42AAC" w:rsidRPr="00EF6711">
        <w:rPr>
          <w:rFonts w:eastAsia="Calibri" w:cs="Calibri"/>
          <w:lang w:eastAsia="it-IT"/>
        </w:rPr>
        <w:t>e</w:t>
      </w:r>
      <w:r w:rsidR="004E5A39" w:rsidRPr="00EF6711">
        <w:rPr>
          <w:rFonts w:eastAsia="Calibri" w:cs="Calibri"/>
          <w:lang w:eastAsia="it-IT"/>
        </w:rPr>
        <w:t xml:space="preserve"> nel medicinale di riferimento </w:t>
      </w:r>
      <w:proofErr w:type="spellStart"/>
      <w:r>
        <w:rPr>
          <w:rFonts w:eastAsia="Calibri" w:cs="Calibri"/>
          <w:lang w:eastAsia="it-IT"/>
        </w:rPr>
        <w:t>Nexium</w:t>
      </w:r>
      <w:proofErr w:type="spellEnd"/>
      <w:r w:rsidR="0042214D">
        <w:rPr>
          <w:rFonts w:eastAsia="Calibri" w:cs="Calibri"/>
          <w:lang w:eastAsia="it-IT"/>
        </w:rPr>
        <w:t xml:space="preserve"> aut</w:t>
      </w:r>
      <w:r w:rsidR="004E5A39" w:rsidRPr="00EF6711">
        <w:rPr>
          <w:rFonts w:eastAsia="Calibri" w:cs="Calibri"/>
          <w:lang w:eastAsia="it-IT"/>
        </w:rPr>
        <w:t>orizzato in Italia da più di 10 anni.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BB7777" w:rsidRPr="00BB7777" w:rsidRDefault="00BB7777" w:rsidP="00BB777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Esomeprazolo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Mylan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Generics</w:t>
      </w:r>
      <w:proofErr w:type="spellEnd"/>
      <w:r w:rsidR="004E5A39" w:rsidRPr="00EF6711">
        <w:rPr>
          <w:rFonts w:eastAsia="Calibri" w:cs="Calibri"/>
          <w:bCs/>
          <w:lang w:eastAsia="it-IT"/>
        </w:rPr>
        <w:t xml:space="preserve">, </w:t>
      </w:r>
      <w:r w:rsidR="004E5A39" w:rsidRPr="00EF6711">
        <w:t>il cui c</w:t>
      </w:r>
      <w:r w:rsidR="004E5A39" w:rsidRPr="00EF6711">
        <w:rPr>
          <w:iCs/>
        </w:rPr>
        <w:t xml:space="preserve">odice ATC è </w:t>
      </w:r>
      <w:r w:rsidRPr="00997BE6">
        <w:t>A02B C05</w:t>
      </w:r>
      <w:r>
        <w:t xml:space="preserve">, </w:t>
      </w:r>
      <w:r w:rsidR="004E5A39" w:rsidRPr="00EF6711">
        <w:rPr>
          <w:rFonts w:eastAsia="Calibri" w:cs="Calibri"/>
          <w:lang w:eastAsia="it-IT"/>
        </w:rPr>
        <w:t xml:space="preserve">contiene </w:t>
      </w:r>
      <w:r w:rsidR="00C42AAC" w:rsidRPr="00EF6711">
        <w:rPr>
          <w:rFonts w:eastAsia="Calibri" w:cs="Calibri"/>
          <w:lang w:eastAsia="it-IT"/>
        </w:rPr>
        <w:t>il</w:t>
      </w:r>
      <w:r w:rsidR="004E5A39" w:rsidRPr="00EF6711">
        <w:rPr>
          <w:rFonts w:eastAsia="Calibri" w:cs="Calibri"/>
          <w:lang w:eastAsia="it-IT"/>
        </w:rPr>
        <w:t xml:space="preserve"> principi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attiv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</w:t>
      </w:r>
      <w:proofErr w:type="spellStart"/>
      <w:r>
        <w:rPr>
          <w:rFonts w:eastAsia="Calibri" w:cs="Calibri"/>
          <w:lang w:eastAsia="it-IT"/>
        </w:rPr>
        <w:t>esomeprazolo</w:t>
      </w:r>
      <w:proofErr w:type="spellEnd"/>
      <w:r w:rsidR="0042214D">
        <w:rPr>
          <w:rFonts w:eastAsia="Calibri" w:cs="Calibri"/>
          <w:lang w:eastAsia="it-IT"/>
        </w:rPr>
        <w:t xml:space="preserve"> </w:t>
      </w:r>
      <w:r w:rsidR="003E0FE0">
        <w:rPr>
          <w:rFonts w:eastAsia="Calibri" w:cs="Calibri"/>
          <w:lang w:eastAsia="it-IT"/>
        </w:rPr>
        <w:t>magnesio amorfo</w:t>
      </w:r>
      <w:r w:rsidR="00B1186F" w:rsidRPr="00EF6711">
        <w:rPr>
          <w:rFonts w:eastAsia="Calibri" w:cs="Calibri"/>
          <w:bCs/>
          <w:lang w:eastAsia="it-IT"/>
        </w:rPr>
        <w:t xml:space="preserve">, </w:t>
      </w:r>
      <w:r w:rsidRPr="00BB7777">
        <w:rPr>
          <w:rFonts w:eastAsia="Calibri" w:cs="Calibri"/>
          <w:bCs/>
          <w:lang w:eastAsia="it-IT"/>
        </w:rPr>
        <w:t xml:space="preserve">il quale riduce la secrezione acida gastrica mediante un meccanismo di azione specifico e selettivo.  </w:t>
      </w:r>
      <w:proofErr w:type="spellStart"/>
      <w:r w:rsidRPr="00BB7777">
        <w:rPr>
          <w:rFonts w:eastAsia="Calibri" w:cs="Calibri"/>
          <w:bCs/>
          <w:lang w:eastAsia="it-IT"/>
        </w:rPr>
        <w:t>Esomeprazolo</w:t>
      </w:r>
      <w:proofErr w:type="spellEnd"/>
      <w:r w:rsidRPr="00BB7777">
        <w:rPr>
          <w:rFonts w:eastAsia="Calibri" w:cs="Calibri"/>
          <w:bCs/>
          <w:lang w:eastAsia="it-IT"/>
        </w:rPr>
        <w:t xml:space="preserve"> è un inibitore specifico della pompa acida a livello della cellula parietale. Entrambi gli isomeri di </w:t>
      </w:r>
      <w:proofErr w:type="spellStart"/>
      <w:r w:rsidRPr="00BB7777">
        <w:rPr>
          <w:rFonts w:eastAsia="Calibri" w:cs="Calibri"/>
          <w:bCs/>
          <w:lang w:eastAsia="it-IT"/>
        </w:rPr>
        <w:t>omeprazolo</w:t>
      </w:r>
      <w:proofErr w:type="spellEnd"/>
      <w:r w:rsidRPr="00BB7777">
        <w:rPr>
          <w:rFonts w:eastAsia="Calibri" w:cs="Calibri"/>
          <w:bCs/>
          <w:lang w:eastAsia="it-IT"/>
        </w:rPr>
        <w:t xml:space="preserve">, </w:t>
      </w:r>
      <w:r w:rsidRPr="00BB7777">
        <w:rPr>
          <w:rFonts w:eastAsia="Calibri" w:cs="Calibri"/>
          <w:bCs/>
          <w:i/>
          <w:iCs/>
          <w:lang w:eastAsia="it-IT"/>
        </w:rPr>
        <w:t>R</w:t>
      </w:r>
      <w:r w:rsidRPr="00BB7777">
        <w:rPr>
          <w:rFonts w:eastAsia="Calibri" w:cs="Calibri"/>
          <w:bCs/>
          <w:lang w:eastAsia="it-IT"/>
        </w:rPr>
        <w:t xml:space="preserve">- e </w:t>
      </w:r>
      <w:r w:rsidRPr="00BB7777">
        <w:rPr>
          <w:rFonts w:eastAsia="Calibri" w:cs="Calibri"/>
          <w:bCs/>
          <w:i/>
          <w:iCs/>
          <w:lang w:eastAsia="it-IT"/>
        </w:rPr>
        <w:t>S</w:t>
      </w:r>
      <w:r w:rsidRPr="00BB7777">
        <w:rPr>
          <w:rFonts w:eastAsia="Calibri" w:cs="Calibri"/>
          <w:bCs/>
          <w:lang w:eastAsia="it-IT"/>
        </w:rPr>
        <w:t>, hanno attività farmacodinamica simile.</w:t>
      </w:r>
    </w:p>
    <w:p w:rsidR="00EF671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BB7777" w:rsidRDefault="00BB7777" w:rsidP="00BB7777">
      <w:pPr>
        <w:jc w:val="both"/>
        <w:rPr>
          <w:b/>
        </w:rPr>
      </w:pPr>
      <w:proofErr w:type="spellStart"/>
      <w:r>
        <w:rPr>
          <w:rFonts w:eastAsia="Calibri" w:cs="Calibri"/>
          <w:color w:val="000000"/>
          <w:lang w:eastAsia="it-IT"/>
        </w:rPr>
        <w:t>Esomeprazolo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Mylan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Generics</w:t>
      </w:r>
      <w:proofErr w:type="spellEnd"/>
      <w:r w:rsidR="0042214D">
        <w:rPr>
          <w:rFonts w:eastAsia="Calibri" w:cs="Calibri"/>
          <w:color w:val="000000"/>
          <w:lang w:eastAsia="it-IT"/>
        </w:rPr>
        <w:t xml:space="preserve"> </w:t>
      </w:r>
      <w:r w:rsidR="00265B61">
        <w:t xml:space="preserve">è </w:t>
      </w:r>
      <w:r w:rsidR="00C3773F">
        <w:t>indicato negli adulti per:</w:t>
      </w:r>
      <w:r w:rsidRPr="00BB7777">
        <w:rPr>
          <w:b/>
        </w:rPr>
        <w:t xml:space="preserve"> </w:t>
      </w:r>
    </w:p>
    <w:p w:rsidR="00BB7777" w:rsidRPr="00506EC1" w:rsidRDefault="00BB7777" w:rsidP="00506EC1">
      <w:pPr>
        <w:ind w:left="644"/>
        <w:jc w:val="both"/>
        <w:rPr>
          <w:b/>
        </w:rPr>
      </w:pPr>
      <w:r w:rsidRPr="00506EC1">
        <w:rPr>
          <w:b/>
        </w:rPr>
        <w:t xml:space="preserve">Malattia da reflusso </w:t>
      </w:r>
      <w:proofErr w:type="spellStart"/>
      <w:r w:rsidRPr="00506EC1">
        <w:rPr>
          <w:b/>
        </w:rPr>
        <w:t>gastroesofageo</w:t>
      </w:r>
      <w:proofErr w:type="spellEnd"/>
      <w:r w:rsidRPr="00506EC1">
        <w:rPr>
          <w:b/>
        </w:rPr>
        <w:t xml:space="preserve"> (MRGE)</w:t>
      </w:r>
    </w:p>
    <w:p w:rsidR="00BB7777" w:rsidRDefault="00BB7777" w:rsidP="00BB7777">
      <w:pPr>
        <w:numPr>
          <w:ilvl w:val="0"/>
          <w:numId w:val="7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>
        <w:t>trattamento dell'esofagite da reflusso erosiva</w:t>
      </w:r>
    </w:p>
    <w:p w:rsidR="00BB7777" w:rsidRDefault="00BB7777" w:rsidP="00BB7777">
      <w:pPr>
        <w:numPr>
          <w:ilvl w:val="0"/>
          <w:numId w:val="7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>
        <w:t>gestione a lungo termine dei pazienti con esofagite in remissione per prevenire le recidive</w:t>
      </w:r>
    </w:p>
    <w:p w:rsidR="00BB7777" w:rsidRDefault="00BB7777" w:rsidP="00BB7777">
      <w:pPr>
        <w:numPr>
          <w:ilvl w:val="0"/>
          <w:numId w:val="7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</w:pPr>
      <w:r>
        <w:t xml:space="preserve">trattamento sintomatico della malattia da reflusso </w:t>
      </w:r>
      <w:proofErr w:type="spellStart"/>
      <w:r>
        <w:t>gastroesofageo</w:t>
      </w:r>
      <w:proofErr w:type="spellEnd"/>
      <w:r>
        <w:t xml:space="preserve"> (MRGE).</w:t>
      </w:r>
    </w:p>
    <w:p w:rsidR="00BB7777" w:rsidRDefault="00BB7777" w:rsidP="00BB7777">
      <w:pPr>
        <w:spacing w:after="0" w:line="240" w:lineRule="auto"/>
        <w:ind w:left="720"/>
        <w:jc w:val="both"/>
      </w:pPr>
    </w:p>
    <w:p w:rsidR="00BB7777" w:rsidRPr="00506EC1" w:rsidRDefault="00BB7777" w:rsidP="00506EC1">
      <w:pPr>
        <w:pStyle w:val="Paragrafoelenco"/>
        <w:spacing w:after="0" w:line="240" w:lineRule="auto"/>
        <w:ind w:left="709"/>
        <w:jc w:val="both"/>
        <w:rPr>
          <w:b/>
        </w:rPr>
      </w:pPr>
      <w:r w:rsidRPr="00506EC1">
        <w:rPr>
          <w:b/>
        </w:rPr>
        <w:t>In associazione a regimi terapeutici antibatterici appropriati per l'eradicazione dell'</w:t>
      </w:r>
      <w:proofErr w:type="spellStart"/>
      <w:r w:rsidRPr="00506EC1">
        <w:rPr>
          <w:b/>
          <w:bCs/>
          <w:i/>
          <w:iCs/>
        </w:rPr>
        <w:t>Helicobacter</w:t>
      </w:r>
      <w:proofErr w:type="spellEnd"/>
      <w:r w:rsidRPr="00506EC1">
        <w:rPr>
          <w:b/>
          <w:bCs/>
          <w:i/>
          <w:iCs/>
        </w:rPr>
        <w:t xml:space="preserve"> </w:t>
      </w:r>
      <w:proofErr w:type="spellStart"/>
      <w:r w:rsidRPr="00506EC1">
        <w:rPr>
          <w:b/>
          <w:bCs/>
          <w:i/>
          <w:iCs/>
        </w:rPr>
        <w:t>pylori</w:t>
      </w:r>
      <w:proofErr w:type="spellEnd"/>
      <w:r w:rsidRPr="00506EC1">
        <w:rPr>
          <w:b/>
          <w:bCs/>
          <w:i/>
          <w:iCs/>
        </w:rPr>
        <w:t xml:space="preserve"> </w:t>
      </w:r>
      <w:r w:rsidRPr="00506EC1">
        <w:rPr>
          <w:b/>
        </w:rPr>
        <w:t>e</w:t>
      </w:r>
    </w:p>
    <w:p w:rsidR="00BB7777" w:rsidRDefault="00BB7777" w:rsidP="00BB7777">
      <w:pPr>
        <w:numPr>
          <w:ilvl w:val="0"/>
          <w:numId w:val="8"/>
        </w:numPr>
        <w:tabs>
          <w:tab w:val="clear" w:pos="720"/>
          <w:tab w:val="num" w:pos="993"/>
        </w:tabs>
        <w:spacing w:after="0" w:line="240" w:lineRule="auto"/>
        <w:ind w:hanging="11"/>
        <w:jc w:val="both"/>
        <w:rPr>
          <w:b/>
        </w:rPr>
      </w:pPr>
      <w:r>
        <w:t xml:space="preserve">la guarigione di ulcere duodenali associate a </w:t>
      </w:r>
      <w:proofErr w:type="spellStart"/>
      <w:r>
        <w:rPr>
          <w:i/>
          <w:iCs/>
        </w:rPr>
        <w:t>Helicobacter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pylori</w:t>
      </w:r>
      <w:proofErr w:type="spellEnd"/>
      <w:r>
        <w:rPr>
          <w:i/>
          <w:iCs/>
        </w:rPr>
        <w:t xml:space="preserve"> </w:t>
      </w:r>
      <w:r>
        <w:t>e</w:t>
      </w:r>
    </w:p>
    <w:p w:rsidR="00BB7777" w:rsidRDefault="00BB7777" w:rsidP="00BB7777">
      <w:pPr>
        <w:numPr>
          <w:ilvl w:val="0"/>
          <w:numId w:val="8"/>
        </w:numPr>
        <w:tabs>
          <w:tab w:val="clear" w:pos="720"/>
          <w:tab w:val="num" w:pos="993"/>
        </w:tabs>
        <w:spacing w:after="0" w:line="240" w:lineRule="auto"/>
        <w:ind w:hanging="11"/>
        <w:jc w:val="both"/>
        <w:rPr>
          <w:b/>
        </w:rPr>
      </w:pPr>
      <w:r>
        <w:t xml:space="preserve">la prevenzione delle recidive di ulcere peptiche in pazienti con ulcere associate a </w:t>
      </w:r>
      <w:proofErr w:type="spellStart"/>
      <w:r>
        <w:rPr>
          <w:i/>
          <w:iCs/>
        </w:rPr>
        <w:t>Helicobacter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pylori</w:t>
      </w:r>
      <w:proofErr w:type="spellEnd"/>
      <w:r>
        <w:rPr>
          <w:i/>
          <w:iCs/>
        </w:rPr>
        <w:t>.</w:t>
      </w:r>
    </w:p>
    <w:p w:rsidR="00BB7777" w:rsidRDefault="00BB7777" w:rsidP="00BB7777">
      <w:pPr>
        <w:tabs>
          <w:tab w:val="num" w:pos="993"/>
        </w:tabs>
        <w:ind w:hanging="11"/>
        <w:jc w:val="both"/>
      </w:pPr>
    </w:p>
    <w:p w:rsidR="00BB7777" w:rsidRPr="00506EC1" w:rsidRDefault="00BB7777" w:rsidP="00506EC1">
      <w:pPr>
        <w:ind w:firstLine="708"/>
        <w:jc w:val="both"/>
        <w:rPr>
          <w:b/>
        </w:rPr>
      </w:pPr>
      <w:r w:rsidRPr="00506EC1">
        <w:rPr>
          <w:b/>
        </w:rPr>
        <w:t>Pazienti che richiedono una terapia cronica a base di FANS</w:t>
      </w:r>
    </w:p>
    <w:p w:rsidR="00BB7777" w:rsidRDefault="00BB7777" w:rsidP="00C3773F">
      <w:pPr>
        <w:numPr>
          <w:ilvl w:val="0"/>
          <w:numId w:val="8"/>
        </w:numPr>
        <w:tabs>
          <w:tab w:val="clear" w:pos="720"/>
          <w:tab w:val="num" w:pos="993"/>
        </w:tabs>
        <w:spacing w:after="0" w:line="240" w:lineRule="auto"/>
        <w:ind w:hanging="11"/>
        <w:jc w:val="both"/>
      </w:pPr>
      <w:r>
        <w:t xml:space="preserve"> Guarigione delle ulcere gastriche associate alla terapia con FANS.</w:t>
      </w:r>
    </w:p>
    <w:p w:rsidR="00BB7777" w:rsidRDefault="00BB7777" w:rsidP="00C3773F">
      <w:pPr>
        <w:numPr>
          <w:ilvl w:val="0"/>
          <w:numId w:val="8"/>
        </w:numPr>
        <w:tabs>
          <w:tab w:val="clear" w:pos="720"/>
          <w:tab w:val="num" w:pos="993"/>
        </w:tabs>
        <w:spacing w:after="0" w:line="240" w:lineRule="auto"/>
        <w:ind w:hanging="11"/>
        <w:jc w:val="both"/>
      </w:pPr>
      <w:r>
        <w:t xml:space="preserve"> Prevenzione delle ulcere gastriche e duodenali associate alla terapia con FANS, nei pazienti a rischio.</w:t>
      </w:r>
    </w:p>
    <w:p w:rsidR="00BB7777" w:rsidRDefault="00BB7777" w:rsidP="00C3773F">
      <w:pPr>
        <w:spacing w:after="0" w:line="240" w:lineRule="auto"/>
        <w:ind w:left="720"/>
        <w:jc w:val="both"/>
      </w:pPr>
    </w:p>
    <w:p w:rsidR="00BB7777" w:rsidRPr="00506EC1" w:rsidRDefault="00BB7777" w:rsidP="00506EC1">
      <w:pPr>
        <w:ind w:left="644"/>
        <w:jc w:val="both"/>
        <w:rPr>
          <w:b/>
        </w:rPr>
      </w:pPr>
      <w:r w:rsidRPr="00506EC1">
        <w:rPr>
          <w:b/>
        </w:rPr>
        <w:t>Trattamento prolungato delle recidive emorragiche delle ulcere peptiche, dopo prevenzione indotta dalla somministrazione endovenosa.</w:t>
      </w:r>
    </w:p>
    <w:p w:rsidR="00BB7777" w:rsidRPr="00506EC1" w:rsidRDefault="00BB7777" w:rsidP="00506EC1">
      <w:pPr>
        <w:ind w:left="644"/>
        <w:jc w:val="both"/>
        <w:rPr>
          <w:b/>
        </w:rPr>
      </w:pPr>
      <w:r w:rsidRPr="00506EC1">
        <w:rPr>
          <w:b/>
        </w:rPr>
        <w:t xml:space="preserve">Trattamento della sindrome di </w:t>
      </w:r>
      <w:proofErr w:type="spellStart"/>
      <w:r w:rsidRPr="00506EC1">
        <w:rPr>
          <w:b/>
        </w:rPr>
        <w:t>Zollinger</w:t>
      </w:r>
      <w:r w:rsidRPr="00506EC1">
        <w:rPr>
          <w:b/>
        </w:rPr>
        <w:noBreakHyphen/>
        <w:t>Ellison</w:t>
      </w:r>
      <w:proofErr w:type="spellEnd"/>
      <w:r w:rsidRPr="00506EC1">
        <w:rPr>
          <w:b/>
        </w:rPr>
        <w:t>.</w:t>
      </w:r>
    </w:p>
    <w:p w:rsidR="00BB7777" w:rsidRPr="00C3773F" w:rsidRDefault="00BB7777" w:rsidP="00BB7777">
      <w:pPr>
        <w:jc w:val="both"/>
      </w:pPr>
    </w:p>
    <w:p w:rsidR="00BB7777" w:rsidRPr="00C3773F" w:rsidRDefault="00BB7777" w:rsidP="00C3773F">
      <w:pPr>
        <w:jc w:val="both"/>
        <w:rPr>
          <w:rStyle w:val="hps"/>
        </w:rPr>
      </w:pPr>
      <w:proofErr w:type="spellStart"/>
      <w:r w:rsidRPr="00C3773F">
        <w:rPr>
          <w:rStyle w:val="hps"/>
        </w:rPr>
        <w:t>Esomeprazolo</w:t>
      </w:r>
      <w:proofErr w:type="spellEnd"/>
      <w:r w:rsidRPr="00C3773F">
        <w:rPr>
          <w:rStyle w:val="hps"/>
        </w:rPr>
        <w:t xml:space="preserve"> </w:t>
      </w:r>
      <w:proofErr w:type="spellStart"/>
      <w:r w:rsidRPr="00C3773F">
        <w:rPr>
          <w:rStyle w:val="hps"/>
        </w:rPr>
        <w:t>Mylan</w:t>
      </w:r>
      <w:proofErr w:type="spellEnd"/>
      <w:r w:rsidRPr="00C3773F">
        <w:rPr>
          <w:rStyle w:val="hps"/>
        </w:rPr>
        <w:t xml:space="preserve"> </w:t>
      </w:r>
      <w:proofErr w:type="spellStart"/>
      <w:r w:rsidRPr="00C3773F">
        <w:rPr>
          <w:rStyle w:val="hps"/>
        </w:rPr>
        <w:t>Generics</w:t>
      </w:r>
      <w:proofErr w:type="spellEnd"/>
      <w:r w:rsidRPr="00C3773F">
        <w:rPr>
          <w:rStyle w:val="hps"/>
        </w:rPr>
        <w:t xml:space="preserve"> è indicato negli adolescenti dai</w:t>
      </w:r>
      <w:r w:rsidRPr="00C3773F">
        <w:t xml:space="preserve"> </w:t>
      </w:r>
      <w:r w:rsidRPr="00C3773F">
        <w:rPr>
          <w:rStyle w:val="hps"/>
        </w:rPr>
        <w:t>12 anni di età</w:t>
      </w:r>
      <w:r w:rsidR="00C3773F">
        <w:rPr>
          <w:rStyle w:val="hps"/>
        </w:rPr>
        <w:t xml:space="preserve"> per</w:t>
      </w:r>
    </w:p>
    <w:p w:rsidR="00BB7777" w:rsidRPr="00506EC1" w:rsidRDefault="00BB7777" w:rsidP="00506EC1">
      <w:pPr>
        <w:pStyle w:val="Paragrafoelenco"/>
        <w:ind w:left="1004"/>
        <w:jc w:val="both"/>
        <w:rPr>
          <w:b/>
        </w:rPr>
      </w:pPr>
      <w:r w:rsidRPr="00506EC1">
        <w:rPr>
          <w:rStyle w:val="hps"/>
          <w:b/>
        </w:rPr>
        <w:t>Malattia da reflusso</w:t>
      </w:r>
      <w:r w:rsidRPr="00506EC1">
        <w:rPr>
          <w:b/>
        </w:rPr>
        <w:t xml:space="preserve"> </w:t>
      </w:r>
      <w:proofErr w:type="spellStart"/>
      <w:r w:rsidRPr="00506EC1">
        <w:rPr>
          <w:rStyle w:val="hps"/>
          <w:b/>
        </w:rPr>
        <w:t>gastro</w:t>
      </w:r>
      <w:r w:rsidRPr="00506EC1">
        <w:rPr>
          <w:b/>
        </w:rPr>
        <w:t>esofageo</w:t>
      </w:r>
      <w:proofErr w:type="spellEnd"/>
      <w:r w:rsidRPr="00506EC1">
        <w:rPr>
          <w:b/>
        </w:rPr>
        <w:t xml:space="preserve"> </w:t>
      </w:r>
      <w:r w:rsidRPr="00506EC1">
        <w:rPr>
          <w:rStyle w:val="hps"/>
          <w:b/>
        </w:rPr>
        <w:t>(</w:t>
      </w:r>
      <w:r w:rsidRPr="00506EC1">
        <w:rPr>
          <w:b/>
        </w:rPr>
        <w:t>MRGE)</w:t>
      </w:r>
    </w:p>
    <w:p w:rsidR="00BB7777" w:rsidRPr="00C3773F" w:rsidRDefault="00BB7777" w:rsidP="00C3773F">
      <w:pPr>
        <w:numPr>
          <w:ilvl w:val="0"/>
          <w:numId w:val="8"/>
        </w:numPr>
        <w:tabs>
          <w:tab w:val="clear" w:pos="720"/>
          <w:tab w:val="num" w:pos="993"/>
        </w:tabs>
        <w:spacing w:after="0" w:line="240" w:lineRule="auto"/>
        <w:ind w:hanging="11"/>
        <w:jc w:val="both"/>
      </w:pPr>
      <w:r w:rsidRPr="00C3773F">
        <w:noBreakHyphen/>
        <w:t xml:space="preserve"> Trattamento di</w:t>
      </w:r>
      <w:r>
        <w:t xml:space="preserve"> esofagite </w:t>
      </w:r>
      <w:r w:rsidRPr="00C3773F">
        <w:t>da reflusso erosiva.</w:t>
      </w:r>
    </w:p>
    <w:p w:rsidR="00BB7777" w:rsidRPr="00C3773F" w:rsidRDefault="00BB7777" w:rsidP="00C3773F">
      <w:pPr>
        <w:numPr>
          <w:ilvl w:val="0"/>
          <w:numId w:val="8"/>
        </w:numPr>
        <w:tabs>
          <w:tab w:val="clear" w:pos="720"/>
          <w:tab w:val="num" w:pos="993"/>
        </w:tabs>
        <w:spacing w:after="0" w:line="240" w:lineRule="auto"/>
        <w:ind w:hanging="11"/>
        <w:jc w:val="both"/>
      </w:pPr>
      <w:r w:rsidRPr="00C3773F">
        <w:noBreakHyphen/>
      </w:r>
      <w:r>
        <w:t xml:space="preserve"> </w:t>
      </w:r>
      <w:r w:rsidRPr="00C3773F">
        <w:t>Gestione a lungo</w:t>
      </w:r>
      <w:r>
        <w:t xml:space="preserve"> </w:t>
      </w:r>
      <w:r w:rsidRPr="00C3773F">
        <w:t>termine dei pazienti con</w:t>
      </w:r>
      <w:r>
        <w:t xml:space="preserve"> </w:t>
      </w:r>
      <w:r w:rsidRPr="00C3773F">
        <w:t>esofagite</w:t>
      </w:r>
      <w:r>
        <w:t xml:space="preserve"> </w:t>
      </w:r>
      <w:r w:rsidRPr="00C3773F">
        <w:t>guarita,</w:t>
      </w:r>
      <w:r>
        <w:t xml:space="preserve"> </w:t>
      </w:r>
      <w:r w:rsidRPr="00C3773F">
        <w:t>per prevenire le ricadute.</w:t>
      </w:r>
    </w:p>
    <w:p w:rsidR="00BB7777" w:rsidRDefault="00BB7777" w:rsidP="00C3773F">
      <w:pPr>
        <w:numPr>
          <w:ilvl w:val="0"/>
          <w:numId w:val="8"/>
        </w:numPr>
        <w:tabs>
          <w:tab w:val="clear" w:pos="720"/>
          <w:tab w:val="num" w:pos="993"/>
        </w:tabs>
        <w:spacing w:after="0" w:line="240" w:lineRule="auto"/>
        <w:ind w:hanging="11"/>
        <w:jc w:val="both"/>
      </w:pPr>
      <w:r w:rsidRPr="00C3773F">
        <w:noBreakHyphen/>
        <w:t xml:space="preserve"> Trattamento sintomatico</w:t>
      </w:r>
      <w:r>
        <w:t xml:space="preserve"> </w:t>
      </w:r>
      <w:r w:rsidRPr="00C3773F">
        <w:t>della malattia da reflusso</w:t>
      </w:r>
      <w:r>
        <w:t xml:space="preserve"> </w:t>
      </w:r>
      <w:proofErr w:type="spellStart"/>
      <w:r w:rsidRPr="00C3773F">
        <w:t>gastroesofageo</w:t>
      </w:r>
      <w:proofErr w:type="spellEnd"/>
      <w:r>
        <w:t xml:space="preserve"> </w:t>
      </w:r>
      <w:r w:rsidRPr="00C3773F">
        <w:t>(</w:t>
      </w:r>
      <w:r>
        <w:t>MRGE).</w:t>
      </w:r>
    </w:p>
    <w:p w:rsidR="00BB7777" w:rsidRDefault="00BB7777" w:rsidP="00C3773F">
      <w:pPr>
        <w:spacing w:line="240" w:lineRule="auto"/>
        <w:jc w:val="both"/>
      </w:pPr>
    </w:p>
    <w:p w:rsidR="00BB7777" w:rsidRPr="00506EC1" w:rsidRDefault="00BB7777" w:rsidP="00BB7777">
      <w:pPr>
        <w:jc w:val="both"/>
        <w:rPr>
          <w:rStyle w:val="hps"/>
          <w:b/>
          <w:i/>
        </w:rPr>
      </w:pPr>
      <w:r w:rsidRPr="00506EC1">
        <w:rPr>
          <w:rStyle w:val="hps"/>
          <w:b/>
        </w:rPr>
        <w:lastRenderedPageBreak/>
        <w:t>In</w:t>
      </w:r>
      <w:r w:rsidRPr="00506EC1">
        <w:rPr>
          <w:b/>
        </w:rPr>
        <w:t xml:space="preserve"> </w:t>
      </w:r>
      <w:r w:rsidRPr="00506EC1">
        <w:rPr>
          <w:rStyle w:val="hps"/>
          <w:b/>
        </w:rPr>
        <w:t>combinazione con antibiotici</w:t>
      </w:r>
      <w:r w:rsidRPr="00506EC1">
        <w:rPr>
          <w:b/>
        </w:rPr>
        <w:t xml:space="preserve"> </w:t>
      </w:r>
      <w:r w:rsidRPr="00506EC1">
        <w:rPr>
          <w:rStyle w:val="hps"/>
          <w:b/>
        </w:rPr>
        <w:t>nel</w:t>
      </w:r>
      <w:r w:rsidRPr="00506EC1">
        <w:rPr>
          <w:b/>
        </w:rPr>
        <w:t xml:space="preserve"> </w:t>
      </w:r>
      <w:r w:rsidRPr="00506EC1">
        <w:rPr>
          <w:rStyle w:val="hps"/>
          <w:b/>
        </w:rPr>
        <w:t>trattamento</w:t>
      </w:r>
      <w:r w:rsidRPr="00506EC1">
        <w:rPr>
          <w:b/>
        </w:rPr>
        <w:t xml:space="preserve"> </w:t>
      </w:r>
      <w:r w:rsidRPr="00506EC1">
        <w:rPr>
          <w:rStyle w:val="hps"/>
          <w:b/>
        </w:rPr>
        <w:t>dell'ulcera duodenale</w:t>
      </w:r>
      <w:r w:rsidRPr="00506EC1">
        <w:rPr>
          <w:b/>
        </w:rPr>
        <w:t xml:space="preserve"> </w:t>
      </w:r>
      <w:r w:rsidRPr="00506EC1">
        <w:rPr>
          <w:rStyle w:val="hps"/>
          <w:b/>
        </w:rPr>
        <w:t>causata da</w:t>
      </w:r>
      <w:r w:rsidRPr="00506EC1">
        <w:rPr>
          <w:b/>
        </w:rPr>
        <w:t xml:space="preserve"> </w:t>
      </w:r>
      <w:proofErr w:type="spellStart"/>
      <w:r w:rsidRPr="00506EC1">
        <w:rPr>
          <w:rStyle w:val="hps"/>
          <w:b/>
          <w:i/>
        </w:rPr>
        <w:t>Helicobacter</w:t>
      </w:r>
      <w:proofErr w:type="spellEnd"/>
      <w:r w:rsidRPr="00506EC1">
        <w:rPr>
          <w:b/>
          <w:i/>
        </w:rPr>
        <w:t xml:space="preserve"> </w:t>
      </w:r>
      <w:proofErr w:type="spellStart"/>
      <w:r w:rsidRPr="00506EC1">
        <w:rPr>
          <w:rStyle w:val="hps"/>
          <w:b/>
          <w:i/>
        </w:rPr>
        <w:t>pylori</w:t>
      </w:r>
      <w:proofErr w:type="spellEnd"/>
      <w:r w:rsidRPr="00506EC1">
        <w:rPr>
          <w:rStyle w:val="hps"/>
          <w:b/>
          <w:i/>
        </w:rPr>
        <w:t>.</w:t>
      </w:r>
    </w:p>
    <w:p w:rsidR="00516647" w:rsidRPr="00F07D0F" w:rsidRDefault="00516647" w:rsidP="00516647">
      <w:pPr>
        <w:spacing w:after="0" w:line="240" w:lineRule="auto"/>
        <w:jc w:val="both"/>
      </w:pPr>
      <w:r w:rsidRPr="00F07D0F">
        <w:t xml:space="preserve">La richiesta di AIC è supportata da due studi di </w:t>
      </w:r>
      <w:proofErr w:type="spellStart"/>
      <w:r w:rsidRPr="00F07D0F">
        <w:t>bioequivalenza</w:t>
      </w:r>
      <w:proofErr w:type="spellEnd"/>
      <w:r w:rsidRPr="00F07D0F">
        <w:t xml:space="preserve"> che hanno confrontato i profili farmacocinetici del medicinale test </w:t>
      </w:r>
      <w:proofErr w:type="spellStart"/>
      <w:r w:rsidRPr="00F07D0F">
        <w:rPr>
          <w:rFonts w:eastAsia="Calibri" w:cs="Calibri"/>
          <w:color w:val="000000"/>
          <w:lang w:eastAsia="it-IT"/>
        </w:rPr>
        <w:t>Esomeprazolo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07D0F">
        <w:rPr>
          <w:rFonts w:eastAsia="Calibri" w:cs="Calibri"/>
          <w:color w:val="000000"/>
          <w:lang w:eastAsia="it-IT"/>
        </w:rPr>
        <w:t>Mylan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07D0F">
        <w:rPr>
          <w:rFonts w:eastAsia="Calibri" w:cs="Calibri"/>
          <w:color w:val="000000"/>
          <w:lang w:eastAsia="it-IT"/>
        </w:rPr>
        <w:t>Generics</w:t>
      </w:r>
      <w:proofErr w:type="spellEnd"/>
      <w:r w:rsidRPr="00F07D0F">
        <w:t xml:space="preserve"> e quelli del medicinale di riferimento </w:t>
      </w:r>
      <w:proofErr w:type="spellStart"/>
      <w:r w:rsidRPr="00F07D0F">
        <w:t>Nexium</w:t>
      </w:r>
      <w:proofErr w:type="spellEnd"/>
      <w:r w:rsidRPr="00F07D0F">
        <w:rPr>
          <w:rFonts w:cstheme="minorHAnsi"/>
        </w:rPr>
        <w:t>®</w:t>
      </w:r>
      <w:r w:rsidRPr="00F07D0F">
        <w:t xml:space="preserve"> autorizzato in Italia.</w:t>
      </w:r>
    </w:p>
    <w:p w:rsidR="00516647" w:rsidRDefault="00516647" w:rsidP="00516647">
      <w:pPr>
        <w:spacing w:after="0" w:line="240" w:lineRule="auto"/>
        <w:jc w:val="both"/>
      </w:pPr>
      <w:r w:rsidRPr="00F07D0F">
        <w:t xml:space="preserve">Gli studi di </w:t>
      </w:r>
      <w:proofErr w:type="spellStart"/>
      <w:r w:rsidRPr="00F07D0F">
        <w:t>bioequivalenza</w:t>
      </w:r>
      <w:proofErr w:type="spellEnd"/>
      <w:r>
        <w:t xml:space="preserve"> </w:t>
      </w:r>
      <w:r w:rsidRPr="00F07D0F">
        <w:t>sono stati condotti in conformità alle linee guida di Buona Pratica Clinica (</w:t>
      </w:r>
      <w:proofErr w:type="spellStart"/>
      <w:r w:rsidRPr="00F07D0F">
        <w:rPr>
          <w:i/>
        </w:rPr>
        <w:t>Good</w:t>
      </w:r>
      <w:proofErr w:type="spellEnd"/>
      <w:r>
        <w:rPr>
          <w:i/>
        </w:rPr>
        <w:t xml:space="preserve"> </w:t>
      </w:r>
      <w:proofErr w:type="spellStart"/>
      <w:r w:rsidRPr="00F07D0F">
        <w:rPr>
          <w:i/>
        </w:rPr>
        <w:t>Clinical</w:t>
      </w:r>
      <w:proofErr w:type="spellEnd"/>
      <w:r w:rsidRPr="00F07D0F">
        <w:rPr>
          <w:i/>
        </w:rPr>
        <w:t xml:space="preserve"> </w:t>
      </w:r>
      <w:proofErr w:type="spellStart"/>
      <w:r w:rsidRPr="00F07D0F">
        <w:rPr>
          <w:i/>
        </w:rPr>
        <w:t>Practice</w:t>
      </w:r>
      <w:proofErr w:type="spellEnd"/>
      <w:r w:rsidRPr="00F07D0F">
        <w:t xml:space="preserve"> - GCP).</w:t>
      </w:r>
    </w:p>
    <w:p w:rsidR="00CC52A3" w:rsidRPr="00900C91" w:rsidRDefault="00CC52A3" w:rsidP="0042214D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proofErr w:type="spellStart"/>
      <w:r w:rsidRPr="00EF6711">
        <w:rPr>
          <w:i/>
        </w:rPr>
        <w:t>Good</w:t>
      </w:r>
      <w:proofErr w:type="spellEnd"/>
      <w:r w:rsidRPr="00EF6711">
        <w:rPr>
          <w:i/>
        </w:rPr>
        <w:t xml:space="preserve"> Manufacturing </w:t>
      </w:r>
      <w:proofErr w:type="spellStart"/>
      <w:r w:rsidRPr="00EF6711">
        <w:rPr>
          <w:i/>
        </w:rPr>
        <w:t>Practice</w:t>
      </w:r>
      <w:proofErr w:type="spellEnd"/>
      <w:r w:rsidRPr="00EF6711">
        <w:t xml:space="preserve"> - GMP). Le autorità regolatore competenti hanno rilasciato i certificati GMP per i siti di produzione sul territorio dell’Unione Europea.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EF6711">
        <w:rPr>
          <w:i/>
        </w:rPr>
        <w:t>Risk</w:t>
      </w:r>
      <w:proofErr w:type="spellEnd"/>
      <w:r w:rsidRPr="00EF6711">
        <w:rPr>
          <w:i/>
        </w:rPr>
        <w:t xml:space="preserve"> Management </w:t>
      </w:r>
      <w:proofErr w:type="spellStart"/>
      <w:r w:rsidRPr="00EF6711">
        <w:rPr>
          <w:i/>
        </w:rPr>
        <w:t>Plan</w:t>
      </w:r>
      <w:proofErr w:type="spellEnd"/>
      <w:r w:rsidRPr="00EF6711">
        <w:t xml:space="preserve"> – RMP) accettabile.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AD55D1" w:rsidRPr="00AD55D1">
        <w:rPr>
          <w:rFonts w:eastAsia="Calibri" w:cs="Calibri"/>
          <w:color w:val="000000"/>
          <w:lang w:eastAsia="it-IT"/>
        </w:rPr>
        <w:t>Esomeprazolo</w:t>
      </w:r>
      <w:proofErr w:type="spellEnd"/>
      <w:r w:rsidR="00AD55D1" w:rsidRPr="00AD55D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D55D1" w:rsidRPr="00AD55D1">
        <w:rPr>
          <w:rFonts w:eastAsia="Calibri" w:cs="Calibri"/>
          <w:color w:val="000000"/>
          <w:lang w:eastAsia="it-IT"/>
        </w:rPr>
        <w:t>Mylan</w:t>
      </w:r>
      <w:proofErr w:type="spellEnd"/>
      <w:r w:rsidR="00AD55D1" w:rsidRPr="00AD55D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D55D1" w:rsidRPr="00AD55D1">
        <w:rPr>
          <w:rFonts w:eastAsia="Calibri" w:cs="Calibri"/>
          <w:color w:val="000000"/>
          <w:lang w:eastAsia="it-IT"/>
        </w:rPr>
        <w:t>Generics</w:t>
      </w:r>
      <w:proofErr w:type="spellEnd"/>
      <w:r w:rsidR="00AD55D1" w:rsidRPr="00AD55D1">
        <w:rPr>
          <w:rFonts w:eastAsia="Calibri" w:cs="Calibri"/>
          <w:color w:val="000000"/>
          <w:lang w:eastAsia="it-IT"/>
        </w:rPr>
        <w:t xml:space="preserve">  </w:t>
      </w:r>
      <w:r w:rsidRPr="00EF6711">
        <w:t xml:space="preserve">contiene </w:t>
      </w:r>
      <w:r w:rsidR="00265B61">
        <w:t xml:space="preserve">un </w:t>
      </w:r>
      <w:r w:rsidRPr="00EF6711">
        <w:t>principi</w:t>
      </w:r>
      <w:r w:rsidR="00265B61">
        <w:t>o</w:t>
      </w:r>
      <w:r w:rsidRPr="00EF6711">
        <w:t xml:space="preserve"> attiv</w:t>
      </w:r>
      <w:r w:rsidR="00265B61">
        <w:t>o</w:t>
      </w:r>
      <w:r w:rsidRPr="00EF6711">
        <w:t xml:space="preserve"> not</w:t>
      </w:r>
      <w:r w:rsidR="00265B61">
        <w:t>o</w:t>
      </w:r>
      <w:r w:rsidRPr="00EF6711">
        <w:t xml:space="preserve"> present</w:t>
      </w:r>
      <w:r w:rsidR="00265B61">
        <w:t>e</w:t>
      </w:r>
      <w:r w:rsidRPr="00EF671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 xml:space="preserve">ASPETTI </w:t>
      </w:r>
      <w:proofErr w:type="spellStart"/>
      <w:r w:rsidRPr="00EF6711">
        <w:rPr>
          <w:b/>
        </w:rPr>
        <w:t>DI</w:t>
      </w:r>
      <w:proofErr w:type="spellEnd"/>
      <w:r w:rsidRPr="00EF6711">
        <w:rPr>
          <w:b/>
        </w:rPr>
        <w:t xml:space="preserve"> QUALITA’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 xml:space="preserve">II.1 PRINCIPIO ATTIVO </w:t>
      </w:r>
      <w:proofErr w:type="spellStart"/>
      <w:r w:rsidR="00CB017B">
        <w:rPr>
          <w:b/>
        </w:rPr>
        <w:t>Esomeprazolo</w:t>
      </w:r>
      <w:proofErr w:type="spellEnd"/>
      <w:r w:rsidR="00CB017B">
        <w:rPr>
          <w:b/>
        </w:rPr>
        <w:t xml:space="preserve"> magnesio </w:t>
      </w:r>
      <w:r w:rsidR="001C2283">
        <w:rPr>
          <w:b/>
        </w:rPr>
        <w:t>(</w:t>
      </w:r>
      <w:r w:rsidR="00CB017B">
        <w:rPr>
          <w:b/>
        </w:rPr>
        <w:t>amorfo</w:t>
      </w:r>
      <w:r w:rsidR="001C2283">
        <w:rPr>
          <w:b/>
        </w:rPr>
        <w:t>)</w:t>
      </w:r>
    </w:p>
    <w:p w:rsidR="00CB017B" w:rsidRPr="00D67B13" w:rsidRDefault="004E5A39" w:rsidP="00CB017B">
      <w:pPr>
        <w:spacing w:after="120"/>
        <w:jc w:val="both"/>
      </w:pPr>
      <w:r w:rsidRPr="00EF6711">
        <w:rPr>
          <w:u w:val="single"/>
        </w:rPr>
        <w:t>Nome chimico</w:t>
      </w:r>
      <w:r w:rsidR="000E4494" w:rsidRPr="00EF6711">
        <w:rPr>
          <w:i/>
          <w:iCs/>
        </w:rPr>
        <w:t xml:space="preserve"> </w:t>
      </w:r>
      <w:proofErr w:type="spellStart"/>
      <w:r w:rsidR="00CB017B" w:rsidRPr="00D67B13">
        <w:t>Magnesium</w:t>
      </w:r>
      <w:proofErr w:type="spellEnd"/>
      <w:r w:rsidR="00CB017B" w:rsidRPr="00D67B13">
        <w:t>, bis[5-methoxy-2-[(S)-[(4-methoxy-3,5-dimethyl-2-pyridinyl)methyl]sulfinyl-kO]-1H-benzimidazolato-kN1 ]-, (T-4)-</w:t>
      </w:r>
    </w:p>
    <w:p w:rsidR="004E5A39" w:rsidRPr="00CC52A3" w:rsidRDefault="004E5A39" w:rsidP="00CC52A3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Struttura</w:t>
      </w:r>
      <w:r w:rsidRPr="00EF6711">
        <w:t>:</w:t>
      </w:r>
    </w:p>
    <w:p w:rsidR="004E5A39" w:rsidRDefault="00CB017B" w:rsidP="00EF6711">
      <w:pPr>
        <w:spacing w:after="0" w:line="240" w:lineRule="auto"/>
        <w:jc w:val="center"/>
        <w:rPr>
          <w:highlight w:val="yellow"/>
        </w:rPr>
      </w:pPr>
      <w:r>
        <w:rPr>
          <w:noProof/>
          <w:lang w:eastAsia="it-IT"/>
        </w:rPr>
        <w:drawing>
          <wp:inline distT="0" distB="0" distL="0" distR="0">
            <wp:extent cx="3829050" cy="172402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17B" w:rsidRPr="00EF6711" w:rsidRDefault="00CB017B" w:rsidP="00EF6711">
      <w:pPr>
        <w:spacing w:after="0" w:line="240" w:lineRule="auto"/>
        <w:jc w:val="center"/>
        <w:rPr>
          <w:highlight w:val="yellow"/>
        </w:rPr>
      </w:pPr>
    </w:p>
    <w:p w:rsidR="00CB017B" w:rsidRDefault="004E5A39" w:rsidP="00EF6711">
      <w:pPr>
        <w:spacing w:after="0" w:line="240" w:lineRule="auto"/>
        <w:jc w:val="both"/>
        <w:rPr>
          <w:vertAlign w:val="subscript"/>
        </w:rPr>
      </w:pPr>
      <w:r w:rsidRPr="00EF6711">
        <w:rPr>
          <w:u w:val="single"/>
        </w:rPr>
        <w:t>Formula molecolare</w:t>
      </w:r>
      <w:r w:rsidRPr="00EF6711">
        <w:t>:</w:t>
      </w:r>
      <w:r w:rsidRPr="00EF6711">
        <w:rPr>
          <w:rStyle w:val="s1"/>
          <w:rFonts w:asciiTheme="minorHAnsi" w:hAnsiTheme="minorHAnsi"/>
        </w:rPr>
        <w:t xml:space="preserve"> </w:t>
      </w:r>
      <w:r w:rsidR="00CB017B" w:rsidRPr="00D67B13">
        <w:t>C</w:t>
      </w:r>
      <w:r w:rsidR="00CB017B" w:rsidRPr="00D67B13">
        <w:rPr>
          <w:vertAlign w:val="subscript"/>
        </w:rPr>
        <w:t>34</w:t>
      </w:r>
      <w:r w:rsidR="00CB017B" w:rsidRPr="00D67B13">
        <w:t>H</w:t>
      </w:r>
      <w:r w:rsidR="00CB017B" w:rsidRPr="00D67B13">
        <w:rPr>
          <w:vertAlign w:val="subscript"/>
        </w:rPr>
        <w:t>36</w:t>
      </w:r>
      <w:r w:rsidR="00CB017B" w:rsidRPr="00D67B13">
        <w:t>MgN</w:t>
      </w:r>
      <w:r w:rsidR="00CB017B" w:rsidRPr="00D67B13">
        <w:rPr>
          <w:vertAlign w:val="subscript"/>
        </w:rPr>
        <w:t>6</w:t>
      </w:r>
      <w:r w:rsidR="00CB017B" w:rsidRPr="00D67B13">
        <w:t>O</w:t>
      </w:r>
      <w:r w:rsidR="00CB017B" w:rsidRPr="00D67B13">
        <w:rPr>
          <w:vertAlign w:val="subscript"/>
        </w:rPr>
        <w:t>6</w:t>
      </w:r>
      <w:r w:rsidR="00CB017B" w:rsidRPr="00D67B13">
        <w:t>S</w:t>
      </w:r>
      <w:r w:rsidR="00CB017B" w:rsidRPr="00D67B13">
        <w:rPr>
          <w:vertAlign w:val="subscript"/>
        </w:rPr>
        <w:t>2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Peso molecolare</w:t>
      </w:r>
      <w:r w:rsidRPr="00EF6711">
        <w:t>:</w:t>
      </w:r>
      <w:r w:rsidRPr="00EF6711">
        <w:rPr>
          <w:rFonts w:cs="Arial"/>
          <w:color w:val="252525"/>
          <w:shd w:val="clear" w:color="auto" w:fill="F9F9F9"/>
        </w:rPr>
        <w:t xml:space="preserve"> </w:t>
      </w:r>
      <w:r w:rsidR="00CB017B" w:rsidRPr="00D67B13">
        <w:t>713.12</w:t>
      </w:r>
      <w:r w:rsidR="00CB017B">
        <w:t xml:space="preserve"> </w:t>
      </w:r>
      <w:r w:rsidRPr="00EF6711">
        <w:rPr>
          <w:rStyle w:val="s1"/>
          <w:rFonts w:asciiTheme="minorHAnsi" w:hAnsiTheme="minorHAnsi"/>
        </w:rPr>
        <w:t>g/mol</w:t>
      </w:r>
    </w:p>
    <w:p w:rsidR="00CB017B" w:rsidRPr="000B5D9A" w:rsidRDefault="004E5A39" w:rsidP="00CB017B">
      <w:pPr>
        <w:spacing w:after="0" w:line="240" w:lineRule="auto"/>
        <w:jc w:val="both"/>
      </w:pPr>
      <w:r w:rsidRPr="00EF6711">
        <w:rPr>
          <w:u w:val="single"/>
        </w:rPr>
        <w:t>CAS</w:t>
      </w:r>
      <w:r w:rsidRPr="00EF6711">
        <w:t xml:space="preserve">: </w:t>
      </w:r>
      <w:r w:rsidR="00CB017B" w:rsidRPr="000B5D9A">
        <w:t>161973-10-0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Aspetto</w:t>
      </w:r>
      <w:r w:rsidRPr="00EF6711">
        <w:t xml:space="preserve">: </w:t>
      </w:r>
      <w:r w:rsidR="00CB017B">
        <w:t>polvere amorfa d</w:t>
      </w:r>
      <w:r w:rsidR="000E44DA">
        <w:t>i colore d</w:t>
      </w:r>
      <w:r w:rsidR="00CB017B">
        <w:t>a biancastr</w:t>
      </w:r>
      <w:r w:rsidR="000E44DA">
        <w:t>o</w:t>
      </w:r>
      <w:r w:rsidR="00CB017B">
        <w:t xml:space="preserve"> a </w:t>
      </w:r>
      <w:r w:rsidR="000E44DA">
        <w:t>giallo chiaro</w:t>
      </w:r>
      <w:r w:rsidR="00CB017B">
        <w:t>.</w:t>
      </w:r>
    </w:p>
    <w:p w:rsidR="004E5A39" w:rsidRPr="00EF6711" w:rsidRDefault="004E5A39" w:rsidP="00EF6711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EF6711">
        <w:rPr>
          <w:u w:val="single"/>
        </w:rPr>
        <w:t>Solubilità</w:t>
      </w:r>
      <w:r w:rsidRPr="00EF6711">
        <w:t xml:space="preserve">: </w:t>
      </w:r>
      <w:r w:rsidR="00CB017B">
        <w:t>solubile in metanolo, praticamente insolubile in acqua ed eptano.</w:t>
      </w:r>
    </w:p>
    <w:p w:rsidR="004E5A39" w:rsidRDefault="004E5A39" w:rsidP="00EF6711">
      <w:pPr>
        <w:spacing w:after="0" w:line="240" w:lineRule="auto"/>
        <w:jc w:val="both"/>
        <w:rPr>
          <w:highlight w:val="yellow"/>
        </w:rPr>
      </w:pPr>
    </w:p>
    <w:p w:rsidR="00265B61" w:rsidRPr="00400F57" w:rsidRDefault="00265B61" w:rsidP="00265B61">
      <w:pPr>
        <w:spacing w:after="0" w:line="240" w:lineRule="auto"/>
        <w:jc w:val="both"/>
      </w:pPr>
      <w:r w:rsidRPr="00400F57">
        <w:t xml:space="preserve">Il principio attivo </w:t>
      </w:r>
      <w:r w:rsidR="00E315BE">
        <w:t xml:space="preserve">non </w:t>
      </w:r>
      <w:r w:rsidR="00CC52A3">
        <w:t>è</w:t>
      </w:r>
      <w:r w:rsidRPr="00400F57">
        <w:t xml:space="preserve"> presente in Farmacopea Europea; il produttore ha presentato un ASMF. </w:t>
      </w:r>
    </w:p>
    <w:p w:rsidR="00265B61" w:rsidRPr="00400F57" w:rsidRDefault="00265B61" w:rsidP="00265B61">
      <w:pPr>
        <w:spacing w:after="0" w:line="240" w:lineRule="auto"/>
        <w:jc w:val="both"/>
      </w:pPr>
      <w:r w:rsidRPr="00400F57">
        <w:t>La sintesi del principio attivo è stata adeguatamente descritta a partire da idonei materiali di partenza; sono utilizzati appropriati controlli di processo e intermedi di sintesi.</w:t>
      </w:r>
    </w:p>
    <w:p w:rsidR="00265B61" w:rsidRDefault="00265B61" w:rsidP="00265B61">
      <w:pPr>
        <w:spacing w:after="0" w:line="240" w:lineRule="auto"/>
        <w:jc w:val="both"/>
      </w:pPr>
      <w:r w:rsidRPr="00400F57">
        <w:t>I materiali</w:t>
      </w:r>
      <w:r>
        <w:t xml:space="preserve"> e i reagenti utilizzati nella sintesi sono di qualità adeguata.</w:t>
      </w:r>
    </w:p>
    <w:p w:rsidR="00265B61" w:rsidRDefault="00265B61" w:rsidP="00265B61">
      <w:pPr>
        <w:spacing w:after="0" w:line="240" w:lineRule="auto"/>
        <w:jc w:val="both"/>
      </w:pPr>
      <w:r>
        <w:t>I materiali, gli intermedi, i reagenti utilizzati nella sintesi non sono di origine umana, biologica o geneticamente modificata. Sono state fornite prove adeguate della struttura isolata. Tutte le potenziali impurezze note sono state identificate e caratterizzate.</w:t>
      </w:r>
    </w:p>
    <w:p w:rsidR="00265B61" w:rsidRDefault="00265B61" w:rsidP="00265B61">
      <w:pPr>
        <w:spacing w:after="0" w:line="240" w:lineRule="auto"/>
        <w:jc w:val="both"/>
      </w:pPr>
      <w:r>
        <w:lastRenderedPageBreak/>
        <w:t>Le specifiche del principio attivo sono appropriate e controllate con metodi analitici adeguatamente convalidati. Sono stati forniti certificati analitici che confermano la qualità del principio attivo.</w:t>
      </w:r>
    </w:p>
    <w:p w:rsidR="00265B61" w:rsidRDefault="00265B61" w:rsidP="00265B61">
      <w:pPr>
        <w:spacing w:after="0" w:line="240" w:lineRule="auto"/>
        <w:jc w:val="both"/>
      </w:pPr>
      <w:r>
        <w:t xml:space="preserve">Il principio attivo è confezionato in un adeguato contenitore, per il quale sono stati forniti specifiche e certificati analitici. Il confezionamento primario è costituito da </w:t>
      </w:r>
      <w:r w:rsidR="000E44DA">
        <w:t>una tripla sacca in contenitore HDPE.</w:t>
      </w:r>
    </w:p>
    <w:p w:rsidR="00265B61" w:rsidRDefault="00265B61" w:rsidP="00265B61">
      <w:pPr>
        <w:spacing w:after="0" w:line="240" w:lineRule="auto"/>
        <w:jc w:val="both"/>
      </w:pPr>
      <w:r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>
        <w:t>retest</w:t>
      </w:r>
      <w:proofErr w:type="spellEnd"/>
      <w:r>
        <w:t xml:space="preserve"> di </w:t>
      </w:r>
      <w:r w:rsidR="00A944F5">
        <w:t>60</w:t>
      </w:r>
      <w:r>
        <w:t xml:space="preserve"> mesi.</w:t>
      </w:r>
    </w:p>
    <w:p w:rsidR="00B30431" w:rsidRDefault="00B30431" w:rsidP="00EF6711">
      <w:pPr>
        <w:spacing w:after="0" w:line="240" w:lineRule="auto"/>
        <w:jc w:val="both"/>
      </w:pPr>
    </w:p>
    <w:p w:rsidR="000B7AC8" w:rsidRPr="00EF6711" w:rsidRDefault="000B7AC8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:rsidR="004E5A39" w:rsidRPr="00EF6711" w:rsidRDefault="00BB7777" w:rsidP="00EF6711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Esomeprazolo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Mylan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Generics</w:t>
      </w:r>
      <w:proofErr w:type="spellEnd"/>
      <w:r w:rsidR="000B7AC8">
        <w:rPr>
          <w:rFonts w:eastAsia="Calibri" w:cs="Calibri"/>
          <w:color w:val="000000"/>
          <w:lang w:eastAsia="it-IT"/>
        </w:rPr>
        <w:t xml:space="preserve"> è disponibile in </w:t>
      </w:r>
      <w:r w:rsidR="00A944F5">
        <w:rPr>
          <w:rFonts w:eastAsia="Calibri" w:cs="Calibri"/>
          <w:color w:val="000000"/>
          <w:lang w:eastAsia="it-IT"/>
        </w:rPr>
        <w:t xml:space="preserve">compresse </w:t>
      </w:r>
      <w:proofErr w:type="spellStart"/>
      <w:r w:rsidR="00A944F5">
        <w:rPr>
          <w:rFonts w:eastAsia="Calibri" w:cs="Calibri"/>
          <w:color w:val="000000"/>
          <w:lang w:eastAsia="it-IT"/>
        </w:rPr>
        <w:t>gastroresistenti</w:t>
      </w:r>
      <w:proofErr w:type="spellEnd"/>
      <w:r w:rsidR="00A944F5">
        <w:rPr>
          <w:rFonts w:eastAsia="Calibri" w:cs="Calibri"/>
          <w:color w:val="000000"/>
          <w:lang w:eastAsia="it-IT"/>
        </w:rPr>
        <w:t xml:space="preserve"> contenenti 20 mg e 40 mg di </w:t>
      </w:r>
      <w:proofErr w:type="spellStart"/>
      <w:r w:rsidR="00A944F5">
        <w:rPr>
          <w:rFonts w:eastAsia="Calibri" w:cs="Calibri"/>
          <w:color w:val="000000"/>
          <w:lang w:eastAsia="it-IT"/>
        </w:rPr>
        <w:t>esomeprazolo</w:t>
      </w:r>
      <w:proofErr w:type="spellEnd"/>
      <w:r w:rsidR="00B30431" w:rsidRPr="00EF6711">
        <w:rPr>
          <w:rFonts w:eastAsia="Calibri" w:cs="Calibri"/>
          <w:color w:val="000000"/>
          <w:lang w:eastAsia="it-IT"/>
        </w:rPr>
        <w:t>.</w:t>
      </w:r>
      <w:r w:rsidR="004E5A39" w:rsidRPr="00EF6711">
        <w:rPr>
          <w:rFonts w:cs="Helvetica"/>
        </w:rPr>
        <w:t xml:space="preserve"> </w:t>
      </w:r>
    </w:p>
    <w:p w:rsidR="00A944F5" w:rsidRDefault="004E5A39" w:rsidP="00A944F5">
      <w:pPr>
        <w:spacing w:after="0" w:line="240" w:lineRule="auto"/>
        <w:jc w:val="both"/>
      </w:pPr>
      <w:r w:rsidRPr="00EF6711">
        <w:t xml:space="preserve">Gli eccipienti sono </w:t>
      </w:r>
      <w:proofErr w:type="spellStart"/>
      <w:r w:rsidR="00A944F5">
        <w:t>idrossipropilcellulosa</w:t>
      </w:r>
      <w:proofErr w:type="spellEnd"/>
      <w:r w:rsidR="00A944F5">
        <w:t xml:space="preserve"> (E463), </w:t>
      </w:r>
      <w:proofErr w:type="spellStart"/>
      <w:r w:rsidR="00A944F5">
        <w:t>crospovidone</w:t>
      </w:r>
      <w:proofErr w:type="spellEnd"/>
      <w:r w:rsidR="00A944F5">
        <w:t xml:space="preserve"> (Tipo A), </w:t>
      </w:r>
      <w:proofErr w:type="spellStart"/>
      <w:r w:rsidR="00A944F5">
        <w:t>Povidone</w:t>
      </w:r>
      <w:proofErr w:type="spellEnd"/>
      <w:r w:rsidR="00A944F5">
        <w:t xml:space="preserve"> K30, Macrogol 400, Macrogol 4000, Macrogol 6000, </w:t>
      </w:r>
      <w:proofErr w:type="spellStart"/>
      <w:r w:rsidR="00A944F5">
        <w:t>Ipromellosa</w:t>
      </w:r>
      <w:proofErr w:type="spellEnd"/>
      <w:r w:rsidR="00A944F5">
        <w:t xml:space="preserve"> ftalato (HP 55S), </w:t>
      </w:r>
      <w:proofErr w:type="spellStart"/>
      <w:r w:rsidR="00A944F5">
        <w:t>Ipromellosa</w:t>
      </w:r>
      <w:proofErr w:type="spellEnd"/>
      <w:r w:rsidR="00A944F5">
        <w:t xml:space="preserve"> ftalato (HP 50), </w:t>
      </w:r>
      <w:proofErr w:type="spellStart"/>
      <w:r w:rsidR="00A944F5">
        <w:t>Dietile</w:t>
      </w:r>
      <w:proofErr w:type="spellEnd"/>
      <w:r w:rsidR="00A944F5">
        <w:t xml:space="preserve"> ftalato, </w:t>
      </w:r>
      <w:proofErr w:type="spellStart"/>
      <w:r w:rsidR="00A944F5">
        <w:t>Idrossipropilcellulosa</w:t>
      </w:r>
      <w:proofErr w:type="spellEnd"/>
      <w:r w:rsidR="00A944F5">
        <w:t xml:space="preserve"> (E463), Cellulosa microcristallina (PH 101), Cellulosa microcristallina (PH 112), </w:t>
      </w:r>
      <w:proofErr w:type="spellStart"/>
      <w:r w:rsidR="00A944F5">
        <w:t>Crospovidone</w:t>
      </w:r>
      <w:proofErr w:type="spellEnd"/>
      <w:r w:rsidR="00A944F5">
        <w:t xml:space="preserve"> (Tipo B), Sodio </w:t>
      </w:r>
      <w:proofErr w:type="spellStart"/>
      <w:r w:rsidR="00A944F5">
        <w:t>stearil</w:t>
      </w:r>
      <w:proofErr w:type="spellEnd"/>
      <w:r w:rsidR="00A944F5">
        <w:t xml:space="preserve"> </w:t>
      </w:r>
      <w:proofErr w:type="spellStart"/>
      <w:r w:rsidR="00A944F5">
        <w:t>fumarato</w:t>
      </w:r>
      <w:proofErr w:type="spellEnd"/>
      <w:r w:rsidR="00A944F5">
        <w:t xml:space="preserve">, </w:t>
      </w:r>
      <w:proofErr w:type="spellStart"/>
      <w:r w:rsidR="00A944F5">
        <w:t>Opadry</w:t>
      </w:r>
      <w:proofErr w:type="spellEnd"/>
      <w:r w:rsidR="00A944F5">
        <w:t xml:space="preserve"> marrone 03B86651 (HMPC 2910/</w:t>
      </w:r>
      <w:proofErr w:type="spellStart"/>
      <w:r w:rsidR="00A944F5">
        <w:t>Ipromellosa</w:t>
      </w:r>
      <w:proofErr w:type="spellEnd"/>
      <w:r w:rsidR="00A944F5">
        <w:t xml:space="preserve"> 6cP</w:t>
      </w:r>
    </w:p>
    <w:p w:rsidR="00B30431" w:rsidRPr="00EF6711" w:rsidRDefault="00A944F5" w:rsidP="00A944F5">
      <w:pPr>
        <w:spacing w:after="0" w:line="240" w:lineRule="auto"/>
        <w:jc w:val="both"/>
        <w:rPr>
          <w:b/>
          <w:bCs/>
        </w:rPr>
      </w:pPr>
      <w:r>
        <w:t>Titanio diossido (E171), Macrogol/PEG 400, Ferro ossido rosso (E 172), Zucchero sfere (saccarosio e amido di mais), Talco (E553b).</w:t>
      </w:r>
    </w:p>
    <w:p w:rsidR="002B47AD" w:rsidRPr="006406D4" w:rsidRDefault="004E5A39" w:rsidP="002B47AD">
      <w:pPr>
        <w:spacing w:after="0" w:line="240" w:lineRule="auto"/>
        <w:ind w:right="13"/>
        <w:jc w:val="both"/>
      </w:pPr>
      <w:r w:rsidRPr="00EF6711">
        <w:t>Tutti gli eccipienti sono conformi alla relativa monografia di Farmacopea Europea</w:t>
      </w:r>
      <w:r w:rsidR="002B47AD" w:rsidRPr="006406D4">
        <w:t>, ad eccezione d</w:t>
      </w:r>
      <w:r w:rsidR="00DD772F">
        <w:t>el colorante</w:t>
      </w:r>
      <w:r w:rsidR="002B47AD" w:rsidRPr="006406D4">
        <w:t xml:space="preserve"> per il quale il produttore ha proposto specifiche di controllo accettabili.</w:t>
      </w:r>
    </w:p>
    <w:p w:rsidR="000808A3" w:rsidRDefault="000808A3" w:rsidP="002B47AD">
      <w:pPr>
        <w:spacing w:after="0" w:line="240" w:lineRule="auto"/>
        <w:ind w:right="13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dati comparativi relativi al profilo di impurezze rispetto al medicinale di riferimento</w:t>
      </w:r>
      <w:r w:rsidR="00B30431" w:rsidRPr="00EF6711">
        <w:rPr>
          <w:rFonts w:eastAsia="Calibri" w:cs="Calibri"/>
          <w:lang w:eastAsia="it-IT"/>
        </w:rPr>
        <w:t xml:space="preserve"> </w:t>
      </w:r>
      <w:proofErr w:type="spellStart"/>
      <w:r w:rsidR="002B47AD">
        <w:rPr>
          <w:rFonts w:eastAsia="Calibri" w:cs="Calibri"/>
          <w:lang w:eastAsia="it-IT"/>
        </w:rPr>
        <w:t>Nexium</w:t>
      </w:r>
      <w:proofErr w:type="spellEnd"/>
      <w:r w:rsidR="002B47AD">
        <w:rPr>
          <w:rFonts w:eastAsia="Calibri" w:cs="Calibri"/>
          <w:lang w:eastAsia="it-IT"/>
        </w:rPr>
        <w:t>; i</w:t>
      </w:r>
      <w:r w:rsidRPr="00EF6711">
        <w:t xml:space="preserve"> dati sono soddisfacenti.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EF6711">
        <w:t>il</w:t>
      </w:r>
      <w:r w:rsidRPr="00EF6711">
        <w:t xml:space="preserve"> prodotto finito</w:t>
      </w:r>
      <w:r w:rsidR="000808A3">
        <w:t xml:space="preserve"> per i diversi dosaggi del prodotti finito</w:t>
      </w:r>
      <w:r w:rsidRPr="00EF6711">
        <w:t>: questi dati dimostrano che i lotti prodotti sono in accordo alle specifiche proposte. Sono stati forniti, infine, certificati analitici per gli standard di riferimento utilizzati.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:rsidR="00BA0ACD" w:rsidRPr="00EF6711" w:rsidRDefault="00BB7777" w:rsidP="00EF6711">
      <w:pPr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Esomeprazolo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Mylan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Generics</w:t>
      </w:r>
      <w:proofErr w:type="spellEnd"/>
      <w:r w:rsidR="000808A3">
        <w:rPr>
          <w:rFonts w:eastAsia="Calibri" w:cs="Calibri"/>
          <w:color w:val="000000"/>
          <w:lang w:eastAsia="it-IT"/>
        </w:rPr>
        <w:t xml:space="preserve"> </w:t>
      </w:r>
      <w:r w:rsidR="002B47AD">
        <w:t>è confezionato in blister OPA/Al/</w:t>
      </w:r>
      <w:proofErr w:type="spellStart"/>
      <w:r w:rsidR="002B47AD">
        <w:t>PE</w:t>
      </w:r>
      <w:r w:rsidR="002B47AD">
        <w:noBreakHyphen/>
        <w:t>essiccante</w:t>
      </w:r>
      <w:r w:rsidR="002B47AD">
        <w:noBreakHyphen/>
        <w:t>HDPE</w:t>
      </w:r>
      <w:proofErr w:type="spellEnd"/>
      <w:r w:rsidR="002B47AD">
        <w:t>/Al e in blister laminato a freddo OPA/</w:t>
      </w:r>
      <w:proofErr w:type="spellStart"/>
      <w:r w:rsidR="002B47AD">
        <w:t>Al</w:t>
      </w:r>
      <w:r w:rsidR="002B47AD">
        <w:noBreakHyphen/>
        <w:t>PVC</w:t>
      </w:r>
      <w:proofErr w:type="spellEnd"/>
      <w:r w:rsidR="002B47AD">
        <w:t>/Al contenenti.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state fornite specifiche e certificati analitici per tutti i componenti del confezionamento primario, che è adeguato per il medicinale.</w:t>
      </w:r>
    </w:p>
    <w:p w:rsidR="00BA0ACD" w:rsidRPr="00EF6711" w:rsidRDefault="00BA0AC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2B47AD">
        <w:t>3</w:t>
      </w:r>
      <w:r w:rsidR="00265B61">
        <w:t xml:space="preserve"> anni</w:t>
      </w:r>
      <w:r w:rsidRPr="00EF6711">
        <w:t xml:space="preserve"> </w:t>
      </w:r>
      <w:r w:rsidR="000808A3">
        <w:t xml:space="preserve">con conservazione a temperatura non superiore a </w:t>
      </w:r>
      <w:r w:rsidR="002B47AD">
        <w:t>30 °C</w:t>
      </w:r>
      <w:r w:rsidR="00BA0ACD" w:rsidRPr="00EF6711">
        <w:t xml:space="preserve">. 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lastRenderedPageBreak/>
        <w:t xml:space="preserve">Tutte le criticità evidenziate nel corso della valutazione sono state risolte e la qualità di </w:t>
      </w:r>
      <w:proofErr w:type="spellStart"/>
      <w:r w:rsidR="00BB7777">
        <w:rPr>
          <w:rFonts w:eastAsia="Calibri" w:cs="Calibri"/>
          <w:color w:val="000000"/>
          <w:lang w:eastAsia="it-IT"/>
        </w:rPr>
        <w:t>Esomeprazolo</w:t>
      </w:r>
      <w:proofErr w:type="spellEnd"/>
      <w:r w:rsidR="00BB777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B7777">
        <w:rPr>
          <w:rFonts w:eastAsia="Calibri" w:cs="Calibri"/>
          <w:color w:val="000000"/>
          <w:lang w:eastAsia="it-IT"/>
        </w:rPr>
        <w:t>Mylan</w:t>
      </w:r>
      <w:proofErr w:type="spellEnd"/>
      <w:r w:rsidR="00BB777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B7777">
        <w:rPr>
          <w:rFonts w:eastAsia="Calibri" w:cs="Calibri"/>
          <w:color w:val="000000"/>
          <w:lang w:eastAsia="it-IT"/>
        </w:rPr>
        <w:t>Generics</w:t>
      </w:r>
      <w:proofErr w:type="spellEnd"/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considerata adeguata. Non ci sono obiezioni per l’approvazione di </w:t>
      </w:r>
      <w:proofErr w:type="spellStart"/>
      <w:r w:rsidR="002B47AD">
        <w:rPr>
          <w:rFonts w:eastAsia="Calibri" w:cs="Calibri"/>
          <w:color w:val="000000"/>
          <w:lang w:eastAsia="it-IT"/>
        </w:rPr>
        <w:t>Esomeprazolo</w:t>
      </w:r>
      <w:proofErr w:type="spellEnd"/>
      <w:r w:rsidR="002B47A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2B47AD">
        <w:rPr>
          <w:rFonts w:eastAsia="Calibri" w:cs="Calibri"/>
          <w:color w:val="000000"/>
          <w:lang w:eastAsia="it-IT"/>
        </w:rPr>
        <w:t>Mylan</w:t>
      </w:r>
      <w:proofErr w:type="spellEnd"/>
      <w:r w:rsidR="002B47A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2B47AD">
        <w:rPr>
          <w:rFonts w:eastAsia="Calibri" w:cs="Calibri"/>
          <w:color w:val="000000"/>
          <w:lang w:eastAsia="it-IT"/>
        </w:rPr>
        <w:t>Generics</w:t>
      </w:r>
      <w:proofErr w:type="spellEnd"/>
      <w:r w:rsidR="002B47AD">
        <w:rPr>
          <w:rFonts w:eastAsia="Calibri" w:cs="Calibri"/>
          <w:color w:val="000000"/>
          <w:lang w:eastAsia="it-IT"/>
        </w:rPr>
        <w:t xml:space="preserve"> </w:t>
      </w:r>
      <w:r w:rsidRPr="00EF6711">
        <w:t>dal punto di vista chimico-farmaceutico.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:rsidR="00FD7945" w:rsidRDefault="00FD7945" w:rsidP="00FD7945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proofErr w:type="spellStart"/>
      <w:r>
        <w:rPr>
          <w:rFonts w:eastAsia="Calibri" w:cs="Calibri"/>
          <w:color w:val="000000"/>
          <w:lang w:eastAsia="it-IT"/>
        </w:rPr>
        <w:t>Esomeprazolo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Mylan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Generics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Pr="00EF6711">
        <w:t>contiene un principio attivo noto</w:t>
      </w:r>
      <w:r w:rsidR="00735A91">
        <w:t xml:space="preserve"> </w:t>
      </w:r>
      <w:r w:rsidRPr="00EF6711">
        <w:t xml:space="preserve">presente nel medicinale di riferimento: questo approccio è accettabile poiché il medicinale di riferimento </w:t>
      </w:r>
      <w:proofErr w:type="spellStart"/>
      <w:r>
        <w:t>Nexium</w:t>
      </w:r>
      <w:proofErr w:type="spellEnd"/>
      <w:r>
        <w:rPr>
          <w:rFonts w:cstheme="minorHAnsi"/>
        </w:rPr>
        <w:t xml:space="preserve">® </w:t>
      </w:r>
      <w:r w:rsidRPr="00EF6711">
        <w:t>è autorizzato in Italia da oltre 10 anni</w:t>
      </w:r>
      <w:r>
        <w:t>.</w:t>
      </w:r>
    </w:p>
    <w:p w:rsidR="00FD7945" w:rsidRPr="00EF6711" w:rsidRDefault="00FD7945" w:rsidP="00FD7945">
      <w:pPr>
        <w:spacing w:after="0" w:line="240" w:lineRule="auto"/>
        <w:jc w:val="both"/>
      </w:pPr>
      <w:r>
        <w:t xml:space="preserve">Le proprietà farmacodinamiche, farmacocinetiche e tossicologiche di </w:t>
      </w:r>
      <w:proofErr w:type="spellStart"/>
      <w:r>
        <w:t>esomeprazolo</w:t>
      </w:r>
      <w:proofErr w:type="spellEnd"/>
      <w:r>
        <w:t xml:space="preserve"> sono ben conosciute; pertanto, non sono richiesti ulteriori studi non clinici. Il richiedente l’AIC ha presentato una </w:t>
      </w:r>
      <w:proofErr w:type="spellStart"/>
      <w:r>
        <w:t>overview</w:t>
      </w:r>
      <w:proofErr w:type="spellEnd"/>
      <w:r>
        <w:t xml:space="preserve"> redatta da un esperto qualificato che ha fornito una approfondita rassegna dei dati bibliografici farmacologici, farmacocinetici e tossicologici di </w:t>
      </w:r>
      <w:proofErr w:type="spellStart"/>
      <w:r>
        <w:t>esomeprazolo</w:t>
      </w:r>
      <w:proofErr w:type="spellEnd"/>
      <w:r>
        <w:t>.</w:t>
      </w:r>
    </w:p>
    <w:p w:rsidR="00FD7945" w:rsidRPr="00EF6711" w:rsidRDefault="00FD7945" w:rsidP="00FD7945">
      <w:pPr>
        <w:spacing w:after="0" w:line="240" w:lineRule="auto"/>
        <w:jc w:val="both"/>
      </w:pPr>
      <w:r w:rsidRPr="00EF6711">
        <w:t>Non ci sono obiezioni per l’approvazione dal punto di vista non clinico.</w:t>
      </w:r>
    </w:p>
    <w:p w:rsidR="00FD7945" w:rsidRPr="00EF6711" w:rsidRDefault="00FD7945" w:rsidP="00FD7945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:rsidR="00506EC1" w:rsidRDefault="00506EC1" w:rsidP="00506EC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proofErr w:type="spellStart"/>
      <w:r>
        <w:rPr>
          <w:rFonts w:eastAsia="Calibri" w:cs="Calibri"/>
          <w:color w:val="000000"/>
          <w:lang w:eastAsia="it-IT"/>
        </w:rPr>
        <w:t>Esomeprazolo</w:t>
      </w:r>
      <w:proofErr w:type="spellEnd"/>
      <w:r w:rsidR="00DF16FD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Mylan</w:t>
      </w:r>
      <w:proofErr w:type="spellEnd"/>
      <w:r w:rsidR="00DF16FD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Generics</w:t>
      </w:r>
      <w:proofErr w:type="spellEnd"/>
      <w:r w:rsidR="00DF16FD">
        <w:rPr>
          <w:rFonts w:eastAsia="Calibri" w:cs="Calibri"/>
          <w:color w:val="000000"/>
          <w:lang w:eastAsia="it-IT"/>
        </w:rPr>
        <w:t xml:space="preserve"> </w:t>
      </w:r>
      <w:r>
        <w:t>è utilizzato per:</w:t>
      </w:r>
    </w:p>
    <w:p w:rsidR="00506EC1" w:rsidRDefault="00506EC1" w:rsidP="00506EC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506EC1" w:rsidRPr="00F07D0F" w:rsidRDefault="00506EC1" w:rsidP="00506EC1">
      <w:pPr>
        <w:spacing w:after="0" w:line="240" w:lineRule="auto"/>
        <w:jc w:val="both"/>
        <w:rPr>
          <w:rFonts w:eastAsia="Times New Roman" w:cstheme="minorHAnsi"/>
          <w:b/>
          <w:lang w:eastAsia="it-IT"/>
        </w:rPr>
      </w:pPr>
      <w:r w:rsidRPr="00F07D0F">
        <w:rPr>
          <w:rFonts w:eastAsia="Times New Roman" w:cstheme="minorHAnsi"/>
          <w:b/>
          <w:lang w:eastAsia="it-IT"/>
        </w:rPr>
        <w:t xml:space="preserve">Malattia da reflusso </w:t>
      </w:r>
      <w:proofErr w:type="spellStart"/>
      <w:r w:rsidRPr="00F07D0F">
        <w:rPr>
          <w:rFonts w:eastAsia="Times New Roman" w:cstheme="minorHAnsi"/>
          <w:b/>
          <w:lang w:eastAsia="it-IT"/>
        </w:rPr>
        <w:t>gastroesofageo</w:t>
      </w:r>
      <w:proofErr w:type="spellEnd"/>
      <w:r w:rsidRPr="00F07D0F">
        <w:rPr>
          <w:rFonts w:eastAsia="Times New Roman" w:cstheme="minorHAnsi"/>
          <w:b/>
          <w:lang w:eastAsia="it-IT"/>
        </w:rPr>
        <w:t xml:space="preserve"> (MRGE)</w:t>
      </w:r>
    </w:p>
    <w:p w:rsidR="00506EC1" w:rsidRPr="00F07D0F" w:rsidRDefault="00506EC1" w:rsidP="00506EC1">
      <w:pPr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lang w:eastAsia="it-IT"/>
        </w:rPr>
      </w:pPr>
      <w:r w:rsidRPr="00F07D0F">
        <w:rPr>
          <w:rFonts w:eastAsia="Times New Roman" w:cstheme="minorHAnsi"/>
          <w:lang w:eastAsia="it-IT"/>
        </w:rPr>
        <w:t>trattamento dell'esofagite da reflusso erosiva</w:t>
      </w:r>
    </w:p>
    <w:p w:rsidR="00506EC1" w:rsidRPr="00F07D0F" w:rsidRDefault="00506EC1" w:rsidP="00506EC1">
      <w:pPr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lang w:eastAsia="it-IT"/>
        </w:rPr>
      </w:pPr>
      <w:r w:rsidRPr="00F07D0F">
        <w:rPr>
          <w:rFonts w:eastAsia="Times New Roman" w:cstheme="minorHAnsi"/>
          <w:lang w:eastAsia="it-IT"/>
        </w:rPr>
        <w:t>gestione a lungo termine dei pazienti con esofagite in remissione per prevenire le recidive</w:t>
      </w:r>
    </w:p>
    <w:p w:rsidR="00506EC1" w:rsidRPr="00F07D0F" w:rsidRDefault="00506EC1" w:rsidP="00506EC1">
      <w:pPr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lang w:eastAsia="it-IT"/>
        </w:rPr>
      </w:pPr>
      <w:r w:rsidRPr="00F07D0F">
        <w:rPr>
          <w:rFonts w:eastAsia="Times New Roman" w:cstheme="minorHAnsi"/>
          <w:lang w:eastAsia="it-IT"/>
        </w:rPr>
        <w:t xml:space="preserve">trattamento sintomatico della malattia da reflusso </w:t>
      </w:r>
      <w:proofErr w:type="spellStart"/>
      <w:r w:rsidRPr="00F07D0F">
        <w:rPr>
          <w:rFonts w:eastAsia="Times New Roman" w:cstheme="minorHAnsi"/>
          <w:lang w:eastAsia="it-IT"/>
        </w:rPr>
        <w:t>gastroesofageo</w:t>
      </w:r>
      <w:proofErr w:type="spellEnd"/>
      <w:r w:rsidRPr="00F07D0F">
        <w:rPr>
          <w:rFonts w:eastAsia="Times New Roman" w:cstheme="minorHAnsi"/>
          <w:lang w:eastAsia="it-IT"/>
        </w:rPr>
        <w:t xml:space="preserve"> (MRGE).</w:t>
      </w:r>
    </w:p>
    <w:p w:rsidR="00506EC1" w:rsidRPr="00F07D0F" w:rsidRDefault="00506EC1" w:rsidP="00506EC1">
      <w:pPr>
        <w:spacing w:after="0" w:line="240" w:lineRule="auto"/>
        <w:jc w:val="both"/>
        <w:rPr>
          <w:rFonts w:eastAsia="Times New Roman" w:cstheme="minorHAnsi"/>
          <w:lang w:eastAsia="it-IT"/>
        </w:rPr>
      </w:pPr>
    </w:p>
    <w:p w:rsidR="00506EC1" w:rsidRPr="00F07D0F" w:rsidRDefault="00506EC1" w:rsidP="00506EC1">
      <w:pPr>
        <w:spacing w:after="0" w:line="240" w:lineRule="auto"/>
        <w:rPr>
          <w:rFonts w:eastAsia="Times New Roman" w:cstheme="minorHAnsi"/>
          <w:b/>
          <w:lang w:eastAsia="it-IT"/>
        </w:rPr>
      </w:pPr>
      <w:r w:rsidRPr="00F07D0F">
        <w:rPr>
          <w:rFonts w:eastAsia="Times New Roman" w:cstheme="minorHAnsi"/>
          <w:b/>
          <w:lang w:eastAsia="it-IT"/>
        </w:rPr>
        <w:t>In associazione a regimi terapeutici antibatterici appropriati per l'eradicazione dell'</w:t>
      </w:r>
      <w:proofErr w:type="spellStart"/>
      <w:r w:rsidRPr="00F07D0F">
        <w:rPr>
          <w:rFonts w:eastAsia="Times New Roman" w:cstheme="minorHAnsi"/>
          <w:b/>
          <w:bCs/>
          <w:i/>
          <w:iCs/>
          <w:lang w:eastAsia="it-IT"/>
        </w:rPr>
        <w:t>Helicobacter</w:t>
      </w:r>
      <w:proofErr w:type="spellEnd"/>
      <w:r w:rsidRPr="00F07D0F">
        <w:rPr>
          <w:rFonts w:eastAsia="Times New Roman" w:cstheme="minorHAnsi"/>
          <w:b/>
          <w:bCs/>
          <w:i/>
          <w:iCs/>
          <w:lang w:eastAsia="it-IT"/>
        </w:rPr>
        <w:t xml:space="preserve"> </w:t>
      </w:r>
      <w:proofErr w:type="spellStart"/>
      <w:r w:rsidRPr="00F07D0F">
        <w:rPr>
          <w:rFonts w:eastAsia="Times New Roman" w:cstheme="minorHAnsi"/>
          <w:b/>
          <w:bCs/>
          <w:i/>
          <w:iCs/>
          <w:lang w:eastAsia="it-IT"/>
        </w:rPr>
        <w:t>pylori</w:t>
      </w:r>
      <w:proofErr w:type="spellEnd"/>
      <w:r w:rsidRPr="00F07D0F">
        <w:rPr>
          <w:rFonts w:eastAsia="Times New Roman" w:cstheme="minorHAnsi"/>
          <w:b/>
          <w:bCs/>
          <w:i/>
          <w:iCs/>
          <w:lang w:eastAsia="it-IT"/>
        </w:rPr>
        <w:t xml:space="preserve"> </w:t>
      </w:r>
      <w:r w:rsidRPr="00F07D0F">
        <w:rPr>
          <w:rFonts w:eastAsia="Times New Roman" w:cstheme="minorHAnsi"/>
          <w:b/>
          <w:lang w:eastAsia="it-IT"/>
        </w:rPr>
        <w:t>e</w:t>
      </w:r>
    </w:p>
    <w:p w:rsidR="00506EC1" w:rsidRPr="00F07D0F" w:rsidRDefault="00506EC1" w:rsidP="00506EC1">
      <w:pPr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b/>
          <w:lang w:eastAsia="it-IT"/>
        </w:rPr>
      </w:pPr>
      <w:r w:rsidRPr="00F07D0F">
        <w:rPr>
          <w:rFonts w:eastAsia="Times New Roman" w:cstheme="minorHAnsi"/>
          <w:lang w:eastAsia="it-IT"/>
        </w:rPr>
        <w:t xml:space="preserve">la guarigione di ulcere duodenali associate a </w:t>
      </w:r>
      <w:proofErr w:type="spellStart"/>
      <w:r w:rsidRPr="00F07D0F">
        <w:rPr>
          <w:rFonts w:eastAsia="Times New Roman" w:cstheme="minorHAnsi"/>
          <w:i/>
          <w:iCs/>
          <w:lang w:eastAsia="it-IT"/>
        </w:rPr>
        <w:t>Helicobacter</w:t>
      </w:r>
      <w:proofErr w:type="spellEnd"/>
      <w:r w:rsidRPr="00F07D0F">
        <w:rPr>
          <w:rFonts w:eastAsia="Times New Roman" w:cstheme="minorHAnsi"/>
          <w:i/>
          <w:iCs/>
          <w:lang w:eastAsia="it-IT"/>
        </w:rPr>
        <w:t xml:space="preserve"> </w:t>
      </w:r>
      <w:proofErr w:type="spellStart"/>
      <w:r w:rsidRPr="00F07D0F">
        <w:rPr>
          <w:rFonts w:eastAsia="Times New Roman" w:cstheme="minorHAnsi"/>
          <w:i/>
          <w:iCs/>
          <w:lang w:eastAsia="it-IT"/>
        </w:rPr>
        <w:t>pylori</w:t>
      </w:r>
      <w:proofErr w:type="spellEnd"/>
      <w:r w:rsidRPr="00F07D0F">
        <w:rPr>
          <w:rFonts w:eastAsia="Times New Roman" w:cstheme="minorHAnsi"/>
          <w:i/>
          <w:iCs/>
          <w:lang w:eastAsia="it-IT"/>
        </w:rPr>
        <w:t xml:space="preserve"> </w:t>
      </w:r>
      <w:r w:rsidRPr="00F07D0F">
        <w:rPr>
          <w:rFonts w:eastAsia="Times New Roman" w:cstheme="minorHAnsi"/>
          <w:lang w:eastAsia="it-IT"/>
        </w:rPr>
        <w:t>e</w:t>
      </w:r>
    </w:p>
    <w:p w:rsidR="00506EC1" w:rsidRPr="00F07D0F" w:rsidRDefault="00506EC1" w:rsidP="00506EC1">
      <w:pPr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b/>
          <w:lang w:eastAsia="it-IT"/>
        </w:rPr>
      </w:pPr>
      <w:r w:rsidRPr="00F07D0F">
        <w:rPr>
          <w:rFonts w:eastAsia="Times New Roman" w:cstheme="minorHAnsi"/>
          <w:lang w:eastAsia="it-IT"/>
        </w:rPr>
        <w:t xml:space="preserve">la prevenzione delle recidive di ulcere peptiche in pazienti con ulcere associate a </w:t>
      </w:r>
      <w:proofErr w:type="spellStart"/>
      <w:r w:rsidRPr="00F07D0F">
        <w:rPr>
          <w:rFonts w:eastAsia="Times New Roman" w:cstheme="minorHAnsi"/>
          <w:i/>
          <w:iCs/>
          <w:lang w:eastAsia="it-IT"/>
        </w:rPr>
        <w:t>Helicobacter</w:t>
      </w:r>
      <w:proofErr w:type="spellEnd"/>
      <w:r w:rsidRPr="00F07D0F">
        <w:rPr>
          <w:rFonts w:eastAsia="Times New Roman" w:cstheme="minorHAnsi"/>
          <w:i/>
          <w:iCs/>
          <w:lang w:eastAsia="it-IT"/>
        </w:rPr>
        <w:t xml:space="preserve"> </w:t>
      </w:r>
      <w:proofErr w:type="spellStart"/>
      <w:r w:rsidRPr="00F07D0F">
        <w:rPr>
          <w:rFonts w:eastAsia="Times New Roman" w:cstheme="minorHAnsi"/>
          <w:i/>
          <w:iCs/>
          <w:lang w:eastAsia="it-IT"/>
        </w:rPr>
        <w:t>pylori</w:t>
      </w:r>
      <w:proofErr w:type="spellEnd"/>
      <w:r w:rsidRPr="00F07D0F">
        <w:rPr>
          <w:rFonts w:eastAsia="Times New Roman" w:cstheme="minorHAnsi"/>
          <w:i/>
          <w:iCs/>
          <w:lang w:eastAsia="it-IT"/>
        </w:rPr>
        <w:t>.</w:t>
      </w:r>
    </w:p>
    <w:p w:rsidR="00506EC1" w:rsidRPr="00F07D0F" w:rsidRDefault="00506EC1" w:rsidP="00506EC1">
      <w:pPr>
        <w:spacing w:after="0" w:line="240" w:lineRule="auto"/>
        <w:jc w:val="both"/>
        <w:rPr>
          <w:rFonts w:eastAsia="Times New Roman" w:cstheme="minorHAnsi"/>
          <w:lang w:eastAsia="it-IT"/>
        </w:rPr>
      </w:pPr>
    </w:p>
    <w:p w:rsidR="00506EC1" w:rsidRPr="00F07D0F" w:rsidRDefault="00506EC1" w:rsidP="00506EC1">
      <w:pPr>
        <w:spacing w:after="0" w:line="240" w:lineRule="auto"/>
        <w:jc w:val="both"/>
        <w:rPr>
          <w:rFonts w:eastAsia="Times New Roman" w:cstheme="minorHAnsi"/>
          <w:b/>
          <w:lang w:eastAsia="it-IT"/>
        </w:rPr>
      </w:pPr>
      <w:r w:rsidRPr="00F07D0F">
        <w:rPr>
          <w:rFonts w:eastAsia="Times New Roman" w:cstheme="minorHAnsi"/>
          <w:b/>
          <w:lang w:eastAsia="it-IT"/>
        </w:rPr>
        <w:t>Pazienti che richiedono una terapia cronica a base di FANS</w:t>
      </w:r>
    </w:p>
    <w:p w:rsidR="00506EC1" w:rsidRPr="00F07D0F" w:rsidRDefault="00506EC1" w:rsidP="00506EC1">
      <w:pPr>
        <w:spacing w:after="0" w:line="240" w:lineRule="auto"/>
        <w:jc w:val="both"/>
        <w:rPr>
          <w:rFonts w:eastAsia="Times New Roman" w:cstheme="minorHAnsi"/>
          <w:lang w:eastAsia="it-IT"/>
        </w:rPr>
      </w:pPr>
      <w:r w:rsidRPr="00F07D0F">
        <w:rPr>
          <w:rFonts w:eastAsia="Times New Roman" w:cstheme="minorHAnsi"/>
          <w:lang w:eastAsia="it-IT"/>
        </w:rPr>
        <w:noBreakHyphen/>
        <w:t xml:space="preserve"> Guarigione delle ulcere gastriche associate alla terapia con FANS.</w:t>
      </w:r>
    </w:p>
    <w:p w:rsidR="00506EC1" w:rsidRPr="00F07D0F" w:rsidRDefault="00506EC1" w:rsidP="00506EC1">
      <w:pPr>
        <w:spacing w:after="0" w:line="240" w:lineRule="auto"/>
        <w:ind w:left="284" w:hanging="284"/>
        <w:jc w:val="both"/>
        <w:rPr>
          <w:rFonts w:eastAsia="Times New Roman" w:cstheme="minorHAnsi"/>
          <w:lang w:eastAsia="it-IT"/>
        </w:rPr>
      </w:pPr>
      <w:r w:rsidRPr="00F07D0F">
        <w:rPr>
          <w:rFonts w:eastAsia="Times New Roman" w:cstheme="minorHAnsi"/>
          <w:lang w:eastAsia="it-IT"/>
        </w:rPr>
        <w:noBreakHyphen/>
        <w:t xml:space="preserve"> Prevenzione delle ulcere gastriche e duodenali associate alla terapia con FANS, nei pazienti a rischio.</w:t>
      </w:r>
    </w:p>
    <w:p w:rsidR="00506EC1" w:rsidRPr="00F07D0F" w:rsidRDefault="00506EC1" w:rsidP="00506EC1">
      <w:pPr>
        <w:spacing w:after="0" w:line="240" w:lineRule="auto"/>
        <w:jc w:val="both"/>
        <w:rPr>
          <w:rFonts w:eastAsia="Times New Roman" w:cstheme="minorHAnsi"/>
          <w:lang w:eastAsia="it-IT"/>
        </w:rPr>
      </w:pPr>
    </w:p>
    <w:p w:rsidR="00506EC1" w:rsidRPr="00F07D0F" w:rsidRDefault="00506EC1" w:rsidP="00506EC1">
      <w:pPr>
        <w:spacing w:after="0" w:line="240" w:lineRule="auto"/>
        <w:jc w:val="both"/>
        <w:rPr>
          <w:rFonts w:eastAsia="Times New Roman" w:cstheme="minorHAnsi"/>
          <w:b/>
          <w:lang w:eastAsia="it-IT"/>
        </w:rPr>
      </w:pPr>
      <w:r w:rsidRPr="00F07D0F">
        <w:rPr>
          <w:rFonts w:eastAsia="Times New Roman" w:cstheme="minorHAnsi"/>
          <w:b/>
          <w:lang w:eastAsia="it-IT"/>
        </w:rPr>
        <w:t>Trattamento prolungato delle recidive emorragiche delle ulcere peptiche, dopo prevenzione indotta dalla somministrazione endovenosa.</w:t>
      </w:r>
    </w:p>
    <w:p w:rsidR="00506EC1" w:rsidRPr="00F07D0F" w:rsidRDefault="00506EC1" w:rsidP="00506EC1">
      <w:pPr>
        <w:spacing w:after="0" w:line="240" w:lineRule="auto"/>
        <w:jc w:val="both"/>
        <w:rPr>
          <w:rFonts w:eastAsia="Times New Roman" w:cstheme="minorHAnsi"/>
          <w:b/>
          <w:lang w:eastAsia="it-IT"/>
        </w:rPr>
      </w:pPr>
    </w:p>
    <w:p w:rsidR="00506EC1" w:rsidRPr="00F07D0F" w:rsidRDefault="00506EC1" w:rsidP="00506EC1">
      <w:pPr>
        <w:spacing w:after="0" w:line="240" w:lineRule="auto"/>
        <w:jc w:val="both"/>
        <w:rPr>
          <w:rFonts w:eastAsia="Times New Roman" w:cstheme="minorHAnsi"/>
          <w:b/>
          <w:lang w:eastAsia="it-IT"/>
        </w:rPr>
      </w:pPr>
      <w:r w:rsidRPr="00F07D0F">
        <w:rPr>
          <w:rFonts w:eastAsia="Times New Roman" w:cstheme="minorHAnsi"/>
          <w:b/>
          <w:lang w:eastAsia="it-IT"/>
        </w:rPr>
        <w:t xml:space="preserve">Trattamento della sindrome di </w:t>
      </w:r>
      <w:proofErr w:type="spellStart"/>
      <w:r w:rsidRPr="00F07D0F">
        <w:rPr>
          <w:rFonts w:eastAsia="Times New Roman" w:cstheme="minorHAnsi"/>
          <w:b/>
          <w:lang w:eastAsia="it-IT"/>
        </w:rPr>
        <w:t>Zollinger</w:t>
      </w:r>
      <w:r w:rsidRPr="00F07D0F">
        <w:rPr>
          <w:rFonts w:eastAsia="Times New Roman" w:cstheme="minorHAnsi"/>
          <w:b/>
          <w:lang w:eastAsia="it-IT"/>
        </w:rPr>
        <w:noBreakHyphen/>
        <w:t>Ellison</w:t>
      </w:r>
      <w:proofErr w:type="spellEnd"/>
      <w:r w:rsidRPr="00F07D0F">
        <w:rPr>
          <w:rFonts w:eastAsia="Times New Roman" w:cstheme="minorHAnsi"/>
          <w:b/>
          <w:lang w:eastAsia="it-IT"/>
        </w:rPr>
        <w:t>.</w:t>
      </w:r>
    </w:p>
    <w:p w:rsidR="00506EC1" w:rsidRPr="00F07D0F" w:rsidRDefault="00506EC1" w:rsidP="00506EC1">
      <w:pPr>
        <w:spacing w:after="0" w:line="240" w:lineRule="auto"/>
        <w:jc w:val="both"/>
        <w:rPr>
          <w:rFonts w:eastAsia="Times New Roman" w:cstheme="minorHAnsi"/>
          <w:b/>
          <w:lang w:eastAsia="it-IT"/>
        </w:rPr>
      </w:pPr>
    </w:p>
    <w:p w:rsidR="00506EC1" w:rsidRPr="00F07D0F" w:rsidRDefault="00506EC1" w:rsidP="00506EC1">
      <w:pPr>
        <w:spacing w:after="0" w:line="240" w:lineRule="auto"/>
        <w:jc w:val="both"/>
        <w:rPr>
          <w:rFonts w:eastAsia="Times New Roman" w:cstheme="minorHAnsi"/>
          <w:b/>
          <w:lang w:eastAsia="it-IT"/>
        </w:rPr>
      </w:pPr>
      <w:proofErr w:type="spellStart"/>
      <w:r w:rsidRPr="00F07D0F">
        <w:rPr>
          <w:rFonts w:eastAsia="Times New Roman" w:cstheme="minorHAnsi"/>
          <w:b/>
          <w:lang w:eastAsia="it-IT"/>
        </w:rPr>
        <w:t>Esomeprazolo</w:t>
      </w:r>
      <w:proofErr w:type="spellEnd"/>
      <w:r w:rsidR="00144FB2">
        <w:rPr>
          <w:rFonts w:eastAsia="Times New Roman" w:cstheme="minorHAnsi"/>
          <w:b/>
          <w:lang w:eastAsia="it-IT"/>
        </w:rPr>
        <w:t xml:space="preserve"> </w:t>
      </w:r>
      <w:proofErr w:type="spellStart"/>
      <w:r w:rsidRPr="00F07D0F">
        <w:rPr>
          <w:rFonts w:eastAsia="Times New Roman" w:cstheme="minorHAnsi"/>
          <w:b/>
          <w:lang w:eastAsia="it-IT"/>
        </w:rPr>
        <w:t>Mylan</w:t>
      </w:r>
      <w:proofErr w:type="spellEnd"/>
      <w:r w:rsidR="00144FB2">
        <w:rPr>
          <w:rFonts w:eastAsia="Times New Roman" w:cstheme="minorHAnsi"/>
          <w:b/>
          <w:lang w:eastAsia="it-IT"/>
        </w:rPr>
        <w:t xml:space="preserve"> </w:t>
      </w:r>
      <w:proofErr w:type="spellStart"/>
      <w:r w:rsidRPr="00F07D0F">
        <w:rPr>
          <w:rFonts w:eastAsia="Times New Roman" w:cstheme="minorHAnsi"/>
          <w:b/>
          <w:lang w:eastAsia="it-IT"/>
        </w:rPr>
        <w:t>Generics</w:t>
      </w:r>
      <w:proofErr w:type="spellEnd"/>
      <w:r w:rsidRPr="00F07D0F">
        <w:rPr>
          <w:rFonts w:eastAsia="Times New Roman" w:cstheme="minorHAnsi"/>
          <w:b/>
          <w:lang w:eastAsia="it-IT"/>
        </w:rPr>
        <w:t xml:space="preserve"> compresse </w:t>
      </w:r>
      <w:proofErr w:type="spellStart"/>
      <w:r w:rsidRPr="00F07D0F">
        <w:rPr>
          <w:rFonts w:eastAsia="Times New Roman" w:cstheme="minorHAnsi"/>
          <w:b/>
          <w:lang w:eastAsia="it-IT"/>
        </w:rPr>
        <w:t>gastroresistenti</w:t>
      </w:r>
      <w:proofErr w:type="spellEnd"/>
      <w:r w:rsidRPr="00F07D0F">
        <w:rPr>
          <w:rFonts w:eastAsia="Times New Roman" w:cstheme="minorHAnsi"/>
          <w:b/>
          <w:lang w:eastAsia="it-IT"/>
        </w:rPr>
        <w:t xml:space="preserve"> è indicato negli adolescenti dai 12 anni di età</w:t>
      </w:r>
    </w:p>
    <w:p w:rsidR="00506EC1" w:rsidRPr="00F07D0F" w:rsidRDefault="00506EC1" w:rsidP="00506EC1">
      <w:pPr>
        <w:spacing w:after="0" w:line="240" w:lineRule="auto"/>
        <w:jc w:val="both"/>
        <w:rPr>
          <w:rFonts w:eastAsia="Times New Roman" w:cstheme="minorHAnsi"/>
          <w:b/>
          <w:lang w:eastAsia="it-IT"/>
        </w:rPr>
      </w:pPr>
      <w:r w:rsidRPr="00F07D0F">
        <w:rPr>
          <w:rFonts w:eastAsia="Times New Roman" w:cstheme="minorHAnsi"/>
          <w:b/>
          <w:lang w:eastAsia="it-IT"/>
        </w:rPr>
        <w:t xml:space="preserve">Malattia da reflusso </w:t>
      </w:r>
      <w:proofErr w:type="spellStart"/>
      <w:r w:rsidRPr="00F07D0F">
        <w:rPr>
          <w:rFonts w:eastAsia="Times New Roman" w:cstheme="minorHAnsi"/>
          <w:b/>
          <w:lang w:eastAsia="it-IT"/>
        </w:rPr>
        <w:t>gastroesofageo</w:t>
      </w:r>
      <w:proofErr w:type="spellEnd"/>
      <w:r w:rsidRPr="00F07D0F">
        <w:rPr>
          <w:rFonts w:eastAsia="Times New Roman" w:cstheme="minorHAnsi"/>
          <w:b/>
          <w:lang w:eastAsia="it-IT"/>
        </w:rPr>
        <w:t xml:space="preserve"> (MRGE)</w:t>
      </w:r>
    </w:p>
    <w:p w:rsidR="00506EC1" w:rsidRPr="00F07D0F" w:rsidRDefault="00506EC1" w:rsidP="00506EC1">
      <w:pPr>
        <w:spacing w:after="0" w:line="240" w:lineRule="auto"/>
        <w:jc w:val="both"/>
        <w:rPr>
          <w:rFonts w:eastAsia="Times New Roman" w:cstheme="minorHAnsi"/>
          <w:lang w:eastAsia="it-IT"/>
        </w:rPr>
      </w:pPr>
      <w:r w:rsidRPr="00F07D0F">
        <w:rPr>
          <w:rFonts w:eastAsia="Times New Roman" w:cstheme="minorHAnsi"/>
          <w:lang w:eastAsia="it-IT"/>
        </w:rPr>
        <w:noBreakHyphen/>
        <w:t xml:space="preserve"> Trattamento di esofagite da reflusso erosiva.</w:t>
      </w:r>
    </w:p>
    <w:p w:rsidR="00506EC1" w:rsidRPr="00F07D0F" w:rsidRDefault="00506EC1" w:rsidP="00506EC1">
      <w:pPr>
        <w:spacing w:after="0" w:line="240" w:lineRule="auto"/>
        <w:jc w:val="both"/>
        <w:rPr>
          <w:rFonts w:eastAsia="Times New Roman" w:cstheme="minorHAnsi"/>
          <w:lang w:eastAsia="it-IT"/>
        </w:rPr>
      </w:pPr>
      <w:r w:rsidRPr="00F07D0F">
        <w:rPr>
          <w:rFonts w:eastAsia="Times New Roman" w:cstheme="minorHAnsi"/>
          <w:lang w:eastAsia="it-IT"/>
        </w:rPr>
        <w:noBreakHyphen/>
        <w:t xml:space="preserve"> Gestione a lungo termine dei pazienti con esofagite guarita, per prevenire le ricadute.</w:t>
      </w:r>
    </w:p>
    <w:p w:rsidR="00506EC1" w:rsidRPr="00F07D0F" w:rsidRDefault="00506EC1" w:rsidP="00506EC1">
      <w:pPr>
        <w:spacing w:after="0" w:line="240" w:lineRule="auto"/>
        <w:jc w:val="both"/>
        <w:rPr>
          <w:rFonts w:eastAsia="Times New Roman" w:cstheme="minorHAnsi"/>
          <w:lang w:eastAsia="it-IT"/>
        </w:rPr>
      </w:pPr>
      <w:r w:rsidRPr="00F07D0F">
        <w:rPr>
          <w:rFonts w:eastAsia="Times New Roman" w:cstheme="minorHAnsi"/>
          <w:lang w:eastAsia="it-IT"/>
        </w:rPr>
        <w:noBreakHyphen/>
        <w:t xml:space="preserve"> Trattamento sintomatico della malattia da reflusso </w:t>
      </w:r>
      <w:proofErr w:type="spellStart"/>
      <w:r w:rsidRPr="00F07D0F">
        <w:rPr>
          <w:rFonts w:eastAsia="Times New Roman" w:cstheme="minorHAnsi"/>
          <w:lang w:eastAsia="it-IT"/>
        </w:rPr>
        <w:t>gastroesofageo</w:t>
      </w:r>
      <w:proofErr w:type="spellEnd"/>
      <w:r w:rsidRPr="00F07D0F">
        <w:rPr>
          <w:rFonts w:eastAsia="Times New Roman" w:cstheme="minorHAnsi"/>
          <w:lang w:eastAsia="it-IT"/>
        </w:rPr>
        <w:t xml:space="preserve"> (MRGE).</w:t>
      </w:r>
    </w:p>
    <w:p w:rsidR="00506EC1" w:rsidRPr="00F07D0F" w:rsidRDefault="00506EC1" w:rsidP="00506EC1">
      <w:pPr>
        <w:spacing w:after="0" w:line="240" w:lineRule="auto"/>
        <w:jc w:val="both"/>
        <w:rPr>
          <w:rFonts w:eastAsia="Times New Roman" w:cstheme="minorHAnsi"/>
          <w:lang w:eastAsia="it-IT"/>
        </w:rPr>
      </w:pPr>
    </w:p>
    <w:p w:rsidR="00506EC1" w:rsidRPr="00F07D0F" w:rsidRDefault="00506EC1" w:rsidP="00506EC1">
      <w:pPr>
        <w:spacing w:after="0" w:line="240" w:lineRule="auto"/>
        <w:jc w:val="both"/>
        <w:rPr>
          <w:rFonts w:eastAsia="Times New Roman" w:cstheme="minorHAnsi"/>
          <w:b/>
          <w:i/>
          <w:lang w:eastAsia="it-IT"/>
        </w:rPr>
      </w:pPr>
      <w:r w:rsidRPr="00F07D0F">
        <w:rPr>
          <w:rFonts w:eastAsia="Times New Roman" w:cstheme="minorHAnsi"/>
          <w:b/>
          <w:lang w:eastAsia="it-IT"/>
        </w:rPr>
        <w:t xml:space="preserve">In combinazione con antibiotici nel trattamento dell'ulcera duodenale causata da </w:t>
      </w:r>
      <w:proofErr w:type="spellStart"/>
      <w:r w:rsidRPr="00F07D0F">
        <w:rPr>
          <w:rFonts w:eastAsia="Times New Roman" w:cstheme="minorHAnsi"/>
          <w:b/>
          <w:i/>
          <w:lang w:eastAsia="it-IT"/>
        </w:rPr>
        <w:t>Helicobacter</w:t>
      </w:r>
      <w:proofErr w:type="spellEnd"/>
      <w:r w:rsidRPr="00F07D0F">
        <w:rPr>
          <w:rFonts w:eastAsia="Times New Roman" w:cstheme="minorHAnsi"/>
          <w:b/>
          <w:i/>
          <w:lang w:eastAsia="it-IT"/>
        </w:rPr>
        <w:t xml:space="preserve"> </w:t>
      </w:r>
      <w:proofErr w:type="spellStart"/>
      <w:r w:rsidRPr="00F07D0F">
        <w:rPr>
          <w:rFonts w:eastAsia="Times New Roman" w:cstheme="minorHAnsi"/>
          <w:b/>
          <w:i/>
          <w:lang w:eastAsia="it-IT"/>
        </w:rPr>
        <w:t>pylori</w:t>
      </w:r>
      <w:proofErr w:type="spellEnd"/>
      <w:r w:rsidRPr="00F07D0F">
        <w:rPr>
          <w:rFonts w:eastAsia="Times New Roman" w:cstheme="minorHAnsi"/>
          <w:b/>
          <w:i/>
          <w:lang w:eastAsia="it-IT"/>
        </w:rPr>
        <w:t>.</w:t>
      </w:r>
    </w:p>
    <w:p w:rsidR="00506EC1" w:rsidRPr="00F07D0F" w:rsidRDefault="00506EC1" w:rsidP="00506EC1">
      <w:pPr>
        <w:spacing w:after="0" w:line="240" w:lineRule="auto"/>
        <w:jc w:val="both"/>
        <w:rPr>
          <w:rFonts w:eastAsia="Times New Roman" w:cstheme="minorHAnsi"/>
          <w:b/>
          <w:lang w:eastAsia="it-IT"/>
        </w:rPr>
      </w:pPr>
    </w:p>
    <w:p w:rsidR="00506EC1" w:rsidRPr="00EF6711" w:rsidRDefault="00506EC1" w:rsidP="00506EC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:rsidR="00506EC1" w:rsidRPr="00EF6711" w:rsidRDefault="00506EC1" w:rsidP="00506EC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 xml:space="preserve">Le informazioni sulla posologia e sulle modalità di somministrazione sono riportate nel Riassunto delle Caratteristiche del Prodotto pubblicato sul sito dell’Agenzia Italiana del Farmaco - AIFA </w:t>
      </w:r>
      <w:r w:rsidRPr="00EF6711">
        <w:rPr>
          <w:rFonts w:eastAsia="Calibri" w:cs="Calibri"/>
          <w:lang w:eastAsia="it-IT"/>
        </w:rPr>
        <w:t>(</w:t>
      </w:r>
      <w:hyperlink r:id="rId10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506EC1" w:rsidRPr="00EF6711" w:rsidRDefault="00506EC1" w:rsidP="00506EC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506EC1" w:rsidRPr="00EF6711" w:rsidRDefault="00506EC1" w:rsidP="00506EC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EF6711">
        <w:rPr>
          <w:rFonts w:eastAsia="Calibri" w:cs="Calibri"/>
          <w:b/>
          <w:lang w:eastAsia="it-IT"/>
        </w:rPr>
        <w:t>Tossicologia</w:t>
      </w:r>
    </w:p>
    <w:p w:rsidR="00506EC1" w:rsidRPr="00EF6711" w:rsidRDefault="00506EC1" w:rsidP="00506EC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rPr>
          <w:rFonts w:eastAsia="Calibri" w:cs="Calibri"/>
          <w:lang w:eastAsia="it-IT"/>
        </w:rPr>
        <w:t xml:space="preserve">La tossicologia di </w:t>
      </w:r>
      <w:proofErr w:type="spellStart"/>
      <w:r>
        <w:rPr>
          <w:rFonts w:ascii="Calibri" w:eastAsia="Calibri" w:hAnsi="Calibri" w:cs="Times New Roman"/>
        </w:rPr>
        <w:t>esomeprazolo</w:t>
      </w:r>
      <w:proofErr w:type="spellEnd"/>
      <w:r>
        <w:rPr>
          <w:rFonts w:ascii="Calibri" w:eastAsia="Calibri" w:hAnsi="Calibri" w:cs="Times New Roman"/>
        </w:rPr>
        <w:t xml:space="preserve"> </w:t>
      </w:r>
      <w:r w:rsidRPr="00EF6711">
        <w:rPr>
          <w:rFonts w:eastAsia="Calibri" w:cs="Calibri"/>
          <w:lang w:eastAsia="it-IT"/>
        </w:rPr>
        <w:t>è ben conosciuta; non è stato necessario presentare ulteriori dati.</w:t>
      </w:r>
    </w:p>
    <w:p w:rsidR="00506EC1" w:rsidRDefault="00506EC1" w:rsidP="00506EC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506EC1" w:rsidRPr="000C795F" w:rsidRDefault="00506EC1" w:rsidP="00506EC1">
      <w:pPr>
        <w:tabs>
          <w:tab w:val="left" w:pos="5544"/>
        </w:tabs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0C795F">
        <w:rPr>
          <w:rFonts w:eastAsia="Times New Roman" w:cs="Times New Roman"/>
          <w:b/>
        </w:rPr>
        <w:lastRenderedPageBreak/>
        <w:t>Farmacologia clinica</w:t>
      </w:r>
      <w:r w:rsidRPr="000C795F">
        <w:rPr>
          <w:rFonts w:eastAsia="Times New Roman" w:cs="Times New Roman"/>
          <w:b/>
        </w:rPr>
        <w:tab/>
      </w:r>
    </w:p>
    <w:p w:rsidR="00506EC1" w:rsidRPr="000C795F" w:rsidRDefault="00506EC1" w:rsidP="00506EC1">
      <w:pPr>
        <w:keepNext/>
        <w:jc w:val="both"/>
        <w:rPr>
          <w:rFonts w:ascii="Calibri" w:eastAsia="Calibri" w:hAnsi="Calibri" w:cs="Times New Roman"/>
        </w:rPr>
      </w:pPr>
      <w:r w:rsidRPr="000C795F">
        <w:rPr>
          <w:rFonts w:eastAsia="Calibri" w:cs="Calibri"/>
        </w:rPr>
        <w:t xml:space="preserve">La farmacologia clinica di </w:t>
      </w:r>
      <w:proofErr w:type="spellStart"/>
      <w:r>
        <w:rPr>
          <w:rFonts w:ascii="Calibri" w:eastAsia="Calibri" w:hAnsi="Calibri" w:cs="Times New Roman"/>
        </w:rPr>
        <w:t>esomeprazolo</w:t>
      </w:r>
      <w:r w:rsidRPr="000C795F">
        <w:rPr>
          <w:rFonts w:eastAsia="Calibri" w:cs="Calibri"/>
        </w:rPr>
        <w:t>è</w:t>
      </w:r>
      <w:proofErr w:type="spellEnd"/>
      <w:r w:rsidRPr="000C795F">
        <w:rPr>
          <w:rFonts w:eastAsia="Calibri" w:cs="Calibri"/>
        </w:rPr>
        <w:t xml:space="preserve"> ben conosciuta.</w:t>
      </w:r>
      <w:r>
        <w:rPr>
          <w:rFonts w:eastAsia="Calibri" w:cs="Calibri"/>
        </w:rPr>
        <w:t xml:space="preserve"> </w:t>
      </w:r>
      <w:r w:rsidR="00DB2236">
        <w:rPr>
          <w:rFonts w:ascii="Calibri" w:eastAsia="Calibri" w:hAnsi="Calibri" w:cs="Times New Roman"/>
          <w:noProof/>
        </w:rPr>
        <w:t xml:space="preserve">Esomeprazolo Mylan Generics </w:t>
      </w:r>
      <w:r w:rsidRPr="000C795F">
        <w:t xml:space="preserve">contiene un principio </w:t>
      </w:r>
      <w:r>
        <w:t xml:space="preserve">attivo noto, presente nel medicinale di riferimento </w:t>
      </w:r>
      <w:proofErr w:type="spellStart"/>
      <w:r>
        <w:t>Nexium</w:t>
      </w:r>
      <w:r>
        <w:rPr>
          <w:rFonts w:cstheme="minorHAnsi"/>
        </w:rPr>
        <w:t>®</w:t>
      </w:r>
      <w:proofErr w:type="spellEnd"/>
      <w:r>
        <w:t xml:space="preserve">, </w:t>
      </w:r>
      <w:r w:rsidRPr="000C795F">
        <w:t>autorizzato in Italia da più di dieci anni. Fatta eccezione de</w:t>
      </w:r>
      <w:r>
        <w:t>gli</w:t>
      </w:r>
      <w:r w:rsidRPr="000C795F">
        <w:t xml:space="preserve"> studi di </w:t>
      </w:r>
      <w:proofErr w:type="spellStart"/>
      <w:r w:rsidRPr="000C795F">
        <w:t>bioequivalenza</w:t>
      </w:r>
      <w:proofErr w:type="spellEnd"/>
      <w:r w:rsidRPr="000C795F">
        <w:t>, non sono stati condotti nuovi studi clinici di farmacodinamica e farmacocinetica.</w:t>
      </w:r>
    </w:p>
    <w:p w:rsidR="00506EC1" w:rsidRPr="00F07D0F" w:rsidRDefault="00506EC1" w:rsidP="00506EC1">
      <w:pPr>
        <w:spacing w:after="0" w:line="240" w:lineRule="auto"/>
        <w:jc w:val="both"/>
        <w:rPr>
          <w:rFonts w:ascii="Calibri" w:eastAsiaTheme="minorEastAsia" w:hAnsi="Calibri" w:cs="Arial"/>
          <w:b/>
          <w:bCs/>
          <w:lang w:eastAsia="it-IT"/>
        </w:rPr>
      </w:pPr>
      <w:r w:rsidRPr="00F07D0F">
        <w:rPr>
          <w:rFonts w:ascii="Calibri" w:eastAsiaTheme="minorEastAsia" w:hAnsi="Calibri" w:cs="Arial"/>
          <w:b/>
          <w:bCs/>
          <w:lang w:eastAsia="it-IT"/>
        </w:rPr>
        <w:t xml:space="preserve">Studi di </w:t>
      </w:r>
      <w:proofErr w:type="spellStart"/>
      <w:r w:rsidRPr="00F07D0F">
        <w:rPr>
          <w:rFonts w:ascii="Calibri" w:eastAsiaTheme="minorEastAsia" w:hAnsi="Calibri" w:cs="Arial"/>
          <w:b/>
          <w:bCs/>
          <w:lang w:eastAsia="it-IT"/>
        </w:rPr>
        <w:t>bioequivalenza</w:t>
      </w:r>
      <w:proofErr w:type="spellEnd"/>
    </w:p>
    <w:p w:rsidR="00506EC1" w:rsidRPr="00F07D0F" w:rsidRDefault="00506EC1" w:rsidP="00506EC1">
      <w:pPr>
        <w:spacing w:after="0" w:line="240" w:lineRule="auto"/>
        <w:jc w:val="both"/>
        <w:rPr>
          <w:rFonts w:eastAsiaTheme="minorEastAsia"/>
          <w:lang w:eastAsia="it-IT"/>
        </w:rPr>
      </w:pPr>
      <w:r w:rsidRPr="00F07D0F">
        <w:rPr>
          <w:rFonts w:eastAsiaTheme="minorEastAsia"/>
          <w:lang w:eastAsia="it-IT"/>
        </w:rPr>
        <w:t xml:space="preserve">La richiesta di AIC è supportata da due studi di </w:t>
      </w:r>
      <w:proofErr w:type="spellStart"/>
      <w:r w:rsidRPr="00F07D0F">
        <w:rPr>
          <w:rFonts w:eastAsiaTheme="minorEastAsia"/>
          <w:lang w:eastAsia="it-IT"/>
        </w:rPr>
        <w:t>bioequivalenza</w:t>
      </w:r>
      <w:proofErr w:type="spellEnd"/>
      <w:r w:rsidRPr="00F07D0F">
        <w:rPr>
          <w:rFonts w:eastAsiaTheme="minorEastAsia"/>
          <w:lang w:eastAsia="it-IT"/>
        </w:rPr>
        <w:t xml:space="preserve">, che hanno confrontato i profili farmacocinetici di </w:t>
      </w:r>
      <w:r w:rsidRPr="00F07D0F">
        <w:rPr>
          <w:rFonts w:ascii="Calibri" w:eastAsia="Calibri" w:hAnsi="Calibri" w:cs="Times New Roman"/>
          <w:noProof/>
          <w:lang w:eastAsia="it-IT"/>
        </w:rPr>
        <w:t xml:space="preserve">Esomeprazolo Mylan Generics </w:t>
      </w:r>
      <w:r w:rsidRPr="00F07D0F">
        <w:rPr>
          <w:rFonts w:ascii="Calibri" w:eastAsiaTheme="minorEastAsia" w:hAnsi="Calibri" w:cs="Arial"/>
          <w:lang w:eastAsia="it-IT"/>
        </w:rPr>
        <w:t xml:space="preserve">40 mg compresse </w:t>
      </w:r>
      <w:proofErr w:type="spellStart"/>
      <w:r w:rsidRPr="00F07D0F">
        <w:rPr>
          <w:rFonts w:ascii="Calibri" w:eastAsiaTheme="minorEastAsia" w:hAnsi="Calibri" w:cs="Arial"/>
          <w:lang w:eastAsia="it-IT"/>
        </w:rPr>
        <w:t>gastroresistenti</w:t>
      </w:r>
      <w:proofErr w:type="spellEnd"/>
      <w:r w:rsidRPr="00F07D0F">
        <w:rPr>
          <w:rFonts w:ascii="Calibri" w:eastAsiaTheme="minorEastAsia" w:hAnsi="Calibri" w:cs="Arial"/>
          <w:lang w:eastAsia="it-IT"/>
        </w:rPr>
        <w:t xml:space="preserve"> </w:t>
      </w:r>
      <w:r w:rsidRPr="00F07D0F">
        <w:rPr>
          <w:rFonts w:eastAsiaTheme="minorEastAsia"/>
          <w:lang w:eastAsia="it-IT"/>
        </w:rPr>
        <w:t xml:space="preserve">e quelli del medicinale di riferimento </w:t>
      </w:r>
      <w:proofErr w:type="spellStart"/>
      <w:r w:rsidRPr="00F07D0F">
        <w:rPr>
          <w:rFonts w:ascii="Calibri" w:eastAsiaTheme="minorEastAsia" w:hAnsi="Calibri" w:cs="Arial"/>
          <w:lang w:eastAsia="it-IT"/>
        </w:rPr>
        <w:t>Nexium</w:t>
      </w:r>
      <w:proofErr w:type="spellEnd"/>
      <w:r w:rsidRPr="00F07D0F">
        <w:rPr>
          <w:rFonts w:ascii="Calibri" w:eastAsiaTheme="minorEastAsia" w:hAnsi="Calibri" w:cs="Calibri"/>
          <w:lang w:eastAsia="it-IT"/>
        </w:rPr>
        <w:t>®</w:t>
      </w:r>
      <w:r w:rsidRPr="00F07D0F">
        <w:rPr>
          <w:rFonts w:ascii="Calibri" w:eastAsiaTheme="minorEastAsia" w:hAnsi="Calibri" w:cs="Arial"/>
          <w:lang w:eastAsia="it-IT"/>
        </w:rPr>
        <w:t xml:space="preserve"> 40 mg compresse </w:t>
      </w:r>
      <w:proofErr w:type="spellStart"/>
      <w:r w:rsidRPr="00F07D0F">
        <w:rPr>
          <w:rFonts w:ascii="Calibri" w:eastAsiaTheme="minorEastAsia" w:hAnsi="Calibri" w:cs="Arial"/>
          <w:lang w:eastAsia="it-IT"/>
        </w:rPr>
        <w:t>gastroresistenti</w:t>
      </w:r>
      <w:proofErr w:type="spellEnd"/>
      <w:r w:rsidRPr="00F07D0F">
        <w:rPr>
          <w:rFonts w:eastAsiaTheme="minorEastAsia"/>
          <w:lang w:eastAsia="it-IT"/>
        </w:rPr>
        <w:t>, sia in condizioni di digiuno che a stomaco pieno.</w:t>
      </w:r>
    </w:p>
    <w:p w:rsidR="00506EC1" w:rsidRPr="00F07D0F" w:rsidRDefault="00506EC1" w:rsidP="00506EC1">
      <w:pPr>
        <w:spacing w:after="0" w:line="240" w:lineRule="auto"/>
        <w:contextualSpacing/>
        <w:jc w:val="both"/>
        <w:rPr>
          <w:rFonts w:eastAsiaTheme="minorEastAsia"/>
          <w:lang w:eastAsia="it-IT"/>
        </w:rPr>
      </w:pPr>
      <w:r w:rsidRPr="00F07D0F">
        <w:rPr>
          <w:rFonts w:eastAsiaTheme="minorEastAsia"/>
          <w:lang w:eastAsia="it-IT"/>
        </w:rPr>
        <w:t xml:space="preserve">Gli studi sono caratterizzati da un appropriato disegno e sono stati condotti in accordo alle linee guida CPMP/EWP/QWP/1401/98 Rev. 1/ </w:t>
      </w:r>
      <w:proofErr w:type="spellStart"/>
      <w:r w:rsidRPr="00F07D0F">
        <w:rPr>
          <w:rFonts w:eastAsiaTheme="minorEastAsia"/>
          <w:lang w:eastAsia="it-IT"/>
        </w:rPr>
        <w:t>Corr</w:t>
      </w:r>
      <w:proofErr w:type="spellEnd"/>
      <w:r w:rsidRPr="00F07D0F">
        <w:rPr>
          <w:rFonts w:eastAsiaTheme="minorEastAsia"/>
          <w:lang w:eastAsia="it-IT"/>
        </w:rPr>
        <w:t xml:space="preserve"> **, EMA/CHMP/EWP/280/96 Rev1, e ai principi GCP.</w:t>
      </w:r>
    </w:p>
    <w:p w:rsidR="00506EC1" w:rsidRPr="00F07D0F" w:rsidRDefault="00506EC1" w:rsidP="00506EC1">
      <w:pPr>
        <w:spacing w:after="0" w:line="240" w:lineRule="auto"/>
        <w:contextualSpacing/>
        <w:jc w:val="both"/>
        <w:rPr>
          <w:rFonts w:eastAsiaTheme="minorEastAsia"/>
          <w:lang w:eastAsia="it-IT"/>
        </w:rPr>
      </w:pPr>
      <w:r w:rsidRPr="00F07D0F">
        <w:rPr>
          <w:rFonts w:eastAsiaTheme="minorEastAsia"/>
          <w:lang w:eastAsia="it-IT"/>
        </w:rPr>
        <w:t>Sono stati forniti certificati analitici per il medicinale test e  il medicinale di riferimento.</w:t>
      </w:r>
    </w:p>
    <w:p w:rsidR="00506EC1" w:rsidRPr="00F07D0F" w:rsidRDefault="00506EC1" w:rsidP="00506EC1">
      <w:pPr>
        <w:spacing w:after="0" w:line="240" w:lineRule="auto"/>
        <w:jc w:val="both"/>
        <w:rPr>
          <w:rFonts w:eastAsiaTheme="minorEastAsia"/>
          <w:lang w:eastAsia="it-IT"/>
        </w:rPr>
      </w:pPr>
      <w:r w:rsidRPr="00F07D0F">
        <w:rPr>
          <w:rFonts w:ascii="Calibri" w:eastAsiaTheme="minorEastAsia" w:hAnsi="Calibri"/>
          <w:lang w:eastAsia="it-IT"/>
        </w:rPr>
        <w:t xml:space="preserve">L’utilizzo del solo dosaggio </w:t>
      </w:r>
      <w:r w:rsidRPr="00F07D0F">
        <w:rPr>
          <w:rFonts w:eastAsiaTheme="minorEastAsia"/>
          <w:lang w:eastAsia="it-IT"/>
        </w:rPr>
        <w:t xml:space="preserve">maggiore 40 mg per gli studi di </w:t>
      </w:r>
      <w:proofErr w:type="spellStart"/>
      <w:r w:rsidRPr="00F07D0F">
        <w:rPr>
          <w:rFonts w:eastAsiaTheme="minorEastAsia"/>
          <w:lang w:eastAsia="it-IT"/>
        </w:rPr>
        <w:t>bioequivalenza</w:t>
      </w:r>
      <w:proofErr w:type="spellEnd"/>
      <w:r w:rsidRPr="00F07D0F">
        <w:rPr>
          <w:rFonts w:eastAsiaTheme="minorEastAsia"/>
          <w:lang w:eastAsia="it-IT"/>
        </w:rPr>
        <w:t xml:space="preserve"> è stato opportunamente giustificato.</w:t>
      </w:r>
    </w:p>
    <w:p w:rsidR="00506EC1" w:rsidRPr="00F07D0F" w:rsidRDefault="00506EC1" w:rsidP="00506EC1">
      <w:pPr>
        <w:spacing w:after="0" w:line="240" w:lineRule="auto"/>
        <w:jc w:val="both"/>
        <w:rPr>
          <w:rFonts w:eastAsiaTheme="minorEastAsia"/>
          <w:lang w:eastAsia="it-IT"/>
        </w:rPr>
      </w:pPr>
    </w:p>
    <w:p w:rsidR="00506EC1" w:rsidRPr="00F07D0F" w:rsidRDefault="00506EC1" w:rsidP="00506EC1">
      <w:pPr>
        <w:spacing w:after="0" w:line="240" w:lineRule="auto"/>
        <w:jc w:val="both"/>
        <w:rPr>
          <w:rFonts w:ascii="Calibri" w:eastAsiaTheme="minorEastAsia" w:hAnsi="Calibri"/>
          <w:b/>
          <w:i/>
          <w:sz w:val="20"/>
          <w:lang w:eastAsia="it-IT"/>
        </w:rPr>
      </w:pPr>
      <w:r w:rsidRPr="00F07D0F">
        <w:rPr>
          <w:rFonts w:ascii="Calibri" w:eastAsiaTheme="minorEastAsia" w:hAnsi="Calibri"/>
          <w:b/>
          <w:i/>
          <w:sz w:val="20"/>
          <w:lang w:eastAsia="it-IT"/>
        </w:rPr>
        <w:t>STUDIO A</w:t>
      </w:r>
    </w:p>
    <w:p w:rsidR="00506EC1" w:rsidRPr="00F07D0F" w:rsidRDefault="00506EC1" w:rsidP="00506EC1">
      <w:pPr>
        <w:spacing w:after="0" w:line="240" w:lineRule="auto"/>
        <w:jc w:val="both"/>
        <w:rPr>
          <w:rFonts w:ascii="Calibri" w:eastAsiaTheme="minorEastAsia" w:hAnsi="Calibri" w:cs="Arial"/>
          <w:lang w:eastAsia="it-IT"/>
        </w:rPr>
      </w:pPr>
      <w:r w:rsidRPr="00F07D0F">
        <w:rPr>
          <w:rFonts w:ascii="Calibri" w:eastAsiaTheme="minorEastAsia" w:hAnsi="Calibri"/>
          <w:lang w:eastAsia="it-IT"/>
        </w:rPr>
        <w:t>Lo studio A è uno studio comparativo (</w:t>
      </w:r>
      <w:proofErr w:type="spellStart"/>
      <w:r w:rsidRPr="00F07D0F">
        <w:rPr>
          <w:rFonts w:ascii="Calibri" w:eastAsia="Calibri" w:hAnsi="Calibri" w:cs="Times New Roman"/>
          <w:noProof/>
          <w:lang w:eastAsia="it-IT"/>
        </w:rPr>
        <w:t>Esomeprazolo</w:t>
      </w:r>
      <w:proofErr w:type="spellEnd"/>
      <w:r w:rsidRPr="00F07D0F">
        <w:rPr>
          <w:rFonts w:ascii="Calibri" w:eastAsia="Calibri" w:hAnsi="Calibri" w:cs="Times New Roman"/>
          <w:noProof/>
          <w:lang w:eastAsia="it-IT"/>
        </w:rPr>
        <w:t xml:space="preserve"> Mylan Generics </w:t>
      </w:r>
      <w:r w:rsidRPr="00F07D0F">
        <w:rPr>
          <w:rFonts w:ascii="Calibri" w:eastAsiaTheme="minorEastAsia" w:hAnsi="Calibri" w:cs="Arial"/>
          <w:lang w:eastAsia="it-IT"/>
        </w:rPr>
        <w:t xml:space="preserve">40 mg compresse </w:t>
      </w:r>
      <w:proofErr w:type="spellStart"/>
      <w:r w:rsidRPr="00F07D0F">
        <w:rPr>
          <w:rFonts w:ascii="Calibri" w:eastAsiaTheme="minorEastAsia" w:hAnsi="Calibri" w:cs="Arial"/>
          <w:lang w:eastAsia="it-IT"/>
        </w:rPr>
        <w:t>gastroresistenti</w:t>
      </w:r>
      <w:proofErr w:type="spellEnd"/>
      <w:r w:rsidRPr="00F07D0F">
        <w:rPr>
          <w:rFonts w:ascii="Calibri" w:eastAsiaTheme="minorEastAsia" w:hAnsi="Calibri" w:cs="Arial"/>
          <w:lang w:eastAsia="it-IT"/>
        </w:rPr>
        <w:t xml:space="preserve"> </w:t>
      </w:r>
      <w:proofErr w:type="spellStart"/>
      <w:r w:rsidRPr="00F07D0F">
        <w:rPr>
          <w:rFonts w:eastAsiaTheme="minorEastAsia"/>
          <w:lang w:eastAsia="it-IT"/>
        </w:rPr>
        <w:t>Vs</w:t>
      </w:r>
      <w:proofErr w:type="spellEnd"/>
      <w:r w:rsidRPr="00F07D0F">
        <w:rPr>
          <w:rFonts w:eastAsiaTheme="minorEastAsia"/>
          <w:lang w:eastAsia="it-IT"/>
        </w:rPr>
        <w:t xml:space="preserve"> </w:t>
      </w:r>
      <w:proofErr w:type="spellStart"/>
      <w:r w:rsidRPr="00F07D0F">
        <w:rPr>
          <w:rFonts w:ascii="Calibri" w:eastAsiaTheme="minorEastAsia" w:hAnsi="Calibri" w:cs="Arial"/>
          <w:lang w:eastAsia="it-IT"/>
        </w:rPr>
        <w:t>Nexium</w:t>
      </w:r>
      <w:proofErr w:type="spellEnd"/>
      <w:r w:rsidRPr="00F07D0F">
        <w:rPr>
          <w:rFonts w:ascii="Calibri" w:eastAsiaTheme="minorEastAsia" w:hAnsi="Calibri" w:cs="Calibri"/>
          <w:lang w:eastAsia="it-IT"/>
        </w:rPr>
        <w:t>®</w:t>
      </w:r>
      <w:r w:rsidRPr="00F07D0F">
        <w:rPr>
          <w:rFonts w:ascii="Calibri" w:eastAsiaTheme="minorEastAsia" w:hAnsi="Calibri" w:cs="Arial"/>
          <w:lang w:eastAsia="it-IT"/>
        </w:rPr>
        <w:t xml:space="preserve"> 40 mg compresse </w:t>
      </w:r>
      <w:proofErr w:type="spellStart"/>
      <w:r w:rsidRPr="00F07D0F">
        <w:rPr>
          <w:rFonts w:ascii="Calibri" w:eastAsiaTheme="minorEastAsia" w:hAnsi="Calibri" w:cs="Arial"/>
          <w:lang w:eastAsia="it-IT"/>
        </w:rPr>
        <w:t>gastroresistenti</w:t>
      </w:r>
      <w:proofErr w:type="spellEnd"/>
      <w:r w:rsidRPr="00F07D0F">
        <w:rPr>
          <w:rFonts w:ascii="Calibri" w:eastAsiaTheme="minorEastAsia" w:hAnsi="Calibri" w:cs="Arial"/>
          <w:lang w:eastAsia="it-IT"/>
        </w:rPr>
        <w:t>)</w:t>
      </w:r>
      <w:r w:rsidRPr="00F07D0F">
        <w:rPr>
          <w:rFonts w:ascii="Calibri" w:eastAsiaTheme="minorEastAsia" w:hAnsi="Calibri"/>
          <w:lang w:eastAsia="it-IT"/>
        </w:rPr>
        <w:t xml:space="preserve">, randomizzato, a dose singola, 2-periodi, crossover, condotto su 40 volontari sani di sesso maschile, con somministrazione </w:t>
      </w:r>
      <w:r w:rsidRPr="00F07D0F">
        <w:rPr>
          <w:rFonts w:ascii="Calibri" w:eastAsiaTheme="minorEastAsia" w:hAnsi="Calibri"/>
          <w:u w:val="single"/>
          <w:lang w:eastAsia="it-IT"/>
        </w:rPr>
        <w:t>a digiuno</w:t>
      </w:r>
      <w:r w:rsidRPr="00F07D0F">
        <w:rPr>
          <w:rFonts w:ascii="Calibri" w:eastAsiaTheme="minorEastAsia" w:hAnsi="Calibri"/>
          <w:lang w:eastAsia="it-IT"/>
        </w:rPr>
        <w:t xml:space="preserve">. </w:t>
      </w:r>
      <w:r w:rsidRPr="00F07D0F">
        <w:rPr>
          <w:rFonts w:ascii="Calibri" w:eastAsiaTheme="minorEastAsia" w:hAnsi="Calibri" w:cs="Arial"/>
          <w:lang w:eastAsia="it-IT"/>
        </w:rPr>
        <w:t xml:space="preserve">Dopo una notte di digiuno, il medicinale è stato somministrato con acqua. </w:t>
      </w:r>
      <w:r w:rsidRPr="00F07D0F">
        <w:rPr>
          <w:rFonts w:ascii="Calibri" w:eastAsiaTheme="minorEastAsia" w:hAnsi="Calibri"/>
          <w:lang w:eastAsia="it-IT"/>
        </w:rPr>
        <w:t xml:space="preserve">Un soddisfacente periodo di wash-out di sette </w:t>
      </w:r>
      <w:r w:rsidRPr="00F07D0F">
        <w:rPr>
          <w:rFonts w:ascii="Calibri" w:eastAsiaTheme="minorEastAsia" w:hAnsi="Calibri" w:cs="Arial"/>
          <w:lang w:eastAsia="it-IT"/>
        </w:rPr>
        <w:t>giorni è stato previsto tra le somministrazioni in ogni gruppo.</w:t>
      </w:r>
    </w:p>
    <w:p w:rsidR="00506EC1" w:rsidRPr="00F07D0F" w:rsidRDefault="00506EC1" w:rsidP="00506EC1">
      <w:pPr>
        <w:spacing w:after="0" w:line="240" w:lineRule="auto"/>
        <w:jc w:val="both"/>
        <w:rPr>
          <w:rFonts w:ascii="Calibri" w:eastAsiaTheme="minorEastAsia" w:hAnsi="Calibri" w:cs="Arial"/>
          <w:lang w:eastAsia="it-IT"/>
        </w:rPr>
      </w:pPr>
      <w:r w:rsidRPr="00F07D0F">
        <w:rPr>
          <w:rFonts w:ascii="Calibri" w:eastAsiaTheme="minorEastAsia" w:hAnsi="Calibri" w:cs="Arial"/>
          <w:lang w:eastAsia="it-IT"/>
        </w:rPr>
        <w:t>Campioni di sangue sono stati prelevati al tempo zero (</w:t>
      </w:r>
      <w:proofErr w:type="spellStart"/>
      <w:r w:rsidRPr="00F07D0F">
        <w:rPr>
          <w:rFonts w:ascii="Calibri" w:eastAsiaTheme="minorEastAsia" w:hAnsi="Calibri" w:cs="Arial"/>
          <w:lang w:eastAsia="it-IT"/>
        </w:rPr>
        <w:t>pre-dose</w:t>
      </w:r>
      <w:proofErr w:type="spellEnd"/>
      <w:r w:rsidRPr="00F07D0F">
        <w:rPr>
          <w:rFonts w:ascii="Calibri" w:eastAsiaTheme="minorEastAsia" w:hAnsi="Calibri" w:cs="Arial"/>
          <w:lang w:eastAsia="it-IT"/>
        </w:rPr>
        <w:t xml:space="preserve">) e a specificati tempi fino a 18 ore dopo la somministrazione. I livelli plasmatici di </w:t>
      </w:r>
      <w:proofErr w:type="spellStart"/>
      <w:r w:rsidRPr="00F07D0F">
        <w:rPr>
          <w:rFonts w:ascii="Calibri" w:eastAsiaTheme="minorEastAsia" w:hAnsi="Calibri" w:cs="Arial"/>
          <w:lang w:eastAsia="it-IT"/>
        </w:rPr>
        <w:t>esomeprazolo</w:t>
      </w:r>
      <w:proofErr w:type="spellEnd"/>
      <w:r w:rsidRPr="00F07D0F">
        <w:rPr>
          <w:rFonts w:ascii="Calibri" w:eastAsiaTheme="minorEastAsia" w:hAnsi="Calibri" w:cs="Arial"/>
          <w:lang w:eastAsia="it-IT"/>
        </w:rPr>
        <w:t xml:space="preserve"> sono stati determinati mediante un metodo analitico </w:t>
      </w:r>
      <w:r w:rsidRPr="00F07D0F">
        <w:rPr>
          <w:rFonts w:eastAsiaTheme="minorEastAsia"/>
          <w:lang w:eastAsia="fi-FI"/>
        </w:rPr>
        <w:t>LC MS/MS</w:t>
      </w:r>
      <w:r w:rsidRPr="00F07D0F">
        <w:rPr>
          <w:rFonts w:ascii="Calibri" w:eastAsiaTheme="minorEastAsia" w:hAnsi="Calibri" w:cs="Arial"/>
          <w:lang w:eastAsia="it-IT"/>
        </w:rPr>
        <w:t xml:space="preserve"> opportunamente convalidato.</w:t>
      </w:r>
    </w:p>
    <w:p w:rsidR="00506EC1" w:rsidRPr="00F07D0F" w:rsidRDefault="00506EC1" w:rsidP="00506EC1">
      <w:pPr>
        <w:spacing w:after="0" w:line="240" w:lineRule="auto"/>
        <w:jc w:val="both"/>
        <w:rPr>
          <w:rFonts w:ascii="Calibri" w:eastAsiaTheme="minorEastAsia" w:hAnsi="Calibri" w:cs="Arial"/>
          <w:bCs/>
          <w:lang w:eastAsia="it-IT"/>
        </w:rPr>
      </w:pPr>
      <w:bookmarkStart w:id="2" w:name="_Hlk39838655"/>
      <w:r w:rsidRPr="00F07D0F">
        <w:rPr>
          <w:rFonts w:ascii="Calibri" w:eastAsiaTheme="minorEastAsia" w:hAnsi="Calibri" w:cs="Arial"/>
          <w:lang w:eastAsia="it-IT"/>
        </w:rPr>
        <w:t xml:space="preserve">Per </w:t>
      </w:r>
      <w:proofErr w:type="spellStart"/>
      <w:r w:rsidRPr="00F07D0F">
        <w:rPr>
          <w:rFonts w:ascii="Calibri" w:eastAsiaTheme="minorEastAsia" w:hAnsi="Calibri" w:cs="Arial"/>
          <w:lang w:eastAsia="it-IT"/>
        </w:rPr>
        <w:t>esomperazolo</w:t>
      </w:r>
      <w:proofErr w:type="spellEnd"/>
      <w:r w:rsidRPr="00F07D0F">
        <w:rPr>
          <w:rFonts w:ascii="Calibri" w:eastAsiaTheme="minorEastAsia" w:hAnsi="Calibri" w:cs="Arial"/>
          <w:lang w:eastAsia="it-IT"/>
        </w:rPr>
        <w:t xml:space="preserve"> sono state definite le seguenti variabili farmacocinetiche: </w:t>
      </w:r>
      <w:proofErr w:type="spellStart"/>
      <w:r w:rsidRPr="00F07D0F">
        <w:rPr>
          <w:rFonts w:ascii="Calibri" w:eastAsiaTheme="minorEastAsia" w:hAnsi="Calibri" w:cs="Arial"/>
          <w:lang w:eastAsia="it-IT"/>
        </w:rPr>
        <w:t>C</w:t>
      </w:r>
      <w:r w:rsidRPr="00F07D0F">
        <w:rPr>
          <w:rFonts w:ascii="Calibri" w:eastAsiaTheme="minorEastAsia" w:hAnsi="Calibri" w:cs="Arial"/>
          <w:vertAlign w:val="subscript"/>
          <w:lang w:eastAsia="it-IT"/>
        </w:rPr>
        <w:t>max</w:t>
      </w:r>
      <w:proofErr w:type="spellEnd"/>
      <w:r w:rsidRPr="00F07D0F">
        <w:rPr>
          <w:rFonts w:ascii="Calibri" w:eastAsiaTheme="minorEastAsia" w:hAnsi="Calibri" w:cs="Arial"/>
          <w:lang w:eastAsia="it-IT"/>
        </w:rPr>
        <w:t>, AUC</w:t>
      </w:r>
      <w:r w:rsidRPr="00F07D0F">
        <w:rPr>
          <w:rFonts w:ascii="Calibri" w:eastAsiaTheme="minorEastAsia" w:hAnsi="Calibri" w:cs="Arial"/>
          <w:vertAlign w:val="subscript"/>
          <w:lang w:eastAsia="it-IT"/>
        </w:rPr>
        <w:t>0-t</w:t>
      </w:r>
      <w:r w:rsidRPr="00F07D0F">
        <w:rPr>
          <w:rFonts w:ascii="Calibri" w:eastAsiaTheme="minorEastAsia" w:hAnsi="Calibri" w:cs="Arial"/>
          <w:lang w:eastAsia="it-IT"/>
        </w:rPr>
        <w:t>, AUC</w:t>
      </w:r>
      <w:r w:rsidRPr="00F07D0F">
        <w:rPr>
          <w:rFonts w:ascii="Calibri" w:eastAsiaTheme="minorEastAsia" w:hAnsi="Calibri" w:cs="Arial"/>
          <w:vertAlign w:val="subscript"/>
          <w:lang w:eastAsia="it-IT"/>
        </w:rPr>
        <w:t>0-</w:t>
      </w:r>
      <w:r w:rsidRPr="00F07D0F">
        <w:rPr>
          <w:rFonts w:eastAsiaTheme="minorEastAsia"/>
          <w:vertAlign w:val="subscript"/>
          <w:lang w:val="en-GB" w:eastAsia="it-IT"/>
        </w:rPr>
        <w:sym w:font="Symbol" w:char="F0A5"/>
      </w:r>
      <w:r w:rsidRPr="00F07D0F">
        <w:rPr>
          <w:rFonts w:ascii="Calibri" w:eastAsiaTheme="minorEastAsia" w:hAnsi="Calibri" w:cs="Arial"/>
          <w:lang w:eastAsia="it-IT"/>
        </w:rPr>
        <w:t xml:space="preserve">, </w:t>
      </w:r>
      <w:proofErr w:type="spellStart"/>
      <w:r w:rsidRPr="00F07D0F">
        <w:rPr>
          <w:rFonts w:ascii="Calibri" w:eastAsiaTheme="minorEastAsia" w:hAnsi="Calibri" w:cs="Arial"/>
          <w:lang w:eastAsia="it-IT"/>
        </w:rPr>
        <w:t>t</w:t>
      </w:r>
      <w:r w:rsidRPr="00F07D0F">
        <w:rPr>
          <w:rFonts w:ascii="Calibri" w:eastAsiaTheme="minorEastAsia" w:hAnsi="Calibri" w:cs="Arial"/>
          <w:vertAlign w:val="subscript"/>
          <w:lang w:eastAsia="it-IT"/>
        </w:rPr>
        <w:t>max</w:t>
      </w:r>
      <w:proofErr w:type="spellEnd"/>
      <w:r w:rsidRPr="00F07D0F">
        <w:rPr>
          <w:rFonts w:ascii="Calibri" w:eastAsiaTheme="minorEastAsia" w:hAnsi="Calibri" w:cs="Arial"/>
          <w:lang w:eastAsia="it-IT"/>
        </w:rPr>
        <w:t xml:space="preserve">, </w:t>
      </w:r>
      <w:proofErr w:type="spellStart"/>
      <w:r w:rsidRPr="00F07D0F">
        <w:rPr>
          <w:rFonts w:ascii="Calibri" w:eastAsiaTheme="minorEastAsia" w:hAnsi="Calibri" w:cs="Arial"/>
          <w:lang w:eastAsia="it-IT"/>
        </w:rPr>
        <w:t>t</w:t>
      </w:r>
      <w:r w:rsidRPr="00F07D0F">
        <w:rPr>
          <w:rFonts w:ascii="Calibri" w:eastAsiaTheme="minorEastAsia" w:hAnsi="Calibri" w:cs="Arial"/>
          <w:vertAlign w:val="subscript"/>
          <w:lang w:eastAsia="it-IT"/>
        </w:rPr>
        <w:t>½</w:t>
      </w:r>
      <w:proofErr w:type="spellEnd"/>
      <w:r w:rsidRPr="00F07D0F">
        <w:rPr>
          <w:rFonts w:ascii="Calibri" w:eastAsiaTheme="minorEastAsia" w:hAnsi="Calibri" w:cs="Arial"/>
          <w:lang w:eastAsia="it-IT"/>
        </w:rPr>
        <w:t xml:space="preserve">, </w:t>
      </w:r>
      <w:proofErr w:type="spellStart"/>
      <w:r w:rsidRPr="00F07D0F">
        <w:rPr>
          <w:rFonts w:ascii="Calibri" w:eastAsiaTheme="minorEastAsia" w:hAnsi="Calibri" w:cs="Arial"/>
          <w:lang w:eastAsia="it-IT"/>
        </w:rPr>
        <w:t>K</w:t>
      </w:r>
      <w:r w:rsidRPr="00F07D0F">
        <w:rPr>
          <w:rFonts w:ascii="Calibri" w:eastAsiaTheme="minorEastAsia" w:hAnsi="Calibri" w:cs="Arial"/>
          <w:vertAlign w:val="subscript"/>
          <w:lang w:eastAsia="it-IT"/>
        </w:rPr>
        <w:t>el</w:t>
      </w:r>
      <w:proofErr w:type="spellEnd"/>
    </w:p>
    <w:p w:rsidR="00506EC1" w:rsidRPr="00F07D0F" w:rsidRDefault="00506EC1" w:rsidP="00506EC1">
      <w:pPr>
        <w:spacing w:after="0" w:line="240" w:lineRule="auto"/>
        <w:contextualSpacing/>
        <w:jc w:val="both"/>
        <w:rPr>
          <w:rFonts w:ascii="Calibri" w:eastAsiaTheme="minorEastAsia" w:hAnsi="Calibri" w:cs="Arial"/>
          <w:lang w:eastAsia="it-IT"/>
        </w:rPr>
      </w:pPr>
      <w:r w:rsidRPr="00F07D0F">
        <w:rPr>
          <w:rFonts w:ascii="Calibri" w:eastAsiaTheme="minorEastAsia" w:hAnsi="Calibri" w:cs="Arial"/>
          <w:lang w:eastAsia="it-IT"/>
        </w:rPr>
        <w:t xml:space="preserve"> e </w:t>
      </w:r>
      <w:bookmarkEnd w:id="2"/>
      <w:r w:rsidRPr="00F07D0F">
        <w:rPr>
          <w:rFonts w:ascii="Calibri" w:eastAsiaTheme="minorEastAsia" w:hAnsi="Calibri" w:cs="Arial"/>
          <w:lang w:eastAsia="it-IT"/>
        </w:rPr>
        <w:t>il rapporto AUC</w:t>
      </w:r>
      <w:r w:rsidRPr="00F07D0F">
        <w:rPr>
          <w:rFonts w:ascii="Calibri" w:eastAsiaTheme="minorEastAsia" w:hAnsi="Calibri" w:cs="Arial"/>
          <w:vertAlign w:val="subscript"/>
          <w:lang w:eastAsia="it-IT"/>
        </w:rPr>
        <w:t>0-t</w:t>
      </w:r>
      <w:r w:rsidRPr="00F07D0F">
        <w:rPr>
          <w:rFonts w:ascii="Calibri" w:eastAsiaTheme="minorEastAsia" w:hAnsi="Calibri" w:cs="Arial"/>
          <w:lang w:eastAsia="it-IT"/>
        </w:rPr>
        <w:t>/AUC</w:t>
      </w:r>
      <w:r w:rsidRPr="00F07D0F">
        <w:rPr>
          <w:rFonts w:ascii="Calibri" w:eastAsiaTheme="minorEastAsia" w:hAnsi="Calibri" w:cs="Arial"/>
          <w:vertAlign w:val="subscript"/>
          <w:lang w:eastAsia="it-IT"/>
        </w:rPr>
        <w:t>0-</w:t>
      </w:r>
      <w:r w:rsidRPr="00F07D0F">
        <w:rPr>
          <w:rFonts w:eastAsiaTheme="minorEastAsia"/>
          <w:vertAlign w:val="subscript"/>
          <w:lang w:val="en-GB" w:eastAsia="it-IT"/>
        </w:rPr>
        <w:sym w:font="Symbol" w:char="F0A5"/>
      </w:r>
      <w:r w:rsidRPr="00F07D0F">
        <w:rPr>
          <w:rFonts w:ascii="Calibri" w:eastAsiaTheme="minorEastAsia" w:hAnsi="Calibri" w:cs="Arial"/>
          <w:lang w:eastAsia="it-IT"/>
        </w:rPr>
        <w:t xml:space="preserve">.. La </w:t>
      </w:r>
      <w:proofErr w:type="spellStart"/>
      <w:r w:rsidRPr="00F07D0F">
        <w:rPr>
          <w:rFonts w:ascii="Calibri" w:eastAsiaTheme="minorEastAsia" w:hAnsi="Calibri" w:cs="Arial"/>
          <w:lang w:eastAsia="it-IT"/>
        </w:rPr>
        <w:t>bioequivalenza</w:t>
      </w:r>
      <w:proofErr w:type="spellEnd"/>
      <w:r w:rsidRPr="00F07D0F">
        <w:rPr>
          <w:rFonts w:ascii="Calibri" w:eastAsiaTheme="minorEastAsia" w:hAnsi="Calibri" w:cs="Arial"/>
          <w:lang w:eastAsia="it-IT"/>
        </w:rPr>
        <w:t xml:space="preserve"> tra medicinale test e medicinale di riferimento è dimostrata se gli intervalli di confidenza al 90% per la trasformata logaritmica di </w:t>
      </w:r>
      <w:proofErr w:type="spellStart"/>
      <w:r w:rsidRPr="00F07D0F">
        <w:rPr>
          <w:rFonts w:ascii="Calibri" w:eastAsiaTheme="minorEastAsia" w:hAnsi="Calibri" w:cs="Arial"/>
          <w:lang w:eastAsia="it-IT"/>
        </w:rPr>
        <w:t>C</w:t>
      </w:r>
      <w:r w:rsidRPr="00F07D0F">
        <w:rPr>
          <w:rFonts w:ascii="Calibri" w:eastAsiaTheme="minorEastAsia" w:hAnsi="Calibri" w:cs="Arial"/>
          <w:vertAlign w:val="subscript"/>
          <w:lang w:eastAsia="it-IT"/>
        </w:rPr>
        <w:t>max</w:t>
      </w:r>
      <w:proofErr w:type="spellEnd"/>
      <w:r w:rsidRPr="00F07D0F">
        <w:rPr>
          <w:rFonts w:ascii="Calibri" w:eastAsiaTheme="minorEastAsia" w:hAnsi="Calibri" w:cs="Arial"/>
          <w:lang w:eastAsia="it-IT"/>
        </w:rPr>
        <w:t xml:space="preserve"> e AUC</w:t>
      </w:r>
      <w:r w:rsidRPr="00F07D0F">
        <w:rPr>
          <w:rFonts w:ascii="Calibri" w:eastAsiaTheme="minorEastAsia" w:hAnsi="Calibri" w:cs="Arial"/>
          <w:vertAlign w:val="subscript"/>
          <w:lang w:eastAsia="it-IT"/>
        </w:rPr>
        <w:t>0-t</w:t>
      </w:r>
      <w:r w:rsidRPr="00F07D0F">
        <w:rPr>
          <w:rFonts w:ascii="Calibri" w:eastAsiaTheme="minorEastAsia" w:hAnsi="Calibri" w:cs="Arial"/>
          <w:lang w:eastAsia="it-IT"/>
        </w:rPr>
        <w:t xml:space="preserve">, cadono nel </w:t>
      </w:r>
      <w:proofErr w:type="spellStart"/>
      <w:r w:rsidRPr="00F07D0F">
        <w:rPr>
          <w:rFonts w:ascii="Calibri" w:eastAsiaTheme="minorEastAsia" w:hAnsi="Calibri" w:cs="Arial"/>
          <w:lang w:eastAsia="it-IT"/>
        </w:rPr>
        <w:t>range</w:t>
      </w:r>
      <w:proofErr w:type="spellEnd"/>
      <w:r w:rsidRPr="00F07D0F">
        <w:rPr>
          <w:rFonts w:ascii="Calibri" w:eastAsiaTheme="minorEastAsia" w:hAnsi="Calibri" w:cs="Arial"/>
          <w:lang w:eastAsia="it-IT"/>
        </w:rPr>
        <w:t xml:space="preserve"> di accettabilità di 0.80-1.25 (80%-125%).</w:t>
      </w:r>
    </w:p>
    <w:p w:rsidR="00506EC1" w:rsidRPr="00F07D0F" w:rsidRDefault="00506EC1" w:rsidP="00506EC1">
      <w:pPr>
        <w:spacing w:after="0" w:line="240" w:lineRule="auto"/>
        <w:jc w:val="both"/>
        <w:rPr>
          <w:rFonts w:eastAsiaTheme="minorEastAsia"/>
          <w:highlight w:val="green"/>
          <w:lang w:eastAsia="it-IT"/>
        </w:rPr>
      </w:pPr>
    </w:p>
    <w:p w:rsidR="00506EC1" w:rsidRPr="00F07D0F" w:rsidRDefault="00506EC1" w:rsidP="00506EC1">
      <w:pPr>
        <w:spacing w:after="0" w:line="240" w:lineRule="auto"/>
        <w:contextualSpacing/>
        <w:jc w:val="both"/>
        <w:rPr>
          <w:rFonts w:eastAsiaTheme="minorEastAsia"/>
          <w:u w:val="single"/>
          <w:lang w:eastAsia="it-IT"/>
        </w:rPr>
      </w:pPr>
      <w:r w:rsidRPr="00F07D0F">
        <w:rPr>
          <w:rFonts w:eastAsiaTheme="minorEastAsia"/>
          <w:u w:val="single"/>
          <w:lang w:eastAsia="it-IT"/>
        </w:rPr>
        <w:t>Risultati</w:t>
      </w:r>
    </w:p>
    <w:p w:rsidR="00506EC1" w:rsidRPr="00F07D0F" w:rsidRDefault="00506EC1" w:rsidP="00506EC1">
      <w:pPr>
        <w:spacing w:after="0" w:line="240" w:lineRule="auto"/>
        <w:contextualSpacing/>
        <w:jc w:val="both"/>
        <w:rPr>
          <w:rFonts w:ascii="Calibri" w:eastAsiaTheme="minorEastAsia" w:hAnsi="Calibri" w:cs="Arial"/>
          <w:lang w:eastAsia="it-IT"/>
        </w:rPr>
      </w:pPr>
      <w:r w:rsidRPr="00F07D0F">
        <w:rPr>
          <w:rFonts w:ascii="Calibri" w:eastAsiaTheme="minorEastAsia" w:hAnsi="Calibri" w:cs="Arial"/>
          <w:lang w:eastAsia="it-IT"/>
        </w:rPr>
        <w:t xml:space="preserve">40 volontari sani sono stati arruolati nello studio. 36 soggetti </w:t>
      </w:r>
      <w:r w:rsidRPr="00F07D0F">
        <w:rPr>
          <w:rFonts w:eastAsiaTheme="minorEastAsia"/>
          <w:lang w:eastAsia="it-IT"/>
        </w:rPr>
        <w:t xml:space="preserve">hanno completato la fase clinica e </w:t>
      </w:r>
      <w:r w:rsidRPr="00F07D0F">
        <w:rPr>
          <w:rFonts w:ascii="Calibri" w:eastAsiaTheme="minorEastAsia" w:hAnsi="Calibri" w:cs="Arial"/>
          <w:lang w:eastAsia="it-IT"/>
        </w:rPr>
        <w:t>sono stati inclusi nell’analisi farmacocinetica.</w:t>
      </w:r>
    </w:p>
    <w:p w:rsidR="00506EC1" w:rsidRPr="00F07D0F" w:rsidRDefault="00506EC1" w:rsidP="00506EC1">
      <w:pPr>
        <w:keepNext/>
        <w:spacing w:after="0" w:line="240" w:lineRule="auto"/>
        <w:jc w:val="both"/>
        <w:outlineLvl w:val="0"/>
        <w:rPr>
          <w:rFonts w:ascii="Calibri" w:eastAsia="Times New Roman" w:hAnsi="Calibri" w:cs="Arial"/>
          <w:i/>
          <w:highlight w:val="green"/>
          <w:lang w:eastAsia="it-IT"/>
        </w:rPr>
      </w:pPr>
    </w:p>
    <w:p w:rsidR="00506EC1" w:rsidRPr="00F07D0F" w:rsidRDefault="00506EC1" w:rsidP="00506EC1">
      <w:pPr>
        <w:keepNext/>
        <w:spacing w:after="0" w:line="240" w:lineRule="auto"/>
        <w:jc w:val="both"/>
        <w:outlineLvl w:val="0"/>
        <w:rPr>
          <w:rFonts w:ascii="Calibri" w:eastAsia="Times New Roman" w:hAnsi="Calibri" w:cs="Arial"/>
          <w:lang w:eastAsia="it-IT"/>
        </w:rPr>
      </w:pPr>
      <w:r w:rsidRPr="00F07D0F">
        <w:rPr>
          <w:rFonts w:ascii="Calibri" w:eastAsia="Times New Roman" w:hAnsi="Calibri" w:cs="Arial"/>
          <w:i/>
          <w:lang w:eastAsia="it-IT"/>
        </w:rPr>
        <w:t>Sicurezza</w:t>
      </w:r>
    </w:p>
    <w:p w:rsidR="00506EC1" w:rsidRPr="00F07D0F" w:rsidRDefault="00506EC1" w:rsidP="00506EC1">
      <w:pPr>
        <w:spacing w:after="0" w:line="240" w:lineRule="auto"/>
        <w:jc w:val="both"/>
        <w:rPr>
          <w:rFonts w:eastAsiaTheme="minorEastAsia"/>
          <w:lang w:eastAsia="it-IT"/>
        </w:rPr>
      </w:pPr>
      <w:r w:rsidRPr="00F07D0F">
        <w:rPr>
          <w:rFonts w:ascii="Calibri" w:eastAsiaTheme="minorEastAsia" w:hAnsi="Calibri" w:cs="Arial"/>
          <w:lang w:eastAsia="it-IT"/>
        </w:rPr>
        <w:t xml:space="preserve">Nel corso dello studio si sono manifestati due eventi avversi, di lieve e moderata entità. </w:t>
      </w:r>
      <w:r w:rsidRPr="00F07D0F">
        <w:rPr>
          <w:rFonts w:eastAsiaTheme="minorEastAsia"/>
          <w:lang w:eastAsia="it-IT"/>
        </w:rPr>
        <w:t xml:space="preserve">Nessuna differenza significativa tra test e </w:t>
      </w:r>
      <w:proofErr w:type="spellStart"/>
      <w:r w:rsidRPr="00F07D0F">
        <w:rPr>
          <w:rFonts w:eastAsiaTheme="minorEastAsia"/>
          <w:lang w:eastAsia="it-IT"/>
        </w:rPr>
        <w:t>reference</w:t>
      </w:r>
      <w:proofErr w:type="spellEnd"/>
      <w:r w:rsidRPr="00F07D0F">
        <w:rPr>
          <w:rFonts w:eastAsiaTheme="minorEastAsia"/>
          <w:lang w:eastAsia="it-IT"/>
        </w:rPr>
        <w:t>.</w:t>
      </w:r>
    </w:p>
    <w:p w:rsidR="00506EC1" w:rsidRPr="00F07D0F" w:rsidRDefault="00506EC1" w:rsidP="00506EC1">
      <w:pPr>
        <w:spacing w:after="0" w:line="240" w:lineRule="auto"/>
        <w:jc w:val="both"/>
        <w:rPr>
          <w:rFonts w:eastAsiaTheme="minorEastAsia"/>
          <w:lang w:eastAsia="it-IT"/>
        </w:rPr>
      </w:pPr>
    </w:p>
    <w:p w:rsidR="00506EC1" w:rsidRPr="00F07D0F" w:rsidRDefault="00506EC1" w:rsidP="00506EC1">
      <w:pPr>
        <w:spacing w:after="0" w:line="240" w:lineRule="auto"/>
        <w:jc w:val="both"/>
        <w:rPr>
          <w:rFonts w:ascii="Calibri" w:eastAsiaTheme="minorEastAsia" w:hAnsi="Calibri"/>
          <w:b/>
          <w:i/>
          <w:sz w:val="20"/>
          <w:lang w:eastAsia="it-IT"/>
        </w:rPr>
      </w:pPr>
      <w:r w:rsidRPr="00F07D0F">
        <w:rPr>
          <w:rFonts w:ascii="Calibri" w:eastAsiaTheme="minorEastAsia" w:hAnsi="Calibri"/>
          <w:b/>
          <w:i/>
          <w:sz w:val="20"/>
          <w:lang w:eastAsia="it-IT"/>
        </w:rPr>
        <w:t>STUDIO B</w:t>
      </w:r>
    </w:p>
    <w:p w:rsidR="00506EC1" w:rsidRPr="00F07D0F" w:rsidRDefault="00506EC1" w:rsidP="00506EC1">
      <w:pPr>
        <w:spacing w:after="0" w:line="240" w:lineRule="auto"/>
        <w:jc w:val="both"/>
        <w:rPr>
          <w:rFonts w:ascii="Calibri" w:eastAsiaTheme="minorEastAsia" w:hAnsi="Calibri" w:cs="Arial"/>
          <w:lang w:eastAsia="it-IT"/>
        </w:rPr>
      </w:pPr>
      <w:r w:rsidRPr="00F07D0F">
        <w:rPr>
          <w:rFonts w:ascii="Calibri" w:eastAsiaTheme="minorEastAsia" w:hAnsi="Calibri"/>
          <w:lang w:eastAsia="it-IT"/>
        </w:rPr>
        <w:t>Lo studio B è uno studio comparativo (</w:t>
      </w:r>
      <w:proofErr w:type="spellStart"/>
      <w:r w:rsidRPr="00F07D0F">
        <w:rPr>
          <w:rFonts w:ascii="Calibri" w:eastAsia="Calibri" w:hAnsi="Calibri" w:cs="Times New Roman"/>
          <w:noProof/>
          <w:lang w:eastAsia="it-IT"/>
        </w:rPr>
        <w:t>Esomeprazolo</w:t>
      </w:r>
      <w:proofErr w:type="spellEnd"/>
      <w:r w:rsidRPr="00F07D0F">
        <w:rPr>
          <w:rFonts w:ascii="Calibri" w:eastAsia="Calibri" w:hAnsi="Calibri" w:cs="Times New Roman"/>
          <w:noProof/>
          <w:lang w:eastAsia="it-IT"/>
        </w:rPr>
        <w:t xml:space="preserve"> Mylan Generics </w:t>
      </w:r>
      <w:r w:rsidRPr="00F07D0F">
        <w:rPr>
          <w:rFonts w:ascii="Calibri" w:eastAsiaTheme="minorEastAsia" w:hAnsi="Calibri" w:cs="Arial"/>
          <w:lang w:eastAsia="it-IT"/>
        </w:rPr>
        <w:t xml:space="preserve">40 mg compresse </w:t>
      </w:r>
      <w:proofErr w:type="spellStart"/>
      <w:r w:rsidRPr="00F07D0F">
        <w:rPr>
          <w:rFonts w:ascii="Calibri" w:eastAsiaTheme="minorEastAsia" w:hAnsi="Calibri" w:cs="Arial"/>
          <w:lang w:eastAsia="it-IT"/>
        </w:rPr>
        <w:t>gastroresistenti</w:t>
      </w:r>
      <w:proofErr w:type="spellEnd"/>
      <w:r w:rsidRPr="00F07D0F">
        <w:rPr>
          <w:rFonts w:eastAsiaTheme="minorEastAsia"/>
          <w:lang w:eastAsia="it-IT"/>
        </w:rPr>
        <w:t xml:space="preserve"> </w:t>
      </w:r>
      <w:proofErr w:type="spellStart"/>
      <w:r w:rsidRPr="00F07D0F">
        <w:rPr>
          <w:rFonts w:eastAsiaTheme="minorEastAsia"/>
          <w:lang w:eastAsia="it-IT"/>
        </w:rPr>
        <w:t>Vs</w:t>
      </w:r>
      <w:proofErr w:type="spellEnd"/>
      <w:r w:rsidRPr="00F07D0F">
        <w:rPr>
          <w:rFonts w:eastAsiaTheme="minorEastAsia"/>
          <w:lang w:eastAsia="it-IT"/>
        </w:rPr>
        <w:t xml:space="preserve"> </w:t>
      </w:r>
      <w:proofErr w:type="spellStart"/>
      <w:r w:rsidRPr="00F07D0F">
        <w:rPr>
          <w:rFonts w:ascii="Calibri" w:eastAsiaTheme="minorEastAsia" w:hAnsi="Calibri" w:cs="Arial"/>
          <w:lang w:eastAsia="it-IT"/>
        </w:rPr>
        <w:t>Nexium</w:t>
      </w:r>
      <w:proofErr w:type="spellEnd"/>
      <w:r w:rsidRPr="00F07D0F">
        <w:rPr>
          <w:rFonts w:ascii="Calibri" w:eastAsiaTheme="minorEastAsia" w:hAnsi="Calibri" w:cs="Calibri"/>
          <w:lang w:eastAsia="it-IT"/>
        </w:rPr>
        <w:t>®</w:t>
      </w:r>
      <w:r w:rsidRPr="00F07D0F">
        <w:rPr>
          <w:rFonts w:ascii="Calibri" w:eastAsiaTheme="minorEastAsia" w:hAnsi="Calibri" w:cs="Arial"/>
          <w:lang w:eastAsia="it-IT"/>
        </w:rPr>
        <w:t xml:space="preserve"> 40 mg compresse </w:t>
      </w:r>
      <w:proofErr w:type="spellStart"/>
      <w:r w:rsidRPr="00F07D0F">
        <w:rPr>
          <w:rFonts w:ascii="Calibri" w:eastAsiaTheme="minorEastAsia" w:hAnsi="Calibri" w:cs="Arial"/>
          <w:lang w:eastAsia="it-IT"/>
        </w:rPr>
        <w:t>gastroresistenti</w:t>
      </w:r>
      <w:proofErr w:type="spellEnd"/>
      <w:r w:rsidRPr="00F07D0F">
        <w:rPr>
          <w:rFonts w:ascii="Calibri" w:eastAsiaTheme="minorEastAsia" w:hAnsi="Calibri" w:cs="Arial"/>
          <w:lang w:eastAsia="it-IT"/>
        </w:rPr>
        <w:t>)</w:t>
      </w:r>
      <w:r w:rsidRPr="00F07D0F">
        <w:rPr>
          <w:rFonts w:ascii="Calibri" w:eastAsiaTheme="minorEastAsia" w:hAnsi="Calibri"/>
          <w:lang w:eastAsia="it-IT"/>
        </w:rPr>
        <w:t xml:space="preserve">, randomizzato, a dose singola, 2-periodi, crossover, condotto su 80 volontari sani di sesso maschile, con somministrazione </w:t>
      </w:r>
      <w:r w:rsidRPr="00F07D0F">
        <w:rPr>
          <w:rFonts w:ascii="Calibri" w:eastAsiaTheme="minorEastAsia" w:hAnsi="Calibri"/>
          <w:u w:val="single"/>
          <w:lang w:eastAsia="it-IT"/>
        </w:rPr>
        <w:t>a stomaco pieno</w:t>
      </w:r>
      <w:r w:rsidRPr="00F07D0F">
        <w:rPr>
          <w:rFonts w:ascii="Calibri" w:eastAsiaTheme="minorEastAsia" w:hAnsi="Calibri"/>
          <w:lang w:eastAsia="it-IT"/>
        </w:rPr>
        <w:t>. I</w:t>
      </w:r>
      <w:r w:rsidRPr="00F07D0F">
        <w:rPr>
          <w:rFonts w:ascii="Calibri" w:eastAsiaTheme="minorEastAsia" w:hAnsi="Calibri" w:cs="Arial"/>
          <w:lang w:eastAsia="it-IT"/>
        </w:rPr>
        <w:t xml:space="preserve">l medicinale è stato somministrato con acqua, dopo l’assunzione di un pasto standardizzato ad alto contenuto calorico. </w:t>
      </w:r>
      <w:r w:rsidRPr="00F07D0F">
        <w:rPr>
          <w:rFonts w:ascii="Calibri" w:eastAsiaTheme="minorEastAsia" w:hAnsi="Calibri"/>
          <w:lang w:eastAsia="it-IT"/>
        </w:rPr>
        <w:t xml:space="preserve">Un soddisfacente periodo di wash-out di otto </w:t>
      </w:r>
      <w:r w:rsidRPr="00F07D0F">
        <w:rPr>
          <w:rFonts w:ascii="Calibri" w:eastAsiaTheme="minorEastAsia" w:hAnsi="Calibri" w:cs="Arial"/>
          <w:lang w:eastAsia="it-IT"/>
        </w:rPr>
        <w:t>giorni è stato previsto tra le somministrazioni in ogni gruppo.</w:t>
      </w:r>
    </w:p>
    <w:p w:rsidR="00506EC1" w:rsidRPr="00F07D0F" w:rsidRDefault="00506EC1" w:rsidP="00506EC1">
      <w:pPr>
        <w:spacing w:after="0" w:line="240" w:lineRule="auto"/>
        <w:jc w:val="both"/>
        <w:rPr>
          <w:rFonts w:ascii="Calibri" w:eastAsiaTheme="minorEastAsia" w:hAnsi="Calibri" w:cs="Arial"/>
          <w:lang w:eastAsia="it-IT"/>
        </w:rPr>
      </w:pPr>
      <w:r w:rsidRPr="00F07D0F">
        <w:rPr>
          <w:rFonts w:ascii="Calibri" w:eastAsiaTheme="minorEastAsia" w:hAnsi="Calibri" w:cs="Arial"/>
          <w:lang w:eastAsia="it-IT"/>
        </w:rPr>
        <w:t>Campioni di sangue sono stati prelevati al tempo zero (</w:t>
      </w:r>
      <w:proofErr w:type="spellStart"/>
      <w:r w:rsidRPr="00F07D0F">
        <w:rPr>
          <w:rFonts w:ascii="Calibri" w:eastAsiaTheme="minorEastAsia" w:hAnsi="Calibri" w:cs="Arial"/>
          <w:lang w:eastAsia="it-IT"/>
        </w:rPr>
        <w:t>pre-dose</w:t>
      </w:r>
      <w:proofErr w:type="spellEnd"/>
      <w:r w:rsidRPr="00F07D0F">
        <w:rPr>
          <w:rFonts w:ascii="Calibri" w:eastAsiaTheme="minorEastAsia" w:hAnsi="Calibri" w:cs="Arial"/>
          <w:lang w:eastAsia="it-IT"/>
        </w:rPr>
        <w:t xml:space="preserve">) e a specificati tempi fino a 48 ore dopo la somministrazione. I livelli plasmatici di </w:t>
      </w:r>
      <w:proofErr w:type="spellStart"/>
      <w:r w:rsidRPr="00F07D0F">
        <w:rPr>
          <w:rFonts w:ascii="Calibri" w:eastAsiaTheme="minorEastAsia" w:hAnsi="Calibri" w:cs="Arial"/>
          <w:lang w:eastAsia="it-IT"/>
        </w:rPr>
        <w:t>esomeprazolo</w:t>
      </w:r>
      <w:proofErr w:type="spellEnd"/>
      <w:r w:rsidRPr="00F07D0F">
        <w:rPr>
          <w:rFonts w:ascii="Calibri" w:eastAsiaTheme="minorEastAsia" w:hAnsi="Calibri" w:cs="Arial"/>
          <w:lang w:eastAsia="it-IT"/>
        </w:rPr>
        <w:t xml:space="preserve"> sono stati determinati mediante un metodo analitico </w:t>
      </w:r>
      <w:r w:rsidRPr="00F07D0F">
        <w:rPr>
          <w:rFonts w:eastAsiaTheme="minorEastAsia"/>
          <w:lang w:eastAsia="fi-FI"/>
        </w:rPr>
        <w:t>LC MS/MS</w:t>
      </w:r>
      <w:r w:rsidRPr="00F07D0F">
        <w:rPr>
          <w:rFonts w:ascii="Calibri" w:eastAsiaTheme="minorEastAsia" w:hAnsi="Calibri" w:cs="Arial"/>
          <w:lang w:eastAsia="it-IT"/>
        </w:rPr>
        <w:t xml:space="preserve"> opportunamente convalidato.</w:t>
      </w:r>
    </w:p>
    <w:p w:rsidR="00506EC1" w:rsidRPr="00F07D0F" w:rsidRDefault="00506EC1" w:rsidP="00506EC1">
      <w:pPr>
        <w:spacing w:after="0" w:line="240" w:lineRule="auto"/>
        <w:jc w:val="both"/>
        <w:rPr>
          <w:rFonts w:ascii="Calibri" w:eastAsiaTheme="minorEastAsia" w:hAnsi="Calibri" w:cs="Arial"/>
          <w:bCs/>
          <w:lang w:eastAsia="it-IT"/>
        </w:rPr>
      </w:pPr>
      <w:r w:rsidRPr="00F07D0F">
        <w:rPr>
          <w:rFonts w:ascii="Calibri" w:eastAsiaTheme="minorEastAsia" w:hAnsi="Calibri" w:cs="Arial"/>
          <w:lang w:eastAsia="it-IT"/>
        </w:rPr>
        <w:t xml:space="preserve">Per </w:t>
      </w:r>
      <w:proofErr w:type="spellStart"/>
      <w:r w:rsidRPr="00F07D0F">
        <w:rPr>
          <w:rFonts w:ascii="Calibri" w:eastAsiaTheme="minorEastAsia" w:hAnsi="Calibri" w:cs="Arial"/>
          <w:lang w:eastAsia="it-IT"/>
        </w:rPr>
        <w:t>esomperazolo</w:t>
      </w:r>
      <w:proofErr w:type="spellEnd"/>
      <w:r w:rsidRPr="00F07D0F">
        <w:rPr>
          <w:rFonts w:ascii="Calibri" w:eastAsiaTheme="minorEastAsia" w:hAnsi="Calibri" w:cs="Arial"/>
          <w:lang w:eastAsia="it-IT"/>
        </w:rPr>
        <w:t xml:space="preserve"> sono state definite le seguenti variabili farmacocinetiche: </w:t>
      </w:r>
      <w:proofErr w:type="spellStart"/>
      <w:r w:rsidRPr="00F07D0F">
        <w:rPr>
          <w:rFonts w:ascii="Calibri" w:eastAsiaTheme="minorEastAsia" w:hAnsi="Calibri" w:cs="Arial"/>
          <w:lang w:eastAsia="it-IT"/>
        </w:rPr>
        <w:t>C</w:t>
      </w:r>
      <w:r w:rsidRPr="00F07D0F">
        <w:rPr>
          <w:rFonts w:ascii="Calibri" w:eastAsiaTheme="minorEastAsia" w:hAnsi="Calibri" w:cs="Arial"/>
          <w:vertAlign w:val="subscript"/>
          <w:lang w:eastAsia="it-IT"/>
        </w:rPr>
        <w:t>max</w:t>
      </w:r>
      <w:proofErr w:type="spellEnd"/>
      <w:r w:rsidRPr="00F07D0F">
        <w:rPr>
          <w:rFonts w:ascii="Calibri" w:eastAsiaTheme="minorEastAsia" w:hAnsi="Calibri" w:cs="Arial"/>
          <w:lang w:eastAsia="it-IT"/>
        </w:rPr>
        <w:t>, AUC</w:t>
      </w:r>
      <w:r w:rsidRPr="00F07D0F">
        <w:rPr>
          <w:rFonts w:ascii="Calibri" w:eastAsiaTheme="minorEastAsia" w:hAnsi="Calibri" w:cs="Arial"/>
          <w:vertAlign w:val="subscript"/>
          <w:lang w:eastAsia="it-IT"/>
        </w:rPr>
        <w:t>0-t</w:t>
      </w:r>
      <w:r w:rsidRPr="00F07D0F">
        <w:rPr>
          <w:rFonts w:ascii="Calibri" w:eastAsiaTheme="minorEastAsia" w:hAnsi="Calibri" w:cs="Arial"/>
          <w:lang w:eastAsia="it-IT"/>
        </w:rPr>
        <w:t>, AUC</w:t>
      </w:r>
      <w:r w:rsidRPr="00F07D0F">
        <w:rPr>
          <w:rFonts w:ascii="Calibri" w:eastAsiaTheme="minorEastAsia" w:hAnsi="Calibri" w:cs="Arial"/>
          <w:vertAlign w:val="subscript"/>
          <w:lang w:eastAsia="it-IT"/>
        </w:rPr>
        <w:t>0-</w:t>
      </w:r>
      <w:r w:rsidRPr="00F07D0F">
        <w:rPr>
          <w:rFonts w:eastAsiaTheme="minorEastAsia"/>
          <w:vertAlign w:val="subscript"/>
          <w:lang w:val="en-GB" w:eastAsia="it-IT"/>
        </w:rPr>
        <w:sym w:font="Symbol" w:char="F0A5"/>
      </w:r>
      <w:r w:rsidRPr="00F07D0F">
        <w:rPr>
          <w:rFonts w:ascii="Calibri" w:eastAsiaTheme="minorEastAsia" w:hAnsi="Calibri" w:cs="Arial"/>
          <w:lang w:eastAsia="it-IT"/>
        </w:rPr>
        <w:t xml:space="preserve">, </w:t>
      </w:r>
      <w:proofErr w:type="spellStart"/>
      <w:r w:rsidRPr="00F07D0F">
        <w:rPr>
          <w:rFonts w:ascii="Calibri" w:eastAsiaTheme="minorEastAsia" w:hAnsi="Calibri" w:cs="Arial"/>
          <w:lang w:eastAsia="it-IT"/>
        </w:rPr>
        <w:t>t</w:t>
      </w:r>
      <w:r w:rsidRPr="00F07D0F">
        <w:rPr>
          <w:rFonts w:ascii="Calibri" w:eastAsiaTheme="minorEastAsia" w:hAnsi="Calibri" w:cs="Arial"/>
          <w:vertAlign w:val="subscript"/>
          <w:lang w:eastAsia="it-IT"/>
        </w:rPr>
        <w:t>max</w:t>
      </w:r>
      <w:proofErr w:type="spellEnd"/>
      <w:r w:rsidRPr="00F07D0F">
        <w:rPr>
          <w:rFonts w:ascii="Calibri" w:eastAsiaTheme="minorEastAsia" w:hAnsi="Calibri" w:cs="Arial"/>
          <w:lang w:eastAsia="it-IT"/>
        </w:rPr>
        <w:t xml:space="preserve">, </w:t>
      </w:r>
      <w:proofErr w:type="spellStart"/>
      <w:r w:rsidRPr="00F07D0F">
        <w:rPr>
          <w:rFonts w:ascii="Calibri" w:eastAsiaTheme="minorEastAsia" w:hAnsi="Calibri" w:cs="Arial"/>
          <w:lang w:eastAsia="it-IT"/>
        </w:rPr>
        <w:t>t</w:t>
      </w:r>
      <w:r w:rsidRPr="00F07D0F">
        <w:rPr>
          <w:rFonts w:ascii="Calibri" w:eastAsiaTheme="minorEastAsia" w:hAnsi="Calibri" w:cs="Arial"/>
          <w:vertAlign w:val="subscript"/>
          <w:lang w:eastAsia="it-IT"/>
        </w:rPr>
        <w:t>½</w:t>
      </w:r>
      <w:proofErr w:type="spellEnd"/>
      <w:r w:rsidRPr="00F07D0F">
        <w:rPr>
          <w:rFonts w:ascii="Calibri" w:eastAsiaTheme="minorEastAsia" w:hAnsi="Calibri" w:cs="Arial"/>
          <w:lang w:eastAsia="it-IT"/>
        </w:rPr>
        <w:t xml:space="preserve">, </w:t>
      </w:r>
      <w:proofErr w:type="spellStart"/>
      <w:r w:rsidRPr="00F07D0F">
        <w:rPr>
          <w:rFonts w:ascii="Calibri" w:eastAsiaTheme="minorEastAsia" w:hAnsi="Calibri" w:cs="Arial"/>
          <w:lang w:eastAsia="it-IT"/>
        </w:rPr>
        <w:t>K</w:t>
      </w:r>
      <w:r w:rsidRPr="00F07D0F">
        <w:rPr>
          <w:rFonts w:ascii="Calibri" w:eastAsiaTheme="minorEastAsia" w:hAnsi="Calibri" w:cs="Arial"/>
          <w:vertAlign w:val="subscript"/>
          <w:lang w:eastAsia="it-IT"/>
        </w:rPr>
        <w:t>el</w:t>
      </w:r>
      <w:proofErr w:type="spellEnd"/>
    </w:p>
    <w:p w:rsidR="00506EC1" w:rsidRPr="00F07D0F" w:rsidRDefault="00506EC1" w:rsidP="00506EC1">
      <w:pPr>
        <w:spacing w:after="0" w:line="240" w:lineRule="auto"/>
        <w:contextualSpacing/>
        <w:jc w:val="both"/>
        <w:rPr>
          <w:rFonts w:ascii="Calibri" w:eastAsiaTheme="minorEastAsia" w:hAnsi="Calibri" w:cs="Arial"/>
          <w:lang w:eastAsia="it-IT"/>
        </w:rPr>
      </w:pPr>
      <w:r w:rsidRPr="00F07D0F">
        <w:rPr>
          <w:rFonts w:ascii="Calibri" w:eastAsiaTheme="minorEastAsia" w:hAnsi="Calibri" w:cs="Arial"/>
          <w:lang w:eastAsia="it-IT"/>
        </w:rPr>
        <w:t xml:space="preserve"> e il rapporto AUC</w:t>
      </w:r>
      <w:r w:rsidRPr="00F07D0F">
        <w:rPr>
          <w:rFonts w:ascii="Calibri" w:eastAsiaTheme="minorEastAsia" w:hAnsi="Calibri" w:cs="Arial"/>
          <w:vertAlign w:val="subscript"/>
          <w:lang w:eastAsia="it-IT"/>
        </w:rPr>
        <w:t>0-t</w:t>
      </w:r>
      <w:r w:rsidRPr="00F07D0F">
        <w:rPr>
          <w:rFonts w:ascii="Calibri" w:eastAsiaTheme="minorEastAsia" w:hAnsi="Calibri" w:cs="Arial"/>
          <w:lang w:eastAsia="it-IT"/>
        </w:rPr>
        <w:t>/AUC</w:t>
      </w:r>
      <w:r w:rsidRPr="00F07D0F">
        <w:rPr>
          <w:rFonts w:ascii="Calibri" w:eastAsiaTheme="minorEastAsia" w:hAnsi="Calibri" w:cs="Arial"/>
          <w:vertAlign w:val="subscript"/>
          <w:lang w:eastAsia="it-IT"/>
        </w:rPr>
        <w:t>0-</w:t>
      </w:r>
      <w:r w:rsidRPr="00F07D0F">
        <w:rPr>
          <w:rFonts w:eastAsiaTheme="minorEastAsia"/>
          <w:vertAlign w:val="subscript"/>
          <w:lang w:val="en-GB" w:eastAsia="it-IT"/>
        </w:rPr>
        <w:sym w:font="Symbol" w:char="F0A5"/>
      </w:r>
      <w:r w:rsidRPr="00F07D0F">
        <w:rPr>
          <w:rFonts w:ascii="Calibri" w:eastAsiaTheme="minorEastAsia" w:hAnsi="Calibri" w:cs="Arial"/>
          <w:lang w:eastAsia="it-IT"/>
        </w:rPr>
        <w:t>.</w:t>
      </w:r>
    </w:p>
    <w:p w:rsidR="00506EC1" w:rsidRPr="00F07D0F" w:rsidRDefault="00506EC1" w:rsidP="00506EC1">
      <w:pPr>
        <w:spacing w:after="0" w:line="240" w:lineRule="auto"/>
        <w:contextualSpacing/>
        <w:jc w:val="both"/>
        <w:rPr>
          <w:rFonts w:ascii="Calibri" w:eastAsiaTheme="minorEastAsia" w:hAnsi="Calibri" w:cs="Arial"/>
          <w:lang w:eastAsia="it-IT"/>
        </w:rPr>
      </w:pPr>
      <w:r w:rsidRPr="00F07D0F">
        <w:rPr>
          <w:rFonts w:ascii="Calibri" w:eastAsiaTheme="minorEastAsia" w:hAnsi="Calibri" w:cs="Arial"/>
          <w:lang w:eastAsia="it-IT"/>
        </w:rPr>
        <w:t xml:space="preserve"> La </w:t>
      </w:r>
      <w:proofErr w:type="spellStart"/>
      <w:r w:rsidRPr="00F07D0F">
        <w:rPr>
          <w:rFonts w:ascii="Calibri" w:eastAsiaTheme="minorEastAsia" w:hAnsi="Calibri" w:cs="Arial"/>
          <w:lang w:eastAsia="it-IT"/>
        </w:rPr>
        <w:t>bioequivalenza</w:t>
      </w:r>
      <w:proofErr w:type="spellEnd"/>
      <w:r w:rsidRPr="00F07D0F">
        <w:rPr>
          <w:rFonts w:ascii="Calibri" w:eastAsiaTheme="minorEastAsia" w:hAnsi="Calibri" w:cs="Arial"/>
          <w:lang w:eastAsia="it-IT"/>
        </w:rPr>
        <w:t xml:space="preserve"> tra medicinale test e medicinale di riferimento è dimostrata se gli intervalli di confidenza al 90% per la trasformata logaritmica di </w:t>
      </w:r>
      <w:proofErr w:type="spellStart"/>
      <w:r w:rsidRPr="00F07D0F">
        <w:rPr>
          <w:rFonts w:ascii="Calibri" w:eastAsiaTheme="minorEastAsia" w:hAnsi="Calibri" w:cs="Arial"/>
          <w:lang w:eastAsia="it-IT"/>
        </w:rPr>
        <w:t>C</w:t>
      </w:r>
      <w:r w:rsidRPr="00F07D0F">
        <w:rPr>
          <w:rFonts w:ascii="Calibri" w:eastAsiaTheme="minorEastAsia" w:hAnsi="Calibri" w:cs="Arial"/>
          <w:vertAlign w:val="subscript"/>
          <w:lang w:eastAsia="it-IT"/>
        </w:rPr>
        <w:t>max</w:t>
      </w:r>
      <w:proofErr w:type="spellEnd"/>
      <w:r w:rsidRPr="00F07D0F">
        <w:rPr>
          <w:rFonts w:ascii="Calibri" w:eastAsiaTheme="minorEastAsia" w:hAnsi="Calibri" w:cs="Arial"/>
          <w:lang w:eastAsia="it-IT"/>
        </w:rPr>
        <w:t xml:space="preserve"> e AUC</w:t>
      </w:r>
      <w:r w:rsidRPr="00F07D0F">
        <w:rPr>
          <w:rFonts w:ascii="Calibri" w:eastAsiaTheme="minorEastAsia" w:hAnsi="Calibri" w:cs="Arial"/>
          <w:vertAlign w:val="subscript"/>
          <w:lang w:eastAsia="it-IT"/>
        </w:rPr>
        <w:t>0-t</w:t>
      </w:r>
      <w:r w:rsidRPr="00F07D0F">
        <w:rPr>
          <w:rFonts w:ascii="Calibri" w:eastAsiaTheme="minorEastAsia" w:hAnsi="Calibri" w:cs="Arial"/>
          <w:lang w:eastAsia="it-IT"/>
        </w:rPr>
        <w:t xml:space="preserve">, cadono nel </w:t>
      </w:r>
      <w:proofErr w:type="spellStart"/>
      <w:r w:rsidRPr="00F07D0F">
        <w:rPr>
          <w:rFonts w:ascii="Calibri" w:eastAsiaTheme="minorEastAsia" w:hAnsi="Calibri" w:cs="Arial"/>
          <w:lang w:eastAsia="it-IT"/>
        </w:rPr>
        <w:t>range</w:t>
      </w:r>
      <w:proofErr w:type="spellEnd"/>
      <w:r w:rsidRPr="00F07D0F">
        <w:rPr>
          <w:rFonts w:ascii="Calibri" w:eastAsiaTheme="minorEastAsia" w:hAnsi="Calibri" w:cs="Arial"/>
          <w:lang w:eastAsia="it-IT"/>
        </w:rPr>
        <w:t xml:space="preserve"> di accettabilità di 0.80-1.25 (80%-125%).</w:t>
      </w:r>
    </w:p>
    <w:p w:rsidR="00506EC1" w:rsidRPr="00F07D0F" w:rsidRDefault="00506EC1" w:rsidP="00506EC1">
      <w:pPr>
        <w:spacing w:after="0" w:line="240" w:lineRule="auto"/>
        <w:jc w:val="both"/>
        <w:rPr>
          <w:rFonts w:eastAsiaTheme="minorEastAsia"/>
          <w:highlight w:val="green"/>
          <w:lang w:eastAsia="it-IT"/>
        </w:rPr>
      </w:pPr>
    </w:p>
    <w:p w:rsidR="00506EC1" w:rsidRPr="00F07D0F" w:rsidRDefault="00506EC1" w:rsidP="00506EC1">
      <w:pPr>
        <w:spacing w:after="0" w:line="240" w:lineRule="auto"/>
        <w:contextualSpacing/>
        <w:jc w:val="both"/>
        <w:rPr>
          <w:rFonts w:eastAsiaTheme="minorEastAsia"/>
          <w:u w:val="single"/>
          <w:lang w:eastAsia="it-IT"/>
        </w:rPr>
      </w:pPr>
      <w:r w:rsidRPr="00F07D0F">
        <w:rPr>
          <w:rFonts w:eastAsiaTheme="minorEastAsia"/>
          <w:u w:val="single"/>
          <w:lang w:eastAsia="it-IT"/>
        </w:rPr>
        <w:t>Risultati</w:t>
      </w:r>
    </w:p>
    <w:p w:rsidR="00506EC1" w:rsidRPr="00F07D0F" w:rsidRDefault="00506EC1" w:rsidP="00506EC1">
      <w:pPr>
        <w:spacing w:after="0" w:line="240" w:lineRule="auto"/>
        <w:contextualSpacing/>
        <w:jc w:val="both"/>
        <w:rPr>
          <w:rFonts w:ascii="Calibri" w:eastAsiaTheme="minorEastAsia" w:hAnsi="Calibri" w:cs="Arial"/>
          <w:lang w:eastAsia="it-IT"/>
        </w:rPr>
      </w:pPr>
      <w:r w:rsidRPr="00F07D0F">
        <w:rPr>
          <w:rFonts w:ascii="Calibri" w:eastAsiaTheme="minorEastAsia" w:hAnsi="Calibri" w:cs="Arial"/>
          <w:lang w:eastAsia="it-IT"/>
        </w:rPr>
        <w:lastRenderedPageBreak/>
        <w:t xml:space="preserve">80 volontari sani sono stati arruolati nello studio. 69 soggetti </w:t>
      </w:r>
      <w:r w:rsidRPr="00F07D0F">
        <w:rPr>
          <w:rFonts w:eastAsiaTheme="minorEastAsia"/>
          <w:lang w:eastAsia="it-IT"/>
        </w:rPr>
        <w:t xml:space="preserve">hanno completato la fase clinica e </w:t>
      </w:r>
      <w:r w:rsidRPr="00F07D0F">
        <w:rPr>
          <w:rFonts w:ascii="Calibri" w:eastAsiaTheme="minorEastAsia" w:hAnsi="Calibri" w:cs="Arial"/>
          <w:lang w:eastAsia="it-IT"/>
        </w:rPr>
        <w:t>sono stati inclusi nell’analisi farmacocinetica.</w:t>
      </w:r>
    </w:p>
    <w:p w:rsidR="00506EC1" w:rsidRPr="00F07D0F" w:rsidRDefault="00506EC1" w:rsidP="00506EC1">
      <w:pPr>
        <w:keepNext/>
        <w:spacing w:after="0" w:line="240" w:lineRule="auto"/>
        <w:jc w:val="both"/>
        <w:outlineLvl w:val="0"/>
        <w:rPr>
          <w:rFonts w:ascii="Calibri" w:eastAsia="Times New Roman" w:hAnsi="Calibri" w:cs="Arial"/>
          <w:i/>
          <w:highlight w:val="green"/>
          <w:lang w:eastAsia="it-IT"/>
        </w:rPr>
      </w:pPr>
    </w:p>
    <w:p w:rsidR="00506EC1" w:rsidRPr="00F07D0F" w:rsidRDefault="00506EC1" w:rsidP="00506EC1">
      <w:pPr>
        <w:keepNext/>
        <w:spacing w:after="0" w:line="240" w:lineRule="auto"/>
        <w:jc w:val="both"/>
        <w:outlineLvl w:val="0"/>
        <w:rPr>
          <w:rFonts w:ascii="Calibri" w:eastAsia="Times New Roman" w:hAnsi="Calibri" w:cs="Arial"/>
          <w:lang w:eastAsia="it-IT"/>
        </w:rPr>
      </w:pPr>
      <w:r w:rsidRPr="00F07D0F">
        <w:rPr>
          <w:rFonts w:ascii="Calibri" w:eastAsia="Times New Roman" w:hAnsi="Calibri" w:cs="Arial"/>
          <w:i/>
          <w:lang w:eastAsia="it-IT"/>
        </w:rPr>
        <w:t>Sicurezza</w:t>
      </w:r>
    </w:p>
    <w:p w:rsidR="00506EC1" w:rsidRPr="00F07D0F" w:rsidRDefault="00506EC1" w:rsidP="00506EC1">
      <w:pPr>
        <w:spacing w:line="240" w:lineRule="auto"/>
        <w:jc w:val="both"/>
        <w:rPr>
          <w:rFonts w:eastAsiaTheme="minorEastAsia"/>
          <w:lang w:eastAsia="it-IT"/>
        </w:rPr>
      </w:pPr>
      <w:r w:rsidRPr="00F07D0F">
        <w:rPr>
          <w:rFonts w:ascii="Calibri" w:eastAsiaTheme="minorEastAsia" w:hAnsi="Calibri" w:cs="Arial"/>
          <w:lang w:eastAsia="it-IT"/>
        </w:rPr>
        <w:t xml:space="preserve">Nel corso dello studio si sono manifestati sette eventi avversi, di lieve e moderata entità. Il più comune effetto avverso manifestato è stato il vomito. </w:t>
      </w:r>
      <w:r w:rsidRPr="00F07D0F">
        <w:rPr>
          <w:rFonts w:eastAsiaTheme="minorEastAsia"/>
          <w:lang w:eastAsia="it-IT"/>
        </w:rPr>
        <w:t xml:space="preserve">Nessuna differenza significativa tra test e </w:t>
      </w:r>
      <w:proofErr w:type="spellStart"/>
      <w:r w:rsidRPr="00F07D0F">
        <w:rPr>
          <w:rFonts w:eastAsiaTheme="minorEastAsia"/>
          <w:lang w:eastAsia="it-IT"/>
        </w:rPr>
        <w:t>reference</w:t>
      </w:r>
      <w:proofErr w:type="spellEnd"/>
      <w:r w:rsidRPr="00F07D0F">
        <w:rPr>
          <w:rFonts w:eastAsiaTheme="minorEastAsia"/>
          <w:lang w:eastAsia="it-IT"/>
        </w:rPr>
        <w:t>.</w:t>
      </w:r>
    </w:p>
    <w:p w:rsidR="00506EC1" w:rsidRDefault="00506EC1" w:rsidP="00506EC1">
      <w:pPr>
        <w:keepNext/>
        <w:spacing w:after="0" w:line="240" w:lineRule="auto"/>
        <w:outlineLvl w:val="0"/>
        <w:rPr>
          <w:rFonts w:eastAsia="Times New Roman" w:cs="Arial"/>
          <w:i/>
          <w:u w:val="single"/>
          <w:lang w:eastAsia="it-IT"/>
        </w:rPr>
      </w:pPr>
    </w:p>
    <w:p w:rsidR="00506EC1" w:rsidRPr="00F07D0F" w:rsidRDefault="00506EC1" w:rsidP="00506EC1">
      <w:pPr>
        <w:keepNext/>
        <w:spacing w:after="0" w:line="240" w:lineRule="auto"/>
        <w:outlineLvl w:val="0"/>
        <w:rPr>
          <w:rFonts w:eastAsia="Times New Roman" w:cs="Arial"/>
          <w:i/>
          <w:u w:val="single"/>
          <w:lang w:eastAsia="it-IT"/>
        </w:rPr>
      </w:pPr>
      <w:r w:rsidRPr="00F07D0F">
        <w:rPr>
          <w:rFonts w:eastAsia="Times New Roman" w:cs="Arial"/>
          <w:i/>
          <w:u w:val="single"/>
          <w:lang w:eastAsia="it-IT"/>
        </w:rPr>
        <w:t>Parametr</w:t>
      </w:r>
      <w:r w:rsidR="00BD198F">
        <w:rPr>
          <w:rFonts w:eastAsia="Times New Roman" w:cs="Arial"/>
          <w:i/>
          <w:u w:val="single"/>
          <w:lang w:eastAsia="it-IT"/>
        </w:rPr>
        <w:t>i farmacocinetici degli studi A</w:t>
      </w:r>
      <w:r w:rsidRPr="00F07D0F">
        <w:rPr>
          <w:rFonts w:eastAsia="Times New Roman" w:cs="Arial"/>
          <w:i/>
          <w:u w:val="single"/>
          <w:lang w:eastAsia="it-IT"/>
        </w:rPr>
        <w:t xml:space="preserve"> e B</w:t>
      </w:r>
    </w:p>
    <w:p w:rsidR="00506EC1" w:rsidRPr="00F07D0F" w:rsidRDefault="00506EC1" w:rsidP="00506EC1">
      <w:pPr>
        <w:keepNext/>
        <w:spacing w:after="0" w:line="240" w:lineRule="auto"/>
        <w:jc w:val="both"/>
        <w:outlineLvl w:val="0"/>
        <w:rPr>
          <w:rFonts w:eastAsia="Times New Roman" w:cs="Arial"/>
          <w:lang w:eastAsia="it-IT"/>
        </w:rPr>
      </w:pPr>
      <w:r w:rsidRPr="00F07D0F">
        <w:rPr>
          <w:rFonts w:eastAsia="Times New Roman" w:cs="Arial"/>
          <w:lang w:eastAsia="it-IT"/>
        </w:rPr>
        <w:t xml:space="preserve">La sintesi dei risultati degli studi di </w:t>
      </w:r>
      <w:proofErr w:type="spellStart"/>
      <w:r w:rsidRPr="00F07D0F">
        <w:rPr>
          <w:rFonts w:eastAsia="Times New Roman" w:cs="Arial"/>
          <w:lang w:eastAsia="it-IT"/>
        </w:rPr>
        <w:t>bioequivalenza</w:t>
      </w:r>
      <w:proofErr w:type="spellEnd"/>
      <w:r w:rsidRPr="00F07D0F">
        <w:rPr>
          <w:rFonts w:eastAsia="Times New Roman" w:cs="Arial"/>
          <w:lang w:eastAsia="it-IT"/>
        </w:rPr>
        <w:t xml:space="preserve"> sono riportati nella tabella che segue.</w:t>
      </w:r>
    </w:p>
    <w:p w:rsidR="00506EC1" w:rsidRPr="00F07D0F" w:rsidRDefault="00506EC1" w:rsidP="00506EC1">
      <w:pPr>
        <w:spacing w:after="0" w:line="240" w:lineRule="auto"/>
        <w:contextualSpacing/>
        <w:jc w:val="both"/>
        <w:rPr>
          <w:rFonts w:eastAsiaTheme="minorEastAsia"/>
          <w:lang w:eastAsia="it-IT"/>
        </w:rPr>
      </w:pPr>
    </w:p>
    <w:tbl>
      <w:tblPr>
        <w:tblW w:w="7262" w:type="dxa"/>
        <w:jc w:val="center"/>
        <w:tblLook w:val="04A0"/>
      </w:tblPr>
      <w:tblGrid>
        <w:gridCol w:w="1497"/>
        <w:gridCol w:w="12"/>
        <w:gridCol w:w="1609"/>
        <w:gridCol w:w="1612"/>
        <w:gridCol w:w="10"/>
        <w:gridCol w:w="1253"/>
        <w:gridCol w:w="1260"/>
        <w:gridCol w:w="9"/>
      </w:tblGrid>
      <w:tr w:rsidR="00506EC1" w:rsidRPr="00F07D0F" w:rsidTr="0030224B">
        <w:trPr>
          <w:gridAfter w:val="1"/>
          <w:wAfter w:w="9" w:type="dxa"/>
          <w:trHeight w:val="230"/>
          <w:jc w:val="center"/>
        </w:trPr>
        <w:tc>
          <w:tcPr>
            <w:tcW w:w="0" w:type="auto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F07D0F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  <w:t>Esomeprazolo</w:t>
            </w:r>
            <w:proofErr w:type="spellEnd"/>
          </w:p>
        </w:tc>
      </w:tr>
      <w:tr w:rsidR="00506EC1" w:rsidRPr="00F07D0F" w:rsidTr="0030224B">
        <w:trPr>
          <w:gridAfter w:val="1"/>
          <w:wAfter w:w="9" w:type="dxa"/>
          <w:jc w:val="center"/>
        </w:trPr>
        <w:tc>
          <w:tcPr>
            <w:tcW w:w="0" w:type="auto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  <w:t>Studio A - a</w:t>
            </w:r>
            <w:r w:rsidRPr="00F07D0F">
              <w:rPr>
                <w:rFonts w:eastAsiaTheme="minorEastAsia"/>
                <w:b/>
                <w:bCs/>
                <w:sz w:val="20"/>
                <w:szCs w:val="20"/>
                <w:lang w:eastAsia="it-IT"/>
              </w:rPr>
              <w:t xml:space="preserve"> digiuno</w:t>
            </w:r>
          </w:p>
        </w:tc>
      </w:tr>
      <w:tr w:rsidR="00506EC1" w:rsidRPr="00F07D0F" w:rsidTr="0030224B">
        <w:trPr>
          <w:gridAfter w:val="1"/>
          <w:wAfter w:w="9" w:type="dxa"/>
          <w:trHeight w:val="194"/>
          <w:jc w:val="center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  <w:t>Parametro</w:t>
            </w:r>
          </w:p>
        </w:tc>
        <w:tc>
          <w:tcPr>
            <w:tcW w:w="16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ind w:left="102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F07D0F">
              <w:rPr>
                <w:rFonts w:eastAsiaTheme="minorEastAsia"/>
                <w:b/>
                <w:bCs/>
                <w:sz w:val="20"/>
                <w:szCs w:val="20"/>
                <w:lang w:eastAsia="it-IT"/>
              </w:rPr>
              <w:t>Test</w:t>
            </w:r>
          </w:p>
        </w:tc>
        <w:tc>
          <w:tcPr>
            <w:tcW w:w="16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ind w:left="102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F07D0F">
              <w:rPr>
                <w:rFonts w:eastAsiaTheme="minorEastAsia"/>
                <w:b/>
                <w:bCs/>
                <w:sz w:val="20"/>
                <w:szCs w:val="20"/>
                <w:lang w:eastAsia="it-IT"/>
              </w:rPr>
              <w:t>Reference</w:t>
            </w:r>
            <w:proofErr w:type="spellEnd"/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ind w:left="102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  <w:t xml:space="preserve">T/R </w:t>
            </w:r>
            <w:proofErr w:type="spellStart"/>
            <w:r w:rsidRPr="00F07D0F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  <w:t>Ratio</w:t>
            </w:r>
            <w:proofErr w:type="spellEnd"/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ind w:left="102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  <w:t>90% C.I.</w:t>
            </w:r>
          </w:p>
        </w:tc>
      </w:tr>
      <w:tr w:rsidR="00506EC1" w:rsidRPr="00F07D0F" w:rsidTr="0030224B">
        <w:trPr>
          <w:gridAfter w:val="1"/>
          <w:wAfter w:w="9" w:type="dxa"/>
          <w:jc w:val="center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6EC1" w:rsidRPr="00F07D0F" w:rsidRDefault="00506EC1" w:rsidP="0030224B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  <w:t>AUC0-t</w:t>
            </w:r>
          </w:p>
        </w:tc>
        <w:tc>
          <w:tcPr>
            <w:tcW w:w="16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  <w:highlight w:val="yellow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  <w:t>3981.9</w:t>
            </w:r>
          </w:p>
        </w:tc>
        <w:tc>
          <w:tcPr>
            <w:tcW w:w="16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  <w:highlight w:val="yellow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  <w:t>3853.3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  <w:t>103.34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</w:pPr>
            <w:r w:rsidRPr="00F07D0F">
              <w:rPr>
                <w:rFonts w:eastAsiaTheme="minorEastAsia"/>
                <w:bCs/>
                <w:sz w:val="20"/>
                <w:szCs w:val="20"/>
                <w:lang w:eastAsia="it-IT"/>
              </w:rPr>
              <w:t xml:space="preserve"> 96.94</w:t>
            </w:r>
            <w:r w:rsidRPr="00F07D0F"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  <w:t>– 110.16</w:t>
            </w:r>
          </w:p>
        </w:tc>
      </w:tr>
      <w:tr w:rsidR="00506EC1" w:rsidRPr="00F07D0F" w:rsidTr="0030224B">
        <w:trPr>
          <w:gridAfter w:val="1"/>
          <w:wAfter w:w="9" w:type="dxa"/>
          <w:jc w:val="center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6EC1" w:rsidRPr="00F07D0F" w:rsidRDefault="00506EC1" w:rsidP="0030224B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  <w:t>AUC0-∞</w:t>
            </w:r>
          </w:p>
        </w:tc>
        <w:tc>
          <w:tcPr>
            <w:tcW w:w="16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  <w:highlight w:val="yellow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  <w:t>4021.2</w:t>
            </w:r>
          </w:p>
        </w:tc>
        <w:tc>
          <w:tcPr>
            <w:tcW w:w="16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  <w:highlight w:val="yellow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  <w:t>3935.3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  <w:t>102.18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  <w:t>96.13 – 108.62</w:t>
            </w:r>
          </w:p>
        </w:tc>
      </w:tr>
      <w:tr w:rsidR="00506EC1" w:rsidRPr="00F07D0F" w:rsidTr="0030224B">
        <w:trPr>
          <w:gridAfter w:val="1"/>
          <w:wAfter w:w="9" w:type="dxa"/>
          <w:jc w:val="center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6EC1" w:rsidRPr="00F07D0F" w:rsidRDefault="00506EC1" w:rsidP="0030224B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F07D0F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  <w:t>Cmax</w:t>
            </w:r>
            <w:proofErr w:type="spellEnd"/>
          </w:p>
        </w:tc>
        <w:tc>
          <w:tcPr>
            <w:tcW w:w="16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  <w:highlight w:val="yellow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  <w:t>1274.1</w:t>
            </w:r>
          </w:p>
        </w:tc>
        <w:tc>
          <w:tcPr>
            <w:tcW w:w="16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  <w:highlight w:val="yellow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  <w:t>1356.9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  <w:t>93.89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</w:pPr>
            <w:r w:rsidRPr="00F07D0F">
              <w:rPr>
                <w:rFonts w:eastAsiaTheme="minorEastAsia"/>
                <w:bCs/>
                <w:sz w:val="20"/>
                <w:szCs w:val="20"/>
                <w:lang w:eastAsia="it-IT"/>
              </w:rPr>
              <w:t>85.36-103.27</w:t>
            </w:r>
          </w:p>
        </w:tc>
      </w:tr>
      <w:tr w:rsidR="00506EC1" w:rsidRPr="00F07D0F" w:rsidTr="0030224B">
        <w:trPr>
          <w:jc w:val="center"/>
        </w:trPr>
        <w:tc>
          <w:tcPr>
            <w:tcW w:w="0" w:type="auto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yellow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  <w:t>Studio B -</w:t>
            </w:r>
            <w:r w:rsidRPr="00F07D0F">
              <w:rPr>
                <w:rFonts w:eastAsiaTheme="minorEastAsia"/>
                <w:b/>
                <w:bCs/>
                <w:sz w:val="20"/>
                <w:szCs w:val="20"/>
                <w:lang w:eastAsia="it-IT"/>
              </w:rPr>
              <w:t>a stomaco pieno</w:t>
            </w:r>
          </w:p>
        </w:tc>
      </w:tr>
      <w:tr w:rsidR="00506EC1" w:rsidRPr="00F07D0F" w:rsidTr="0030224B">
        <w:trPr>
          <w:jc w:val="center"/>
        </w:trPr>
        <w:tc>
          <w:tcPr>
            <w:tcW w:w="15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  <w:t>Parametro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  <w:t>Test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F07D0F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  <w:t>Reference</w:t>
            </w:r>
            <w:proofErr w:type="spellEnd"/>
          </w:p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  <w:t xml:space="preserve">T/R </w:t>
            </w:r>
            <w:proofErr w:type="spellStart"/>
            <w:r w:rsidRPr="00F07D0F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  <w:t>Ratio</w:t>
            </w:r>
            <w:proofErr w:type="spellEnd"/>
          </w:p>
        </w:tc>
        <w:tc>
          <w:tcPr>
            <w:tcW w:w="12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  <w:t>90% C.I.</w:t>
            </w:r>
          </w:p>
        </w:tc>
      </w:tr>
      <w:tr w:rsidR="00506EC1" w:rsidRPr="00F07D0F" w:rsidTr="0030224B">
        <w:trPr>
          <w:jc w:val="center"/>
        </w:trPr>
        <w:tc>
          <w:tcPr>
            <w:tcW w:w="15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6EC1" w:rsidRPr="00F07D0F" w:rsidRDefault="00506EC1" w:rsidP="0030224B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  <w:t>AUC0-t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  <w:highlight w:val="yellow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  <w:t>2633.5220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  <w:highlight w:val="yellow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  <w:t>2423.8963</w:t>
            </w:r>
          </w:p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  <w:t>108.65</w:t>
            </w:r>
          </w:p>
        </w:tc>
        <w:tc>
          <w:tcPr>
            <w:tcW w:w="12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  <w:t>101.18-116.67</w:t>
            </w:r>
          </w:p>
        </w:tc>
      </w:tr>
      <w:tr w:rsidR="00506EC1" w:rsidRPr="00F07D0F" w:rsidTr="0030224B">
        <w:trPr>
          <w:jc w:val="center"/>
        </w:trPr>
        <w:tc>
          <w:tcPr>
            <w:tcW w:w="15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6EC1" w:rsidRPr="00F07D0F" w:rsidRDefault="00506EC1" w:rsidP="0030224B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  <w:t>AUC0-∞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  <w:highlight w:val="yellow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  <w:t>2662.9759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  <w:highlight w:val="yellow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  <w:t>2458.7068</w:t>
            </w:r>
          </w:p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  <w:t>108.31</w:t>
            </w:r>
          </w:p>
        </w:tc>
        <w:tc>
          <w:tcPr>
            <w:tcW w:w="12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  <w:t>100.89-116.27</w:t>
            </w:r>
          </w:p>
        </w:tc>
      </w:tr>
      <w:tr w:rsidR="00506EC1" w:rsidRPr="00F07D0F" w:rsidTr="0030224B">
        <w:trPr>
          <w:jc w:val="center"/>
        </w:trPr>
        <w:tc>
          <w:tcPr>
            <w:tcW w:w="15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6EC1" w:rsidRPr="00F07D0F" w:rsidRDefault="00506EC1" w:rsidP="0030224B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F07D0F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it-IT"/>
              </w:rPr>
              <w:t>Cmax</w:t>
            </w:r>
            <w:proofErr w:type="spellEnd"/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  <w:t>792.409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  <w:t>760.983</w:t>
            </w:r>
          </w:p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  <w:t>104.13</w:t>
            </w:r>
          </w:p>
        </w:tc>
        <w:tc>
          <w:tcPr>
            <w:tcW w:w="12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506EC1" w:rsidRPr="00F07D0F" w:rsidRDefault="00506EC1" w:rsidP="0030224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</w:pPr>
            <w:r w:rsidRPr="00F07D0F">
              <w:rPr>
                <w:rFonts w:ascii="Calibri" w:eastAsia="Calibri" w:hAnsi="Calibri" w:cs="Times New Roman"/>
                <w:bCs/>
                <w:sz w:val="20"/>
                <w:szCs w:val="20"/>
                <w:lang w:eastAsia="it-IT"/>
              </w:rPr>
              <w:t>95.34-113.72</w:t>
            </w:r>
          </w:p>
        </w:tc>
      </w:tr>
    </w:tbl>
    <w:p w:rsidR="00506EC1" w:rsidRDefault="00506EC1" w:rsidP="00506EC1">
      <w:pPr>
        <w:spacing w:after="0" w:line="240" w:lineRule="auto"/>
        <w:rPr>
          <w:rFonts w:eastAsiaTheme="minorEastAsia" w:cs="Arial"/>
          <w:i/>
          <w:lang w:eastAsia="it-IT"/>
        </w:rPr>
      </w:pPr>
    </w:p>
    <w:p w:rsidR="00506EC1" w:rsidRPr="00F07D0F" w:rsidRDefault="00506EC1" w:rsidP="00506EC1">
      <w:pPr>
        <w:spacing w:after="0" w:line="240" w:lineRule="auto"/>
        <w:rPr>
          <w:rFonts w:eastAsiaTheme="minorEastAsia" w:cs="Arial"/>
          <w:lang w:eastAsia="it-IT"/>
        </w:rPr>
      </w:pPr>
      <w:r w:rsidRPr="00F07D0F">
        <w:rPr>
          <w:rFonts w:eastAsiaTheme="minorEastAsia" w:cs="Arial"/>
          <w:i/>
          <w:lang w:eastAsia="it-IT"/>
        </w:rPr>
        <w:t xml:space="preserve">Conclusioni sulla </w:t>
      </w:r>
      <w:proofErr w:type="spellStart"/>
      <w:r w:rsidRPr="00F07D0F">
        <w:rPr>
          <w:rFonts w:eastAsiaTheme="minorEastAsia" w:cs="Arial"/>
          <w:i/>
          <w:lang w:eastAsia="it-IT"/>
        </w:rPr>
        <w:t>bioequivalenza</w:t>
      </w:r>
      <w:proofErr w:type="spellEnd"/>
    </w:p>
    <w:p w:rsidR="00506EC1" w:rsidRPr="00F07D0F" w:rsidRDefault="00506EC1" w:rsidP="00506EC1">
      <w:pPr>
        <w:spacing w:after="0" w:line="240" w:lineRule="auto"/>
        <w:jc w:val="both"/>
        <w:rPr>
          <w:rFonts w:eastAsiaTheme="minorEastAsia" w:cs="Arial"/>
          <w:lang w:eastAsia="it-IT"/>
        </w:rPr>
      </w:pPr>
      <w:r w:rsidRPr="00F07D0F">
        <w:rPr>
          <w:rFonts w:eastAsiaTheme="minorEastAsia" w:cs="Arial"/>
          <w:lang w:eastAsia="it-IT"/>
        </w:rPr>
        <w:t xml:space="preserve">I risultati degli studi di </w:t>
      </w:r>
      <w:proofErr w:type="spellStart"/>
      <w:r w:rsidRPr="00F07D0F">
        <w:rPr>
          <w:rFonts w:eastAsiaTheme="minorEastAsia" w:cs="Arial"/>
          <w:lang w:eastAsia="it-IT"/>
        </w:rPr>
        <w:t>bioequivalenza</w:t>
      </w:r>
      <w:proofErr w:type="spellEnd"/>
      <w:r w:rsidRPr="00F07D0F">
        <w:rPr>
          <w:rFonts w:eastAsiaTheme="minorEastAsia" w:cs="Arial"/>
          <w:lang w:eastAsia="it-IT"/>
        </w:rPr>
        <w:t xml:space="preserve"> mostrano che gli intervalli di confidenza dei parametri farmacocinetici studiati cadono nel </w:t>
      </w:r>
      <w:proofErr w:type="spellStart"/>
      <w:r w:rsidRPr="00F07D0F">
        <w:rPr>
          <w:rFonts w:eastAsiaTheme="minorEastAsia" w:cs="Arial"/>
          <w:lang w:eastAsia="it-IT"/>
        </w:rPr>
        <w:t>range</w:t>
      </w:r>
      <w:proofErr w:type="spellEnd"/>
      <w:r w:rsidRPr="00F07D0F">
        <w:rPr>
          <w:rFonts w:eastAsiaTheme="minorEastAsia" w:cs="Arial"/>
          <w:lang w:eastAsia="it-IT"/>
        </w:rPr>
        <w:t xml:space="preserve"> di accettabilità di 80-125%, in accordo con le linee guida correnti.</w:t>
      </w:r>
    </w:p>
    <w:p w:rsidR="00506EC1" w:rsidRPr="009F5FC7" w:rsidRDefault="00506EC1" w:rsidP="00506EC1">
      <w:pPr>
        <w:spacing w:after="0" w:line="240" w:lineRule="auto"/>
        <w:jc w:val="both"/>
        <w:rPr>
          <w:rFonts w:cs="Arial"/>
        </w:rPr>
      </w:pPr>
    </w:p>
    <w:p w:rsidR="00506EC1" w:rsidRPr="009F5FC7" w:rsidRDefault="00506EC1" w:rsidP="00506EC1">
      <w:pPr>
        <w:spacing w:after="0" w:line="240" w:lineRule="auto"/>
        <w:jc w:val="both"/>
        <w:rPr>
          <w:rFonts w:cs="Arial"/>
          <w:b/>
        </w:rPr>
      </w:pPr>
      <w:r w:rsidRPr="009F5FC7">
        <w:rPr>
          <w:rFonts w:cs="Arial"/>
          <w:b/>
        </w:rPr>
        <w:t>Efficacia e sicurezza clinica</w:t>
      </w:r>
    </w:p>
    <w:p w:rsidR="00506EC1" w:rsidRDefault="00506EC1" w:rsidP="00506EC1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>
        <w:rPr>
          <w:rFonts w:eastAsia="Calibri" w:cs="Calibri"/>
          <w:color w:val="000000"/>
          <w:lang w:eastAsia="it-IT"/>
        </w:rPr>
        <w:t>Esomeprazolo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Mylan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Generics</w:t>
      </w:r>
      <w:proofErr w:type="spellEnd"/>
      <w:r w:rsidRPr="009F5FC7">
        <w:rPr>
          <w:rFonts w:cs="Arial"/>
        </w:rPr>
        <w:t xml:space="preserve"> è ben conosciuto.</w:t>
      </w:r>
    </w:p>
    <w:p w:rsidR="006727BD" w:rsidRPr="006727BD" w:rsidRDefault="006727BD" w:rsidP="00EF6711">
      <w:pPr>
        <w:spacing w:after="0" w:line="240" w:lineRule="auto"/>
        <w:jc w:val="both"/>
        <w:rPr>
          <w:b/>
          <w:i/>
          <w:sz w:val="20"/>
          <w:highlight w:val="green"/>
        </w:rPr>
      </w:pPr>
    </w:p>
    <w:p w:rsidR="005049A1" w:rsidRPr="007D56E2" w:rsidRDefault="005049A1" w:rsidP="00EF6711">
      <w:pPr>
        <w:spacing w:after="0" w:line="240" w:lineRule="auto"/>
        <w:jc w:val="both"/>
      </w:pPr>
    </w:p>
    <w:p w:rsidR="007D56E2" w:rsidRPr="007D56E2" w:rsidRDefault="007D56E2" w:rsidP="007D56E2">
      <w:pPr>
        <w:pStyle w:val="Paragrafoelenco"/>
        <w:spacing w:after="0" w:line="240" w:lineRule="auto"/>
        <w:ind w:left="0"/>
        <w:jc w:val="both"/>
        <w:rPr>
          <w:b/>
        </w:rPr>
      </w:pPr>
      <w:r w:rsidRPr="007D56E2">
        <w:rPr>
          <w:b/>
        </w:rPr>
        <w:t>Piano di Valutazione del Rischio (</w:t>
      </w:r>
      <w:proofErr w:type="spellStart"/>
      <w:r w:rsidRPr="007D56E2">
        <w:rPr>
          <w:b/>
          <w:i/>
        </w:rPr>
        <w:t>Risk</w:t>
      </w:r>
      <w:proofErr w:type="spellEnd"/>
      <w:r w:rsidRPr="007D56E2">
        <w:rPr>
          <w:b/>
          <w:i/>
        </w:rPr>
        <w:t xml:space="preserve"> Management </w:t>
      </w:r>
      <w:proofErr w:type="spellStart"/>
      <w:r w:rsidRPr="007D56E2">
        <w:rPr>
          <w:b/>
          <w:i/>
        </w:rPr>
        <w:t>Plan</w:t>
      </w:r>
      <w:proofErr w:type="spellEnd"/>
      <w:r w:rsidRPr="007D56E2">
        <w:rPr>
          <w:b/>
        </w:rPr>
        <w:t xml:space="preserve"> - RMP)</w:t>
      </w:r>
    </w:p>
    <w:p w:rsidR="007D56E2" w:rsidRPr="007D56E2" w:rsidRDefault="007D56E2" w:rsidP="007D56E2">
      <w:pPr>
        <w:pStyle w:val="Paragrafoelenco"/>
        <w:spacing w:after="0" w:line="240" w:lineRule="auto"/>
        <w:ind w:left="0"/>
        <w:jc w:val="both"/>
      </w:pPr>
      <w:r w:rsidRPr="007D56E2">
        <w:t xml:space="preserve">E’ stato presentato un RMP in accordo a quanto previsto dalla Direttiva 2001/83/EU </w:t>
      </w:r>
      <w:proofErr w:type="spellStart"/>
      <w:r w:rsidRPr="007D56E2">
        <w:t>s.m.i.</w:t>
      </w:r>
      <w:proofErr w:type="spellEnd"/>
      <w:r w:rsidRPr="007D56E2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Pr="007D56E2">
        <w:rPr>
          <w:rFonts w:eastAsia="Calibri" w:cs="Calibri"/>
          <w:color w:val="000000"/>
          <w:lang w:eastAsia="it-IT"/>
        </w:rPr>
        <w:t>Esomeprazolo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7D56E2">
        <w:rPr>
          <w:rFonts w:eastAsia="Calibri" w:cs="Calibri"/>
          <w:color w:val="000000"/>
          <w:lang w:eastAsia="it-IT"/>
        </w:rPr>
        <w:t>Mylan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7D56E2">
        <w:rPr>
          <w:rFonts w:eastAsia="Calibri" w:cs="Calibri"/>
          <w:color w:val="000000"/>
          <w:lang w:eastAsia="it-IT"/>
        </w:rPr>
        <w:t>Generics</w:t>
      </w:r>
      <w:proofErr w:type="spellEnd"/>
      <w:r w:rsidRPr="007D56E2">
        <w:t>.</w:t>
      </w:r>
    </w:p>
    <w:p w:rsidR="007D56E2" w:rsidRPr="007D56E2" w:rsidRDefault="007D56E2" w:rsidP="007D56E2">
      <w:pPr>
        <w:pStyle w:val="Paragrafoelenco"/>
        <w:spacing w:after="0" w:line="240" w:lineRule="auto"/>
        <w:ind w:left="0"/>
        <w:jc w:val="both"/>
      </w:pPr>
      <w:r w:rsidRPr="007D56E2">
        <w:t>Il riassunto delle problematiche di sicurezza è riportato nella tabella seguente.</w:t>
      </w:r>
    </w:p>
    <w:p w:rsidR="007D56E2" w:rsidRPr="007D56E2" w:rsidRDefault="007D56E2" w:rsidP="007D56E2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2795"/>
        <w:gridCol w:w="6162"/>
      </w:tblGrid>
      <w:tr w:rsidR="007D56E2" w:rsidRPr="007D56E2" w:rsidTr="000E30FF">
        <w:trPr>
          <w:jc w:val="center"/>
        </w:trPr>
        <w:tc>
          <w:tcPr>
            <w:tcW w:w="1560" w:type="pct"/>
            <w:shd w:val="clear" w:color="auto" w:fill="auto"/>
          </w:tcPr>
          <w:p w:rsidR="007D56E2" w:rsidRPr="007D56E2" w:rsidRDefault="007D56E2" w:rsidP="000E30FF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7D56E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="00B4423B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D56E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="00B4423B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D56E2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:rsidR="007D56E2" w:rsidRPr="007D56E2" w:rsidRDefault="007D56E2" w:rsidP="000E30FF">
            <w:pPr>
              <w:spacing w:after="0" w:line="240" w:lineRule="auto"/>
              <w:jc w:val="both"/>
              <w:rPr>
                <w:sz w:val="20"/>
              </w:rPr>
            </w:pPr>
            <w:r w:rsidRPr="007D56E2">
              <w:rPr>
                <w:sz w:val="20"/>
              </w:rPr>
              <w:t>• Grave abbassamento dei globuli bianchi (agranulocitosi)</w:t>
            </w:r>
          </w:p>
          <w:p w:rsidR="007D56E2" w:rsidRPr="007D56E2" w:rsidRDefault="007D56E2" w:rsidP="000E30FF">
            <w:pPr>
              <w:spacing w:after="0" w:line="240" w:lineRule="auto"/>
              <w:jc w:val="both"/>
              <w:rPr>
                <w:sz w:val="20"/>
              </w:rPr>
            </w:pPr>
            <w:r w:rsidRPr="007D56E2">
              <w:rPr>
                <w:sz w:val="20"/>
              </w:rPr>
              <w:t>• Reazioni allergiche (reazioni di ipersensibilità)</w:t>
            </w:r>
          </w:p>
          <w:p w:rsidR="007D56E2" w:rsidRPr="007D56E2" w:rsidRDefault="007D56E2" w:rsidP="000E30FF">
            <w:pPr>
              <w:spacing w:after="0" w:line="240" w:lineRule="auto"/>
              <w:jc w:val="both"/>
              <w:rPr>
                <w:sz w:val="20"/>
              </w:rPr>
            </w:pPr>
            <w:r w:rsidRPr="007D56E2">
              <w:rPr>
                <w:sz w:val="20"/>
              </w:rPr>
              <w:t>• Diminuzione dei livelli di magnesio (</w:t>
            </w:r>
            <w:proofErr w:type="spellStart"/>
            <w:r w:rsidRPr="007D56E2">
              <w:rPr>
                <w:sz w:val="20"/>
              </w:rPr>
              <w:t>ipomagnesiemia</w:t>
            </w:r>
            <w:proofErr w:type="spellEnd"/>
            <w:r w:rsidRPr="007D56E2">
              <w:rPr>
                <w:sz w:val="20"/>
              </w:rPr>
              <w:t>)</w:t>
            </w:r>
          </w:p>
          <w:p w:rsidR="007D56E2" w:rsidRPr="007D56E2" w:rsidRDefault="007D56E2" w:rsidP="000E30FF">
            <w:pPr>
              <w:spacing w:after="0" w:line="240" w:lineRule="auto"/>
              <w:jc w:val="both"/>
              <w:rPr>
                <w:sz w:val="20"/>
              </w:rPr>
            </w:pPr>
            <w:r w:rsidRPr="007D56E2">
              <w:rPr>
                <w:sz w:val="20"/>
              </w:rPr>
              <w:t>• Sentirsi giù o depresso (depressione)</w:t>
            </w:r>
          </w:p>
          <w:p w:rsidR="007D56E2" w:rsidRPr="007D56E2" w:rsidRDefault="007D56E2" w:rsidP="000E30FF">
            <w:pPr>
              <w:spacing w:after="0" w:line="240" w:lineRule="auto"/>
              <w:jc w:val="both"/>
              <w:rPr>
                <w:sz w:val="20"/>
              </w:rPr>
            </w:pPr>
            <w:r w:rsidRPr="007D56E2">
              <w:rPr>
                <w:sz w:val="20"/>
              </w:rPr>
              <w:t>• Disturbi del fegato (reazioni epatiche)</w:t>
            </w:r>
          </w:p>
          <w:p w:rsidR="007D56E2" w:rsidRPr="007D56E2" w:rsidRDefault="007D56E2" w:rsidP="000E30FF">
            <w:pPr>
              <w:spacing w:after="0" w:line="240" w:lineRule="auto"/>
              <w:jc w:val="both"/>
              <w:rPr>
                <w:sz w:val="20"/>
              </w:rPr>
            </w:pPr>
            <w:r w:rsidRPr="007D56E2">
              <w:rPr>
                <w:sz w:val="20"/>
              </w:rPr>
              <w:t>• Reazioni cutanee gravi (reazioni avverse cutanee gravi)</w:t>
            </w:r>
          </w:p>
          <w:p w:rsidR="007D56E2" w:rsidRPr="007D56E2" w:rsidRDefault="007D56E2" w:rsidP="000E30FF">
            <w:pPr>
              <w:spacing w:after="0" w:line="240" w:lineRule="auto"/>
              <w:jc w:val="both"/>
              <w:rPr>
                <w:sz w:val="20"/>
              </w:rPr>
            </w:pPr>
            <w:r w:rsidRPr="007D56E2">
              <w:rPr>
                <w:sz w:val="20"/>
              </w:rPr>
              <w:t>• Infiammazione delle cellule renali (nefrite interstiziale)</w:t>
            </w:r>
          </w:p>
          <w:p w:rsidR="007D56E2" w:rsidRPr="007D56E2" w:rsidRDefault="007D56E2" w:rsidP="000E30FF">
            <w:pPr>
              <w:spacing w:after="0" w:line="240" w:lineRule="auto"/>
              <w:jc w:val="both"/>
              <w:rPr>
                <w:sz w:val="20"/>
              </w:rPr>
            </w:pPr>
            <w:r w:rsidRPr="007D56E2">
              <w:rPr>
                <w:sz w:val="20"/>
              </w:rPr>
              <w:t>• Frattura dell'anca, del polso o della colonna vertebrale</w:t>
            </w:r>
          </w:p>
          <w:p w:rsidR="007D56E2" w:rsidRPr="007D56E2" w:rsidRDefault="007D56E2" w:rsidP="000E30FF">
            <w:pPr>
              <w:spacing w:after="0" w:line="240" w:lineRule="auto"/>
              <w:jc w:val="both"/>
              <w:rPr>
                <w:sz w:val="20"/>
              </w:rPr>
            </w:pPr>
            <w:r w:rsidRPr="007D56E2">
              <w:rPr>
                <w:sz w:val="20"/>
              </w:rPr>
              <w:t>• Infezione dello stomaco o diarrea (infezioni gastrointestinali)</w:t>
            </w:r>
          </w:p>
          <w:p w:rsidR="007D56E2" w:rsidRPr="007D56E2" w:rsidRDefault="007D56E2" w:rsidP="000E30FF">
            <w:pPr>
              <w:spacing w:after="0" w:line="240" w:lineRule="auto"/>
              <w:jc w:val="both"/>
              <w:rPr>
                <w:sz w:val="20"/>
              </w:rPr>
            </w:pPr>
            <w:r w:rsidRPr="007D56E2">
              <w:rPr>
                <w:sz w:val="20"/>
              </w:rPr>
              <w:t xml:space="preserve">• Interazione con anticoagulanti come il </w:t>
            </w:r>
            <w:proofErr w:type="spellStart"/>
            <w:r w:rsidRPr="007D56E2">
              <w:rPr>
                <w:sz w:val="20"/>
              </w:rPr>
              <w:t>warfarin</w:t>
            </w:r>
            <w:proofErr w:type="spellEnd"/>
            <w:r w:rsidRPr="007D56E2">
              <w:rPr>
                <w:sz w:val="20"/>
              </w:rPr>
              <w:t xml:space="preserve"> (interazione con </w:t>
            </w:r>
            <w:proofErr w:type="spellStart"/>
            <w:r w:rsidRPr="007D56E2">
              <w:rPr>
                <w:sz w:val="20"/>
              </w:rPr>
              <w:t>warfarin</w:t>
            </w:r>
            <w:proofErr w:type="spellEnd"/>
            <w:r w:rsidRPr="007D56E2">
              <w:rPr>
                <w:sz w:val="20"/>
              </w:rPr>
              <w:t xml:space="preserve"> o altri derivati ​​</w:t>
            </w:r>
            <w:proofErr w:type="spellStart"/>
            <w:r w:rsidRPr="007D56E2">
              <w:rPr>
                <w:sz w:val="20"/>
              </w:rPr>
              <w:t>cumarinici</w:t>
            </w:r>
            <w:proofErr w:type="spellEnd"/>
            <w:r w:rsidRPr="007D56E2">
              <w:rPr>
                <w:sz w:val="20"/>
              </w:rPr>
              <w:t>)</w:t>
            </w:r>
          </w:p>
          <w:p w:rsidR="007D56E2" w:rsidRPr="007D56E2" w:rsidRDefault="007D56E2" w:rsidP="000E30FF">
            <w:pPr>
              <w:spacing w:after="0" w:line="240" w:lineRule="auto"/>
              <w:jc w:val="both"/>
              <w:rPr>
                <w:sz w:val="20"/>
              </w:rPr>
            </w:pPr>
            <w:r w:rsidRPr="007D56E2">
              <w:rPr>
                <w:sz w:val="20"/>
              </w:rPr>
              <w:t xml:space="preserve">• Interazione con </w:t>
            </w:r>
            <w:proofErr w:type="spellStart"/>
            <w:r w:rsidRPr="007D56E2">
              <w:rPr>
                <w:sz w:val="20"/>
              </w:rPr>
              <w:t>fenitoina</w:t>
            </w:r>
            <w:proofErr w:type="spellEnd"/>
            <w:r w:rsidRPr="007D56E2">
              <w:rPr>
                <w:sz w:val="20"/>
              </w:rPr>
              <w:t>, farmaco utilizzato per trattare le convulsioni</w:t>
            </w:r>
          </w:p>
          <w:p w:rsidR="007D56E2" w:rsidRPr="007D56E2" w:rsidRDefault="007D56E2" w:rsidP="000E30FF">
            <w:pPr>
              <w:spacing w:after="0" w:line="240" w:lineRule="auto"/>
              <w:jc w:val="both"/>
              <w:rPr>
                <w:sz w:val="20"/>
              </w:rPr>
            </w:pPr>
            <w:r w:rsidRPr="007D56E2">
              <w:rPr>
                <w:sz w:val="20"/>
              </w:rPr>
              <w:t xml:space="preserve">(interazione con </w:t>
            </w:r>
            <w:proofErr w:type="spellStart"/>
            <w:r w:rsidRPr="007D56E2">
              <w:rPr>
                <w:sz w:val="20"/>
              </w:rPr>
              <w:t>fenitoina</w:t>
            </w:r>
            <w:proofErr w:type="spellEnd"/>
            <w:r w:rsidRPr="007D56E2">
              <w:rPr>
                <w:sz w:val="20"/>
              </w:rPr>
              <w:t>)</w:t>
            </w:r>
          </w:p>
          <w:p w:rsidR="007D56E2" w:rsidRPr="007D56E2" w:rsidRDefault="007D56E2" w:rsidP="000E30FF">
            <w:pPr>
              <w:spacing w:after="0" w:line="240" w:lineRule="auto"/>
              <w:jc w:val="both"/>
              <w:rPr>
                <w:sz w:val="20"/>
              </w:rPr>
            </w:pPr>
            <w:r w:rsidRPr="007D56E2">
              <w:rPr>
                <w:sz w:val="20"/>
              </w:rPr>
              <w:t xml:space="preserve">• Interazione con </w:t>
            </w:r>
            <w:proofErr w:type="spellStart"/>
            <w:r w:rsidRPr="007D56E2">
              <w:rPr>
                <w:sz w:val="20"/>
              </w:rPr>
              <w:t>atazanavir</w:t>
            </w:r>
            <w:proofErr w:type="spellEnd"/>
            <w:r w:rsidRPr="007D56E2">
              <w:rPr>
                <w:sz w:val="20"/>
              </w:rPr>
              <w:t xml:space="preserve">, farmaco utilizzato per trattare l'AIDS (interazione con </w:t>
            </w:r>
            <w:proofErr w:type="spellStart"/>
            <w:r w:rsidRPr="007D56E2">
              <w:rPr>
                <w:sz w:val="20"/>
              </w:rPr>
              <w:t>atazanavir</w:t>
            </w:r>
            <w:proofErr w:type="spellEnd"/>
            <w:r w:rsidRPr="007D56E2">
              <w:rPr>
                <w:sz w:val="20"/>
              </w:rPr>
              <w:t>)</w:t>
            </w:r>
          </w:p>
          <w:p w:rsidR="007D56E2" w:rsidRPr="007D56E2" w:rsidRDefault="007D56E2" w:rsidP="000E30FF">
            <w:pPr>
              <w:spacing w:after="0" w:line="240" w:lineRule="auto"/>
              <w:jc w:val="both"/>
              <w:rPr>
                <w:sz w:val="20"/>
              </w:rPr>
            </w:pPr>
            <w:r w:rsidRPr="007D56E2">
              <w:rPr>
                <w:sz w:val="20"/>
              </w:rPr>
              <w:t xml:space="preserve">Interazione con </w:t>
            </w:r>
            <w:proofErr w:type="spellStart"/>
            <w:r w:rsidRPr="007D56E2">
              <w:rPr>
                <w:sz w:val="20"/>
              </w:rPr>
              <w:t>nelfinavir</w:t>
            </w:r>
            <w:proofErr w:type="spellEnd"/>
            <w:r w:rsidRPr="007D56E2">
              <w:rPr>
                <w:sz w:val="20"/>
              </w:rPr>
              <w:t xml:space="preserve">, farmaco utilizzato per trattare </w:t>
            </w:r>
            <w:r w:rsidRPr="007D56E2">
              <w:rPr>
                <w:sz w:val="20"/>
              </w:rPr>
              <w:lastRenderedPageBreak/>
              <w:t xml:space="preserve">l'AIDS(interazione con </w:t>
            </w:r>
            <w:proofErr w:type="spellStart"/>
            <w:r w:rsidRPr="007D56E2">
              <w:rPr>
                <w:sz w:val="20"/>
              </w:rPr>
              <w:t>nelfinavir</w:t>
            </w:r>
            <w:proofErr w:type="spellEnd"/>
            <w:r w:rsidRPr="007D56E2">
              <w:rPr>
                <w:sz w:val="20"/>
              </w:rPr>
              <w:t>)</w:t>
            </w:r>
          </w:p>
          <w:p w:rsidR="007D56E2" w:rsidRPr="007D56E2" w:rsidRDefault="007D56E2" w:rsidP="000E30FF">
            <w:pPr>
              <w:spacing w:after="0" w:line="240" w:lineRule="auto"/>
              <w:jc w:val="both"/>
              <w:rPr>
                <w:sz w:val="20"/>
              </w:rPr>
            </w:pPr>
            <w:r w:rsidRPr="007D56E2">
              <w:rPr>
                <w:sz w:val="20"/>
              </w:rPr>
              <w:t>Interazione con digossina, farmaco utilizzato nell'insufficienza cardiaca (interazione con digossina)</w:t>
            </w:r>
          </w:p>
          <w:p w:rsidR="007D56E2" w:rsidRPr="007D56E2" w:rsidRDefault="007D56E2" w:rsidP="000E30FF">
            <w:pPr>
              <w:spacing w:after="0" w:line="240" w:lineRule="auto"/>
              <w:jc w:val="both"/>
              <w:rPr>
                <w:sz w:val="20"/>
              </w:rPr>
            </w:pPr>
            <w:r w:rsidRPr="007D56E2">
              <w:rPr>
                <w:sz w:val="20"/>
              </w:rPr>
              <w:t xml:space="preserve">• Interazione con </w:t>
            </w:r>
            <w:proofErr w:type="spellStart"/>
            <w:r w:rsidRPr="007D56E2">
              <w:rPr>
                <w:sz w:val="20"/>
              </w:rPr>
              <w:t>metotrexato</w:t>
            </w:r>
            <w:proofErr w:type="spellEnd"/>
            <w:r w:rsidRPr="007D56E2">
              <w:rPr>
                <w:sz w:val="20"/>
              </w:rPr>
              <w:t>, farmaco utilizzato per trattare l’artrite reumatoide e altre condizioni autoimmuni (interazione con</w:t>
            </w:r>
            <w:r w:rsidR="00B4423B">
              <w:rPr>
                <w:sz w:val="20"/>
              </w:rPr>
              <w:t xml:space="preserve"> </w:t>
            </w:r>
            <w:proofErr w:type="spellStart"/>
            <w:r w:rsidRPr="007D56E2">
              <w:rPr>
                <w:sz w:val="20"/>
              </w:rPr>
              <w:t>metotrexato</w:t>
            </w:r>
            <w:proofErr w:type="spellEnd"/>
            <w:r w:rsidRPr="007D56E2">
              <w:rPr>
                <w:sz w:val="20"/>
              </w:rPr>
              <w:t>)</w:t>
            </w:r>
          </w:p>
          <w:p w:rsidR="007D56E2" w:rsidRPr="007D56E2" w:rsidRDefault="007D56E2" w:rsidP="000E30FF">
            <w:pPr>
              <w:spacing w:after="0" w:line="240" w:lineRule="auto"/>
              <w:jc w:val="both"/>
              <w:rPr>
                <w:sz w:val="20"/>
              </w:rPr>
            </w:pPr>
            <w:r w:rsidRPr="007D56E2">
              <w:rPr>
                <w:sz w:val="20"/>
              </w:rPr>
              <w:t xml:space="preserve">• Interazione con </w:t>
            </w:r>
            <w:proofErr w:type="spellStart"/>
            <w:r w:rsidRPr="007D56E2">
              <w:rPr>
                <w:sz w:val="20"/>
              </w:rPr>
              <w:t>tacrolimus</w:t>
            </w:r>
            <w:proofErr w:type="spellEnd"/>
            <w:r w:rsidRPr="007D56E2">
              <w:rPr>
                <w:sz w:val="20"/>
              </w:rPr>
              <w:t xml:space="preserve">, farmaco utilizzato per prevenire il rigetto del trapianto (interazione con </w:t>
            </w:r>
            <w:proofErr w:type="spellStart"/>
            <w:r w:rsidRPr="007D56E2">
              <w:rPr>
                <w:sz w:val="20"/>
              </w:rPr>
              <w:t>tacrolimus</w:t>
            </w:r>
            <w:proofErr w:type="spellEnd"/>
            <w:r w:rsidRPr="007D56E2">
              <w:rPr>
                <w:sz w:val="20"/>
              </w:rPr>
              <w:t>)</w:t>
            </w:r>
          </w:p>
          <w:p w:rsidR="007D56E2" w:rsidRPr="007D56E2" w:rsidRDefault="007D56E2" w:rsidP="000E30FF">
            <w:pPr>
              <w:spacing w:after="0" w:line="240" w:lineRule="auto"/>
              <w:jc w:val="both"/>
              <w:rPr>
                <w:sz w:val="20"/>
              </w:rPr>
            </w:pPr>
            <w:r w:rsidRPr="007D56E2">
              <w:rPr>
                <w:sz w:val="20"/>
              </w:rPr>
              <w:t xml:space="preserve">• Interazione con anticoagulanti come </w:t>
            </w:r>
            <w:proofErr w:type="spellStart"/>
            <w:r w:rsidRPr="007D56E2">
              <w:rPr>
                <w:sz w:val="20"/>
              </w:rPr>
              <w:t>clopidogrel</w:t>
            </w:r>
            <w:proofErr w:type="spellEnd"/>
            <w:r w:rsidRPr="007D56E2">
              <w:rPr>
                <w:sz w:val="20"/>
              </w:rPr>
              <w:t xml:space="preserve"> (interazione con </w:t>
            </w:r>
            <w:proofErr w:type="spellStart"/>
            <w:r w:rsidRPr="007D56E2">
              <w:rPr>
                <w:sz w:val="20"/>
              </w:rPr>
              <w:t>clopidogrel</w:t>
            </w:r>
            <w:proofErr w:type="spellEnd"/>
            <w:r w:rsidRPr="007D56E2">
              <w:rPr>
                <w:sz w:val="20"/>
              </w:rPr>
              <w:t>)</w:t>
            </w:r>
          </w:p>
        </w:tc>
      </w:tr>
      <w:tr w:rsidR="007D56E2" w:rsidRPr="007D56E2" w:rsidTr="000E30FF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56E2" w:rsidRPr="007D56E2" w:rsidRDefault="007D56E2" w:rsidP="000E30FF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7D56E2">
              <w:rPr>
                <w:rFonts w:asciiTheme="minorHAnsi" w:hAnsiTheme="minorHAnsi"/>
                <w:sz w:val="20"/>
                <w:szCs w:val="20"/>
                <w:lang w:eastAsia="en-GB"/>
              </w:rPr>
              <w:lastRenderedPageBreak/>
              <w:t>Rischi</w:t>
            </w:r>
            <w:proofErr w:type="spellEnd"/>
            <w:r w:rsidR="00B4423B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D56E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="00B4423B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D56E2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D56E2" w:rsidRPr="007D56E2" w:rsidRDefault="007D56E2" w:rsidP="000E30FF">
            <w:pPr>
              <w:tabs>
                <w:tab w:val="left" w:pos="1608"/>
              </w:tabs>
              <w:spacing w:after="0" w:line="240" w:lineRule="auto"/>
              <w:jc w:val="both"/>
              <w:rPr>
                <w:sz w:val="20"/>
                <w:szCs w:val="20"/>
                <w:lang w:eastAsia="en-GB"/>
              </w:rPr>
            </w:pPr>
            <w:r w:rsidRPr="007D56E2">
              <w:rPr>
                <w:sz w:val="20"/>
                <w:szCs w:val="20"/>
                <w:lang w:eastAsia="en-GB"/>
              </w:rPr>
              <w:t>• Crisi, convulsioni o movimenti anormali del corpo</w:t>
            </w:r>
          </w:p>
          <w:p w:rsidR="007D56E2" w:rsidRPr="007D56E2" w:rsidRDefault="007D56E2" w:rsidP="000E30FF">
            <w:pPr>
              <w:tabs>
                <w:tab w:val="left" w:pos="1608"/>
              </w:tabs>
              <w:spacing w:after="0" w:line="240" w:lineRule="auto"/>
              <w:jc w:val="both"/>
              <w:rPr>
                <w:sz w:val="20"/>
                <w:szCs w:val="20"/>
                <w:lang w:eastAsia="en-GB"/>
              </w:rPr>
            </w:pPr>
            <w:r w:rsidRPr="007D56E2">
              <w:rPr>
                <w:sz w:val="20"/>
                <w:szCs w:val="20"/>
                <w:lang w:eastAsia="en-GB"/>
              </w:rPr>
              <w:t>(convulsioni / crisi epilettiche)</w:t>
            </w:r>
          </w:p>
          <w:p w:rsidR="007D56E2" w:rsidRPr="007D56E2" w:rsidRDefault="007D56E2" w:rsidP="000E30FF">
            <w:pPr>
              <w:tabs>
                <w:tab w:val="left" w:pos="1608"/>
              </w:tabs>
              <w:spacing w:after="0" w:line="240" w:lineRule="auto"/>
              <w:jc w:val="both"/>
              <w:rPr>
                <w:sz w:val="20"/>
                <w:szCs w:val="20"/>
                <w:lang w:eastAsia="en-GB"/>
              </w:rPr>
            </w:pPr>
            <w:r w:rsidRPr="007D56E2">
              <w:rPr>
                <w:sz w:val="20"/>
                <w:szCs w:val="20"/>
                <w:lang w:eastAsia="en-GB"/>
              </w:rPr>
              <w:t>• Infezione del polmone (polmonite)</w:t>
            </w:r>
          </w:p>
          <w:p w:rsidR="007D56E2" w:rsidRPr="007D56E2" w:rsidRDefault="007D56E2" w:rsidP="000E30FF">
            <w:pPr>
              <w:tabs>
                <w:tab w:val="left" w:pos="1608"/>
              </w:tabs>
              <w:spacing w:after="0" w:line="240" w:lineRule="auto"/>
              <w:jc w:val="both"/>
              <w:rPr>
                <w:sz w:val="20"/>
                <w:szCs w:val="20"/>
                <w:lang w:eastAsia="en-GB"/>
              </w:rPr>
            </w:pPr>
          </w:p>
        </w:tc>
      </w:tr>
      <w:tr w:rsidR="007D56E2" w:rsidRPr="007D56E2" w:rsidTr="000E30FF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D56E2" w:rsidRPr="007D56E2" w:rsidRDefault="007D56E2" w:rsidP="000E30FF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7D56E2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 w:rsidR="00B4423B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D56E2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6E2" w:rsidRPr="007D56E2" w:rsidRDefault="007D56E2" w:rsidP="000E30FF">
            <w:pPr>
              <w:spacing w:after="0" w:line="240" w:lineRule="auto"/>
              <w:jc w:val="both"/>
              <w:rPr>
                <w:sz w:val="20"/>
              </w:rPr>
            </w:pPr>
            <w:r w:rsidRPr="007D56E2">
              <w:rPr>
                <w:sz w:val="20"/>
              </w:rPr>
              <w:t xml:space="preserve">• Uso in donne in gravidanza o in allattamento </w:t>
            </w:r>
          </w:p>
          <w:p w:rsidR="007D56E2" w:rsidRPr="007D56E2" w:rsidRDefault="007D56E2" w:rsidP="000E30FF">
            <w:pPr>
              <w:spacing w:after="0" w:line="240" w:lineRule="auto"/>
              <w:jc w:val="both"/>
              <w:rPr>
                <w:sz w:val="20"/>
              </w:rPr>
            </w:pPr>
            <w:r w:rsidRPr="007D56E2">
              <w:rPr>
                <w:sz w:val="20"/>
              </w:rPr>
              <w:t>• Uso in pazienti con malattie renali (uso in pazienti con</w:t>
            </w:r>
          </w:p>
          <w:p w:rsidR="007D56E2" w:rsidRPr="007D56E2" w:rsidRDefault="007D56E2" w:rsidP="000E30FF">
            <w:pPr>
              <w:spacing w:after="0" w:line="240" w:lineRule="auto"/>
              <w:jc w:val="both"/>
              <w:rPr>
                <w:sz w:val="20"/>
              </w:rPr>
            </w:pPr>
            <w:r w:rsidRPr="007D56E2">
              <w:rPr>
                <w:sz w:val="20"/>
              </w:rPr>
              <w:t>insufficienza renale)</w:t>
            </w:r>
          </w:p>
          <w:p w:rsidR="007D56E2" w:rsidRPr="007D56E2" w:rsidRDefault="007D56E2" w:rsidP="000E30FF">
            <w:pPr>
              <w:spacing w:after="0" w:line="240" w:lineRule="auto"/>
              <w:jc w:val="both"/>
              <w:rPr>
                <w:sz w:val="20"/>
              </w:rPr>
            </w:pPr>
            <w:r w:rsidRPr="007D56E2">
              <w:rPr>
                <w:sz w:val="20"/>
              </w:rPr>
              <w:t xml:space="preserve">• Uso prolungato di </w:t>
            </w:r>
            <w:proofErr w:type="spellStart"/>
            <w:r w:rsidRPr="007D56E2">
              <w:rPr>
                <w:sz w:val="20"/>
              </w:rPr>
              <w:t>esomeprazolo</w:t>
            </w:r>
            <w:proofErr w:type="spellEnd"/>
            <w:r w:rsidRPr="007D56E2">
              <w:rPr>
                <w:sz w:val="20"/>
              </w:rPr>
              <w:t xml:space="preserve"> nei bambini, per</w:t>
            </w:r>
          </w:p>
          <w:p w:rsidR="007D56E2" w:rsidRPr="007D56E2" w:rsidRDefault="007D56E2" w:rsidP="000E30FF">
            <w:pPr>
              <w:spacing w:after="0" w:line="240" w:lineRule="auto"/>
              <w:jc w:val="both"/>
              <w:rPr>
                <w:sz w:val="20"/>
              </w:rPr>
            </w:pPr>
            <w:r w:rsidRPr="007D56E2">
              <w:rPr>
                <w:sz w:val="20"/>
              </w:rPr>
              <w:t>più di 6 mesi (trattamento a lungo termine nei bambini)</w:t>
            </w:r>
          </w:p>
        </w:tc>
      </w:tr>
    </w:tbl>
    <w:p w:rsidR="007D56E2" w:rsidRPr="007D56E2" w:rsidRDefault="007D56E2" w:rsidP="007D56E2">
      <w:pPr>
        <w:pStyle w:val="Paragrafoelenco"/>
        <w:spacing w:after="0" w:line="240" w:lineRule="auto"/>
        <w:ind w:left="0"/>
        <w:jc w:val="both"/>
      </w:pPr>
    </w:p>
    <w:p w:rsidR="007D56E2" w:rsidRPr="007D56E2" w:rsidRDefault="007D56E2" w:rsidP="007D56E2">
      <w:pPr>
        <w:pStyle w:val="Paragrafoelenco"/>
        <w:spacing w:after="0" w:line="240" w:lineRule="auto"/>
        <w:ind w:left="0"/>
        <w:jc w:val="both"/>
      </w:pPr>
      <w:r w:rsidRPr="007D56E2">
        <w:t xml:space="preserve">Azioni </w:t>
      </w:r>
      <w:proofErr w:type="spellStart"/>
      <w:r w:rsidRPr="007D56E2">
        <w:t>routinarie</w:t>
      </w:r>
      <w:proofErr w:type="spellEnd"/>
      <w:r w:rsidRPr="007D56E2">
        <w:t xml:space="preserve"> di farmacovigilanza e di minimizzazione del rischio sono proposte per tutte le problematiche di sicurezza.</w:t>
      </w:r>
    </w:p>
    <w:p w:rsidR="007D56E2" w:rsidRPr="00EF6711" w:rsidRDefault="007D56E2" w:rsidP="007D56E2">
      <w:pPr>
        <w:pStyle w:val="Paragrafoelenco"/>
        <w:spacing w:after="0" w:line="240" w:lineRule="auto"/>
        <w:ind w:left="0"/>
        <w:jc w:val="both"/>
      </w:pPr>
      <w:r w:rsidRPr="007D56E2">
        <w:t>Oltre le misure previste nel Riassunto delle caratteristiche del prodotto non sono previste attività addizionali di minimizzazione del rischio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proofErr w:type="spellStart"/>
      <w:r w:rsidR="00BB7777">
        <w:rPr>
          <w:rFonts w:eastAsia="Calibri" w:cs="Calibri"/>
          <w:color w:val="000000"/>
          <w:lang w:eastAsia="it-IT"/>
        </w:rPr>
        <w:t>Esomeprazolo</w:t>
      </w:r>
      <w:proofErr w:type="spellEnd"/>
      <w:r w:rsidR="00BB777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B7777">
        <w:rPr>
          <w:rFonts w:eastAsia="Calibri" w:cs="Calibri"/>
          <w:color w:val="000000"/>
          <w:lang w:eastAsia="it-IT"/>
        </w:rPr>
        <w:t>Mylan</w:t>
      </w:r>
      <w:proofErr w:type="spellEnd"/>
      <w:r w:rsidR="00BB777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B7777">
        <w:rPr>
          <w:rFonts w:eastAsia="Calibri" w:cs="Calibri"/>
          <w:color w:val="000000"/>
          <w:lang w:eastAsia="it-IT"/>
        </w:rPr>
        <w:t>Generics</w:t>
      </w:r>
      <w:proofErr w:type="spellEnd"/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sono state presentate sufficienti informazioni cliniche.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proofErr w:type="spellStart"/>
      <w:r w:rsidR="00BB7777">
        <w:rPr>
          <w:rFonts w:eastAsia="Calibri" w:cs="Calibri"/>
          <w:color w:val="000000"/>
          <w:lang w:eastAsia="it-IT"/>
        </w:rPr>
        <w:t>Esomeprazolo</w:t>
      </w:r>
      <w:proofErr w:type="spellEnd"/>
      <w:r w:rsidR="00BB777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B7777">
        <w:rPr>
          <w:rFonts w:eastAsia="Calibri" w:cs="Calibri"/>
          <w:color w:val="000000"/>
          <w:lang w:eastAsia="it-IT"/>
        </w:rPr>
        <w:t>Mylan</w:t>
      </w:r>
      <w:proofErr w:type="spellEnd"/>
      <w:r w:rsidR="00BB777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B7777">
        <w:rPr>
          <w:rFonts w:eastAsia="Calibri" w:cs="Calibri"/>
          <w:color w:val="000000"/>
          <w:lang w:eastAsia="it-IT"/>
        </w:rPr>
        <w:t>Generics</w:t>
      </w:r>
      <w:proofErr w:type="spellEnd"/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Il foglio illustrativo è stato sottoposto al test di leggibilità in accordo ai requisiti dell’art. 59(3) e 61(1) della direttiva 2001/83/EU </w:t>
      </w:r>
      <w:proofErr w:type="spellStart"/>
      <w:r w:rsidRPr="00EF6711">
        <w:t>s.m.i.</w:t>
      </w:r>
      <w:proofErr w:type="spellEnd"/>
      <w:r w:rsidRPr="00EF6711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proofErr w:type="spellStart"/>
      <w:r w:rsidR="00BB7777">
        <w:rPr>
          <w:rFonts w:eastAsia="Calibri" w:cs="Calibri"/>
          <w:color w:val="000000"/>
          <w:lang w:eastAsia="it-IT"/>
        </w:rPr>
        <w:t>Esomeprazolo</w:t>
      </w:r>
      <w:proofErr w:type="spellEnd"/>
      <w:r w:rsidR="00BB777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B7777">
        <w:rPr>
          <w:rFonts w:eastAsia="Calibri" w:cs="Calibri"/>
          <w:color w:val="000000"/>
          <w:lang w:eastAsia="it-IT"/>
        </w:rPr>
        <w:t>Mylan</w:t>
      </w:r>
      <w:proofErr w:type="spellEnd"/>
      <w:r w:rsidR="00BB777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B7777">
        <w:rPr>
          <w:rFonts w:eastAsia="Calibri" w:cs="Calibri"/>
          <w:color w:val="000000"/>
          <w:lang w:eastAsia="it-IT"/>
        </w:rPr>
        <w:t>Generics</w:t>
      </w:r>
      <w:proofErr w:type="spellEnd"/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:rsidR="0060693E" w:rsidRDefault="0060693E" w:rsidP="0060693E">
      <w:pPr>
        <w:spacing w:after="0" w:line="240" w:lineRule="auto"/>
        <w:jc w:val="both"/>
      </w:pPr>
      <w:r>
        <w:t xml:space="preserve">Gli studi di </w:t>
      </w:r>
      <w:proofErr w:type="spellStart"/>
      <w:r>
        <w:t>bioequivalenza</w:t>
      </w:r>
      <w:proofErr w:type="spellEnd"/>
      <w:r>
        <w:t xml:space="preserve"> e le sue conclusioni confermano che </w:t>
      </w:r>
      <w:proofErr w:type="spellStart"/>
      <w:r w:rsidRPr="006D6D08">
        <w:t>Esomeprazolo</w:t>
      </w:r>
      <w:proofErr w:type="spellEnd"/>
      <w:r w:rsidRPr="006D6D08"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Mylan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Generics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>
        <w:t xml:space="preserve">e il medicinale di riferimento </w:t>
      </w:r>
      <w:proofErr w:type="spellStart"/>
      <w:r>
        <w:t>Nexium</w:t>
      </w:r>
      <w:proofErr w:type="spellEnd"/>
      <w:r>
        <w:t xml:space="preserve"> sono </w:t>
      </w:r>
      <w:proofErr w:type="spellStart"/>
      <w:r>
        <w:t>bioequivalenti</w:t>
      </w:r>
      <w:proofErr w:type="spellEnd"/>
      <w:r>
        <w:t>.</w:t>
      </w:r>
    </w:p>
    <w:p w:rsidR="0060693E" w:rsidRPr="00EF6711" w:rsidRDefault="0060693E" w:rsidP="0060693E">
      <w:pPr>
        <w:spacing w:after="0" w:line="240" w:lineRule="auto"/>
        <w:jc w:val="both"/>
      </w:pPr>
      <w:r w:rsidRPr="00EF6711">
        <w:t>Il rapporto beneficio/rischio è considerato positivo.</w:t>
      </w:r>
    </w:p>
    <w:p w:rsidR="0060693E" w:rsidRDefault="0060693E" w:rsidP="0060693E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11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F19AA"/>
    <w:multiLevelType w:val="hybridMultilevel"/>
    <w:tmpl w:val="1BAA90C0"/>
    <w:lvl w:ilvl="0" w:tplc="0410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C620089"/>
    <w:multiLevelType w:val="hybridMultilevel"/>
    <w:tmpl w:val="A560E2CC"/>
    <w:lvl w:ilvl="0" w:tplc="4D74B80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BAF0C1F"/>
    <w:multiLevelType w:val="hybridMultilevel"/>
    <w:tmpl w:val="428457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3F7753"/>
    <w:multiLevelType w:val="hybridMultilevel"/>
    <w:tmpl w:val="E56AD526"/>
    <w:lvl w:ilvl="0" w:tplc="4D74B8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6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4241AC"/>
    <w:rsid w:val="00013020"/>
    <w:rsid w:val="00014743"/>
    <w:rsid w:val="0002006D"/>
    <w:rsid w:val="00022511"/>
    <w:rsid w:val="00023CEA"/>
    <w:rsid w:val="000448F0"/>
    <w:rsid w:val="00046932"/>
    <w:rsid w:val="00062636"/>
    <w:rsid w:val="000808A3"/>
    <w:rsid w:val="000A4BA1"/>
    <w:rsid w:val="000B5D9A"/>
    <w:rsid w:val="000B7AC8"/>
    <w:rsid w:val="000E1F86"/>
    <w:rsid w:val="000E4494"/>
    <w:rsid w:val="000E44DA"/>
    <w:rsid w:val="000E45DE"/>
    <w:rsid w:val="000F658F"/>
    <w:rsid w:val="00111E9E"/>
    <w:rsid w:val="00126837"/>
    <w:rsid w:val="00144FB2"/>
    <w:rsid w:val="00145BC4"/>
    <w:rsid w:val="001460CA"/>
    <w:rsid w:val="001C15DF"/>
    <w:rsid w:val="001C2283"/>
    <w:rsid w:val="001E11E2"/>
    <w:rsid w:val="001E1A9E"/>
    <w:rsid w:val="00230BBE"/>
    <w:rsid w:val="0023362A"/>
    <w:rsid w:val="0024166E"/>
    <w:rsid w:val="00265B61"/>
    <w:rsid w:val="00277A0E"/>
    <w:rsid w:val="002B47AD"/>
    <w:rsid w:val="002F2543"/>
    <w:rsid w:val="002F4000"/>
    <w:rsid w:val="00300BEA"/>
    <w:rsid w:val="00301CEF"/>
    <w:rsid w:val="003061E0"/>
    <w:rsid w:val="00330196"/>
    <w:rsid w:val="00367CE0"/>
    <w:rsid w:val="003836C8"/>
    <w:rsid w:val="003E0FE0"/>
    <w:rsid w:val="0042214D"/>
    <w:rsid w:val="00423A97"/>
    <w:rsid w:val="004241AC"/>
    <w:rsid w:val="004609F8"/>
    <w:rsid w:val="00470A3B"/>
    <w:rsid w:val="004B20A8"/>
    <w:rsid w:val="004E5A39"/>
    <w:rsid w:val="00500ACA"/>
    <w:rsid w:val="005049A1"/>
    <w:rsid w:val="00504FC1"/>
    <w:rsid w:val="00506EC1"/>
    <w:rsid w:val="00516647"/>
    <w:rsid w:val="005437F5"/>
    <w:rsid w:val="0056372C"/>
    <w:rsid w:val="00567615"/>
    <w:rsid w:val="005950D6"/>
    <w:rsid w:val="0060693E"/>
    <w:rsid w:val="00621AE2"/>
    <w:rsid w:val="00642D6A"/>
    <w:rsid w:val="0064646C"/>
    <w:rsid w:val="00654D9E"/>
    <w:rsid w:val="00664931"/>
    <w:rsid w:val="006727BD"/>
    <w:rsid w:val="0068716B"/>
    <w:rsid w:val="006B311C"/>
    <w:rsid w:val="006B3E12"/>
    <w:rsid w:val="006D7B8C"/>
    <w:rsid w:val="00716DF5"/>
    <w:rsid w:val="007170D7"/>
    <w:rsid w:val="007221B6"/>
    <w:rsid w:val="00735A91"/>
    <w:rsid w:val="00766E26"/>
    <w:rsid w:val="00787A66"/>
    <w:rsid w:val="00797416"/>
    <w:rsid w:val="007B1FBD"/>
    <w:rsid w:val="007D56E2"/>
    <w:rsid w:val="00823F4C"/>
    <w:rsid w:val="00850A61"/>
    <w:rsid w:val="008547B3"/>
    <w:rsid w:val="008819D4"/>
    <w:rsid w:val="0088216F"/>
    <w:rsid w:val="00893563"/>
    <w:rsid w:val="008A6FEC"/>
    <w:rsid w:val="008B60D7"/>
    <w:rsid w:val="008C3D30"/>
    <w:rsid w:val="008D1529"/>
    <w:rsid w:val="008D57FB"/>
    <w:rsid w:val="00943785"/>
    <w:rsid w:val="00957832"/>
    <w:rsid w:val="009A23DE"/>
    <w:rsid w:val="009A260F"/>
    <w:rsid w:val="009B03DB"/>
    <w:rsid w:val="009D3446"/>
    <w:rsid w:val="009E0140"/>
    <w:rsid w:val="009E2BC0"/>
    <w:rsid w:val="009F3867"/>
    <w:rsid w:val="00A01AB1"/>
    <w:rsid w:val="00A40FF3"/>
    <w:rsid w:val="00A62D55"/>
    <w:rsid w:val="00A75D23"/>
    <w:rsid w:val="00A908B9"/>
    <w:rsid w:val="00A944F5"/>
    <w:rsid w:val="00A966D1"/>
    <w:rsid w:val="00AD2324"/>
    <w:rsid w:val="00AD55D1"/>
    <w:rsid w:val="00B023E9"/>
    <w:rsid w:val="00B1186F"/>
    <w:rsid w:val="00B30431"/>
    <w:rsid w:val="00B4423B"/>
    <w:rsid w:val="00B83ACF"/>
    <w:rsid w:val="00BA0ACD"/>
    <w:rsid w:val="00BB2AF8"/>
    <w:rsid w:val="00BB7777"/>
    <w:rsid w:val="00BB7B54"/>
    <w:rsid w:val="00BC74C2"/>
    <w:rsid w:val="00BD198F"/>
    <w:rsid w:val="00BE7CDB"/>
    <w:rsid w:val="00BF55B9"/>
    <w:rsid w:val="00BF7A42"/>
    <w:rsid w:val="00C2565A"/>
    <w:rsid w:val="00C3773F"/>
    <w:rsid w:val="00C42AAC"/>
    <w:rsid w:val="00C66597"/>
    <w:rsid w:val="00CB017B"/>
    <w:rsid w:val="00CC52A3"/>
    <w:rsid w:val="00CC7AFF"/>
    <w:rsid w:val="00CE62A1"/>
    <w:rsid w:val="00D20170"/>
    <w:rsid w:val="00D212AA"/>
    <w:rsid w:val="00D60600"/>
    <w:rsid w:val="00DA5D56"/>
    <w:rsid w:val="00DB2236"/>
    <w:rsid w:val="00DB359A"/>
    <w:rsid w:val="00DD772F"/>
    <w:rsid w:val="00DE1242"/>
    <w:rsid w:val="00DF16FD"/>
    <w:rsid w:val="00E10D6C"/>
    <w:rsid w:val="00E273B5"/>
    <w:rsid w:val="00E315BE"/>
    <w:rsid w:val="00E43089"/>
    <w:rsid w:val="00E83F8D"/>
    <w:rsid w:val="00EC3589"/>
    <w:rsid w:val="00EF062E"/>
    <w:rsid w:val="00EF6711"/>
    <w:rsid w:val="00F575A3"/>
    <w:rsid w:val="00F66767"/>
    <w:rsid w:val="00F85989"/>
    <w:rsid w:val="00F85DF2"/>
    <w:rsid w:val="00F96473"/>
    <w:rsid w:val="00F97957"/>
    <w:rsid w:val="00FA2702"/>
    <w:rsid w:val="00FC5B6A"/>
    <w:rsid w:val="00FD5D8E"/>
    <w:rsid w:val="00FD7945"/>
    <w:rsid w:val="00FF7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hps">
    <w:name w:val="hps"/>
    <w:basedOn w:val="Carpredefinitoparagrafo"/>
    <w:rsid w:val="00BB77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kemedelsverket.se/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3973</Words>
  <Characters>22652</Characters>
  <Application>Microsoft Office Word</Application>
  <DocSecurity>0</DocSecurity>
  <Lines>188</Lines>
  <Paragraphs>53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rovazzanid</cp:lastModifiedBy>
  <cp:revision>4</cp:revision>
  <dcterms:created xsi:type="dcterms:W3CDTF">2020-12-09T13:08:00Z</dcterms:created>
  <dcterms:modified xsi:type="dcterms:W3CDTF">2020-12-09T13:29:00Z</dcterms:modified>
</cp:coreProperties>
</file>