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2A4B" w:rsidP="004241AC">
      <w:pPr>
        <w:spacing w:after="0" w:line="240" w:lineRule="auto"/>
        <w:jc w:val="center"/>
        <w:rPr>
          <w:lang w:val="en-US"/>
        </w:rPr>
      </w:pPr>
      <w:r w:rsidRPr="004E3D2F">
        <w:rPr>
          <w:noProof/>
          <w:lang w:eastAsia="it-IT"/>
        </w:rPr>
        <w:drawing>
          <wp:inline distT="0" distB="0" distL="0" distR="0">
            <wp:extent cx="2922557" cy="1108792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3435E7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FIRACRONO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C760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>Rifamicina sodica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4C7603" w:rsidP="004241AC">
      <w:pPr>
        <w:spacing w:after="0" w:line="240" w:lineRule="auto"/>
        <w:jc w:val="center"/>
        <w:rPr>
          <w:b/>
        </w:rPr>
      </w:pPr>
      <w:proofErr w:type="spellStart"/>
      <w:r w:rsidRPr="004C7603">
        <w:rPr>
          <w:b/>
        </w:rPr>
        <w:t>Eg</w:t>
      </w:r>
      <w:proofErr w:type="spellEnd"/>
      <w:r w:rsidRPr="004C7603">
        <w:rPr>
          <w:b/>
        </w:rPr>
        <w:t xml:space="preserve"> </w:t>
      </w:r>
      <w:proofErr w:type="spellStart"/>
      <w:r w:rsidRPr="004C7603">
        <w:rPr>
          <w:b/>
        </w:rPr>
        <w:t>S.p.a.</w:t>
      </w:r>
      <w:proofErr w:type="spellEnd"/>
      <w:r w:rsidR="00BF7A42"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>Numero di AIC:</w:t>
      </w:r>
      <w:r w:rsidR="004C7603">
        <w:rPr>
          <w:b/>
        </w:rPr>
        <w:t xml:space="preserve"> </w:t>
      </w:r>
      <w:r w:rsidR="004C7603" w:rsidRPr="004C7603">
        <w:rPr>
          <w:b/>
        </w:rPr>
        <w:t>04</w:t>
      </w:r>
      <w:r w:rsidR="003435E7">
        <w:rPr>
          <w:b/>
        </w:rPr>
        <w:t>7789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3435E7">
        <w:rPr>
          <w:rFonts w:eastAsia="Calibri" w:cs="Calibri"/>
          <w:color w:val="000000"/>
          <w:lang w:eastAsia="it-IT"/>
        </w:rPr>
        <w:t>FIRACRONO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3435E7">
        <w:rPr>
          <w:rFonts w:eastAsia="Calibri" w:cs="Calibri"/>
          <w:color w:val="000000"/>
          <w:lang w:eastAsia="it-IT"/>
        </w:rPr>
        <w:t>FIRACRONO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3435E7">
        <w:rPr>
          <w:rFonts w:eastAsia="Calibri" w:cs="Calibri"/>
          <w:color w:val="000000"/>
          <w:lang w:eastAsia="it-IT"/>
        </w:rPr>
        <w:t>FIRACRONO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3435E7">
        <w:rPr>
          <w:rFonts w:eastAsia="Calibri" w:cs="Calibri"/>
          <w:bCs/>
          <w:color w:val="000000"/>
          <w:lang w:eastAsia="it-IT"/>
        </w:rPr>
        <w:t>FIRACRONO</w:t>
      </w:r>
      <w:r w:rsidR="004C7603">
        <w:rPr>
          <w:rFonts w:eastAsia="Calibri" w:cs="Calibri"/>
          <w:bCs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435E7">
        <w:rPr>
          <w:rFonts w:eastAsia="Calibri" w:cs="Calibri"/>
          <w:b/>
          <w:color w:val="000000"/>
          <w:lang w:eastAsia="it-IT"/>
        </w:rPr>
        <w:t>FIRACRONO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3435E7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FIRACRONO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 w:rsidR="001B0CB3">
        <w:rPr>
          <w:rFonts w:eastAsia="Calibri" w:cs="Calibri"/>
          <w:color w:val="000000"/>
          <w:lang w:eastAsia="it-IT"/>
        </w:rPr>
        <w:t>r</w:t>
      </w:r>
      <w:r w:rsidR="004C7603">
        <w:rPr>
          <w:rFonts w:eastAsia="Calibri" w:cs="Calibri"/>
          <w:color w:val="000000"/>
          <w:lang w:eastAsia="it-IT"/>
        </w:rPr>
        <w:t>ifamicina sodica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come:</w:t>
      </w:r>
    </w:p>
    <w:p w:rsidR="00797416" w:rsidRDefault="0079741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</w:t>
      </w:r>
      <w:r w:rsidR="004C7603">
        <w:rPr>
          <w:rFonts w:eastAsia="Calibri" w:cs="Calibri"/>
          <w:color w:val="000000"/>
          <w:lang w:eastAsia="it-IT"/>
        </w:rPr>
        <w:t xml:space="preserve"> a rilascio modificato </w:t>
      </w:r>
      <w:r w:rsidR="00BB2AF8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4C7603">
        <w:rPr>
          <w:rFonts w:eastAsia="Calibri" w:cs="Calibri"/>
          <w:color w:val="000000"/>
          <w:lang w:eastAsia="it-IT"/>
        </w:rPr>
        <w:t>200</w:t>
      </w:r>
      <w:r>
        <w:rPr>
          <w:rFonts w:eastAsia="Calibri" w:cs="Calibri"/>
          <w:color w:val="000000"/>
          <w:lang w:eastAsia="it-IT"/>
        </w:rPr>
        <w:t xml:space="preserve"> mg 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>;</w:t>
      </w:r>
    </w:p>
    <w:p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:rsidR="00BB2AF8" w:rsidRDefault="003435E7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FIRACRONO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BB2AF8">
        <w:rPr>
          <w:rFonts w:eastAsia="Calibri" w:cs="Calibri"/>
          <w:lang w:eastAsia="it-IT"/>
        </w:rPr>
        <w:t>:</w:t>
      </w:r>
    </w:p>
    <w:p w:rsidR="004C7603" w:rsidRPr="004C7603" w:rsidRDefault="004C7603" w:rsidP="004C76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</w:pPr>
      <w:r w:rsidRPr="004C7603"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  <w:t xml:space="preserve">in pazienti adulti per il trattamento della diarrea del viaggiatore con sintomi come nausea, vomito, gas / flatulenza, tenesmo rettale, urgenza a defecare e dolore addominale o crampi senza segni clinici di enterite invasiva quali febbre, sangue, sangue occulto o leucociti nelle feci. </w:t>
      </w:r>
    </w:p>
    <w:p w:rsidR="00BB2AF8" w:rsidRPr="00300BEA" w:rsidRDefault="004C7603" w:rsidP="004C76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</w:pPr>
      <w:r w:rsidRPr="004C7603"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  <w:t>Si devono tenere in considerazione le linee-guida ufficiali sull'uso appropriato degli agenti antibatterici.</w:t>
      </w:r>
      <w:r>
        <w:rPr>
          <w:rFonts w:eastAsia="Calibri" w:cs="Calibri"/>
          <w:b/>
          <w:bCs/>
          <w:i/>
          <w:color w:val="000000"/>
          <w:sz w:val="20"/>
          <w:szCs w:val="24"/>
          <w:lang w:eastAsia="it-IT"/>
        </w:rPr>
        <w:t xml:space="preserve">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3435E7">
        <w:rPr>
          <w:rFonts w:eastAsia="Calibri" w:cs="Calibri"/>
          <w:b/>
          <w:color w:val="000000"/>
          <w:lang w:eastAsia="it-IT"/>
        </w:rPr>
        <w:t>FIRACRONO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3435E7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FIRACRONO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8518C9">
        <w:rPr>
          <w:rFonts w:asciiTheme="minorHAnsi" w:eastAsia="Calibri" w:hAnsiTheme="minorHAnsi" w:cs="Calibri"/>
          <w:color w:val="000000"/>
          <w:sz w:val="22"/>
          <w:szCs w:val="22"/>
        </w:rPr>
        <w:t xml:space="preserve">). </w:t>
      </w:r>
    </w:p>
    <w:p w:rsidR="008518C9" w:rsidRPr="001C15DF" w:rsidRDefault="008518C9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:rsidR="00BB2AF8" w:rsidRDefault="00BB2AF8" w:rsidP="001C15DF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Pr="00B7597D">
        <w:t xml:space="preserve">è di </w:t>
      </w:r>
      <w:r w:rsidR="00D229A0">
        <w:t>800</w:t>
      </w:r>
      <w:r w:rsidR="00300BEA">
        <w:t xml:space="preserve"> mg, suddivis</w:t>
      </w:r>
      <w:r w:rsidR="00D229A0">
        <w:t>a</w:t>
      </w:r>
      <w:r w:rsidR="00300BEA">
        <w:t xml:space="preserve"> in </w:t>
      </w:r>
      <w:r w:rsidR="00D229A0">
        <w:t>2</w:t>
      </w:r>
      <w:r w:rsidR="00300BEA">
        <w:t xml:space="preserve"> </w:t>
      </w:r>
      <w:r w:rsidR="00D229A0">
        <w:t>compresse al mattino e due compresse alla sera</w:t>
      </w:r>
      <w:r w:rsidR="001C15DF">
        <w:t xml:space="preserve">, somministrate ogni </w:t>
      </w:r>
      <w:r w:rsidR="00D229A0">
        <w:t>12</w:t>
      </w:r>
      <w:r w:rsidR="001C15DF">
        <w:t xml:space="preserve"> ore</w:t>
      </w:r>
      <w:r w:rsidR="00D229A0">
        <w:t>, per una dura</w:t>
      </w:r>
      <w:r w:rsidR="008A6FEC">
        <w:t>ta massima di trattamento</w:t>
      </w:r>
      <w:r w:rsidR="00D229A0">
        <w:t xml:space="preserve"> di tre giorni.</w:t>
      </w:r>
    </w:p>
    <w:p w:rsidR="00D229A0" w:rsidRDefault="00D229A0" w:rsidP="001C15DF">
      <w:pPr>
        <w:tabs>
          <w:tab w:val="left" w:pos="0"/>
        </w:tabs>
        <w:spacing w:after="0" w:line="240" w:lineRule="auto"/>
        <w:jc w:val="both"/>
      </w:pPr>
    </w:p>
    <w:p w:rsidR="008A6FEC" w:rsidRDefault="00D229A0" w:rsidP="00D43C00">
      <w:pPr>
        <w:jc w:val="both"/>
        <w:rPr>
          <w:b/>
          <w:i/>
          <w:sz w:val="20"/>
          <w:highlight w:val="green"/>
        </w:rPr>
      </w:pPr>
      <w:r w:rsidRPr="00D229A0">
        <w:t xml:space="preserve">Qualora i sintomi persistano, </w:t>
      </w:r>
      <w:r w:rsidR="003435E7">
        <w:t>FIRACRONO</w:t>
      </w:r>
      <w:r w:rsidRPr="00D229A0">
        <w:t xml:space="preserve"> non deve essere usato per più di 3 giorni. Non deve essere iniziato un secondo ciclo di trattamento</w:t>
      </w:r>
      <w:r>
        <w:t>.</w:t>
      </w:r>
    </w:p>
    <w:p w:rsidR="00BB2AF8" w:rsidRDefault="00BB2AF8" w:rsidP="00BB2AF8">
      <w:pPr>
        <w:tabs>
          <w:tab w:val="left" w:pos="0"/>
        </w:tabs>
        <w:spacing w:after="0" w:line="240" w:lineRule="auto"/>
        <w:jc w:val="both"/>
      </w:pPr>
      <w:r w:rsidRPr="00B7597D">
        <w:t>Nei pazienti con problemi</w:t>
      </w:r>
      <w:r w:rsidR="00D229A0">
        <w:t xml:space="preserve"> </w:t>
      </w:r>
      <w:r w:rsidRPr="00B7597D">
        <w:t>al rene</w:t>
      </w:r>
      <w:r w:rsidR="00D229A0">
        <w:t xml:space="preserve"> o </w:t>
      </w:r>
      <w:r w:rsidR="001C15DF">
        <w:t xml:space="preserve">al fegato, </w:t>
      </w:r>
      <w:r w:rsidRPr="00B7597D">
        <w:t xml:space="preserve">il dosaggio </w:t>
      </w:r>
      <w:r w:rsidR="00D229A0">
        <w:t>non deve essere modificato</w:t>
      </w:r>
      <w:r w:rsidR="00D43C00">
        <w:t>.</w:t>
      </w:r>
    </w:p>
    <w:p w:rsidR="008A6FEC" w:rsidRPr="00B7597D" w:rsidRDefault="008A6FEC" w:rsidP="00BB2AF8">
      <w:pPr>
        <w:tabs>
          <w:tab w:val="left" w:pos="0"/>
        </w:tabs>
        <w:spacing w:after="0" w:line="240" w:lineRule="auto"/>
        <w:jc w:val="both"/>
      </w:pP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Questo medicinale non è raccomandato nella popolazione pediatrica in quanto non sono disponibili dati sull’uso in questa fascia di età.</w:t>
      </w:r>
    </w:p>
    <w:p w:rsidR="008A6FEC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BB2AF8" w:rsidRPr="004B4170" w:rsidRDefault="001C15DF" w:rsidP="008A6FEC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compresse </w:t>
      </w:r>
      <w:r>
        <w:t>devono essere assunte intere (non frantumate o masticate) con un po’</w:t>
      </w:r>
      <w:r w:rsidRPr="00D95D44">
        <w:t xml:space="preserve"> d’</w:t>
      </w:r>
      <w:r>
        <w:t>acqua, indipendentemente dai pasti</w:t>
      </w:r>
      <w:r w:rsidR="00D43C00"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3435E7">
        <w:rPr>
          <w:rFonts w:eastAsia="Calibri" w:cs="Calibri"/>
          <w:b/>
          <w:bCs/>
          <w:color w:val="000000"/>
          <w:lang w:eastAsia="it-IT"/>
        </w:rPr>
        <w:t>FIRACRONO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45C6B" w:rsidRDefault="003435E7" w:rsidP="0043162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FIRACRONO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D43C00">
        <w:rPr>
          <w:rFonts w:ascii="Arial" w:hAnsi="Arial" w:cs="Arial"/>
          <w:sz w:val="20"/>
        </w:rPr>
        <w:t>A07AA13</w:t>
      </w:r>
      <w:r w:rsidR="00BB2AF8" w:rsidRPr="00EF6711">
        <w:rPr>
          <w:rFonts w:eastAsia="DejaVuSans" w:cs="DejaVuSans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r w:rsidR="00D43C00">
        <w:rPr>
          <w:rFonts w:eastAsia="Calibri" w:cs="Calibri"/>
          <w:color w:val="000000"/>
          <w:lang w:eastAsia="it-IT"/>
        </w:rPr>
        <w:t>rifamicina</w:t>
      </w:r>
      <w:r w:rsidR="00F45C6B">
        <w:rPr>
          <w:rFonts w:eastAsia="Calibri" w:cs="Calibri"/>
          <w:color w:val="000000"/>
          <w:lang w:eastAsia="it-IT"/>
        </w:rPr>
        <w:t xml:space="preserve"> sodica, </w:t>
      </w:r>
      <w:r w:rsidR="00BB2AF8" w:rsidRPr="00EF6711">
        <w:rPr>
          <w:rFonts w:eastAsia="DejaVuSans" w:cs="DejaVuSans"/>
        </w:rPr>
        <w:t xml:space="preserve">che </w:t>
      </w:r>
      <w:r w:rsidR="00BB2AF8" w:rsidRPr="00EF6711">
        <w:t>appartiene alla classe de</w:t>
      </w:r>
      <w:r w:rsidR="00F45C6B">
        <w:t>gli</w:t>
      </w:r>
      <w:r w:rsidR="00BB2AF8" w:rsidRPr="00EF6711">
        <w:t xml:space="preserve"> </w:t>
      </w:r>
      <w:r w:rsidR="00F45C6B">
        <w:t xml:space="preserve">antiinfettivi ad azione locale </w:t>
      </w:r>
      <w:r w:rsidR="00BB2AF8" w:rsidRPr="00EF6711">
        <w:t>e</w:t>
      </w:r>
      <w:r w:rsidR="00F45C6B">
        <w:t>d</w:t>
      </w:r>
      <w:r w:rsidR="00BB2AF8" w:rsidRPr="00EF6711">
        <w:t xml:space="preserve"> </w:t>
      </w:r>
      <w:r w:rsidR="00F45C6B">
        <w:t xml:space="preserve">opera con azione battericida nei confronti </w:t>
      </w:r>
      <w:r w:rsidR="00F45C6B" w:rsidRPr="00F45C6B">
        <w:t xml:space="preserve">della maggior parte dei </w:t>
      </w:r>
      <w:r w:rsidR="00431629">
        <w:t>microorganismi (</w:t>
      </w:r>
      <w:r w:rsidR="00F45C6B" w:rsidRPr="00F45C6B">
        <w:t>batteri gram-positivi e gram-negativi, aerobi e anaerobi</w:t>
      </w:r>
      <w:r w:rsidR="00431629">
        <w:t xml:space="preserve">), </w:t>
      </w:r>
      <w:r w:rsidR="00F45C6B" w:rsidRPr="00F45C6B">
        <w:t>responsabili delle infezioni intestinali</w:t>
      </w:r>
      <w:r w:rsidR="00431629">
        <w:t>.</w:t>
      </w:r>
    </w:p>
    <w:p w:rsidR="00F45C6B" w:rsidRPr="00F45C6B" w:rsidRDefault="00F45C6B" w:rsidP="00F45C6B">
      <w:pPr>
        <w:jc w:val="both"/>
      </w:pPr>
      <w:r w:rsidRPr="00F45C6B">
        <w:t>A causa dell’assorbimento molto basso nel tratto gastrointestinale, la rifamicina sodica agisce localmente nel lume intestinale e non è clinicamente efficace contro l’enterite invasiva.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3435E7">
        <w:rPr>
          <w:rFonts w:eastAsia="Calibri" w:cs="Calibri"/>
          <w:b/>
          <w:color w:val="000000"/>
          <w:lang w:eastAsia="it-IT"/>
        </w:rPr>
        <w:t>FIRACRONO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602F58" w:rsidRDefault="00943785" w:rsidP="00602F58">
      <w:pPr>
        <w:autoSpaceDE w:val="0"/>
        <w:autoSpaceDN w:val="0"/>
        <w:adjustRightInd w:val="0"/>
        <w:spacing w:after="0" w:line="240" w:lineRule="auto"/>
        <w:jc w:val="both"/>
      </w:pPr>
      <w:r w:rsidRPr="00602F58">
        <w:t xml:space="preserve">Diversi studi hanno dimostrato </w:t>
      </w:r>
      <w:r>
        <w:t>la sicurezza e l’efficacia del</w:t>
      </w:r>
      <w:r w:rsidR="00602F58">
        <w:t>la rifamicina sodica</w:t>
      </w:r>
      <w:r>
        <w:t>, quando assunt</w:t>
      </w:r>
      <w:r w:rsidR="00602F58">
        <w:t>a</w:t>
      </w:r>
      <w:r>
        <w:t xml:space="preserve"> per </w:t>
      </w:r>
      <w:r w:rsidR="00602F58" w:rsidRPr="00602F58">
        <w:t>il trattamento della diarrea del viaggiatore</w:t>
      </w:r>
      <w:r w:rsidR="00602F58">
        <w:t xml:space="preserve">, condizione che si manifesta </w:t>
      </w:r>
      <w:r w:rsidR="00602F58" w:rsidRPr="00602F58">
        <w:t xml:space="preserve">con sintomi </w:t>
      </w:r>
      <w:r w:rsidR="00602F58">
        <w:t>di malessere quali</w:t>
      </w:r>
      <w:r w:rsidR="00602F58" w:rsidRPr="00602F58">
        <w:t xml:space="preserve"> nausea, vomito, flatulenza, tenesmo rettale, urgenza a defecare e dolore addominale o crampi</w:t>
      </w:r>
      <w:r w:rsidR="00602F58">
        <w:t xml:space="preserve">. 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3435E7">
        <w:rPr>
          <w:rFonts w:eastAsia="Calibri" w:cs="Calibri"/>
          <w:b/>
          <w:bCs/>
          <w:lang w:eastAsia="it-IT"/>
        </w:rPr>
        <w:t>FIRACRONO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943785" w:rsidRPr="00943785" w:rsidRDefault="00602F58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  <w:r>
        <w:rPr>
          <w:rFonts w:eastAsia="Calibri" w:cs="Calibri"/>
          <w:lang w:eastAsia="it-IT"/>
        </w:rPr>
        <w:t>I</w:t>
      </w:r>
      <w:r w:rsidR="00943785" w:rsidRPr="000F5E5C">
        <w:rPr>
          <w:rFonts w:eastAsia="Calibri" w:cs="Calibri"/>
          <w:lang w:eastAsia="it-IT"/>
        </w:rPr>
        <w:t xml:space="preserve"> più comuni effetti indesiderati riscontrati con </w:t>
      </w:r>
      <w:r w:rsidR="003435E7">
        <w:rPr>
          <w:rFonts w:eastAsia="Calibri" w:cs="Calibri"/>
          <w:lang w:eastAsia="it-IT"/>
        </w:rPr>
        <w:t>FIRACRONO</w:t>
      </w:r>
      <w:r w:rsidR="00943785">
        <w:rPr>
          <w:rFonts w:ascii="Calibri" w:hAnsi="Calibri" w:cs="Arial"/>
        </w:rPr>
        <w:t xml:space="preserve"> </w:t>
      </w:r>
      <w:r w:rsidR="00943785" w:rsidRPr="000F5E5C">
        <w:rPr>
          <w:rFonts w:eastAsia="Calibri" w:cs="Calibri"/>
          <w:lang w:eastAsia="it-IT"/>
        </w:rPr>
        <w:t xml:space="preserve">sono </w:t>
      </w:r>
      <w:r w:rsidR="00E25A42">
        <w:rPr>
          <w:rFonts w:eastAsia="Calibri" w:cs="Calibri"/>
          <w:lang w:eastAsia="it-IT"/>
        </w:rPr>
        <w:t>mal di testa e diarrea.</w:t>
      </w:r>
    </w:p>
    <w:p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3435E7">
        <w:rPr>
          <w:rFonts w:eastAsia="Calibri" w:cs="Calibri"/>
          <w:color w:val="000000"/>
          <w:lang w:eastAsia="it-IT"/>
        </w:rPr>
        <w:t>FIRACRONO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3435E7">
        <w:rPr>
          <w:rFonts w:eastAsia="Calibri" w:cs="Calibri"/>
          <w:b/>
          <w:color w:val="000000"/>
          <w:lang w:eastAsia="it-IT"/>
        </w:rPr>
        <w:t>FIRACRONO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5F0420">
        <w:rPr>
          <w:rFonts w:eastAsia="Calibri" w:cs="Calibri"/>
          <w:lang w:eastAsia="it-IT"/>
        </w:rPr>
        <w:t>Commissione 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</w:t>
      </w:r>
      <w:r w:rsidR="005F0420">
        <w:rPr>
          <w:rFonts w:eastAsia="Calibri" w:cs="Calibri"/>
          <w:lang w:eastAsia="it-IT"/>
        </w:rPr>
        <w:t xml:space="preserve"> 15-17 </w:t>
      </w:r>
      <w:r w:rsidR="005F0420" w:rsidRPr="005F0420">
        <w:rPr>
          <w:rFonts w:eastAsia="Calibri" w:cs="Calibri"/>
          <w:lang w:eastAsia="it-IT"/>
        </w:rPr>
        <w:t>Gennaio 2020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i benefici di </w:t>
      </w:r>
      <w:r w:rsidR="003435E7">
        <w:rPr>
          <w:rFonts w:eastAsia="Calibri" w:cs="Calibri"/>
          <w:color w:val="000000"/>
          <w:lang w:eastAsia="it-IT"/>
        </w:rPr>
        <w:t>FIRACRONO</w:t>
      </w:r>
      <w:r w:rsidR="005F0420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7170D7">
        <w:rPr>
          <w:rFonts w:eastAsia="Calibri" w:cs="Calibri"/>
          <w:lang w:eastAsia="it-IT"/>
        </w:rPr>
        <w:t xml:space="preserve">classificazione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). </w:t>
      </w:r>
      <w:r w:rsidR="005F0420">
        <w:rPr>
          <w:rFonts w:eastAsia="Calibri" w:cs="Calibri"/>
          <w:lang w:eastAsia="it-IT"/>
        </w:rPr>
        <w:t xml:space="preserve"> 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3435E7">
        <w:rPr>
          <w:rFonts w:eastAsia="Calibri" w:cs="Calibri"/>
          <w:b/>
          <w:color w:val="000000"/>
          <w:lang w:eastAsia="it-IT"/>
        </w:rPr>
        <w:t>FIRACRONO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3435E7">
        <w:rPr>
          <w:rFonts w:eastAsia="Calibri" w:cs="Calibri"/>
          <w:lang w:eastAsia="it-IT"/>
        </w:rPr>
        <w:t>FIRACRONO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3435E7">
        <w:rPr>
          <w:rFonts w:eastAsia="Calibri" w:cs="Calibri"/>
          <w:b/>
          <w:color w:val="000000"/>
          <w:lang w:eastAsia="it-IT"/>
        </w:rPr>
        <w:t>FIRACRONO</w:t>
      </w:r>
      <w:r w:rsidR="001461B4">
        <w:rPr>
          <w:rFonts w:eastAsia="Calibri" w:cs="Calibri"/>
          <w:b/>
          <w:color w:val="000000"/>
          <w:lang w:eastAsia="it-IT"/>
        </w:rPr>
        <w:t xml:space="preserve">  </w:t>
      </w:r>
    </w:p>
    <w:p w:rsidR="009D3BC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8D3CBB">
        <w:rPr>
          <w:rFonts w:eastAsia="Calibri" w:cs="Calibri"/>
          <w:bCs/>
          <w:iCs/>
          <w:lang w:eastAsia="it-IT"/>
        </w:rPr>
        <w:t xml:space="preserve"> </w:t>
      </w:r>
      <w:r w:rsidR="001461B4" w:rsidRPr="008D3CBB">
        <w:rPr>
          <w:rFonts w:eastAsia="Calibri" w:cs="Calibri"/>
          <w:b/>
          <w:bCs/>
          <w:iCs/>
          <w:lang w:eastAsia="it-IT"/>
        </w:rPr>
        <w:t>22 Giugno 2020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3435E7">
        <w:rPr>
          <w:rFonts w:eastAsia="Calibri" w:cs="Calibri"/>
          <w:bCs/>
          <w:iCs/>
          <w:lang w:eastAsia="it-IT"/>
        </w:rPr>
        <w:t>FIRACRONO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241AC" w:rsidRPr="00CA3A1E" w:rsidRDefault="009D3BC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9D3BC4">
        <w:t>(</w:t>
      </w:r>
      <w:r>
        <w:t>D</w:t>
      </w:r>
      <w:r w:rsidRPr="009D3BC4">
        <w:t>etermina AAM/A.I.C. n. 7</w:t>
      </w:r>
      <w:r w:rsidR="003435E7">
        <w:t>8</w:t>
      </w:r>
      <w:r w:rsidRPr="009D3BC4">
        <w:t>/2020 del 22 giugno 2020</w:t>
      </w:r>
      <w:r>
        <w:t>, pubblicata in G.U. Serie Generale n. 16</w:t>
      </w:r>
      <w:r w:rsidR="003435E7">
        <w:t>9</w:t>
      </w:r>
      <w:r>
        <w:t xml:space="preserve"> del 0</w:t>
      </w:r>
      <w:r w:rsidR="003435E7">
        <w:t>7</w:t>
      </w:r>
      <w:r>
        <w:t xml:space="preserve"> Luglio 2020).</w:t>
      </w:r>
    </w:p>
    <w:p w:rsidR="001461B4" w:rsidRDefault="001461B4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3435E7">
        <w:rPr>
          <w:rFonts w:eastAsia="Calibri" w:cs="Calibri"/>
          <w:lang w:eastAsia="it-IT"/>
        </w:rPr>
        <w:t>FIRACRONO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6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87F82" w:rsidRPr="002A3F14" w:rsidRDefault="00787F82" w:rsidP="00787F82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>
        <w:rPr>
          <w:rFonts w:eastAsia="Calibri" w:cs="Calibri"/>
          <w:lang w:eastAsia="it-IT"/>
        </w:rPr>
        <w:t>data 24 Settembre 2020.</w:t>
      </w:r>
      <w:r w:rsidRPr="002A3F14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2B3CB0" w:rsidRPr="00EF6711" w:rsidRDefault="002B3CB0" w:rsidP="002B3CB0">
      <w:pPr>
        <w:pStyle w:val="Paragrafoelenco"/>
        <w:spacing w:after="0" w:line="240" w:lineRule="auto"/>
        <w:ind w:left="1800"/>
        <w:rPr>
          <w:b/>
        </w:rPr>
      </w:pPr>
    </w:p>
    <w:p w:rsidR="009D3BC4" w:rsidRDefault="004E5A39" w:rsidP="009D3BC4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9D3BC4">
        <w:t xml:space="preserve">EG </w:t>
      </w:r>
      <w:proofErr w:type="spellStart"/>
      <w:r w:rsidR="009D3BC4">
        <w:t>S.p.A</w:t>
      </w:r>
      <w:proofErr w:type="spellEnd"/>
      <w:r w:rsidR="00B1186F" w:rsidRPr="00EF6711">
        <w:t xml:space="preserve"> </w:t>
      </w:r>
      <w:r w:rsidRPr="00EF6711">
        <w:t xml:space="preserve">l’autorizzazione all’immissione in commercio (AIC) per il medicinale </w:t>
      </w:r>
      <w:r w:rsidR="003435E7">
        <w:t>FIRACRONO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9D3BC4">
        <w:rPr>
          <w:rFonts w:eastAsia="Calibri" w:cs="Calibri"/>
          <w:bCs/>
          <w:iCs/>
          <w:lang w:eastAsia="it-IT"/>
        </w:rPr>
        <w:t xml:space="preserve">22 Giugno </w:t>
      </w:r>
      <w:r w:rsidR="009D3BC4" w:rsidRPr="009D3BC4">
        <w:t>2020 (</w:t>
      </w:r>
      <w:r w:rsidR="009D3BC4">
        <w:t>D</w:t>
      </w:r>
      <w:r w:rsidR="009D3BC4" w:rsidRPr="009D3BC4">
        <w:t>etermina AAM/A.I.C. n. 7</w:t>
      </w:r>
      <w:r w:rsidR="003435E7">
        <w:t>8</w:t>
      </w:r>
      <w:r w:rsidR="009D3BC4" w:rsidRPr="009D3BC4">
        <w:t xml:space="preserve">/2020 del </w:t>
      </w:r>
      <w:r w:rsidR="008D3CBB">
        <w:t xml:space="preserve"> </w:t>
      </w:r>
      <w:r w:rsidR="009D3BC4" w:rsidRPr="008D3CBB">
        <w:rPr>
          <w:b/>
        </w:rPr>
        <w:t>22 giugno 2020</w:t>
      </w:r>
      <w:r w:rsidR="009D3BC4">
        <w:t>, pubblicata in G.U. Serie Generale n. 16</w:t>
      </w:r>
      <w:r w:rsidR="003435E7">
        <w:t>9</w:t>
      </w:r>
      <w:r w:rsidR="009D3BC4">
        <w:t xml:space="preserve"> del 0</w:t>
      </w:r>
      <w:r w:rsidR="003435E7">
        <w:t>7</w:t>
      </w:r>
      <w:r w:rsidR="009D3BC4">
        <w:t xml:space="preserve"> Luglio 2020).</w:t>
      </w:r>
    </w:p>
    <w:p w:rsidR="009D3BC4" w:rsidRDefault="009D3BC4" w:rsidP="009D3BC4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C0901" w:rsidRDefault="003435E7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FIRACRONO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su </w:t>
      </w:r>
      <w:r w:rsidR="009D3BC4">
        <w:rPr>
          <w:rFonts w:eastAsia="Calibri" w:cs="Calibri"/>
          <w:color w:val="000000"/>
          <w:lang w:eastAsia="it-IT"/>
        </w:rPr>
        <w:t xml:space="preserve">prescrizione </w:t>
      </w:r>
      <w:r w:rsidR="004C0901" w:rsidRPr="001C15DF">
        <w:rPr>
          <w:rFonts w:eastAsia="Calibri" w:cs="Calibri"/>
          <w:color w:val="000000"/>
        </w:rPr>
        <w:t>da parte del medico (ricetta ripetibile</w:t>
      </w:r>
      <w:r w:rsidR="004C0901">
        <w:rPr>
          <w:rFonts w:eastAsia="Calibri" w:cs="Calibri"/>
          <w:color w:val="000000"/>
        </w:rPr>
        <w:t>).</w:t>
      </w:r>
    </w:p>
    <w:p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4C0901">
        <w:t>8(3)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  <w:r w:rsidR="004C0901">
        <w:t xml:space="preserve"> 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710D7" w:rsidRPr="004710D7" w:rsidRDefault="003435E7" w:rsidP="004710D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FIRACRONO</w:t>
      </w:r>
      <w:r w:rsidR="004E5A39" w:rsidRPr="004710D7">
        <w:rPr>
          <w:rFonts w:eastAsia="Calibri" w:cs="Calibri"/>
          <w:lang w:eastAsia="it-IT"/>
        </w:rPr>
        <w:t xml:space="preserve">, il cui codice ATC </w:t>
      </w:r>
      <w:r w:rsidR="004710D7" w:rsidRPr="004710D7">
        <w:rPr>
          <w:rFonts w:eastAsia="Calibri" w:cs="Calibri"/>
          <w:lang w:eastAsia="it-IT"/>
        </w:rPr>
        <w:t xml:space="preserve">è A07AA13,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r w:rsidR="004710D7">
        <w:rPr>
          <w:rFonts w:eastAsia="Calibri" w:cs="Calibri"/>
          <w:lang w:eastAsia="it-IT"/>
        </w:rPr>
        <w:t>rifamicina sodica</w:t>
      </w:r>
      <w:r w:rsidR="00B1186F" w:rsidRPr="004710D7">
        <w:rPr>
          <w:rFonts w:eastAsia="Calibri" w:cs="Calibri"/>
          <w:lang w:eastAsia="it-IT"/>
        </w:rPr>
        <w:t xml:space="preserve">, </w:t>
      </w:r>
      <w:r w:rsidR="004710D7" w:rsidRPr="004710D7">
        <w:rPr>
          <w:rFonts w:eastAsia="Calibri" w:cs="Calibri"/>
          <w:lang w:eastAsia="it-IT"/>
        </w:rPr>
        <w:t>antibatterico appartenente alla classe delle rifamicine, che forma un legame irreversibile con la subunità beta dell’enzima RNA polimerasi DNA-dipendente del batterio e inibisce pertanto la sintesi dell’RNA batterico</w:t>
      </w:r>
      <w:r w:rsidR="004710D7">
        <w:rPr>
          <w:rFonts w:eastAsia="Calibri" w:cs="Calibri"/>
          <w:lang w:eastAsia="it-IT"/>
        </w:rPr>
        <w:t xml:space="preserve">; ciò </w:t>
      </w:r>
      <w:r w:rsidR="004710D7" w:rsidRPr="004710D7">
        <w:rPr>
          <w:rFonts w:eastAsia="Calibri" w:cs="Calibri"/>
          <w:lang w:eastAsia="it-IT"/>
        </w:rPr>
        <w:t>ga</w:t>
      </w:r>
      <w:r w:rsidR="004710D7">
        <w:rPr>
          <w:rFonts w:eastAsia="Calibri" w:cs="Calibri"/>
          <w:lang w:eastAsia="it-IT"/>
        </w:rPr>
        <w:t xml:space="preserve">rantisce </w:t>
      </w:r>
      <w:r w:rsidR="004710D7" w:rsidRPr="004710D7">
        <w:rPr>
          <w:rFonts w:eastAsia="Calibri" w:cs="Calibri"/>
          <w:lang w:eastAsia="it-IT"/>
        </w:rPr>
        <w:t>un’azione battericida</w:t>
      </w:r>
      <w:r w:rsidR="004710D7">
        <w:rPr>
          <w:rFonts w:eastAsia="Calibri" w:cs="Calibri"/>
          <w:lang w:eastAsia="it-IT"/>
        </w:rPr>
        <w:t xml:space="preserve"> ad ampio spettro. </w:t>
      </w:r>
    </w:p>
    <w:p w:rsidR="004710D7" w:rsidRDefault="004710D7" w:rsidP="004710D7">
      <w:pPr>
        <w:jc w:val="both"/>
        <w:rPr>
          <w:rFonts w:eastAsia="Calibri" w:cs="Calibri"/>
          <w:lang w:eastAsia="it-IT"/>
        </w:rPr>
      </w:pPr>
      <w:r w:rsidRPr="004710D7">
        <w:rPr>
          <w:rFonts w:eastAsia="Calibri" w:cs="Calibri"/>
          <w:lang w:eastAsia="it-IT"/>
        </w:rPr>
        <w:t xml:space="preserve">La rifamicina sodica </w:t>
      </w:r>
      <w:r>
        <w:rPr>
          <w:rFonts w:eastAsia="Calibri" w:cs="Calibri"/>
          <w:lang w:eastAsia="it-IT"/>
        </w:rPr>
        <w:t xml:space="preserve">infatti è attiva </w:t>
      </w:r>
      <w:r w:rsidRPr="004710D7">
        <w:rPr>
          <w:rFonts w:eastAsia="Calibri" w:cs="Calibri"/>
          <w:lang w:eastAsia="it-IT"/>
        </w:rPr>
        <w:t>nei confronti della maggior parte dei batteri gram-positivi e gram-negativi, aerobi e anaerobi, responsabili delle infezioni intestinali.</w:t>
      </w:r>
    </w:p>
    <w:p w:rsidR="004710D7" w:rsidRPr="004710D7" w:rsidRDefault="004710D7" w:rsidP="004710D7">
      <w:pPr>
        <w:jc w:val="both"/>
        <w:rPr>
          <w:rFonts w:eastAsia="Calibri" w:cs="Calibri"/>
          <w:lang w:eastAsia="it-IT"/>
        </w:rPr>
      </w:pPr>
      <w:r w:rsidRPr="004710D7">
        <w:rPr>
          <w:rFonts w:eastAsia="Calibri" w:cs="Calibri"/>
          <w:lang w:eastAsia="it-IT"/>
        </w:rPr>
        <w:t>A causa dell’assorbimento molto basso nel tratto gastrointestinale, la rifamicina sodica agisce localmente nel lume intestinale e non è clinicamente efficace contro l’enterite invasiva.</w:t>
      </w:r>
    </w:p>
    <w:p w:rsidR="004710D7" w:rsidRPr="0042214D" w:rsidRDefault="004710D7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</w:p>
    <w:p w:rsidR="002B3CB0" w:rsidRPr="002B3CB0" w:rsidRDefault="003435E7" w:rsidP="002B3CB0">
      <w:pPr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FIRACRONO</w:t>
      </w:r>
      <w:r w:rsidR="0042214D" w:rsidRPr="002B3CB0">
        <w:rPr>
          <w:rFonts w:eastAsia="Calibri" w:cs="Calibri"/>
          <w:lang w:eastAsia="it-IT"/>
        </w:rPr>
        <w:t xml:space="preserve"> </w:t>
      </w:r>
      <w:r w:rsidR="00265B61" w:rsidRPr="002B3CB0">
        <w:rPr>
          <w:rFonts w:eastAsia="Calibri" w:cs="Calibri"/>
          <w:lang w:eastAsia="it-IT"/>
        </w:rPr>
        <w:t xml:space="preserve">è utilizzato </w:t>
      </w:r>
      <w:r w:rsidR="002B3CB0" w:rsidRPr="002B3CB0">
        <w:rPr>
          <w:rFonts w:eastAsia="Calibri" w:cs="Calibri"/>
          <w:lang w:eastAsia="it-IT"/>
        </w:rPr>
        <w:t>in pazienti adulti per il trattamento della diarrea del viaggiatore con sintomi come nausea, vomito, gas / flatulenza, tenesmo rettale, urgenza a defecare e dolore addominale o crampi senza segni clinici di enterite invasiva quali febbre, sangue, sangue occulto o leucociti nelle feci</w:t>
      </w:r>
      <w:r w:rsidR="00BE1731">
        <w:rPr>
          <w:rFonts w:eastAsia="Calibri" w:cs="Calibri"/>
          <w:lang w:eastAsia="it-IT"/>
        </w:rPr>
        <w:t>.</w:t>
      </w:r>
      <w:r w:rsidR="002B3CB0" w:rsidRPr="002B3CB0">
        <w:rPr>
          <w:rFonts w:eastAsia="Calibri" w:cs="Calibri"/>
          <w:lang w:eastAsia="it-IT"/>
        </w:rPr>
        <w:t xml:space="preserve"> </w:t>
      </w:r>
    </w:p>
    <w:p w:rsidR="00B60A27" w:rsidRDefault="0042214D" w:rsidP="00EF6711">
      <w:pPr>
        <w:spacing w:after="0" w:line="240" w:lineRule="auto"/>
        <w:jc w:val="both"/>
      </w:pPr>
      <w:r w:rsidRPr="002500E2">
        <w:t xml:space="preserve">A supporto della richiesta di AIC di </w:t>
      </w:r>
      <w:r w:rsidR="003435E7">
        <w:t>FIRACRONO</w:t>
      </w:r>
      <w:r w:rsidR="002B3CB0">
        <w:t xml:space="preserve"> </w:t>
      </w:r>
      <w:r w:rsidRPr="002500E2">
        <w:t xml:space="preserve">sono stati forniti </w:t>
      </w:r>
      <w:r w:rsidR="002B3CB0">
        <w:t xml:space="preserve">studi </w:t>
      </w:r>
      <w:r w:rsidR="00FA66B1">
        <w:t xml:space="preserve">non clinici e clinici. </w:t>
      </w:r>
    </w:p>
    <w:p w:rsidR="00B60A27" w:rsidRPr="00B60A27" w:rsidRDefault="00FA66B1" w:rsidP="00B60A27">
      <w:pPr>
        <w:spacing w:after="0" w:line="240" w:lineRule="auto"/>
        <w:jc w:val="both"/>
        <w:rPr>
          <w:highlight w:val="yellow"/>
        </w:rPr>
      </w:pPr>
      <w:r>
        <w:t xml:space="preserve">I primi hanno dimostrato una potente attività antibatterica contro molti Gram-positivi </w:t>
      </w:r>
      <w:r w:rsidR="00D724F5">
        <w:t>e</w:t>
      </w:r>
      <w:r w:rsidR="002059E2">
        <w:t>, a concentrazioni più elevate</w:t>
      </w:r>
      <w:r w:rsidR="002059E2" w:rsidRPr="00B60A27">
        <w:t>, anche contro i microrganismi Gram-negativi</w:t>
      </w:r>
      <w:r w:rsidR="00B60A27" w:rsidRPr="00B60A27">
        <w:t xml:space="preserve">. Studi su colture batteriche provenienti da pazienti con infezioni gastrointestinali hanno dimostrato che la rifamicina sodica è risultata efficace contro la maggioranza dei patogeni coinvolti nella diarrea del viaggiatore (TD) tra cui </w:t>
      </w:r>
      <w:r w:rsidR="00B60A27" w:rsidRPr="00B60A27">
        <w:rPr>
          <w:i/>
          <w:iCs/>
        </w:rPr>
        <w:t>E. coli</w:t>
      </w:r>
      <w:r w:rsidR="00B60A27" w:rsidRPr="00B60A27">
        <w:t xml:space="preserve"> (ceppi </w:t>
      </w:r>
      <w:proofErr w:type="spellStart"/>
      <w:r w:rsidR="00B60A27" w:rsidRPr="00B60A27">
        <w:t>enteroemorragici</w:t>
      </w:r>
      <w:proofErr w:type="spellEnd"/>
      <w:r w:rsidR="00B60A27" w:rsidRPr="00B60A27">
        <w:t xml:space="preserve">, </w:t>
      </w:r>
      <w:proofErr w:type="spellStart"/>
      <w:r w:rsidR="00B60A27" w:rsidRPr="00B60A27">
        <w:t>enterotossigenici</w:t>
      </w:r>
      <w:proofErr w:type="spellEnd"/>
      <w:r w:rsidR="00B60A27" w:rsidRPr="00B60A27">
        <w:t xml:space="preserve">, enteropatogeni ed </w:t>
      </w:r>
      <w:proofErr w:type="spellStart"/>
      <w:r w:rsidR="00B60A27" w:rsidRPr="00B60A27">
        <w:t>entero-aggregativi</w:t>
      </w:r>
      <w:proofErr w:type="spellEnd"/>
      <w:r w:rsidR="00B60A27" w:rsidRPr="00B60A27">
        <w:t xml:space="preserve">), </w:t>
      </w:r>
      <w:proofErr w:type="spellStart"/>
      <w:r w:rsidR="00B60A27" w:rsidRPr="00B60A27">
        <w:rPr>
          <w:i/>
          <w:iCs/>
        </w:rPr>
        <w:t>Shigella</w:t>
      </w:r>
      <w:proofErr w:type="spellEnd"/>
      <w:r w:rsidR="00B60A27" w:rsidRPr="00B60A27">
        <w:rPr>
          <w:i/>
          <w:iCs/>
        </w:rPr>
        <w:t xml:space="preserve"> </w:t>
      </w:r>
      <w:proofErr w:type="spellStart"/>
      <w:r w:rsidR="00B60A27" w:rsidRPr="00B60A27">
        <w:rPr>
          <w:i/>
          <w:iCs/>
        </w:rPr>
        <w:t>spp</w:t>
      </w:r>
      <w:proofErr w:type="spellEnd"/>
      <w:r w:rsidR="00B60A27" w:rsidRPr="00B60A27">
        <w:t xml:space="preserve">., </w:t>
      </w:r>
      <w:r w:rsidR="00B60A27" w:rsidRPr="00B60A27">
        <w:rPr>
          <w:i/>
          <w:iCs/>
        </w:rPr>
        <w:t xml:space="preserve">Salmonella spp., A. </w:t>
      </w:r>
      <w:proofErr w:type="spellStart"/>
      <w:r w:rsidR="00B60A27" w:rsidRPr="00B60A27">
        <w:rPr>
          <w:i/>
          <w:iCs/>
        </w:rPr>
        <w:t>hydrophila</w:t>
      </w:r>
      <w:proofErr w:type="spellEnd"/>
      <w:r w:rsidR="00B60A27" w:rsidRPr="00B60A27">
        <w:rPr>
          <w:i/>
          <w:iCs/>
        </w:rPr>
        <w:t xml:space="preserve">, V. </w:t>
      </w:r>
      <w:proofErr w:type="spellStart"/>
      <w:r w:rsidR="00B60A27" w:rsidRPr="00B60A27">
        <w:rPr>
          <w:i/>
          <w:iCs/>
        </w:rPr>
        <w:t>parahaemolyticus</w:t>
      </w:r>
      <w:proofErr w:type="spellEnd"/>
      <w:r w:rsidR="00B60A27" w:rsidRPr="00B60A27">
        <w:rPr>
          <w:i/>
          <w:iCs/>
        </w:rPr>
        <w:t xml:space="preserve"> e P. </w:t>
      </w:r>
      <w:proofErr w:type="spellStart"/>
      <w:r w:rsidR="00B60A27" w:rsidRPr="00B60A27">
        <w:rPr>
          <w:i/>
          <w:iCs/>
        </w:rPr>
        <w:t>shigelloides</w:t>
      </w:r>
      <w:proofErr w:type="spellEnd"/>
      <w:r w:rsidR="00B60A27" w:rsidRPr="00B60A27">
        <w:t>.</w:t>
      </w:r>
    </w:p>
    <w:p w:rsidR="00B60A27" w:rsidRDefault="00246D04" w:rsidP="00EF6711">
      <w:pPr>
        <w:spacing w:after="0" w:line="240" w:lineRule="auto"/>
        <w:jc w:val="both"/>
      </w:pPr>
      <w:r>
        <w:t xml:space="preserve">Due studi clinici </w:t>
      </w:r>
      <w:proofErr w:type="spellStart"/>
      <w:r>
        <w:t>pivotal</w:t>
      </w:r>
      <w:proofErr w:type="spellEnd"/>
      <w:r>
        <w:t xml:space="preserve"> hanno confermato l’efficacia dell’utilizzo di </w:t>
      </w:r>
      <w:r w:rsidR="003435E7">
        <w:t>FIRACRONO</w:t>
      </w:r>
      <w:r>
        <w:t xml:space="preserve"> nel trattamento della diarrea del viaggiatore, l’uno di superiorità verso placebo e l’altro di non-inferiorità </w:t>
      </w:r>
      <w:r w:rsidR="00E04B4A">
        <w:t>rispetto a controllo</w:t>
      </w:r>
      <w:r w:rsidR="00E04B4A" w:rsidRPr="00AE5C53">
        <w:rPr>
          <w:color w:val="222222"/>
        </w:rPr>
        <w:t xml:space="preserve"> con attivo (</w:t>
      </w:r>
      <w:proofErr w:type="spellStart"/>
      <w:r w:rsidR="00E04B4A" w:rsidRPr="00AE5C53">
        <w:rPr>
          <w:color w:val="222222"/>
        </w:rPr>
        <w:t>ciprofloxacina</w:t>
      </w:r>
      <w:proofErr w:type="spellEnd"/>
      <w:r w:rsidR="00E04B4A" w:rsidRPr="00AE5C53">
        <w:rPr>
          <w:color w:val="222222"/>
        </w:rPr>
        <w:t>)</w:t>
      </w:r>
      <w:r w:rsidR="00E04B4A">
        <w:rPr>
          <w:color w:val="222222"/>
        </w:rPr>
        <w:t xml:space="preserve">. Dagli studi clinici è emerso anche un favorevole profilo di sicurezza del </w:t>
      </w:r>
      <w:r w:rsidR="003435E7">
        <w:rPr>
          <w:color w:val="222222"/>
        </w:rPr>
        <w:t>FIRACRONO</w:t>
      </w:r>
      <w:r w:rsidR="00E04B4A">
        <w:rPr>
          <w:color w:val="222222"/>
        </w:rPr>
        <w:t>, che pertanto assicura al medicinale un favorevole rapporto beneficio/rischio.</w:t>
      </w:r>
    </w:p>
    <w:p w:rsidR="00B60A27" w:rsidRDefault="00B60A27" w:rsidP="00EF6711">
      <w:pPr>
        <w:spacing w:after="0" w:line="240" w:lineRule="auto"/>
        <w:jc w:val="both"/>
      </w:pPr>
    </w:p>
    <w:p w:rsidR="00B60A27" w:rsidRDefault="00B60A27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04B4A">
        <w:t>Le officine</w:t>
      </w:r>
      <w:r w:rsidRPr="00EF6711">
        <w:t xml:space="preserve">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</w:t>
      </w:r>
      <w:r w:rsidR="00E04B4A">
        <w:t>i</w:t>
      </w:r>
      <w:r w:rsidRPr="00EF6711">
        <w:t>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E04B4A"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BE1731" w:rsidRDefault="00BE1731" w:rsidP="00EF6711">
      <w:pPr>
        <w:spacing w:after="0" w:line="240" w:lineRule="auto"/>
        <w:jc w:val="both"/>
      </w:pPr>
    </w:p>
    <w:p w:rsidR="00BE1731" w:rsidRDefault="00BE1731" w:rsidP="00EF6711">
      <w:pPr>
        <w:spacing w:after="0" w:line="240" w:lineRule="auto"/>
        <w:jc w:val="both"/>
      </w:pPr>
    </w:p>
    <w:p w:rsidR="00BE1731" w:rsidRPr="00EF6711" w:rsidRDefault="00BE1731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62489" w:rsidRDefault="00462489" w:rsidP="00EF6711">
      <w:pPr>
        <w:spacing w:after="0" w:line="240" w:lineRule="auto"/>
        <w:jc w:val="both"/>
      </w:pPr>
    </w:p>
    <w:p w:rsidR="00462489" w:rsidRPr="00EF6711" w:rsidRDefault="0046248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8C0920" w:rsidRDefault="008C0920" w:rsidP="008C0920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lastRenderedPageBreak/>
        <w:t xml:space="preserve">II.1 PRINCIPIO ATTIVO </w:t>
      </w:r>
      <w:r w:rsidR="008C0920">
        <w:rPr>
          <w:b/>
        </w:rPr>
        <w:t>RIFAMICINA SODICA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F6711">
        <w:rPr>
          <w:u w:val="single"/>
        </w:rPr>
        <w:t>Nome chimico</w:t>
      </w:r>
      <w:r w:rsidR="000E4494" w:rsidRPr="00EF6711">
        <w:rPr>
          <w:i/>
          <w:iCs/>
        </w:rPr>
        <w:t xml:space="preserve"> </w:t>
      </w:r>
      <w:r w:rsidR="008C0920">
        <w:rPr>
          <w:i/>
          <w:iCs/>
        </w:rPr>
        <w:t xml:space="preserve">: </w:t>
      </w:r>
      <w:r w:rsidR="008C0920" w:rsidRPr="003C3209">
        <w:rPr>
          <w:lang w:eastAsia="de-DE"/>
        </w:rPr>
        <w:t>Sodium(2S,12Z,14E,16S,17S,18R,19R,20R,21S,22R,23S,24E)-21-(acetyloxy)-6,9,17,19-tetrahydroxy-23-methoxy-2,4,12,16,18,20,22-heptamethyl-1,11-dioxo-1,2-dihydro-2,7-(epoxypentadeca[1,11,13]trienimino)naphtho[2,1-</w:t>
      </w:r>
      <w:r w:rsidR="008C0920" w:rsidRPr="003C3209">
        <w:rPr>
          <w:i/>
          <w:iCs/>
          <w:lang w:eastAsia="de-DE"/>
        </w:rPr>
        <w:t>b</w:t>
      </w:r>
      <w:r w:rsidR="008C0920" w:rsidRPr="003C3209">
        <w:rPr>
          <w:lang w:eastAsia="de-DE"/>
        </w:rPr>
        <w:t>]furan-5-olate</w:t>
      </w:r>
    </w:p>
    <w:p w:rsidR="008C0920" w:rsidRDefault="008C0920" w:rsidP="008C0920">
      <w:pPr>
        <w:spacing w:after="0" w:line="240" w:lineRule="auto"/>
        <w:jc w:val="both"/>
        <w:rPr>
          <w:u w:val="single"/>
        </w:rPr>
      </w:pPr>
    </w:p>
    <w:p w:rsidR="004E5A39" w:rsidRDefault="004E5A39" w:rsidP="008C0920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8C0920" w:rsidRPr="00CC52A3" w:rsidRDefault="008C0920" w:rsidP="008C0920">
      <w:pPr>
        <w:spacing w:after="0" w:line="240" w:lineRule="auto"/>
        <w:jc w:val="both"/>
        <w:rPr>
          <w:b/>
          <w:i/>
          <w:noProof/>
          <w:sz w:val="20"/>
          <w:highlight w:val="green"/>
          <w:lang w:eastAsia="it-IT"/>
        </w:rPr>
      </w:pPr>
      <w:r w:rsidRPr="003C3209">
        <w:rPr>
          <w:noProof/>
          <w:lang w:eastAsia="it-IT"/>
        </w:rPr>
        <w:drawing>
          <wp:inline distT="0" distB="0" distL="0" distR="0">
            <wp:extent cx="4140200" cy="259715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2102D3" w:rsidRPr="003C3209">
        <w:rPr>
          <w:bCs/>
        </w:rPr>
        <w:t>C</w:t>
      </w:r>
      <w:r w:rsidR="002102D3" w:rsidRPr="003C3209">
        <w:rPr>
          <w:bCs/>
          <w:vertAlign w:val="subscript"/>
        </w:rPr>
        <w:t>37</w:t>
      </w:r>
      <w:r w:rsidR="002102D3" w:rsidRPr="003C3209">
        <w:rPr>
          <w:bCs/>
        </w:rPr>
        <w:t>H</w:t>
      </w:r>
      <w:r w:rsidR="002102D3" w:rsidRPr="003C3209">
        <w:rPr>
          <w:bCs/>
          <w:vertAlign w:val="subscript"/>
        </w:rPr>
        <w:t>46</w:t>
      </w:r>
      <w:r w:rsidR="002102D3" w:rsidRPr="003C3209">
        <w:rPr>
          <w:bCs/>
        </w:rPr>
        <w:t>NNaO</w:t>
      </w:r>
      <w:r w:rsidR="002102D3" w:rsidRPr="003C3209">
        <w:rPr>
          <w:bCs/>
          <w:vertAlign w:val="subscript"/>
        </w:rPr>
        <w:t>12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2102D3">
        <w:rPr>
          <w:rFonts w:cs="Calibri"/>
        </w:rPr>
        <w:t>720</w:t>
      </w:r>
      <w:r w:rsidR="009A23DE" w:rsidRPr="00EF6711">
        <w:rPr>
          <w:rFonts w:cs="Calibri"/>
        </w:rPr>
        <w:t xml:space="preserve"> </w:t>
      </w:r>
      <w:r w:rsidRPr="00EF6711">
        <w:rPr>
          <w:rStyle w:val="s1"/>
          <w:rFonts w:asciiTheme="minorHAnsi" w:hAnsiTheme="minorHAnsi"/>
        </w:rPr>
        <w:t>g/mol</w:t>
      </w:r>
    </w:p>
    <w:p w:rsidR="002102D3" w:rsidRDefault="004E5A39" w:rsidP="002102D3">
      <w:pPr>
        <w:ind w:right="571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2102D3" w:rsidRPr="00146D00">
        <w:rPr>
          <w:lang w:eastAsia="de-DE"/>
        </w:rPr>
        <w:t>14897-39-3</w:t>
      </w:r>
      <w:r w:rsidR="00CC52A3">
        <w:t>]</w:t>
      </w:r>
      <w:r w:rsidR="002102D3">
        <w:t xml:space="preserve"> </w:t>
      </w:r>
    </w:p>
    <w:p w:rsidR="004E5A39" w:rsidRPr="00EF6711" w:rsidRDefault="004E5A39" w:rsidP="002102D3">
      <w:pPr>
        <w:ind w:right="571"/>
      </w:pPr>
      <w:r w:rsidRPr="00EF6711">
        <w:rPr>
          <w:u w:val="single"/>
        </w:rPr>
        <w:t>Aspetto</w:t>
      </w:r>
      <w:r w:rsidRPr="00EF6711">
        <w:t xml:space="preserve">: </w:t>
      </w:r>
      <w:r w:rsidR="002102D3" w:rsidRPr="002102D3">
        <w:t>Polvere rossa fine o leggermente granulare</w:t>
      </w:r>
      <w:r w:rsidR="002102D3">
        <w:t>.</w:t>
      </w:r>
    </w:p>
    <w:p w:rsidR="004E5A39" w:rsidRPr="00EF6711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="002102D3" w:rsidRPr="002102D3">
        <w:t>Solubile in acqua, liberamente solubile in etanolo anidro.</w:t>
      </w:r>
    </w:p>
    <w:p w:rsidR="004E5A39" w:rsidRDefault="004E5A39" w:rsidP="00EF6711">
      <w:pPr>
        <w:spacing w:after="0" w:line="240" w:lineRule="auto"/>
        <w:jc w:val="both"/>
        <w:rPr>
          <w:highlight w:val="yellow"/>
        </w:rPr>
      </w:pPr>
    </w:p>
    <w:p w:rsidR="000B7AC8" w:rsidRPr="00A72D8A" w:rsidRDefault="000B7AC8" w:rsidP="000B7AC8">
      <w:pPr>
        <w:spacing w:after="0" w:line="240" w:lineRule="auto"/>
        <w:jc w:val="both"/>
      </w:pPr>
      <w:r w:rsidRPr="000B7AC8">
        <w:t xml:space="preserve"> </w:t>
      </w:r>
      <w:r w:rsidRPr="0037110B">
        <w:t>Il principio attivo è presente in Farmacopea Europea</w:t>
      </w:r>
      <w:r w:rsidRPr="00A72D8A">
        <w:t xml:space="preserve"> e il Direttorato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</w:t>
      </w:r>
      <w:r w:rsidR="00B22029">
        <w:rPr>
          <w:i/>
        </w:rPr>
        <w:t>i</w:t>
      </w:r>
      <w:r w:rsidRPr="00A72D8A">
        <w:rPr>
          <w:i/>
        </w:rPr>
        <w:t>nals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2102D3">
        <w:t>-</w:t>
      </w:r>
      <w:r w:rsidRPr="00F93450">
        <w:t xml:space="preserve">test è definito in </w:t>
      </w:r>
      <w:r w:rsidR="002102D3">
        <w:t>4 anni</w:t>
      </w:r>
      <w:r>
        <w:t>, quando</w:t>
      </w:r>
      <w:r w:rsidR="002102D3">
        <w:t xml:space="preserve"> il principio attivo viene conservato tra 2-8°C e</w:t>
      </w:r>
      <w:r>
        <w:t xml:space="preserve"> confezionato in </w:t>
      </w:r>
      <w:r w:rsidR="002102D3">
        <w:t xml:space="preserve">doppie sacche di polietilene, poste all’interno di una sacca di alluminio. </w:t>
      </w:r>
    </w:p>
    <w:p w:rsidR="002102D3" w:rsidRDefault="002102D3" w:rsidP="000B7AC8">
      <w:pPr>
        <w:spacing w:after="0" w:line="240" w:lineRule="auto"/>
        <w:jc w:val="both"/>
      </w:pPr>
    </w:p>
    <w:p w:rsidR="002102D3" w:rsidRDefault="002102D3" w:rsidP="000B7AC8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3435E7" w:rsidP="00EF6711">
      <w:pPr>
        <w:widowControl w:val="0"/>
        <w:spacing w:after="0" w:line="240" w:lineRule="auto"/>
        <w:jc w:val="both"/>
        <w:rPr>
          <w:rFonts w:cs="Helvetica"/>
        </w:rPr>
      </w:pPr>
      <w:r>
        <w:rPr>
          <w:rFonts w:eastAsia="Calibri" w:cs="Calibri"/>
          <w:color w:val="000000"/>
          <w:lang w:eastAsia="it-IT"/>
        </w:rPr>
        <w:t>FIRACRONO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5908C6">
        <w:rPr>
          <w:rFonts w:eastAsia="Calibri" w:cs="Calibri"/>
          <w:color w:val="000000"/>
          <w:lang w:eastAsia="it-IT"/>
        </w:rPr>
        <w:t xml:space="preserve">compresse a rilascio modificato contenenti 200 mg di principio attivo </w:t>
      </w:r>
      <w:r w:rsidR="001B0CB3">
        <w:rPr>
          <w:rFonts w:eastAsia="Calibri" w:cs="Calibri"/>
          <w:color w:val="000000"/>
          <w:lang w:eastAsia="it-IT"/>
        </w:rPr>
        <w:t>r</w:t>
      </w:r>
      <w:r w:rsidR="005908C6">
        <w:rPr>
          <w:rFonts w:eastAsia="Calibri" w:cs="Calibri"/>
          <w:color w:val="000000"/>
          <w:lang w:eastAsia="it-IT"/>
        </w:rPr>
        <w:t>ifamicina sodica.</w:t>
      </w:r>
    </w:p>
    <w:p w:rsidR="00853C5C" w:rsidRDefault="004E5A39" w:rsidP="00853C5C">
      <w:pPr>
        <w:spacing w:after="0" w:line="240" w:lineRule="auto"/>
        <w:jc w:val="both"/>
      </w:pPr>
      <w:r w:rsidRPr="00EF6711">
        <w:t>Gli eccipienti sono</w:t>
      </w:r>
      <w:r w:rsidR="00853C5C">
        <w:t xml:space="preserve">: </w:t>
      </w:r>
    </w:p>
    <w:p w:rsidR="00853C5C" w:rsidRPr="00853C5C" w:rsidRDefault="00853C5C" w:rsidP="00853C5C">
      <w:pPr>
        <w:spacing w:after="0" w:line="240" w:lineRule="auto"/>
        <w:jc w:val="both"/>
        <w:rPr>
          <w:u w:val="single"/>
        </w:rPr>
      </w:pPr>
      <w:r w:rsidRPr="00853C5C">
        <w:rPr>
          <w:u w:val="single"/>
        </w:rPr>
        <w:t>- per il nucleo della compressa</w:t>
      </w:r>
    </w:p>
    <w:p w:rsidR="00853C5C" w:rsidRDefault="00853C5C" w:rsidP="00853C5C">
      <w:pPr>
        <w:spacing w:after="0" w:line="240" w:lineRule="auto"/>
        <w:jc w:val="both"/>
      </w:pPr>
      <w:r>
        <w:t>Ammonio metacrilato copolimero, tipo B</w:t>
      </w:r>
    </w:p>
    <w:p w:rsidR="00853C5C" w:rsidRDefault="00853C5C" w:rsidP="00853C5C">
      <w:pPr>
        <w:spacing w:after="0" w:line="240" w:lineRule="auto"/>
        <w:jc w:val="both"/>
      </w:pPr>
      <w:r>
        <w:t>Acido ascorbico (E300)</w:t>
      </w:r>
    </w:p>
    <w:p w:rsidR="00853C5C" w:rsidRDefault="00853C5C" w:rsidP="00853C5C">
      <w:pPr>
        <w:spacing w:after="0" w:line="240" w:lineRule="auto"/>
        <w:jc w:val="both"/>
      </w:pPr>
      <w:r>
        <w:t xml:space="preserve">Glicerolo </w:t>
      </w:r>
      <w:proofErr w:type="spellStart"/>
      <w:r>
        <w:t>distearato</w:t>
      </w:r>
      <w:proofErr w:type="spellEnd"/>
      <w:r>
        <w:t>.</w:t>
      </w:r>
    </w:p>
    <w:p w:rsidR="00853C5C" w:rsidRDefault="00853C5C" w:rsidP="00853C5C">
      <w:pPr>
        <w:spacing w:after="0" w:line="240" w:lineRule="auto"/>
        <w:jc w:val="both"/>
      </w:pPr>
      <w:r>
        <w:t>Lecitina di soia (E322)</w:t>
      </w:r>
    </w:p>
    <w:p w:rsidR="00853C5C" w:rsidRDefault="00853C5C" w:rsidP="00853C5C">
      <w:pPr>
        <w:spacing w:after="0" w:line="240" w:lineRule="auto"/>
        <w:jc w:val="both"/>
      </w:pPr>
      <w:r>
        <w:t>Magnesio stearato</w:t>
      </w:r>
    </w:p>
    <w:p w:rsidR="00853C5C" w:rsidRDefault="00853C5C" w:rsidP="00853C5C">
      <w:pPr>
        <w:spacing w:after="0" w:line="240" w:lineRule="auto"/>
        <w:jc w:val="both"/>
      </w:pPr>
      <w:r>
        <w:t>Mannitolo</w:t>
      </w:r>
    </w:p>
    <w:p w:rsidR="00853C5C" w:rsidRDefault="00853C5C" w:rsidP="00853C5C">
      <w:pPr>
        <w:spacing w:after="0" w:line="240" w:lineRule="auto"/>
        <w:jc w:val="both"/>
      </w:pPr>
      <w:r>
        <w:t>Silice colloidale anidra (E551)</w:t>
      </w:r>
    </w:p>
    <w:p w:rsidR="00853C5C" w:rsidRDefault="00853C5C" w:rsidP="00853C5C">
      <w:pPr>
        <w:spacing w:after="0" w:line="240" w:lineRule="auto"/>
        <w:jc w:val="both"/>
      </w:pPr>
    </w:p>
    <w:p w:rsidR="00853C5C" w:rsidRPr="00853C5C" w:rsidRDefault="00853C5C" w:rsidP="00853C5C">
      <w:pPr>
        <w:spacing w:after="0" w:line="240" w:lineRule="auto"/>
        <w:jc w:val="both"/>
        <w:rPr>
          <w:u w:val="single"/>
        </w:rPr>
      </w:pPr>
      <w:r w:rsidRPr="00853C5C">
        <w:rPr>
          <w:u w:val="single"/>
        </w:rPr>
        <w:t>- per il rivestimento della compressa</w:t>
      </w:r>
    </w:p>
    <w:p w:rsidR="00853C5C" w:rsidRDefault="00853C5C" w:rsidP="00853C5C">
      <w:pPr>
        <w:spacing w:after="0" w:line="240" w:lineRule="auto"/>
        <w:jc w:val="both"/>
      </w:pPr>
      <w:r>
        <w:lastRenderedPageBreak/>
        <w:t>Acido metacrilico – metile metacrilato copolimero (1:2)</w:t>
      </w:r>
    </w:p>
    <w:p w:rsidR="00853C5C" w:rsidRDefault="00853C5C" w:rsidP="00853C5C">
      <w:pPr>
        <w:spacing w:after="0" w:line="240" w:lineRule="auto"/>
        <w:jc w:val="both"/>
      </w:pPr>
      <w:r>
        <w:t>Macrogol 6000 (E1521)</w:t>
      </w:r>
    </w:p>
    <w:p w:rsidR="00853C5C" w:rsidRDefault="00853C5C" w:rsidP="00853C5C">
      <w:pPr>
        <w:spacing w:after="0" w:line="240" w:lineRule="auto"/>
        <w:jc w:val="both"/>
      </w:pPr>
      <w:r>
        <w:t>Talco</w:t>
      </w:r>
    </w:p>
    <w:p w:rsidR="00853C5C" w:rsidRDefault="00853C5C" w:rsidP="00853C5C">
      <w:pPr>
        <w:spacing w:after="0" w:line="240" w:lineRule="auto"/>
        <w:jc w:val="both"/>
      </w:pPr>
      <w:r>
        <w:t>Titanio diossido (E171)</w:t>
      </w:r>
    </w:p>
    <w:p w:rsidR="00853C5C" w:rsidRDefault="00853C5C" w:rsidP="00853C5C">
      <w:pPr>
        <w:spacing w:after="0" w:line="240" w:lineRule="auto"/>
        <w:jc w:val="both"/>
      </w:pPr>
      <w:proofErr w:type="spellStart"/>
      <w:r>
        <w:t>Trietilcitrato</w:t>
      </w:r>
      <w:proofErr w:type="spellEnd"/>
      <w:r>
        <w:t xml:space="preserve"> (E1505)</w:t>
      </w:r>
    </w:p>
    <w:p w:rsidR="00B30431" w:rsidRDefault="00853C5C" w:rsidP="00853C5C">
      <w:pPr>
        <w:spacing w:after="0" w:line="240" w:lineRule="auto"/>
        <w:jc w:val="both"/>
      </w:pPr>
      <w:r>
        <w:t>Ossido di ferro giallo (E172)</w:t>
      </w:r>
    </w:p>
    <w:p w:rsidR="00853C5C" w:rsidRPr="00EF6711" w:rsidRDefault="00853C5C" w:rsidP="00853C5C">
      <w:pPr>
        <w:spacing w:after="0" w:line="240" w:lineRule="auto"/>
        <w:jc w:val="both"/>
        <w:rPr>
          <w:b/>
          <w:bCs/>
        </w:rPr>
      </w:pPr>
    </w:p>
    <w:p w:rsidR="004415FD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853C5C">
        <w:t>Lecitina di Soia (E322) e Ossido di ferro giallo (E172), conformi a</w:t>
      </w:r>
      <w:r w:rsidR="004415FD">
        <w:t>l</w:t>
      </w:r>
      <w:r>
        <w:t xml:space="preserve"> </w:t>
      </w:r>
      <w:r w:rsidR="004415FD">
        <w:t>Formulario Nazionale degli Stati Uniti, per i quali sono state fornite specifiche, metodi analitici e convalide.</w:t>
      </w:r>
    </w:p>
    <w:p w:rsidR="000808A3" w:rsidRPr="00EF6711" w:rsidRDefault="000808A3" w:rsidP="00EF6711">
      <w:pPr>
        <w:spacing w:after="0" w:line="240" w:lineRule="auto"/>
        <w:ind w:right="13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3435E7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FIRACRONO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CA66D2">
        <w:t xml:space="preserve">blister </w:t>
      </w:r>
      <w:r w:rsidR="000808A3">
        <w:t xml:space="preserve">di </w:t>
      </w:r>
      <w:r w:rsidR="00CA66D2" w:rsidRPr="00CA66D2">
        <w:t>poliammide/alluminio/PVC</w:t>
      </w:r>
      <w:r w:rsidR="00462489">
        <w:t>,</w:t>
      </w:r>
      <w:r w:rsidR="00CA66D2" w:rsidRPr="00CA66D2">
        <w:t xml:space="preserve"> termosaldati con un foglio di alluminio aggiuntivo.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</w:t>
      </w:r>
      <w:r w:rsidR="00CA66D2">
        <w:t>r</w:t>
      </w:r>
      <w:r w:rsidRPr="00EF6711">
        <w:t xml:space="preserve">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Studi di stabilità sul prodotto finito sono stati condotti in accordo alle correnti linee guida e i risultati sono entro i limiti delle specifiche autorizzate. Sulla base di questi risultati, è stato autorizzato un periodo di validità di</w:t>
      </w:r>
      <w:r w:rsidR="00E26C77">
        <w:t xml:space="preserve"> 2 </w:t>
      </w:r>
      <w:r w:rsidR="00265B61">
        <w:t>anni</w:t>
      </w:r>
      <w:r w:rsidRPr="00EF6711">
        <w:t xml:space="preserve"> </w:t>
      </w:r>
      <w:r w:rsidR="000808A3">
        <w:t>con conservazione a temperatura non superiore a</w:t>
      </w:r>
      <w:r w:rsidR="00E26C77">
        <w:t xml:space="preserve"> 30°C.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3435E7">
        <w:rPr>
          <w:rFonts w:eastAsia="Calibri" w:cs="Calibri"/>
          <w:color w:val="000000"/>
          <w:lang w:eastAsia="it-IT"/>
        </w:rPr>
        <w:t>FIRACRONO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3435E7">
        <w:rPr>
          <w:rFonts w:eastAsia="Calibri" w:cs="Calibri"/>
          <w:color w:val="000000"/>
          <w:lang w:eastAsia="it-IT"/>
        </w:rPr>
        <w:t>FIRACRONO</w:t>
      </w:r>
      <w:r w:rsidR="00265B61" w:rsidRPr="00EF6711">
        <w:t xml:space="preserve"> </w:t>
      </w:r>
      <w:r w:rsidRPr="00EF6711">
        <w:t>dal punto di vista chimico-farmaceutico.</w:t>
      </w:r>
      <w:r w:rsidR="00E26C77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3C0400" w:rsidRDefault="003C0400" w:rsidP="00EF6711">
      <w:pPr>
        <w:spacing w:after="0" w:line="240" w:lineRule="auto"/>
        <w:jc w:val="both"/>
      </w:pPr>
    </w:p>
    <w:p w:rsidR="003C0400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3C0400">
        <w:t>rifamicina sodica</w:t>
      </w:r>
      <w:r>
        <w:t xml:space="preserve"> sono ben conosciute</w:t>
      </w:r>
      <w:r w:rsidR="003C0400">
        <w:t>.</w:t>
      </w:r>
    </w:p>
    <w:p w:rsidR="003C0400" w:rsidRDefault="003C0400" w:rsidP="003C0400">
      <w:pPr>
        <w:spacing w:after="0" w:line="240" w:lineRule="auto"/>
        <w:jc w:val="both"/>
      </w:pPr>
      <w:r>
        <w:t xml:space="preserve">Il richiedente l’AIC ha presentato studi di </w:t>
      </w:r>
      <w:r w:rsidRPr="003C0400">
        <w:t xml:space="preserve">farmacologia </w:t>
      </w:r>
      <w:r>
        <w:t xml:space="preserve">a dimostrazione </w:t>
      </w:r>
      <w:r w:rsidRPr="003C0400">
        <w:t>che la</w:t>
      </w:r>
      <w:r w:rsidR="00462489">
        <w:t xml:space="preserve"> r</w:t>
      </w:r>
      <w:r w:rsidRPr="003C0400">
        <w:t xml:space="preserve">ifamicina sodica </w:t>
      </w:r>
      <w:r>
        <w:t>ha</w:t>
      </w:r>
      <w:r w:rsidRPr="003C0400">
        <w:t xml:space="preserve"> una potente attività antibatterica contro molti Gram-positivi (cioè </w:t>
      </w:r>
      <w:r w:rsidRPr="003C0400">
        <w:rPr>
          <w:i/>
          <w:iCs/>
        </w:rPr>
        <w:t xml:space="preserve">S. </w:t>
      </w:r>
      <w:proofErr w:type="spellStart"/>
      <w:r w:rsidRPr="003C0400">
        <w:rPr>
          <w:i/>
          <w:iCs/>
        </w:rPr>
        <w:t>aureus</w:t>
      </w:r>
      <w:proofErr w:type="spellEnd"/>
      <w:r w:rsidRPr="003C0400">
        <w:rPr>
          <w:i/>
          <w:iCs/>
        </w:rPr>
        <w:t xml:space="preserve">, S. </w:t>
      </w:r>
      <w:proofErr w:type="spellStart"/>
      <w:r w:rsidRPr="003C0400">
        <w:rPr>
          <w:i/>
          <w:iCs/>
        </w:rPr>
        <w:t>pyogenes</w:t>
      </w:r>
      <w:proofErr w:type="spellEnd"/>
      <w:r w:rsidRPr="003C0400">
        <w:rPr>
          <w:i/>
          <w:iCs/>
        </w:rPr>
        <w:t xml:space="preserve">, S. </w:t>
      </w:r>
      <w:proofErr w:type="spellStart"/>
      <w:r w:rsidRPr="003C0400">
        <w:rPr>
          <w:i/>
          <w:iCs/>
        </w:rPr>
        <w:t>faecalis</w:t>
      </w:r>
      <w:proofErr w:type="spellEnd"/>
      <w:r w:rsidRPr="003C0400">
        <w:rPr>
          <w:i/>
          <w:iCs/>
        </w:rPr>
        <w:t xml:space="preserve"> e </w:t>
      </w:r>
      <w:proofErr w:type="spellStart"/>
      <w:r w:rsidRPr="003C0400">
        <w:rPr>
          <w:i/>
          <w:iCs/>
        </w:rPr>
        <w:t>Clostridium</w:t>
      </w:r>
      <w:proofErr w:type="spellEnd"/>
      <w:r w:rsidRPr="003C0400">
        <w:rPr>
          <w:i/>
          <w:iCs/>
        </w:rPr>
        <w:t xml:space="preserve"> difficile</w:t>
      </w:r>
      <w:r w:rsidRPr="003C0400">
        <w:t xml:space="preserve">) e, a concentrazioni più elevate, </w:t>
      </w:r>
      <w:r>
        <w:t xml:space="preserve">è </w:t>
      </w:r>
      <w:r w:rsidRPr="003C0400">
        <w:t xml:space="preserve">attiva anche contro i microrganismi Gram-negativi (es. </w:t>
      </w:r>
      <w:proofErr w:type="spellStart"/>
      <w:r w:rsidRPr="003C0400">
        <w:rPr>
          <w:i/>
          <w:iCs/>
        </w:rPr>
        <w:t>E.coli</w:t>
      </w:r>
      <w:proofErr w:type="spellEnd"/>
      <w:r w:rsidRPr="003C0400">
        <w:rPr>
          <w:i/>
          <w:iCs/>
        </w:rPr>
        <w:t xml:space="preserve">, </w:t>
      </w:r>
      <w:proofErr w:type="spellStart"/>
      <w:r w:rsidRPr="003C0400">
        <w:rPr>
          <w:i/>
          <w:iCs/>
        </w:rPr>
        <w:t>Proteus</w:t>
      </w:r>
      <w:proofErr w:type="spellEnd"/>
      <w:r w:rsidRPr="003C0400">
        <w:rPr>
          <w:i/>
          <w:iCs/>
        </w:rPr>
        <w:t xml:space="preserve"> </w:t>
      </w:r>
      <w:proofErr w:type="spellStart"/>
      <w:r w:rsidRPr="003C0400">
        <w:rPr>
          <w:i/>
          <w:iCs/>
        </w:rPr>
        <w:t>mirabilis</w:t>
      </w:r>
      <w:proofErr w:type="spellEnd"/>
      <w:r w:rsidRPr="003C0400">
        <w:rPr>
          <w:i/>
          <w:iCs/>
        </w:rPr>
        <w:t xml:space="preserve">, </w:t>
      </w:r>
      <w:proofErr w:type="spellStart"/>
      <w:r w:rsidRPr="003C0400">
        <w:rPr>
          <w:i/>
          <w:iCs/>
        </w:rPr>
        <w:t>Proteus</w:t>
      </w:r>
      <w:proofErr w:type="spellEnd"/>
      <w:r w:rsidRPr="003C0400">
        <w:rPr>
          <w:i/>
          <w:iCs/>
        </w:rPr>
        <w:t xml:space="preserve"> </w:t>
      </w:r>
      <w:proofErr w:type="spellStart"/>
      <w:r w:rsidRPr="003C0400">
        <w:rPr>
          <w:i/>
          <w:iCs/>
        </w:rPr>
        <w:t>vulgaris</w:t>
      </w:r>
      <w:proofErr w:type="spellEnd"/>
      <w:r w:rsidRPr="003C0400">
        <w:rPr>
          <w:i/>
          <w:iCs/>
        </w:rPr>
        <w:t xml:space="preserve">, Salmonella, </w:t>
      </w:r>
      <w:proofErr w:type="spellStart"/>
      <w:r w:rsidRPr="003C0400">
        <w:rPr>
          <w:i/>
          <w:iCs/>
        </w:rPr>
        <w:t>Shigella</w:t>
      </w:r>
      <w:proofErr w:type="spellEnd"/>
      <w:r w:rsidRPr="003C0400">
        <w:rPr>
          <w:i/>
          <w:iCs/>
        </w:rPr>
        <w:t xml:space="preserve"> e Pseudomonas aeruginosa, N. </w:t>
      </w:r>
      <w:proofErr w:type="spellStart"/>
      <w:r w:rsidRPr="003C0400">
        <w:rPr>
          <w:i/>
          <w:iCs/>
        </w:rPr>
        <w:t>gonorrhoeae</w:t>
      </w:r>
      <w:proofErr w:type="spellEnd"/>
      <w:r w:rsidRPr="003C0400">
        <w:rPr>
          <w:i/>
          <w:iCs/>
        </w:rPr>
        <w:t xml:space="preserve"> e N. </w:t>
      </w:r>
      <w:proofErr w:type="spellStart"/>
      <w:r w:rsidRPr="003C0400">
        <w:rPr>
          <w:i/>
          <w:iCs/>
        </w:rPr>
        <w:lastRenderedPageBreak/>
        <w:t>meningitidis</w:t>
      </w:r>
      <w:proofErr w:type="spellEnd"/>
      <w:r w:rsidRPr="003C0400">
        <w:t xml:space="preserve">), nonché </w:t>
      </w:r>
      <w:r w:rsidRPr="003C0400">
        <w:rPr>
          <w:i/>
          <w:iCs/>
        </w:rPr>
        <w:t xml:space="preserve">M. </w:t>
      </w:r>
      <w:proofErr w:type="spellStart"/>
      <w:r w:rsidRPr="003C0400">
        <w:rPr>
          <w:i/>
          <w:iCs/>
        </w:rPr>
        <w:t>tuberculosis</w:t>
      </w:r>
      <w:proofErr w:type="spellEnd"/>
      <w:r w:rsidRPr="003C0400">
        <w:t>. Non si sviluppa resistenza crociata ad altre classi di antibiotici e la Rifamicina sodica mantiene la piena attività contro quei microrganismi resistenti a uno o più antibiotici.</w:t>
      </w:r>
    </w:p>
    <w:p w:rsidR="003C0400" w:rsidRPr="003C0400" w:rsidRDefault="003C0400" w:rsidP="003C0400">
      <w:pPr>
        <w:spacing w:after="0" w:line="240" w:lineRule="auto"/>
        <w:jc w:val="both"/>
        <w:rPr>
          <w:i/>
          <w:iCs/>
        </w:rPr>
      </w:pPr>
      <w:r>
        <w:t xml:space="preserve">Studi su colture batteriche provenienti da pazienti con infezioni gastrointestinali hanno dimostrato che la </w:t>
      </w:r>
      <w:r w:rsidR="001B0CB3">
        <w:t>r</w:t>
      </w:r>
      <w:r>
        <w:t xml:space="preserve">ifamicina sodica è efficace contro la maggioranza dei patogeni coinvolti nella diarrea del viaggiatore (TD) tra cui </w:t>
      </w:r>
      <w:r w:rsidRPr="003C0400">
        <w:rPr>
          <w:i/>
          <w:iCs/>
        </w:rPr>
        <w:t>E. coli</w:t>
      </w:r>
      <w:r>
        <w:t xml:space="preserve"> (ceppi </w:t>
      </w:r>
      <w:proofErr w:type="spellStart"/>
      <w:r>
        <w:t>enteroemorragici</w:t>
      </w:r>
      <w:proofErr w:type="spellEnd"/>
      <w:r>
        <w:t xml:space="preserve">, </w:t>
      </w:r>
      <w:proofErr w:type="spellStart"/>
      <w:r>
        <w:t>enterotossigenici</w:t>
      </w:r>
      <w:proofErr w:type="spellEnd"/>
      <w:r>
        <w:t xml:space="preserve">, enteropatogeni ed </w:t>
      </w:r>
      <w:proofErr w:type="spellStart"/>
      <w:r>
        <w:t>entero-aggregativi</w:t>
      </w:r>
      <w:proofErr w:type="spellEnd"/>
      <w:r>
        <w:t xml:space="preserve">), </w:t>
      </w:r>
      <w:proofErr w:type="spellStart"/>
      <w:r w:rsidRPr="003C0400">
        <w:rPr>
          <w:i/>
          <w:iCs/>
        </w:rPr>
        <w:t>Shigella</w:t>
      </w:r>
      <w:proofErr w:type="spellEnd"/>
      <w:r w:rsidRPr="003C0400">
        <w:rPr>
          <w:i/>
          <w:iCs/>
        </w:rPr>
        <w:t xml:space="preserve"> </w:t>
      </w:r>
      <w:proofErr w:type="spellStart"/>
      <w:r w:rsidRPr="003C0400">
        <w:rPr>
          <w:i/>
          <w:iCs/>
        </w:rPr>
        <w:t>spp</w:t>
      </w:r>
      <w:proofErr w:type="spellEnd"/>
      <w:r w:rsidRPr="003C0400">
        <w:rPr>
          <w:i/>
          <w:iCs/>
        </w:rPr>
        <w:t xml:space="preserve">., Salmonella spp., A. </w:t>
      </w:r>
      <w:proofErr w:type="spellStart"/>
      <w:r w:rsidRPr="003C0400">
        <w:rPr>
          <w:i/>
          <w:iCs/>
        </w:rPr>
        <w:t>hydrophila</w:t>
      </w:r>
      <w:proofErr w:type="spellEnd"/>
      <w:r w:rsidRPr="003C0400">
        <w:rPr>
          <w:i/>
          <w:iCs/>
        </w:rPr>
        <w:t xml:space="preserve"> V. </w:t>
      </w:r>
      <w:proofErr w:type="spellStart"/>
      <w:r w:rsidRPr="003C0400">
        <w:rPr>
          <w:i/>
          <w:iCs/>
        </w:rPr>
        <w:t>parahaemolyticus</w:t>
      </w:r>
      <w:proofErr w:type="spellEnd"/>
      <w:r w:rsidRPr="003C0400">
        <w:rPr>
          <w:i/>
          <w:iCs/>
        </w:rPr>
        <w:t xml:space="preserve"> e P. </w:t>
      </w:r>
      <w:proofErr w:type="spellStart"/>
      <w:r w:rsidRPr="003C0400">
        <w:rPr>
          <w:i/>
          <w:iCs/>
        </w:rPr>
        <w:t>shigelloides</w:t>
      </w:r>
      <w:proofErr w:type="spellEnd"/>
      <w:r w:rsidRPr="003C0400">
        <w:rPr>
          <w:i/>
          <w:iCs/>
        </w:rPr>
        <w:t>.</w:t>
      </w:r>
    </w:p>
    <w:p w:rsidR="003C0400" w:rsidRDefault="003C0400" w:rsidP="003C0400">
      <w:pPr>
        <w:spacing w:after="0" w:line="240" w:lineRule="auto"/>
        <w:jc w:val="both"/>
      </w:pPr>
      <w:r>
        <w:t xml:space="preserve">L'attività antibatterica osservata </w:t>
      </w:r>
      <w:r w:rsidRPr="003C0400">
        <w:rPr>
          <w:i/>
          <w:iCs/>
        </w:rPr>
        <w:t>in</w:t>
      </w:r>
      <w:r>
        <w:rPr>
          <w:i/>
          <w:iCs/>
        </w:rPr>
        <w:t>-</w:t>
      </w:r>
      <w:r w:rsidRPr="003C0400">
        <w:rPr>
          <w:i/>
          <w:iCs/>
        </w:rPr>
        <w:t>vitro</w:t>
      </w:r>
      <w:r>
        <w:t xml:space="preserve"> ben si correla all'efficacia e alla valutazione microbiologica evidenziata negli studi clinici.</w:t>
      </w:r>
    </w:p>
    <w:p w:rsidR="003C0400" w:rsidRDefault="003C0400" w:rsidP="003C0400">
      <w:pPr>
        <w:spacing w:after="0" w:line="240" w:lineRule="auto"/>
        <w:jc w:val="both"/>
      </w:pPr>
      <w:r>
        <w:t xml:space="preserve">La rifamicina sodica ha dimostrato un profilo di sicurezza favorevole in virtù della bassa biodisponibilità dopo somministrazione orale, che è ulteriormente ridotta dalla formulazione a rilascio modificato </w:t>
      </w:r>
      <w:r w:rsidR="00B7261C">
        <w:t>del medicinale</w:t>
      </w:r>
      <w:r>
        <w:t>, che impedisce l'assorbimento nel tratto gastrointestinale superiore e indirizza il composto verso l'intestino tenue e il colon distal</w:t>
      </w:r>
      <w:r w:rsidR="00B7261C">
        <w:t>e</w:t>
      </w:r>
      <w:r>
        <w:t xml:space="preserve">.  Pertanto, dopo somministrazione orale di </w:t>
      </w:r>
      <w:r w:rsidR="003435E7">
        <w:t>FIRACRONO</w:t>
      </w:r>
      <w:r w:rsidR="00462489">
        <w:t>,</w:t>
      </w:r>
      <w:r>
        <w:t xml:space="preserve"> vi è una trascurabile disponibilità sistemica e non si prevedono effetti sulle funzioni cardiovascolari e respiratorie. </w:t>
      </w:r>
    </w:p>
    <w:p w:rsidR="003C0400" w:rsidRDefault="003C0400" w:rsidP="003C0400">
      <w:pPr>
        <w:spacing w:after="0" w:line="240" w:lineRule="auto"/>
        <w:jc w:val="both"/>
      </w:pPr>
      <w:r>
        <w:t xml:space="preserve">Studi di pre-clinica supportano un uso sicuro di </w:t>
      </w:r>
      <w:r w:rsidR="003435E7">
        <w:t>FIRACRONO</w:t>
      </w:r>
      <w:r>
        <w:t xml:space="preserve"> nell’indicazione desiderata, in particolare alla luce della breve durata del trattamento.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B7261C" w:rsidRPr="00EF6711" w:rsidRDefault="00B7261C" w:rsidP="00B7261C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310673" w:rsidRDefault="003435E7" w:rsidP="0031067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eastAsia="Calibri" w:cs="Calibri"/>
          <w:color w:val="000000"/>
          <w:lang w:eastAsia="it-IT"/>
        </w:rPr>
        <w:t>FIRACRONO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265B61">
        <w:t>è utilizzato</w:t>
      </w:r>
      <w:r w:rsidR="00310673">
        <w:t xml:space="preserve"> in pazienti adulti per il trattamento della diarrea del viaggiatore con sintomi come nausea, vomito, gas / flatulenza, tenesmo rettale, urgenza a defecare e dolore addominale o crampi senza segni clinici di enterite invasiva quali febbre, sangue, sangue occulto o leucociti nelle feci. </w:t>
      </w:r>
    </w:p>
    <w:p w:rsidR="00310673" w:rsidRDefault="00310673" w:rsidP="00EF6711">
      <w:pPr>
        <w:spacing w:after="0" w:line="240" w:lineRule="auto"/>
        <w:ind w:right="6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8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E27C60">
        <w:t>rifamicina sodica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 xml:space="preserve">La farmacologia clinica di </w:t>
      </w:r>
      <w:r w:rsidR="00E27C60">
        <w:t>rifamicina sodica</w:t>
      </w:r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 ben conosciuta</w:t>
      </w:r>
      <w:r w:rsidR="00E27C60">
        <w:rPr>
          <w:rFonts w:eastAsia="Calibri" w:cs="Calibri"/>
          <w:lang w:eastAsia="it-IT"/>
        </w:rPr>
        <w:t>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464BD1" w:rsidRPr="009F5FC7" w:rsidRDefault="00464BD1" w:rsidP="00464BD1">
      <w:pPr>
        <w:spacing w:after="0" w:line="240" w:lineRule="auto"/>
        <w:jc w:val="both"/>
        <w:rPr>
          <w:rFonts w:cs="Arial"/>
        </w:rPr>
      </w:pPr>
    </w:p>
    <w:p w:rsidR="00464BD1" w:rsidRPr="009F5FC7" w:rsidRDefault="00464BD1" w:rsidP="00464BD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464BD1" w:rsidRDefault="00464BD1" w:rsidP="006727BD">
      <w:pPr>
        <w:spacing w:after="0" w:line="240" w:lineRule="auto"/>
        <w:jc w:val="both"/>
        <w:rPr>
          <w:b/>
        </w:rPr>
      </w:pPr>
    </w:p>
    <w:p w:rsidR="00C71EA2" w:rsidRDefault="00464BD1" w:rsidP="006727BD">
      <w:pPr>
        <w:spacing w:after="0" w:line="240" w:lineRule="auto"/>
        <w:jc w:val="both"/>
        <w:rPr>
          <w:b/>
        </w:rPr>
      </w:pPr>
      <w:r>
        <w:rPr>
          <w:b/>
        </w:rPr>
        <w:t>Efficacia</w:t>
      </w:r>
    </w:p>
    <w:p w:rsidR="00FA08CF" w:rsidRDefault="00FA08CF" w:rsidP="006727BD">
      <w:pPr>
        <w:spacing w:after="0" w:line="240" w:lineRule="auto"/>
        <w:jc w:val="both"/>
        <w:rPr>
          <w:b/>
        </w:rPr>
      </w:pPr>
    </w:p>
    <w:p w:rsidR="00C71EA2" w:rsidRPr="00FA08CF" w:rsidRDefault="00C71EA2" w:rsidP="00C71EA2">
      <w:pPr>
        <w:spacing w:after="0" w:line="240" w:lineRule="auto"/>
        <w:ind w:right="6"/>
        <w:jc w:val="both"/>
      </w:pPr>
      <w:r w:rsidRPr="009F5FC7">
        <w:t xml:space="preserve">La richiesta di AIC è supportata da </w:t>
      </w:r>
      <w:r>
        <w:t xml:space="preserve">due studi </w:t>
      </w:r>
      <w:proofErr w:type="spellStart"/>
      <w:r w:rsidR="00FA08CF">
        <w:t>P</w:t>
      </w:r>
      <w:r>
        <w:t>ivotal</w:t>
      </w:r>
      <w:proofErr w:type="spellEnd"/>
      <w:r>
        <w:t xml:space="preserve"> </w:t>
      </w:r>
      <w:r w:rsidRPr="00FA08CF">
        <w:t xml:space="preserve">di fase III, attraverso i quali è </w:t>
      </w:r>
      <w:r w:rsidR="00FA08CF" w:rsidRPr="00FA08CF">
        <w:t>stata</w:t>
      </w:r>
      <w:r w:rsidRPr="00FA08CF">
        <w:t xml:space="preserve"> dimostra</w:t>
      </w:r>
      <w:r w:rsidR="00FA08CF" w:rsidRPr="00FA08CF">
        <w:t>ta</w:t>
      </w:r>
      <w:r w:rsidRPr="00FA08CF">
        <w:t xml:space="preserve"> l’efficacia di </w:t>
      </w:r>
      <w:r w:rsidR="003435E7">
        <w:t>FIRACRONO</w:t>
      </w:r>
      <w:r w:rsidRPr="00FA08CF">
        <w:t xml:space="preserve"> 200 mg</w:t>
      </w:r>
      <w:r w:rsidR="00FA08CF" w:rsidRPr="00FA08CF">
        <w:t xml:space="preserve"> compresse a rilascio modificato nel trattamento della diarrea del viaggiatore, </w:t>
      </w:r>
      <w:r w:rsidR="00FA08CF">
        <w:t>impiegato secondo la posologia autorizzata.</w:t>
      </w:r>
    </w:p>
    <w:p w:rsidR="00FA08CF" w:rsidRPr="009F5FC7" w:rsidRDefault="00FA08CF" w:rsidP="00FA08CF">
      <w:pPr>
        <w:pStyle w:val="Paragrafoelenco"/>
        <w:spacing w:after="0" w:line="240" w:lineRule="auto"/>
        <w:ind w:left="0"/>
        <w:jc w:val="both"/>
      </w:pPr>
      <w:r>
        <w:t>Gli studi sono stati caratterizzati</w:t>
      </w:r>
      <w:r w:rsidRPr="009F5FC7">
        <w:t xml:space="preserve"> da appropriat</w:t>
      </w:r>
      <w:r>
        <w:t xml:space="preserve">i </w:t>
      </w:r>
      <w:r w:rsidRPr="009F5FC7">
        <w:t>disegn</w:t>
      </w:r>
      <w:r>
        <w:t>i</w:t>
      </w:r>
      <w:r w:rsidRPr="009F5FC7">
        <w:t xml:space="preserve"> e</w:t>
      </w:r>
      <w:r>
        <w:t xml:space="preserve"> sono</w:t>
      </w:r>
      <w:r w:rsidRPr="009F5FC7">
        <w:t xml:space="preserve"> stat</w:t>
      </w:r>
      <w:r>
        <w:t>i</w:t>
      </w:r>
      <w:r w:rsidRPr="009F5FC7">
        <w:t xml:space="preserve"> condott</w:t>
      </w:r>
      <w:r>
        <w:t>i</w:t>
      </w:r>
      <w:r w:rsidRPr="009F5FC7">
        <w:t xml:space="preserve"> in accordo ai principi GCP.</w:t>
      </w:r>
    </w:p>
    <w:p w:rsidR="00C71EA2" w:rsidRPr="00C71EA2" w:rsidRDefault="00C71EA2" w:rsidP="00C71EA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C71EA2" w:rsidRPr="00FA08CF" w:rsidRDefault="00C71EA2" w:rsidP="00C71EA2">
      <w:pPr>
        <w:spacing w:after="0" w:line="240" w:lineRule="auto"/>
        <w:ind w:right="6"/>
        <w:jc w:val="both"/>
      </w:pPr>
      <w:r w:rsidRPr="00FA08CF">
        <w:t xml:space="preserve">1. </w:t>
      </w:r>
      <w:proofErr w:type="spellStart"/>
      <w:r w:rsidRPr="00FA08CF">
        <w:t>Study</w:t>
      </w:r>
      <w:proofErr w:type="spellEnd"/>
      <w:r w:rsidRPr="00FA08CF">
        <w:t xml:space="preserve"> C2009-0201: studio </w:t>
      </w:r>
      <w:proofErr w:type="spellStart"/>
      <w:r w:rsidRPr="00FA08CF">
        <w:t>pivotal</w:t>
      </w:r>
      <w:proofErr w:type="spellEnd"/>
      <w:r w:rsidRPr="00FA08CF">
        <w:t xml:space="preserve"> di Fase III, multicentrico, randomizzato, in doppio cieco, controllato con placebo in gruppi paralleli, che ha dimostrato la superiorità di </w:t>
      </w:r>
      <w:r w:rsidR="003435E7">
        <w:t>FIRACRONO</w:t>
      </w:r>
      <w:r w:rsidRPr="00FA08CF">
        <w:t xml:space="preserve"> 200 mg compresse a rilascio modificato verso placebo relativamente all’</w:t>
      </w:r>
      <w:proofErr w:type="spellStart"/>
      <w:r w:rsidRPr="00FA08CF">
        <w:t>endpoint</w:t>
      </w:r>
      <w:proofErr w:type="spellEnd"/>
      <w:r w:rsidRPr="00FA08CF">
        <w:t xml:space="preserve"> primario “</w:t>
      </w:r>
      <w:proofErr w:type="spellStart"/>
      <w:r w:rsidRPr="00FA08CF">
        <w:t>time</w:t>
      </w:r>
      <w:proofErr w:type="spellEnd"/>
      <w:r w:rsidRPr="00FA08CF">
        <w:t xml:space="preserve"> </w:t>
      </w:r>
      <w:proofErr w:type="spellStart"/>
      <w:r w:rsidRPr="00FA08CF">
        <w:t>to</w:t>
      </w:r>
      <w:proofErr w:type="spellEnd"/>
      <w:r w:rsidRPr="00FA08CF">
        <w:t xml:space="preserve"> last </w:t>
      </w:r>
      <w:proofErr w:type="spellStart"/>
      <w:r w:rsidRPr="00FA08CF">
        <w:t>unformed</w:t>
      </w:r>
      <w:proofErr w:type="spellEnd"/>
      <w:r w:rsidRPr="00FA08CF">
        <w:t xml:space="preserve"> </w:t>
      </w:r>
      <w:proofErr w:type="spellStart"/>
      <w:r w:rsidRPr="00FA08CF">
        <w:t>stool</w:t>
      </w:r>
      <w:proofErr w:type="spellEnd"/>
      <w:r w:rsidRPr="00FA08CF">
        <w:t xml:space="preserve"> (TLUS)”. TLUS</w:t>
      </w:r>
      <w:r w:rsidRPr="00FA08CF">
        <w:t> mediana: 46 ore nel gruppo farmaco vs 68 ore nel gruppo placebo (p = 0,0008);</w:t>
      </w:r>
    </w:p>
    <w:p w:rsidR="00B00AFD" w:rsidRDefault="00B00AFD" w:rsidP="00B00AFD">
      <w:pPr>
        <w:spacing w:after="0" w:line="240" w:lineRule="auto"/>
        <w:ind w:right="6"/>
        <w:jc w:val="both"/>
      </w:pPr>
      <w:r>
        <w:t xml:space="preserve">Il trattamento con </w:t>
      </w:r>
      <w:r w:rsidR="003435E7">
        <w:t>FIRACRONO</w:t>
      </w:r>
      <w:r>
        <w:t xml:space="preserve"> ha ridotto significativamente il tempo di permanenza di segni e sintomi di diarrea nei pazienti in studio e nei sottogruppi di pazienti a cui era stata identificata, all’inizio dello studio, la presenza di </w:t>
      </w:r>
      <w:proofErr w:type="spellStart"/>
      <w:r w:rsidRPr="00B00AFD">
        <w:rPr>
          <w:i/>
          <w:iCs/>
        </w:rPr>
        <w:t>E.Coli</w:t>
      </w:r>
      <w:proofErr w:type="spellEnd"/>
      <w:r>
        <w:t xml:space="preserve"> o altri batteri patogeni invasivi nelle feci.</w:t>
      </w:r>
    </w:p>
    <w:p w:rsidR="00C71EA2" w:rsidRPr="00C71EA2" w:rsidRDefault="00C71EA2" w:rsidP="00C71EA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C71EA2" w:rsidRDefault="00C71EA2" w:rsidP="00C71EA2">
      <w:pPr>
        <w:spacing w:after="0" w:line="240" w:lineRule="auto"/>
        <w:ind w:right="6"/>
        <w:jc w:val="both"/>
      </w:pPr>
      <w:r w:rsidRPr="00FA08CF">
        <w:lastRenderedPageBreak/>
        <w:t xml:space="preserve">2. </w:t>
      </w:r>
      <w:proofErr w:type="spellStart"/>
      <w:r w:rsidRPr="00FA08CF">
        <w:t>Study</w:t>
      </w:r>
      <w:proofErr w:type="spellEnd"/>
      <w:r w:rsidRPr="00FA08CF">
        <w:t xml:space="preserve"> RIT-1/AID: studio </w:t>
      </w:r>
      <w:proofErr w:type="spellStart"/>
      <w:r w:rsidRPr="00FA08CF">
        <w:t>pivotal</w:t>
      </w:r>
      <w:proofErr w:type="spellEnd"/>
      <w:r w:rsidRPr="00FA08CF">
        <w:t xml:space="preserve"> di Fase III, multicentrico, randomizzato, in doppio cieco, double-dummy, a gruppi paralleli e controllato con attivo (</w:t>
      </w:r>
      <w:proofErr w:type="spellStart"/>
      <w:r w:rsidRPr="00FA08CF">
        <w:t>ciprofloxacina</w:t>
      </w:r>
      <w:proofErr w:type="spellEnd"/>
      <w:r w:rsidRPr="00FA08CF">
        <w:t xml:space="preserve">) che ha dimostrato la non inferiorità di </w:t>
      </w:r>
      <w:r w:rsidR="003435E7">
        <w:t>FIRACRONO</w:t>
      </w:r>
      <w:r w:rsidRPr="00FA08CF">
        <w:t xml:space="preserve"> 200 mg compresse a rilascio modificato verso la </w:t>
      </w:r>
      <w:proofErr w:type="spellStart"/>
      <w:r w:rsidRPr="00FA08CF">
        <w:t>ciprofloxacina</w:t>
      </w:r>
      <w:proofErr w:type="spellEnd"/>
      <w:r w:rsidRPr="00FA08CF">
        <w:t xml:space="preserve"> relativamente all’</w:t>
      </w:r>
      <w:proofErr w:type="spellStart"/>
      <w:r w:rsidRPr="00FA08CF">
        <w:t>endpoint</w:t>
      </w:r>
      <w:proofErr w:type="spellEnd"/>
      <w:r w:rsidRPr="00FA08CF">
        <w:t xml:space="preserve"> primario “</w:t>
      </w:r>
      <w:proofErr w:type="spellStart"/>
      <w:r w:rsidRPr="00FA08CF">
        <w:t>time</w:t>
      </w:r>
      <w:proofErr w:type="spellEnd"/>
      <w:r w:rsidRPr="00FA08CF">
        <w:t xml:space="preserve"> </w:t>
      </w:r>
      <w:proofErr w:type="spellStart"/>
      <w:r w:rsidRPr="00FA08CF">
        <w:t>to</w:t>
      </w:r>
      <w:proofErr w:type="spellEnd"/>
      <w:r w:rsidRPr="00FA08CF">
        <w:t xml:space="preserve"> last </w:t>
      </w:r>
      <w:proofErr w:type="spellStart"/>
      <w:r w:rsidRPr="00FA08CF">
        <w:t>unformed</w:t>
      </w:r>
      <w:proofErr w:type="spellEnd"/>
      <w:r w:rsidRPr="00FA08CF">
        <w:t xml:space="preserve"> </w:t>
      </w:r>
      <w:proofErr w:type="spellStart"/>
      <w:r w:rsidRPr="00FA08CF">
        <w:t>stool</w:t>
      </w:r>
      <w:proofErr w:type="spellEnd"/>
      <w:r w:rsidRPr="00FA08CF">
        <w:t xml:space="preserve"> (TLUS)”.</w:t>
      </w:r>
    </w:p>
    <w:p w:rsidR="00B00AFD" w:rsidRDefault="00B00AFD" w:rsidP="00C71EA2">
      <w:pPr>
        <w:spacing w:after="0" w:line="240" w:lineRule="auto"/>
        <w:ind w:right="6"/>
        <w:jc w:val="both"/>
      </w:pPr>
    </w:p>
    <w:p w:rsidR="00464BD1" w:rsidRDefault="00464BD1" w:rsidP="00C71EA2">
      <w:pPr>
        <w:spacing w:after="0" w:line="240" w:lineRule="auto"/>
        <w:ind w:right="6"/>
        <w:jc w:val="both"/>
      </w:pPr>
    </w:p>
    <w:p w:rsidR="00464BD1" w:rsidRPr="00464BD1" w:rsidRDefault="00464BD1" w:rsidP="00464BD1">
      <w:pPr>
        <w:rPr>
          <w:b/>
        </w:rPr>
      </w:pPr>
      <w:r w:rsidRPr="00464BD1">
        <w:rPr>
          <w:b/>
        </w:rPr>
        <w:t>Sicurezza</w:t>
      </w:r>
    </w:p>
    <w:p w:rsidR="00B00AFD" w:rsidRDefault="003435E7" w:rsidP="00B00AFD">
      <w:r>
        <w:t>FIRACRONO</w:t>
      </w:r>
      <w:r w:rsidR="00B00AFD">
        <w:t xml:space="preserve"> è un medicinale antibiotico </w:t>
      </w:r>
      <w:r w:rsidR="002D6A31">
        <w:t>con formulazione a matrice multipla, che garantisce un’</w:t>
      </w:r>
      <w:r w:rsidR="00B00AFD">
        <w:t xml:space="preserve"> azione locale sul colon</w:t>
      </w:r>
      <w:r w:rsidR="002D6A31">
        <w:t>; esso è</w:t>
      </w:r>
      <w:r w:rsidR="00B00AFD">
        <w:t xml:space="preserve"> scarsamente assorbito e pertanto caratterizzato da un profilo di sicurezza e tollerabilità favorevole. </w:t>
      </w:r>
    </w:p>
    <w:p w:rsidR="00FA08CF" w:rsidRDefault="00FA08CF" w:rsidP="00FA08CF">
      <w:r>
        <w:t>Tra i 264 pazienti trattati</w:t>
      </w:r>
      <w:r w:rsidR="00B00AFD">
        <w:t xml:space="preserve"> nello studio </w:t>
      </w:r>
      <w:r w:rsidR="00B00AFD" w:rsidRPr="00FA08CF">
        <w:t>C2009-0201</w:t>
      </w:r>
      <w:r>
        <w:t xml:space="preserve">, 84 (31,8%) hanno manifestato uno o più eventi avversi, </w:t>
      </w:r>
      <w:r w:rsidR="003E18D3">
        <w:t>la maggior parte si sono evidenziati nel gruppo</w:t>
      </w:r>
      <w:r>
        <w:t xml:space="preserve"> </w:t>
      </w:r>
      <w:r w:rsidR="003E18D3">
        <w:t xml:space="preserve">placebo </w:t>
      </w:r>
      <w:r>
        <w:t xml:space="preserve">(38,5%) </w:t>
      </w:r>
      <w:r w:rsidR="003E18D3">
        <w:t xml:space="preserve">rispetto al gruppo in trattamento con </w:t>
      </w:r>
      <w:r w:rsidR="003435E7">
        <w:t>FIRACRONO</w:t>
      </w:r>
      <w:r w:rsidR="003E18D3">
        <w:t xml:space="preserve"> </w:t>
      </w:r>
      <w:r>
        <w:t>(29,6%). In quasi tutti i pazienti che hanno manifestato un evento avverso</w:t>
      </w:r>
      <w:r w:rsidR="003E18D3">
        <w:t xml:space="preserve">, questi </w:t>
      </w:r>
      <w:r>
        <w:t xml:space="preserve">sono stati giudicati non correlati al farmaco in studio (82 su 84 pazienti). La maggior parte degli eventi avversi </w:t>
      </w:r>
      <w:r w:rsidR="003E18D3">
        <w:t xml:space="preserve">sono stati </w:t>
      </w:r>
      <w:r>
        <w:t>di gravità lieve o moderata</w:t>
      </w:r>
      <w:r w:rsidR="003E18D3">
        <w:t xml:space="preserve"> e tra questi si annoverano </w:t>
      </w:r>
      <w:r>
        <w:t xml:space="preserve">disturbi gastrointestinali (10,6% dei pazienti), infezioni e infestazioni (10,2% dei pazienti) e disturbi del sistema nervoso (9,8% dei pazienti). </w:t>
      </w:r>
    </w:p>
    <w:p w:rsidR="009638E4" w:rsidRDefault="002D6A31" w:rsidP="00FA08CF">
      <w:r>
        <w:t xml:space="preserve">Nello studio </w:t>
      </w:r>
      <w:r w:rsidRPr="00FA08CF">
        <w:t>RIT-1/AID</w:t>
      </w:r>
      <w:r>
        <w:t xml:space="preserve"> </w:t>
      </w:r>
      <w:r w:rsidR="003435E7">
        <w:t>FIRACRONO</w:t>
      </w:r>
      <w:r>
        <w:t xml:space="preserve"> è stato ben tollerato e gli eventi avversi si sono verificati in maniera simile tra i due gruppi di trattamento (</w:t>
      </w:r>
      <w:proofErr w:type="spellStart"/>
      <w:r w:rsidR="009638E4">
        <w:t>AEs</w:t>
      </w:r>
      <w:proofErr w:type="spellEnd"/>
      <w:r w:rsidR="009638E4">
        <w:t xml:space="preserve"> di 14,8% nel gruppo </w:t>
      </w:r>
      <w:r w:rsidR="003435E7">
        <w:t>FIRACRONO</w:t>
      </w:r>
      <w:r>
        <w:t xml:space="preserve"> vs </w:t>
      </w:r>
      <w:r w:rsidR="009638E4">
        <w:t xml:space="preserve">14.9% nel gruppo </w:t>
      </w:r>
      <w:proofErr w:type="spellStart"/>
      <w:r>
        <w:t>Ciprofloxacina</w:t>
      </w:r>
      <w:proofErr w:type="spellEnd"/>
      <w:r>
        <w:t>)</w:t>
      </w:r>
      <w:r w:rsidR="009638E4">
        <w:t>.</w:t>
      </w:r>
    </w:p>
    <w:p w:rsidR="009638E4" w:rsidRDefault="009638E4" w:rsidP="00FA08CF">
      <w:r>
        <w:t>La maggior parte degli eventi avversi sono stati di gravità lieve o moderata e tra questi si annoverano disturbi gastrointestinali; mal di testa e diarrea, insieme a nausea, flatulenza e dolore addominale sono stati i più frequenti eventi avversi a seguito di trattamento. Nessun evento avverso serio si è verificato nei due gruppi in studio.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2264BE" w:rsidP="00EF6711">
      <w:pPr>
        <w:pStyle w:val="Paragrafoelenco"/>
        <w:spacing w:after="0" w:line="240" w:lineRule="auto"/>
        <w:ind w:left="0"/>
        <w:jc w:val="both"/>
      </w:pPr>
      <w:r>
        <w:t xml:space="preserve">È </w:t>
      </w:r>
      <w:r w:rsidR="004E5A39" w:rsidRPr="00EF6711">
        <w:t xml:space="preserve">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r w:rsidR="003435E7">
        <w:t>FIRACRONO</w:t>
      </w:r>
      <w:r w:rsidR="004E5A39"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265B61" w:rsidRPr="00BE7CDB" w:rsidRDefault="0035607D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65B61" w:rsidRPr="00BE7CDB" w:rsidRDefault="0035607D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Sviluppo di resistenza batterica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61" w:rsidRPr="00BE7CDB" w:rsidRDefault="0035607D" w:rsidP="00BE7C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3435E7">
        <w:rPr>
          <w:rFonts w:eastAsia="Calibri" w:cs="Calibri"/>
          <w:color w:val="000000"/>
          <w:lang w:eastAsia="it-IT"/>
        </w:rPr>
        <w:t>FIRACRONO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3435E7">
        <w:rPr>
          <w:rFonts w:eastAsia="Calibri" w:cs="Calibri"/>
          <w:color w:val="000000"/>
          <w:lang w:eastAsia="it-IT"/>
        </w:rPr>
        <w:t>FIRACRONO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321FB5" w:rsidRDefault="00321FB5" w:rsidP="00EF6711">
      <w:pPr>
        <w:pStyle w:val="Paragrafoelenco"/>
        <w:spacing w:after="0" w:line="240" w:lineRule="auto"/>
        <w:ind w:left="0"/>
        <w:jc w:val="both"/>
      </w:pPr>
    </w:p>
    <w:p w:rsidR="00462489" w:rsidRDefault="00462489" w:rsidP="00EF6711">
      <w:pPr>
        <w:pStyle w:val="Paragrafoelenco"/>
        <w:spacing w:after="0" w:line="240" w:lineRule="auto"/>
        <w:ind w:left="0"/>
        <w:jc w:val="both"/>
      </w:pPr>
    </w:p>
    <w:p w:rsidR="00462489" w:rsidRDefault="00462489" w:rsidP="00EF6711">
      <w:pPr>
        <w:pStyle w:val="Paragrafoelenco"/>
        <w:spacing w:after="0" w:line="240" w:lineRule="auto"/>
        <w:ind w:left="0"/>
        <w:jc w:val="both"/>
      </w:pPr>
    </w:p>
    <w:p w:rsidR="00BE1731" w:rsidRDefault="00BE1731" w:rsidP="00EF6711">
      <w:pPr>
        <w:pStyle w:val="Paragrafoelenco"/>
        <w:spacing w:after="0" w:line="240" w:lineRule="auto"/>
        <w:ind w:left="0"/>
        <w:jc w:val="both"/>
      </w:pPr>
    </w:p>
    <w:p w:rsidR="00BE1731" w:rsidRDefault="00BE1731" w:rsidP="00EF6711">
      <w:pPr>
        <w:pStyle w:val="Paragrafoelenco"/>
        <w:spacing w:after="0" w:line="240" w:lineRule="auto"/>
        <w:ind w:left="0"/>
        <w:jc w:val="both"/>
      </w:pPr>
    </w:p>
    <w:p w:rsidR="00BE1731" w:rsidRPr="00EF6711" w:rsidRDefault="00BE1731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</w:t>
      </w:r>
      <w:r w:rsidR="008B6D82">
        <w:t>del</w:t>
      </w:r>
      <w:r w:rsidRPr="00EF6711">
        <w:t xml:space="preserve"> foglio illustrativo dei medicinali per uso umano.</w:t>
      </w:r>
      <w:r w:rsidR="00C71EA2">
        <w:t xml:space="preserve"> 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3435E7">
        <w:rPr>
          <w:rFonts w:eastAsia="Calibri" w:cs="Calibri"/>
          <w:color w:val="000000"/>
          <w:lang w:eastAsia="it-IT"/>
        </w:rPr>
        <w:t>FIRACRONO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59CF"/>
    <w:rsid w:val="00013020"/>
    <w:rsid w:val="00014743"/>
    <w:rsid w:val="00022511"/>
    <w:rsid w:val="00023CEA"/>
    <w:rsid w:val="00062636"/>
    <w:rsid w:val="000808A3"/>
    <w:rsid w:val="000A4BA1"/>
    <w:rsid w:val="000B7AC8"/>
    <w:rsid w:val="000E1F86"/>
    <w:rsid w:val="000E4494"/>
    <w:rsid w:val="000F658F"/>
    <w:rsid w:val="00111E9E"/>
    <w:rsid w:val="001460CA"/>
    <w:rsid w:val="001461B4"/>
    <w:rsid w:val="0019502B"/>
    <w:rsid w:val="001B0CB3"/>
    <w:rsid w:val="001C15DF"/>
    <w:rsid w:val="001C6330"/>
    <w:rsid w:val="001E0516"/>
    <w:rsid w:val="002059E2"/>
    <w:rsid w:val="002102D3"/>
    <w:rsid w:val="002264BE"/>
    <w:rsid w:val="00246D04"/>
    <w:rsid w:val="00265B61"/>
    <w:rsid w:val="00277A0E"/>
    <w:rsid w:val="002B3CB0"/>
    <w:rsid w:val="002D6A31"/>
    <w:rsid w:val="002F2543"/>
    <w:rsid w:val="002F4000"/>
    <w:rsid w:val="00300BEA"/>
    <w:rsid w:val="003061E0"/>
    <w:rsid w:val="00310673"/>
    <w:rsid w:val="00321FB5"/>
    <w:rsid w:val="003435E7"/>
    <w:rsid w:val="0035607D"/>
    <w:rsid w:val="00367CE0"/>
    <w:rsid w:val="003C0400"/>
    <w:rsid w:val="003E1576"/>
    <w:rsid w:val="003E18D3"/>
    <w:rsid w:val="0042214D"/>
    <w:rsid w:val="00422A4B"/>
    <w:rsid w:val="00423A97"/>
    <w:rsid w:val="004241AC"/>
    <w:rsid w:val="00431629"/>
    <w:rsid w:val="004415FD"/>
    <w:rsid w:val="004609F8"/>
    <w:rsid w:val="00462489"/>
    <w:rsid w:val="00464BD1"/>
    <w:rsid w:val="004710D7"/>
    <w:rsid w:val="004B20A8"/>
    <w:rsid w:val="004C0901"/>
    <w:rsid w:val="004C7603"/>
    <w:rsid w:val="004E5A39"/>
    <w:rsid w:val="00500ACA"/>
    <w:rsid w:val="005049A1"/>
    <w:rsid w:val="00504FC1"/>
    <w:rsid w:val="00511222"/>
    <w:rsid w:val="00514E9F"/>
    <w:rsid w:val="0056372C"/>
    <w:rsid w:val="00567615"/>
    <w:rsid w:val="005908C6"/>
    <w:rsid w:val="00594374"/>
    <w:rsid w:val="005950D6"/>
    <w:rsid w:val="005F0420"/>
    <w:rsid w:val="00602F58"/>
    <w:rsid w:val="006119FA"/>
    <w:rsid w:val="00621AE2"/>
    <w:rsid w:val="00634B47"/>
    <w:rsid w:val="00642D6A"/>
    <w:rsid w:val="0064646C"/>
    <w:rsid w:val="00654D9E"/>
    <w:rsid w:val="00664931"/>
    <w:rsid w:val="006727BD"/>
    <w:rsid w:val="006B311C"/>
    <w:rsid w:val="006B3E12"/>
    <w:rsid w:val="006C0E3E"/>
    <w:rsid w:val="006D7B8C"/>
    <w:rsid w:val="007066CD"/>
    <w:rsid w:val="00716DF5"/>
    <w:rsid w:val="007170D7"/>
    <w:rsid w:val="007221B6"/>
    <w:rsid w:val="00766E26"/>
    <w:rsid w:val="00787F82"/>
    <w:rsid w:val="00797416"/>
    <w:rsid w:val="00823F4C"/>
    <w:rsid w:val="008518C9"/>
    <w:rsid w:val="00853C5C"/>
    <w:rsid w:val="008547B3"/>
    <w:rsid w:val="008819D4"/>
    <w:rsid w:val="0088216F"/>
    <w:rsid w:val="008A6FEC"/>
    <w:rsid w:val="008B60D7"/>
    <w:rsid w:val="008B6D82"/>
    <w:rsid w:val="008C0920"/>
    <w:rsid w:val="008C3D30"/>
    <w:rsid w:val="008D1529"/>
    <w:rsid w:val="008D3CBB"/>
    <w:rsid w:val="008E1F60"/>
    <w:rsid w:val="00902F9B"/>
    <w:rsid w:val="00943785"/>
    <w:rsid w:val="00957832"/>
    <w:rsid w:val="009638E4"/>
    <w:rsid w:val="009A23DE"/>
    <w:rsid w:val="009A260F"/>
    <w:rsid w:val="009B03DB"/>
    <w:rsid w:val="009C5072"/>
    <w:rsid w:val="009D3446"/>
    <w:rsid w:val="009D3BC4"/>
    <w:rsid w:val="009E0140"/>
    <w:rsid w:val="009E2BC0"/>
    <w:rsid w:val="009F3867"/>
    <w:rsid w:val="00A01AB1"/>
    <w:rsid w:val="00A40FF3"/>
    <w:rsid w:val="00A62D55"/>
    <w:rsid w:val="00A908B9"/>
    <w:rsid w:val="00A966D1"/>
    <w:rsid w:val="00B00AFD"/>
    <w:rsid w:val="00B023E9"/>
    <w:rsid w:val="00B1186F"/>
    <w:rsid w:val="00B22029"/>
    <w:rsid w:val="00B30431"/>
    <w:rsid w:val="00B60A27"/>
    <w:rsid w:val="00B7261C"/>
    <w:rsid w:val="00B75525"/>
    <w:rsid w:val="00BA0ACD"/>
    <w:rsid w:val="00BB2AF8"/>
    <w:rsid w:val="00BB7B54"/>
    <w:rsid w:val="00BC74C2"/>
    <w:rsid w:val="00BE1731"/>
    <w:rsid w:val="00BE7CDB"/>
    <w:rsid w:val="00BF55B9"/>
    <w:rsid w:val="00BF7A42"/>
    <w:rsid w:val="00C2565A"/>
    <w:rsid w:val="00C301E2"/>
    <w:rsid w:val="00C35459"/>
    <w:rsid w:val="00C42AAC"/>
    <w:rsid w:val="00C66597"/>
    <w:rsid w:val="00C71EA2"/>
    <w:rsid w:val="00CA66D2"/>
    <w:rsid w:val="00CC52A3"/>
    <w:rsid w:val="00CC7AFF"/>
    <w:rsid w:val="00CE62A1"/>
    <w:rsid w:val="00D20170"/>
    <w:rsid w:val="00D212AA"/>
    <w:rsid w:val="00D229A0"/>
    <w:rsid w:val="00D2652D"/>
    <w:rsid w:val="00D43C00"/>
    <w:rsid w:val="00D60600"/>
    <w:rsid w:val="00D724F5"/>
    <w:rsid w:val="00DB359A"/>
    <w:rsid w:val="00DF2B9B"/>
    <w:rsid w:val="00DF3D89"/>
    <w:rsid w:val="00E04B4A"/>
    <w:rsid w:val="00E10D6C"/>
    <w:rsid w:val="00E25A42"/>
    <w:rsid w:val="00E26C77"/>
    <w:rsid w:val="00E27C60"/>
    <w:rsid w:val="00E43089"/>
    <w:rsid w:val="00E83F8D"/>
    <w:rsid w:val="00EC3589"/>
    <w:rsid w:val="00EF062E"/>
    <w:rsid w:val="00EF6711"/>
    <w:rsid w:val="00F45C6B"/>
    <w:rsid w:val="00F61CED"/>
    <w:rsid w:val="00F66767"/>
    <w:rsid w:val="00F85989"/>
    <w:rsid w:val="00F96473"/>
    <w:rsid w:val="00FA08CF"/>
    <w:rsid w:val="00FA2702"/>
    <w:rsid w:val="00FA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3">
    <w:name w:val="heading 3"/>
    <w:basedOn w:val="Normale"/>
    <w:link w:val="Titolo3Carattere"/>
    <w:uiPriority w:val="9"/>
    <w:qFormat/>
    <w:rsid w:val="009D3B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D3BC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linkgazzetta">
    <w:name w:val="link_gazzetta"/>
    <w:basedOn w:val="Carpredefinitoparagrafo"/>
    <w:rsid w:val="009D3BC4"/>
  </w:style>
  <w:style w:type="character" w:styleId="Rimandocommento">
    <w:name w:val="annotation reference"/>
    <w:basedOn w:val="Carpredefinitoparagrafo"/>
    <w:uiPriority w:val="99"/>
    <w:semiHidden/>
    <w:unhideWhenUsed/>
    <w:rsid w:val="000059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059C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59C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059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59CF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059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059C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FIRACRONO (rifamicina sodica) - Numero di AIC: 047789</dc:title>
  <dc:creator>AIFA</dc:creator>
  <cp:lastModifiedBy>rovazzanid</cp:lastModifiedBy>
  <cp:revision>4</cp:revision>
  <dcterms:created xsi:type="dcterms:W3CDTF">2020-09-30T11:42:00Z</dcterms:created>
  <dcterms:modified xsi:type="dcterms:W3CDTF">2020-09-30T12:17:00Z</dcterms:modified>
</cp:coreProperties>
</file>