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p>
    <w:p w:rsidR="004241AC" w:rsidRDefault="008172E2" w:rsidP="004241AC">
      <w:pPr>
        <w:spacing w:after="0" w:line="240" w:lineRule="auto"/>
        <w:jc w:val="center"/>
        <w:rPr>
          <w:b/>
        </w:rPr>
      </w:pPr>
      <w:r>
        <w:rPr>
          <w:noProof/>
          <w:lang w:eastAsia="it-IT"/>
        </w:rPr>
        <w:drawing>
          <wp:inline distT="0" distB="0" distL="0" distR="0">
            <wp:extent cx="3091682" cy="1119963"/>
            <wp:effectExtent l="19050" t="0" r="0" b="0"/>
            <wp:docPr id="7" name="Immagine 7" descr="AIFA18_Def_5,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IFA18_Def_5,5cm"/>
                    <pic:cNvPicPr>
                      <a:picLocks noChangeAspect="1" noChangeArrowheads="1"/>
                    </pic:cNvPicPr>
                  </pic:nvPicPr>
                  <pic:blipFill>
                    <a:blip r:embed="rId5" cstate="print"/>
                    <a:srcRect/>
                    <a:stretch>
                      <a:fillRect/>
                    </a:stretch>
                  </pic:blipFill>
                  <pic:spPr bwMode="auto">
                    <a:xfrm>
                      <a:off x="0" y="0"/>
                      <a:ext cx="3100851" cy="1123285"/>
                    </a:xfrm>
                    <a:prstGeom prst="rect">
                      <a:avLst/>
                    </a:prstGeom>
                    <a:noFill/>
                    <a:ln w="9525">
                      <a:noFill/>
                      <a:miter lim="800000"/>
                      <a:headEnd/>
                      <a:tailEnd/>
                    </a:ln>
                  </pic:spPr>
                </pic:pic>
              </a:graphicData>
            </a:graphic>
          </wp:inline>
        </w:drawing>
      </w:r>
    </w:p>
    <w:p w:rsidR="008172E2" w:rsidRDefault="008172E2" w:rsidP="00823F4C">
      <w:pPr>
        <w:spacing w:after="0" w:line="240" w:lineRule="auto"/>
        <w:jc w:val="center"/>
        <w:rPr>
          <w:b/>
          <w:sz w:val="28"/>
        </w:rPr>
      </w:pPr>
      <w:bookmarkStart w:id="0" w:name="Text15"/>
    </w:p>
    <w:p w:rsidR="00823F4C" w:rsidRDefault="00823F4C" w:rsidP="00823F4C">
      <w:pPr>
        <w:spacing w:after="0" w:line="240" w:lineRule="auto"/>
        <w:jc w:val="center"/>
        <w:rPr>
          <w:b/>
          <w:sz w:val="28"/>
        </w:rPr>
      </w:pPr>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823F4C" w:rsidRDefault="00823F4C" w:rsidP="004241AC">
      <w:pPr>
        <w:autoSpaceDE w:val="0"/>
        <w:autoSpaceDN w:val="0"/>
        <w:adjustRightInd w:val="0"/>
        <w:spacing w:after="0" w:line="240" w:lineRule="auto"/>
        <w:jc w:val="center"/>
        <w:rPr>
          <w:b/>
          <w:highlight w:val="yellow"/>
        </w:rPr>
      </w:pPr>
    </w:p>
    <w:p w:rsidR="004609F8" w:rsidRDefault="004609F8" w:rsidP="004241AC">
      <w:pPr>
        <w:autoSpaceDE w:val="0"/>
        <w:autoSpaceDN w:val="0"/>
        <w:adjustRightInd w:val="0"/>
        <w:spacing w:after="0" w:line="240" w:lineRule="auto"/>
        <w:jc w:val="center"/>
        <w:rPr>
          <w:b/>
          <w:highlight w:val="yellow"/>
        </w:rPr>
      </w:pPr>
    </w:p>
    <w:p w:rsidR="004609F8" w:rsidRDefault="00D9711D" w:rsidP="004241AC">
      <w:pPr>
        <w:widowControl w:val="0"/>
        <w:spacing w:after="0" w:line="240" w:lineRule="auto"/>
        <w:jc w:val="center"/>
        <w:rPr>
          <w:snapToGrid w:val="0"/>
        </w:rPr>
      </w:pPr>
      <w:r w:rsidRPr="00D9711D">
        <w:rPr>
          <w:b/>
          <w:sz w:val="32"/>
        </w:rPr>
        <w:t>KETOROLAC S.A.L.F.</w:t>
      </w:r>
    </w:p>
    <w:p w:rsidR="004241AC" w:rsidRPr="00A966D1" w:rsidRDefault="004241AC" w:rsidP="004241AC">
      <w:pPr>
        <w:widowControl w:val="0"/>
        <w:spacing w:after="0" w:line="240" w:lineRule="auto"/>
        <w:jc w:val="center"/>
        <w:rPr>
          <w:snapToGrid w:val="0"/>
        </w:rPr>
      </w:pPr>
      <w:r w:rsidRPr="00A966D1">
        <w:rPr>
          <w:snapToGrid w:val="0"/>
        </w:rPr>
        <w:t xml:space="preserve"> (</w:t>
      </w:r>
      <w:proofErr w:type="spellStart"/>
      <w:r w:rsidR="00513B1D">
        <w:rPr>
          <w:snapToGrid w:val="0"/>
        </w:rPr>
        <w:t>Ketorolac</w:t>
      </w:r>
      <w:proofErr w:type="spellEnd"/>
      <w:r w:rsidR="00513B1D">
        <w:rPr>
          <w:snapToGrid w:val="0"/>
        </w:rPr>
        <w:t xml:space="preserve"> </w:t>
      </w:r>
      <w:proofErr w:type="spellStart"/>
      <w:r w:rsidR="00697EA4">
        <w:rPr>
          <w:snapToGrid w:val="0"/>
        </w:rPr>
        <w:t>trometamina</w:t>
      </w:r>
      <w:proofErr w:type="spellEnd"/>
      <w:r w:rsidRPr="00A966D1">
        <w:rPr>
          <w:snapToGrid w:val="0"/>
        </w:rPr>
        <w:t>)</w:t>
      </w:r>
    </w:p>
    <w:p w:rsidR="004241AC" w:rsidRDefault="004241AC" w:rsidP="004241AC">
      <w:pPr>
        <w:autoSpaceDE w:val="0"/>
        <w:autoSpaceDN w:val="0"/>
        <w:adjustRightInd w:val="0"/>
        <w:spacing w:after="0" w:line="240" w:lineRule="auto"/>
        <w:jc w:val="center"/>
        <w:rPr>
          <w:b/>
        </w:rPr>
      </w:pPr>
    </w:p>
    <w:p w:rsidR="004609F8" w:rsidRPr="00A966D1" w:rsidRDefault="004609F8" w:rsidP="004241AC">
      <w:pPr>
        <w:autoSpaceDE w:val="0"/>
        <w:autoSpaceDN w:val="0"/>
        <w:adjustRightInd w:val="0"/>
        <w:spacing w:after="0" w:line="240" w:lineRule="auto"/>
        <w:jc w:val="center"/>
        <w:rPr>
          <w:b/>
        </w:rPr>
      </w:pPr>
    </w:p>
    <w:p w:rsidR="00797416" w:rsidRDefault="00797416" w:rsidP="004241AC">
      <w:pPr>
        <w:spacing w:after="0" w:line="240" w:lineRule="auto"/>
        <w:jc w:val="center"/>
        <w:rPr>
          <w:b/>
        </w:rPr>
      </w:pPr>
      <w:r>
        <w:rPr>
          <w:b/>
        </w:rPr>
        <w:t xml:space="preserve">Ditta </w:t>
      </w:r>
      <w:r w:rsidR="00D9711D" w:rsidRPr="00D9711D">
        <w:rPr>
          <w:b/>
        </w:rPr>
        <w:t>S.A.L.F. S.P.A.  LABORATORIO FARMACOLOGICO</w:t>
      </w:r>
    </w:p>
    <w:p w:rsidR="00EC3589" w:rsidRDefault="00BF7A42" w:rsidP="004241AC">
      <w:pPr>
        <w:spacing w:after="0" w:line="240" w:lineRule="auto"/>
        <w:jc w:val="center"/>
        <w:rPr>
          <w:b/>
        </w:rPr>
      </w:pPr>
      <w:r w:rsidRPr="00BF7A42">
        <w:rPr>
          <w:b/>
        </w:rPr>
        <w:t xml:space="preserve"> </w:t>
      </w:r>
    </w:p>
    <w:p w:rsidR="004609F8" w:rsidRDefault="004609F8" w:rsidP="004241AC">
      <w:pPr>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D9711D">
        <w:rPr>
          <w:b/>
        </w:rPr>
        <w:t>045239</w:t>
      </w:r>
    </w:p>
    <w:p w:rsidR="00797416" w:rsidRPr="00062636" w:rsidRDefault="00797416" w:rsidP="004241AC">
      <w:pPr>
        <w:spacing w:after="0" w:line="240" w:lineRule="auto"/>
        <w:jc w:val="center"/>
        <w:rPr>
          <w:b/>
        </w:rPr>
      </w:pPr>
    </w:p>
    <w:bookmarkEnd w:id="0"/>
    <w:p w:rsidR="004241AC" w:rsidRDefault="004241AC" w:rsidP="004241AC">
      <w:pPr>
        <w:spacing w:after="0" w:line="240" w:lineRule="auto"/>
        <w:jc w:val="center"/>
        <w:rPr>
          <w:b/>
        </w:rPr>
      </w:pPr>
    </w:p>
    <w:p w:rsidR="004E5A39" w:rsidRPr="00062636" w:rsidRDefault="004E5A39" w:rsidP="004241AC">
      <w:pPr>
        <w:spacing w:after="0" w:line="240" w:lineRule="auto"/>
        <w:jc w:val="center"/>
        <w:rPr>
          <w:b/>
        </w:rPr>
      </w:pPr>
    </w:p>
    <w:p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4E5A39" w:rsidRDefault="004E5A39" w:rsidP="004241AC">
      <w:pPr>
        <w:autoSpaceDE w:val="0"/>
        <w:autoSpaceDN w:val="0"/>
        <w:adjustRightInd w:val="0"/>
        <w:spacing w:after="0" w:line="240" w:lineRule="auto"/>
        <w:jc w:val="both"/>
        <w:rPr>
          <w:rFonts w:eastAsia="Calibri" w:cs="Calibri"/>
          <w:color w:val="000000"/>
          <w:lang w:eastAsia="it-IT"/>
        </w:rPr>
      </w:pPr>
    </w:p>
    <w:p w:rsidR="00BB2AF8" w:rsidRPr="00D9711D" w:rsidRDefault="00BB2AF8" w:rsidP="00BB2AF8">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D9711D" w:rsidRPr="00DC1197">
        <w:rPr>
          <w:rFonts w:eastAsia="Calibri" w:cs="Calibri"/>
          <w:color w:val="000000"/>
          <w:lang w:eastAsia="it-IT"/>
        </w:rPr>
        <w:t>KETOROLAC S.A.L.F</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D9711D">
        <w:rPr>
          <w:rFonts w:eastAsia="Calibri" w:cs="Calibri"/>
          <w:color w:val="000000"/>
          <w:lang w:eastAsia="it-IT"/>
        </w:rPr>
        <w:t>KETOROLAC S.A.L.F.</w:t>
      </w:r>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D9711D">
        <w:rPr>
          <w:rFonts w:eastAsia="Calibri" w:cs="Calibri"/>
          <w:color w:val="000000"/>
          <w:lang w:eastAsia="it-IT"/>
        </w:rPr>
        <w:t>KETOROLAC S.A.L.F.</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D9711D">
        <w:rPr>
          <w:rFonts w:eastAsia="Calibri" w:cs="Calibri"/>
          <w:color w:val="000000"/>
          <w:lang w:eastAsia="it-IT"/>
        </w:rPr>
        <w:t>KETOROLAC S.A.L.F.</w:t>
      </w:r>
      <w:r w:rsidR="00DC1197">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D9711D">
        <w:rPr>
          <w:rFonts w:eastAsia="Calibri" w:cs="Calibri"/>
          <w:b/>
          <w:color w:val="000000"/>
          <w:lang w:eastAsia="it-IT"/>
        </w:rPr>
        <w:t>KETOROLAC S.A.L.F.</w:t>
      </w:r>
      <w:r w:rsidR="00797416">
        <w:rPr>
          <w:rFonts w:eastAsia="Calibri" w:cs="Calibri"/>
          <w:b/>
          <w:color w:val="000000"/>
          <w:lang w:eastAsia="it-IT"/>
        </w:rPr>
        <w:t xml:space="preserve"> </w:t>
      </w:r>
      <w:r w:rsidRPr="00797416">
        <w:rPr>
          <w:rFonts w:eastAsia="Calibri" w:cs="Calibri"/>
          <w:b/>
          <w:bCs/>
          <w:color w:val="000000"/>
          <w:lang w:eastAsia="it-IT"/>
        </w:rPr>
        <w:t xml:space="preserve">E A COSA SERVE? </w:t>
      </w:r>
    </w:p>
    <w:p w:rsidR="00797416" w:rsidRDefault="00D9711D" w:rsidP="00BB2AF8">
      <w:pPr>
        <w:widowControl w:val="0"/>
        <w:spacing w:after="0" w:line="240" w:lineRule="auto"/>
        <w:jc w:val="both"/>
        <w:rPr>
          <w:rFonts w:eastAsia="Calibri" w:cs="Calibri"/>
          <w:color w:val="000000"/>
          <w:lang w:eastAsia="it-IT"/>
        </w:rPr>
      </w:pPr>
      <w:r>
        <w:rPr>
          <w:rFonts w:eastAsia="Calibri" w:cs="Calibri"/>
          <w:color w:val="000000"/>
          <w:lang w:eastAsia="it-IT"/>
        </w:rPr>
        <w:t>KETOROLAC S.A.L.F.</w:t>
      </w:r>
      <w:r w:rsidR="0079741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proofErr w:type="spellStart"/>
      <w:r w:rsidR="00DC1197">
        <w:rPr>
          <w:rFonts w:eastAsia="Calibri" w:cs="Calibri"/>
          <w:color w:val="000000"/>
          <w:lang w:eastAsia="it-IT"/>
        </w:rPr>
        <w:t>ketorolac</w:t>
      </w:r>
      <w:proofErr w:type="spellEnd"/>
      <w:r w:rsidR="00DC1197">
        <w:rPr>
          <w:rFonts w:eastAsia="Calibri" w:cs="Calibri"/>
          <w:color w:val="000000"/>
          <w:lang w:eastAsia="it-IT"/>
        </w:rPr>
        <w:t xml:space="preserve"> </w:t>
      </w:r>
      <w:proofErr w:type="spellStart"/>
      <w:r w:rsidR="00697EA4">
        <w:rPr>
          <w:rFonts w:eastAsia="Calibri" w:cs="Calibri"/>
          <w:color w:val="000000"/>
          <w:lang w:eastAsia="it-IT"/>
        </w:rPr>
        <w:t>trometamina</w:t>
      </w:r>
      <w:proofErr w:type="spellEnd"/>
      <w:r w:rsidR="00697EA4">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è disponibile come:</w:t>
      </w:r>
    </w:p>
    <w:p w:rsidR="00BB2AF8" w:rsidRDefault="00DC1197" w:rsidP="00BB2AF8">
      <w:pPr>
        <w:widowControl w:val="0"/>
        <w:spacing w:after="0" w:line="240" w:lineRule="auto"/>
        <w:jc w:val="both"/>
        <w:rPr>
          <w:rFonts w:eastAsia="Calibri" w:cs="Calibri"/>
          <w:color w:val="000000"/>
          <w:lang w:eastAsia="it-IT"/>
        </w:rPr>
      </w:pPr>
      <w:r>
        <w:rPr>
          <w:rFonts w:eastAsia="Calibri" w:cs="Calibri"/>
          <w:color w:val="000000"/>
          <w:lang w:eastAsia="it-IT"/>
        </w:rPr>
        <w:t xml:space="preserve">soluzione iniettabile </w:t>
      </w:r>
      <w:r w:rsidR="00797416">
        <w:rPr>
          <w:rFonts w:eastAsia="Calibri" w:cs="Calibri"/>
          <w:color w:val="000000"/>
          <w:lang w:eastAsia="it-IT"/>
        </w:rPr>
        <w:t>contenenti il principio attivo</w:t>
      </w:r>
      <w:r w:rsidR="00BB2AF8">
        <w:rPr>
          <w:rFonts w:eastAsia="Calibri" w:cs="Calibri"/>
          <w:color w:val="000000"/>
          <w:lang w:eastAsia="it-IT"/>
        </w:rPr>
        <w:t xml:space="preserve"> alla concentrazione di </w:t>
      </w:r>
      <w:r>
        <w:rPr>
          <w:rFonts w:eastAsia="Calibri" w:cs="Calibri"/>
          <w:color w:val="000000"/>
          <w:lang w:eastAsia="it-IT"/>
        </w:rPr>
        <w:t>30 mg/ml</w:t>
      </w:r>
      <w:r w:rsidR="00BB2AF8" w:rsidRPr="000E0632">
        <w:rPr>
          <w:rFonts w:eastAsia="Calibri" w:cs="Calibri"/>
          <w:color w:val="000000"/>
          <w:lang w:eastAsia="it-IT"/>
        </w:rPr>
        <w:t>.</w:t>
      </w:r>
    </w:p>
    <w:p w:rsidR="00300BEA" w:rsidRDefault="00300BEA" w:rsidP="00BB2AF8">
      <w:pPr>
        <w:widowControl w:val="0"/>
        <w:spacing w:after="0" w:line="240" w:lineRule="auto"/>
        <w:jc w:val="both"/>
        <w:rPr>
          <w:rFonts w:eastAsia="Calibri" w:cs="Calibri"/>
          <w:color w:val="000000"/>
          <w:lang w:eastAsia="it-IT"/>
        </w:rPr>
      </w:pPr>
    </w:p>
    <w:p w:rsidR="00300BEA" w:rsidRDefault="00300BEA" w:rsidP="00BB2AF8">
      <w:pPr>
        <w:widowControl w:val="0"/>
        <w:spacing w:after="0" w:line="240" w:lineRule="auto"/>
        <w:jc w:val="both"/>
        <w:rPr>
          <w:rFonts w:eastAsia="Calibri" w:cs="Calibri"/>
          <w:color w:val="000000"/>
          <w:lang w:eastAsia="it-IT"/>
        </w:rPr>
      </w:pPr>
    </w:p>
    <w:p w:rsidR="00797416" w:rsidRDefault="00D9711D" w:rsidP="00BB2AF8">
      <w:pPr>
        <w:widowControl w:val="0"/>
        <w:spacing w:after="0" w:line="240" w:lineRule="auto"/>
        <w:jc w:val="both"/>
        <w:rPr>
          <w:rFonts w:eastAsia="Calibri" w:cs="Calibri"/>
          <w:color w:val="000000"/>
          <w:lang w:eastAsia="it-IT"/>
        </w:rPr>
      </w:pPr>
      <w:r>
        <w:rPr>
          <w:rFonts w:eastAsia="Calibri" w:cs="Calibri"/>
          <w:color w:val="000000"/>
          <w:lang w:eastAsia="it-IT"/>
        </w:rPr>
        <w:t>KETOROLAC S.A.L.F.</w:t>
      </w:r>
      <w:r w:rsidR="00797416">
        <w:rPr>
          <w:rFonts w:eastAsia="Calibri" w:cs="Calibri"/>
          <w:color w:val="000000"/>
          <w:lang w:eastAsia="it-IT"/>
        </w:rPr>
        <w:t xml:space="preserve"> </w:t>
      </w:r>
      <w:r w:rsidR="00797416" w:rsidRPr="00E83F8D">
        <w:rPr>
          <w:rFonts w:eastAsia="Calibri" w:cs="Calibri"/>
          <w:color w:val="000000"/>
          <w:lang w:eastAsia="it-IT"/>
        </w:rPr>
        <w:t xml:space="preserve">è un “medicinale generico”, cioè è analogo ad un “medicinale di riferimento”, </w:t>
      </w:r>
      <w:r w:rsidR="00DC6312">
        <w:rPr>
          <w:rFonts w:eastAsia="Calibri" w:cs="Calibri"/>
          <w:color w:val="000000"/>
          <w:lang w:eastAsia="it-IT"/>
        </w:rPr>
        <w:t>TORADOL</w:t>
      </w:r>
      <w:r w:rsidR="00300BEA">
        <w:rPr>
          <w:rFonts w:eastAsia="Calibri" w:cs="Calibri"/>
          <w:color w:val="000000"/>
          <w:lang w:eastAsia="it-IT"/>
        </w:rPr>
        <w:t xml:space="preserve"> già autorizzato in Italia con una procedura </w:t>
      </w:r>
      <w:r w:rsidR="006E408C">
        <w:rPr>
          <w:rFonts w:eastAsia="Calibri" w:cs="Calibri"/>
          <w:color w:val="000000"/>
          <w:lang w:eastAsia="it-IT"/>
        </w:rPr>
        <w:t>nazionale</w:t>
      </w:r>
      <w:r w:rsidR="00300BEA" w:rsidRPr="00D2683B">
        <w:rPr>
          <w:rFonts w:eastAsia="Calibri" w:cs="Calibri"/>
          <w:color w:val="000000"/>
          <w:lang w:eastAsia="it-IT"/>
        </w:rPr>
        <w:t xml:space="preserve">. Sul sito dell’Agenzia Italiana del Farmaco (AIFA) </w:t>
      </w:r>
      <w:r w:rsidR="00300BEA" w:rsidRPr="0018344E">
        <w:rPr>
          <w:rFonts w:eastAsia="Calibri" w:cs="Calibri"/>
          <w:color w:val="000000"/>
          <w:lang w:eastAsia="it-IT"/>
        </w:rPr>
        <w:t>(</w:t>
      </w:r>
      <w:hyperlink r:id="rId6" w:history="1">
        <w:r w:rsidR="00300BEA" w:rsidRPr="0018344E">
          <w:rPr>
            <w:rStyle w:val="Collegamentoipertestuale"/>
            <w:rFonts w:eastAsia="Calibri" w:cs="Calibri"/>
            <w:lang w:eastAsia="it-IT"/>
          </w:rPr>
          <w:t>https://farmaci.agenziafarmaco.gov.it/bancadatifarmaci</w:t>
        </w:r>
      </w:hyperlink>
      <w:r w:rsidR="00300BEA" w:rsidRPr="0018344E">
        <w:rPr>
          <w:rFonts w:eastAsia="Calibri" w:cs="Calibri"/>
          <w:lang w:eastAsia="it-IT"/>
        </w:rPr>
        <w:t>)</w:t>
      </w:r>
      <w:r w:rsidR="0018344E">
        <w:t xml:space="preserve"> </w:t>
      </w:r>
      <w:r w:rsidR="00300BEA" w:rsidRPr="00D2683B">
        <w:rPr>
          <w:rFonts w:eastAsia="Calibri" w:cs="Calibri"/>
          <w:color w:val="000000"/>
          <w:lang w:eastAsia="it-IT"/>
        </w:rPr>
        <w:t xml:space="preserve">è possibile consultare il Riassunto delle caratteristiche del prodotto e il foglio illustrativo di </w:t>
      </w:r>
      <w:r w:rsidR="00DC6312">
        <w:rPr>
          <w:rFonts w:eastAsia="Calibri" w:cs="Calibri"/>
          <w:color w:val="000000"/>
          <w:lang w:eastAsia="it-IT"/>
        </w:rPr>
        <w:t>TORADOL</w:t>
      </w:r>
      <w:r w:rsidR="00300BEA" w:rsidRPr="00D2683B">
        <w:rPr>
          <w:rFonts w:eastAsia="Calibri" w:cs="Calibri"/>
          <w:color w:val="000000"/>
          <w:lang w:eastAsia="it-IT"/>
        </w:rPr>
        <w:t>.</w:t>
      </w:r>
    </w:p>
    <w:p w:rsidR="006B311C" w:rsidRDefault="006B311C" w:rsidP="00BB2AF8">
      <w:pPr>
        <w:autoSpaceDE w:val="0"/>
        <w:autoSpaceDN w:val="0"/>
        <w:adjustRightInd w:val="0"/>
        <w:spacing w:after="0" w:line="240" w:lineRule="auto"/>
        <w:jc w:val="both"/>
        <w:rPr>
          <w:rFonts w:eastAsia="Calibri" w:cs="Calibri"/>
          <w:color w:val="000000"/>
          <w:lang w:eastAsia="it-IT"/>
        </w:rPr>
      </w:pPr>
    </w:p>
    <w:p w:rsidR="00BB2AF8" w:rsidRDefault="00D9711D"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KETOROLAC S.A.L.F.</w:t>
      </w:r>
      <w:r w:rsidR="00300BEA">
        <w:rPr>
          <w:rFonts w:eastAsia="Calibri" w:cs="Calibri"/>
          <w:color w:val="000000"/>
          <w:lang w:eastAsia="it-IT"/>
        </w:rPr>
        <w:t xml:space="preserve"> </w:t>
      </w:r>
      <w:r w:rsidR="00BB2AF8" w:rsidRPr="00051F8C">
        <w:rPr>
          <w:rFonts w:eastAsia="Calibri" w:cs="Calibri"/>
          <w:lang w:eastAsia="it-IT"/>
        </w:rPr>
        <w:t>si usa</w:t>
      </w:r>
      <w:r w:rsidR="00BB2AF8">
        <w:rPr>
          <w:rFonts w:eastAsia="Calibri" w:cs="Calibri"/>
          <w:lang w:eastAsia="it-IT"/>
        </w:rPr>
        <w:t>:</w:t>
      </w:r>
    </w:p>
    <w:p w:rsidR="007A5A86" w:rsidRPr="007A5A86" w:rsidRDefault="007A5A86" w:rsidP="007A5A86">
      <w:pPr>
        <w:numPr>
          <w:ilvl w:val="0"/>
          <w:numId w:val="6"/>
        </w:numPr>
        <w:autoSpaceDE w:val="0"/>
        <w:autoSpaceDN w:val="0"/>
        <w:adjustRightInd w:val="0"/>
        <w:spacing w:after="0" w:line="240" w:lineRule="auto"/>
        <w:jc w:val="both"/>
        <w:rPr>
          <w:rFonts w:eastAsia="Calibri" w:cs="Calibri"/>
          <w:bCs/>
          <w:color w:val="000000"/>
          <w:szCs w:val="24"/>
          <w:lang w:eastAsia="it-IT"/>
        </w:rPr>
      </w:pPr>
      <w:r w:rsidRPr="007A5A86">
        <w:rPr>
          <w:rFonts w:eastAsia="Calibri" w:cs="Calibri"/>
          <w:bCs/>
          <w:color w:val="000000"/>
          <w:szCs w:val="24"/>
          <w:lang w:eastAsia="it-IT"/>
        </w:rPr>
        <w:t>nel trattamento a breve termine (massimo 2 giorni) del dolore acuto moderato e grave, dopo un intervento chirurgico (dolore post-operatorio), somministrato in un muscolo (per via intramuscolare) o attraverso una vena (per via endovenosa);</w:t>
      </w:r>
    </w:p>
    <w:p w:rsidR="007A5A86" w:rsidRPr="007A5A86" w:rsidRDefault="007A5A86" w:rsidP="007A5A86">
      <w:pPr>
        <w:numPr>
          <w:ilvl w:val="0"/>
          <w:numId w:val="6"/>
        </w:numPr>
        <w:autoSpaceDE w:val="0"/>
        <w:autoSpaceDN w:val="0"/>
        <w:adjustRightInd w:val="0"/>
        <w:spacing w:after="0" w:line="240" w:lineRule="auto"/>
        <w:jc w:val="both"/>
        <w:rPr>
          <w:rFonts w:eastAsia="Calibri" w:cs="Calibri"/>
          <w:bCs/>
          <w:color w:val="000000"/>
          <w:szCs w:val="24"/>
          <w:lang w:eastAsia="it-IT"/>
        </w:rPr>
      </w:pPr>
      <w:r w:rsidRPr="007A5A86">
        <w:rPr>
          <w:rFonts w:eastAsia="Calibri" w:cs="Calibri"/>
          <w:bCs/>
          <w:color w:val="000000"/>
          <w:szCs w:val="24"/>
          <w:lang w:eastAsia="it-IT"/>
        </w:rPr>
        <w:t>a supporto di una terapia contro il dolore a base di derivati dell’oppio, nei casi di interventi chirurgici importanti (chirurgia maggiore) o di dolore molto intenso, somministrato per via endovenosa;</w:t>
      </w:r>
    </w:p>
    <w:p w:rsidR="007A5A86" w:rsidRPr="007A5A86" w:rsidRDefault="007A5A86" w:rsidP="007A5A86">
      <w:pPr>
        <w:numPr>
          <w:ilvl w:val="0"/>
          <w:numId w:val="6"/>
        </w:numPr>
        <w:autoSpaceDE w:val="0"/>
        <w:autoSpaceDN w:val="0"/>
        <w:adjustRightInd w:val="0"/>
        <w:spacing w:after="0" w:line="240" w:lineRule="auto"/>
        <w:jc w:val="both"/>
        <w:rPr>
          <w:rFonts w:eastAsia="Calibri" w:cs="Calibri"/>
          <w:bCs/>
          <w:color w:val="000000"/>
          <w:szCs w:val="24"/>
          <w:lang w:eastAsia="it-IT"/>
        </w:rPr>
      </w:pPr>
      <w:r w:rsidRPr="007A5A86">
        <w:rPr>
          <w:rFonts w:eastAsia="Calibri" w:cs="Calibri"/>
          <w:bCs/>
          <w:color w:val="000000"/>
          <w:szCs w:val="24"/>
          <w:lang w:eastAsia="it-IT"/>
        </w:rPr>
        <w:t>nel trattamento del dolore dovuto alle coliche renali, al dosaggio di 30 mg/ml.</w:t>
      </w:r>
    </w:p>
    <w:p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lastRenderedPageBreak/>
        <w:t xml:space="preserve">2) COME E’ PRESCRITTO/USATO </w:t>
      </w:r>
      <w:r w:rsidR="00D9711D">
        <w:rPr>
          <w:rFonts w:eastAsia="Calibri" w:cs="Calibri"/>
          <w:b/>
          <w:color w:val="000000"/>
          <w:lang w:eastAsia="it-IT"/>
        </w:rPr>
        <w:t>KETOROLAC S.A.L.F.</w:t>
      </w:r>
      <w:r w:rsidRPr="003F739B">
        <w:rPr>
          <w:rFonts w:eastAsia="Calibri" w:cs="Calibri"/>
          <w:b/>
          <w:bCs/>
          <w:color w:val="000000"/>
          <w:lang w:eastAsia="it-IT"/>
        </w:rPr>
        <w:t>?</w:t>
      </w:r>
    </w:p>
    <w:p w:rsidR="001C15DF" w:rsidRDefault="00D9711D" w:rsidP="001C15DF">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KETOROLAC S.A.L.F.</w:t>
      </w:r>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del medico (</w:t>
      </w:r>
      <w:r w:rsidR="007A5A86">
        <w:rPr>
          <w:rFonts w:asciiTheme="minorHAnsi" w:eastAsia="Calibri" w:hAnsiTheme="minorHAnsi" w:cs="Calibri"/>
          <w:color w:val="000000"/>
          <w:sz w:val="22"/>
          <w:szCs w:val="22"/>
        </w:rPr>
        <w:t xml:space="preserve">ricetta </w:t>
      </w:r>
      <w:r w:rsidR="00300BEA" w:rsidRPr="001C15DF">
        <w:rPr>
          <w:rFonts w:asciiTheme="minorHAnsi" w:eastAsia="Calibri" w:hAnsiTheme="minorHAnsi" w:cs="Calibri"/>
          <w:color w:val="000000"/>
          <w:sz w:val="22"/>
          <w:szCs w:val="22"/>
        </w:rPr>
        <w:t>non ripetibile</w:t>
      </w:r>
      <w:r w:rsidR="007A5A86">
        <w:rPr>
          <w:rFonts w:asciiTheme="minorHAnsi" w:eastAsia="Calibri" w:hAnsiTheme="minorHAnsi" w:cs="Calibri"/>
          <w:color w:val="000000"/>
          <w:sz w:val="22"/>
          <w:szCs w:val="22"/>
        </w:rPr>
        <w:t>).</w:t>
      </w:r>
    </w:p>
    <w:p w:rsidR="00484BAE" w:rsidRPr="001C15DF" w:rsidRDefault="00484BAE" w:rsidP="001C15DF">
      <w:pPr>
        <w:pStyle w:val="PreformattatoHTML"/>
        <w:jc w:val="both"/>
        <w:rPr>
          <w:rFonts w:asciiTheme="minorHAnsi" w:eastAsia="Calibri" w:hAnsiTheme="minorHAnsi" w:cs="Calibri"/>
          <w:color w:val="000000"/>
          <w:sz w:val="22"/>
          <w:szCs w:val="22"/>
        </w:rPr>
      </w:pPr>
    </w:p>
    <w:p w:rsidR="00484BAE" w:rsidRPr="00484BAE" w:rsidRDefault="00484BAE" w:rsidP="00484BAE">
      <w:pPr>
        <w:tabs>
          <w:tab w:val="left" w:pos="0"/>
        </w:tabs>
        <w:spacing w:after="0" w:line="240" w:lineRule="auto"/>
        <w:jc w:val="both"/>
      </w:pPr>
      <w:r w:rsidRPr="00484BAE">
        <w:t xml:space="preserve">La dose iniziale raccomandata è di 10 mg, seguita da dosi di 10-30 mg </w:t>
      </w:r>
      <w:r>
        <w:t>somministrate</w:t>
      </w:r>
      <w:r w:rsidRPr="00484BAE">
        <w:t xml:space="preserve"> ogni 4-6 ore, secondo necessità, fino ad un massimo di 90 mg al giorno, utilizzando la dose minima efficace. Per la dose iniziale di 10 mg, il medico le prescriverà un altro farmaco contenente </w:t>
      </w:r>
      <w:proofErr w:type="spellStart"/>
      <w:r w:rsidRPr="00484BAE">
        <w:t>Ketorolac</w:t>
      </w:r>
      <w:proofErr w:type="spellEnd"/>
      <w:r w:rsidRPr="00484BAE">
        <w:t xml:space="preserve"> con tale dosaggio.</w:t>
      </w:r>
    </w:p>
    <w:p w:rsidR="00484BAE" w:rsidRPr="00715AAB" w:rsidRDefault="00484BAE" w:rsidP="00484BAE">
      <w:pPr>
        <w:tabs>
          <w:tab w:val="left" w:pos="0"/>
        </w:tabs>
        <w:spacing w:after="0" w:line="240" w:lineRule="auto"/>
        <w:jc w:val="both"/>
        <w:rPr>
          <w:bCs/>
        </w:rPr>
      </w:pPr>
      <w:r w:rsidRPr="00715AAB">
        <w:rPr>
          <w:bCs/>
        </w:rPr>
        <w:t>La durata della terapia non deve superare i 2 giorni.</w:t>
      </w:r>
    </w:p>
    <w:p w:rsidR="00484BAE" w:rsidRPr="00274658" w:rsidRDefault="00484BAE" w:rsidP="00484BAE">
      <w:pPr>
        <w:tabs>
          <w:tab w:val="left" w:pos="0"/>
        </w:tabs>
        <w:spacing w:after="0" w:line="240" w:lineRule="auto"/>
        <w:jc w:val="both"/>
      </w:pPr>
    </w:p>
    <w:p w:rsidR="00484BAE" w:rsidRDefault="00484BAE" w:rsidP="00484BAE">
      <w:pPr>
        <w:tabs>
          <w:tab w:val="left" w:pos="0"/>
        </w:tabs>
        <w:spacing w:after="0" w:line="240" w:lineRule="auto"/>
        <w:jc w:val="both"/>
      </w:pPr>
      <w:r w:rsidRPr="0005658E">
        <w:t>Nei pazienti anziani il dosaggio può essere più basso</w:t>
      </w:r>
      <w:r w:rsidR="00FC50DB" w:rsidRPr="0005658E">
        <w:t xml:space="preserve"> e non deve superare i 60 mg al giorno.</w:t>
      </w:r>
    </w:p>
    <w:p w:rsidR="008A6FEC" w:rsidRPr="00B7597D" w:rsidRDefault="008A6FEC" w:rsidP="00BB2AF8">
      <w:pPr>
        <w:tabs>
          <w:tab w:val="left" w:pos="0"/>
        </w:tabs>
        <w:spacing w:after="0" w:line="240" w:lineRule="auto"/>
        <w:jc w:val="both"/>
      </w:pPr>
    </w:p>
    <w:p w:rsidR="001C15DF" w:rsidRDefault="00F96473" w:rsidP="00BB2AF8">
      <w:pPr>
        <w:autoSpaceDE w:val="0"/>
        <w:autoSpaceDN w:val="0"/>
        <w:adjustRightInd w:val="0"/>
        <w:spacing w:after="0" w:line="240" w:lineRule="auto"/>
        <w:jc w:val="both"/>
      </w:pPr>
      <w:r>
        <w:t>Q</w:t>
      </w:r>
      <w:r w:rsidR="001C15DF">
        <w:t>uesto medicinale non deve essere utilizzato</w:t>
      </w:r>
      <w:r w:rsidR="00715AAB">
        <w:t xml:space="preserve"> nei bambini e negli adolescenti</w:t>
      </w:r>
      <w:r w:rsidR="001C15DF">
        <w:t>.</w:t>
      </w:r>
    </w:p>
    <w:p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D9711D">
        <w:rPr>
          <w:rFonts w:eastAsia="Calibri" w:cs="Calibri"/>
          <w:b/>
          <w:color w:val="000000"/>
          <w:lang w:eastAsia="it-IT"/>
        </w:rPr>
        <w:t>KETOROLAC S.A.L.F.</w:t>
      </w:r>
      <w:r w:rsidRPr="004B4170">
        <w:rPr>
          <w:rFonts w:eastAsia="Calibri" w:cs="Calibri"/>
          <w:b/>
          <w:bCs/>
          <w:color w:val="000000"/>
          <w:lang w:eastAsia="it-IT"/>
        </w:rPr>
        <w:t xml:space="preserve">? </w:t>
      </w:r>
    </w:p>
    <w:p w:rsidR="00CE7111" w:rsidRPr="00CE7111" w:rsidRDefault="00D9711D" w:rsidP="00CE7111">
      <w:pPr>
        <w:autoSpaceDE w:val="0"/>
        <w:autoSpaceDN w:val="0"/>
        <w:adjustRightInd w:val="0"/>
        <w:spacing w:after="0" w:line="240" w:lineRule="auto"/>
        <w:jc w:val="both"/>
      </w:pPr>
      <w:r>
        <w:rPr>
          <w:rFonts w:eastAsia="Calibri" w:cs="Calibri"/>
          <w:color w:val="000000"/>
          <w:lang w:eastAsia="it-IT"/>
        </w:rPr>
        <w:t>KETOROLAC S.A.L.F.</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CE7111" w:rsidRPr="00CE7111">
        <w:t>M01AB15</w:t>
      </w:r>
      <w:r w:rsidR="00BB2AF8" w:rsidRPr="00EF6711">
        <w:rPr>
          <w:rFonts w:eastAsia="DejaVuSans" w:cs="DejaVuSans"/>
        </w:rPr>
        <w:t xml:space="preserve"> </w:t>
      </w:r>
      <w:r w:rsidR="00BB2AF8" w:rsidRPr="00EF6711">
        <w:rPr>
          <w:rFonts w:eastAsia="Calibri" w:cs="Calibri"/>
          <w:color w:val="000000"/>
          <w:lang w:eastAsia="it-IT"/>
        </w:rPr>
        <w:t xml:space="preserve">contiene il principio attivo </w:t>
      </w:r>
      <w:proofErr w:type="spellStart"/>
      <w:r w:rsidR="00DC1197">
        <w:rPr>
          <w:rFonts w:eastAsia="Calibri" w:cs="Calibri"/>
          <w:color w:val="000000"/>
          <w:lang w:eastAsia="it-IT"/>
        </w:rPr>
        <w:t>ketorolac</w:t>
      </w:r>
      <w:proofErr w:type="spellEnd"/>
      <w:r w:rsidR="00DC1197">
        <w:rPr>
          <w:rFonts w:eastAsia="Calibri" w:cs="Calibri"/>
          <w:color w:val="000000"/>
          <w:lang w:eastAsia="it-IT"/>
        </w:rPr>
        <w:t xml:space="preserve"> </w:t>
      </w:r>
      <w:proofErr w:type="spellStart"/>
      <w:r w:rsidR="00697EA4">
        <w:rPr>
          <w:rFonts w:eastAsia="Calibri" w:cs="Calibri"/>
          <w:color w:val="000000"/>
          <w:lang w:eastAsia="it-IT"/>
        </w:rPr>
        <w:t>trometamina</w:t>
      </w:r>
      <w:proofErr w:type="spellEnd"/>
      <w:r w:rsidR="00697EA4">
        <w:rPr>
          <w:rFonts w:eastAsia="Calibri" w:cs="Calibri"/>
          <w:color w:val="000000"/>
          <w:lang w:eastAsia="it-IT"/>
        </w:rPr>
        <w:t xml:space="preserve"> </w:t>
      </w:r>
      <w:r w:rsidR="00BB2AF8" w:rsidRPr="00EF6711">
        <w:rPr>
          <w:rFonts w:eastAsia="DejaVuSans" w:cs="DejaVuSans"/>
        </w:rPr>
        <w:t xml:space="preserve">che </w:t>
      </w:r>
      <w:r w:rsidR="00BB2AF8" w:rsidRPr="00EF6711">
        <w:t xml:space="preserve">appartiene alla classe dei </w:t>
      </w:r>
      <w:r w:rsidR="00CE7111" w:rsidRPr="00360CF4">
        <w:t>farmaci antinfiammatori</w:t>
      </w:r>
      <w:r w:rsidR="00CE7111">
        <w:t xml:space="preserve"> </w:t>
      </w:r>
      <w:r w:rsidR="00CE7111" w:rsidRPr="00360CF4">
        <w:t>non steroidei (FANS</w:t>
      </w:r>
      <w:r w:rsidR="00CE7111">
        <w:t>)</w:t>
      </w:r>
      <w:r w:rsidR="00CE7111" w:rsidRPr="00EF6711">
        <w:t xml:space="preserve"> </w:t>
      </w:r>
      <w:r w:rsidR="00BB2AF8" w:rsidRPr="00EF6711">
        <w:t xml:space="preserve">e agisce </w:t>
      </w:r>
      <w:r w:rsidR="00CE7111" w:rsidRPr="00CE7111">
        <w:t>principalmente mediante l’inibizione della sintesi delle prostaglandine, in particolare le PGE2 e PGF</w:t>
      </w:r>
      <w:r w:rsidR="00CE7111" w:rsidRPr="00CE7111">
        <w:rPr>
          <w:vertAlign w:val="subscript"/>
        </w:rPr>
        <w:t>2alfa</w:t>
      </w:r>
      <w:r w:rsidR="00CE7111" w:rsidRPr="00CE7111">
        <w:t>.</w:t>
      </w:r>
    </w:p>
    <w:p w:rsidR="00BB2AF8" w:rsidRPr="004B4170" w:rsidRDefault="00BB2AF8" w:rsidP="00BB2AF8">
      <w:pPr>
        <w:autoSpaceDE w:val="0"/>
        <w:autoSpaceDN w:val="0"/>
        <w:adjustRightInd w:val="0"/>
        <w:spacing w:after="0" w:line="240" w:lineRule="auto"/>
        <w:jc w:val="both"/>
        <w:rPr>
          <w:iCs/>
        </w:rPr>
      </w:pPr>
    </w:p>
    <w:p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D9711D">
        <w:rPr>
          <w:rFonts w:eastAsia="Calibri" w:cs="Calibri"/>
          <w:b/>
          <w:color w:val="000000"/>
          <w:lang w:eastAsia="it-IT"/>
        </w:rPr>
        <w:t>KETOROLAC S.A.L.F.</w:t>
      </w:r>
      <w:r w:rsidRPr="004B4170">
        <w:rPr>
          <w:rFonts w:eastAsia="Calibri" w:cs="Calibri"/>
          <w:b/>
          <w:bCs/>
          <w:lang w:eastAsia="it-IT"/>
        </w:rPr>
        <w:t xml:space="preserve">? </w:t>
      </w:r>
    </w:p>
    <w:p w:rsidR="00BB2AF8" w:rsidRDefault="00BB2AF8" w:rsidP="00BB2AF8">
      <w:pPr>
        <w:spacing w:after="0" w:line="240" w:lineRule="auto"/>
        <w:jc w:val="both"/>
        <w:rPr>
          <w:rFonts w:ascii="Calibri" w:hAnsi="Calibri" w:cs="Arial"/>
        </w:rPr>
      </w:pPr>
      <w:r w:rsidRPr="00626670">
        <w:rPr>
          <w:rFonts w:ascii="Calibri" w:hAnsi="Calibri" w:cs="Arial"/>
        </w:rPr>
        <w:t xml:space="preserve">Poiché </w:t>
      </w:r>
      <w:r w:rsidR="00D9711D" w:rsidRPr="00626670">
        <w:rPr>
          <w:rFonts w:eastAsia="Calibri" w:cs="Calibri"/>
          <w:color w:val="000000"/>
          <w:lang w:eastAsia="it-IT"/>
        </w:rPr>
        <w:t>KETOROLAC S.A.L.F.</w:t>
      </w:r>
      <w:r w:rsidR="00F96473" w:rsidRPr="00626670">
        <w:rPr>
          <w:rFonts w:ascii="Calibri" w:hAnsi="Calibri" w:cs="Arial"/>
        </w:rPr>
        <w:t xml:space="preserve"> </w:t>
      </w:r>
      <w:r w:rsidRPr="00626670">
        <w:rPr>
          <w:rFonts w:ascii="Calibri" w:hAnsi="Calibri" w:cs="Arial"/>
        </w:rPr>
        <w:t>è un medicinale generico ed è utilizzato come</w:t>
      </w:r>
      <w:r w:rsidR="00844F5B" w:rsidRPr="00626670">
        <w:rPr>
          <w:rFonts w:ascii="Calibri" w:hAnsi="Calibri" w:cs="Arial"/>
        </w:rPr>
        <w:t xml:space="preserve"> </w:t>
      </w:r>
      <w:r w:rsidRPr="00626670">
        <w:rPr>
          <w:rFonts w:ascii="Calibri" w:hAnsi="Calibri" w:cs="Arial"/>
        </w:rPr>
        <w:t>soluzione iniettabile</w:t>
      </w:r>
      <w:r w:rsidR="00844F5B" w:rsidRPr="00626670">
        <w:rPr>
          <w:rFonts w:ascii="Calibri" w:hAnsi="Calibri" w:cs="Arial"/>
        </w:rPr>
        <w:t xml:space="preserve"> </w:t>
      </w:r>
      <w:r w:rsidR="00F96473" w:rsidRPr="00626670">
        <w:rPr>
          <w:rFonts w:ascii="Calibri" w:eastAsia="Calibri" w:hAnsi="Calibri" w:cs="Arial"/>
        </w:rPr>
        <w:t>con la stessa composizione del medicinale di riferimento</w:t>
      </w:r>
      <w:r w:rsidRPr="00626670">
        <w:rPr>
          <w:rFonts w:ascii="Calibri" w:hAnsi="Calibri" w:cs="Arial"/>
        </w:rPr>
        <w:t>, non è stato necessario effettuare ulteriori studi clinici</w:t>
      </w:r>
      <w:r w:rsidR="00F96473" w:rsidRPr="00626670">
        <w:rPr>
          <w:rFonts w:ascii="Calibri" w:hAnsi="Calibri" w:cs="Arial"/>
        </w:rPr>
        <w:t xml:space="preserve"> di confronto con il medicinale di riferimento</w:t>
      </w:r>
      <w:r w:rsidRPr="00626670">
        <w:rPr>
          <w:rFonts w:ascii="Calibri" w:hAnsi="Calibri" w:cs="Arial"/>
        </w:rPr>
        <w:t>.</w:t>
      </w:r>
      <w:r>
        <w:rPr>
          <w:rFonts w:ascii="Calibri" w:hAnsi="Calibri" w:cs="Arial"/>
        </w:rPr>
        <w:t xml:space="preserve"> </w:t>
      </w:r>
    </w:p>
    <w:p w:rsidR="006B311C" w:rsidRPr="00666CCE" w:rsidRDefault="006B311C" w:rsidP="00BB2AF8">
      <w:pPr>
        <w:autoSpaceDE w:val="0"/>
        <w:autoSpaceDN w:val="0"/>
        <w:adjustRightInd w:val="0"/>
        <w:spacing w:after="0" w:line="240" w:lineRule="auto"/>
        <w:jc w:val="both"/>
        <w:rPr>
          <w:rFonts w:eastAsia="Calibri" w:cs="Calibri"/>
          <w:lang w:eastAsia="it-IT"/>
        </w:rPr>
      </w:pPr>
    </w:p>
    <w:p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D9711D">
        <w:rPr>
          <w:rFonts w:eastAsia="Calibri" w:cs="Calibri"/>
          <w:b/>
          <w:color w:val="000000"/>
          <w:lang w:eastAsia="it-IT"/>
        </w:rPr>
        <w:t>KETOROLAC S.A.L.F.</w:t>
      </w:r>
      <w:r w:rsidRPr="009B03DB">
        <w:rPr>
          <w:rFonts w:eastAsia="Calibri" w:cs="Calibri"/>
          <w:b/>
          <w:lang w:eastAsia="it-IT"/>
        </w:rPr>
        <w:t>?</w:t>
      </w:r>
      <w:r w:rsidRPr="002A3F14">
        <w:rPr>
          <w:rFonts w:eastAsia="Calibri" w:cs="Calibri"/>
          <w:lang w:eastAsia="it-IT"/>
        </w:rPr>
        <w:t xml:space="preserve"> </w:t>
      </w:r>
    </w:p>
    <w:p w:rsidR="00BB2AF8" w:rsidRPr="002A3F14" w:rsidRDefault="00D9711D"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KETOROLAC S.A.L.F.</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generico ed è 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D9711D">
        <w:rPr>
          <w:rFonts w:eastAsia="Calibri" w:cs="Calibri"/>
          <w:b/>
          <w:color w:val="000000"/>
          <w:lang w:eastAsia="it-IT"/>
        </w:rPr>
        <w:t>KETOROLAC S.A.L.F.</w:t>
      </w:r>
      <w:r w:rsidR="007170D7">
        <w:rPr>
          <w:rFonts w:eastAsia="Calibri" w:cs="Calibri"/>
          <w:b/>
          <w:color w:val="000000"/>
          <w:lang w:eastAsia="it-IT"/>
        </w:rPr>
        <w:t xml:space="preserve"> </w:t>
      </w:r>
      <w:r w:rsidRPr="00666CCE">
        <w:rPr>
          <w:rFonts w:eastAsia="Calibri" w:cs="Calibri"/>
          <w:b/>
          <w:bCs/>
          <w:lang w:eastAsia="it-IT"/>
        </w:rPr>
        <w:t xml:space="preserve">E’ STATO APPROVATO? </w:t>
      </w:r>
    </w:p>
    <w:p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 </w:t>
      </w:r>
      <w:r w:rsidR="003B0297">
        <w:rPr>
          <w:rFonts w:eastAsia="Calibri" w:cs="Calibri"/>
          <w:bCs/>
          <w:iCs/>
          <w:lang w:eastAsia="it-IT"/>
        </w:rPr>
        <w:t>5, 6 e 7 Giugno 2019 (Verbale CTS n. 11)</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r w:rsidR="003B0297">
        <w:rPr>
          <w:rFonts w:eastAsia="Calibri" w:cs="Calibri"/>
          <w:lang w:eastAsia="it-IT"/>
        </w:rPr>
        <w:t>TORADOL</w:t>
      </w:r>
      <w:r>
        <w:rPr>
          <w:rFonts w:eastAsia="Calibri" w:cs="Calibri"/>
          <w:lang w:eastAsia="it-IT"/>
        </w:rPr>
        <w:t xml:space="preserve">, </w:t>
      </w:r>
      <w:r w:rsidRPr="00666CCE">
        <w:rPr>
          <w:rFonts w:eastAsia="Calibri" w:cs="Calibri"/>
          <w:lang w:eastAsia="it-IT"/>
        </w:rPr>
        <w:t xml:space="preserve">i benefici di </w:t>
      </w:r>
      <w:r w:rsidR="00D9711D">
        <w:rPr>
          <w:rFonts w:eastAsia="Calibri" w:cs="Calibri"/>
          <w:color w:val="000000"/>
          <w:lang w:eastAsia="it-IT"/>
        </w:rPr>
        <w:t>KETOROLAC S.A.L.F.</w:t>
      </w:r>
      <w:r w:rsidR="007170D7">
        <w:rPr>
          <w:rFonts w:ascii="Calibri" w:hAnsi="Calibri" w:cs="Arial"/>
        </w:rPr>
        <w:t xml:space="preserve"> </w:t>
      </w:r>
      <w:r w:rsidRPr="00666CCE">
        <w:rPr>
          <w:rFonts w:eastAsia="Calibri" w:cs="Calibri"/>
          <w:lang w:eastAsia="it-IT"/>
        </w:rPr>
        <w:t xml:space="preserve"> 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w:t>
      </w:r>
      <w:r w:rsidR="003B0297" w:rsidRPr="00885EF4">
        <w:rPr>
          <w:rFonts w:eastAsia="Calibri" w:cs="Calibri"/>
          <w:b/>
          <w:lang w:eastAsia="it-IT"/>
        </w:rPr>
        <w:t>A</w:t>
      </w:r>
      <w:r w:rsidR="003B0297">
        <w:rPr>
          <w:rFonts w:eastAsia="Calibri" w:cs="Calibri"/>
          <w:lang w:eastAsia="it-IT"/>
        </w:rPr>
        <w:t>.</w:t>
      </w:r>
    </w:p>
    <w:p w:rsidR="00BB2AF8" w:rsidRPr="002A3F14" w:rsidRDefault="00BB2AF8"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D9711D">
        <w:rPr>
          <w:rFonts w:eastAsia="Calibri" w:cs="Calibri"/>
          <w:b/>
          <w:color w:val="000000"/>
          <w:lang w:eastAsia="it-IT"/>
        </w:rPr>
        <w:t>KETOROLAC S.A.L.F.</w:t>
      </w:r>
      <w:r w:rsidRPr="002A3F14">
        <w:rPr>
          <w:rFonts w:eastAsia="Calibri" w:cs="Calibri"/>
          <w:b/>
          <w:bCs/>
          <w:color w:val="000000"/>
          <w:lang w:eastAsia="it-IT"/>
        </w:rPr>
        <w:t>?</w:t>
      </w:r>
    </w:p>
    <w:p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D9711D">
        <w:rPr>
          <w:rFonts w:eastAsia="Calibri" w:cs="Calibri"/>
          <w:color w:val="000000"/>
          <w:lang w:eastAsia="it-IT"/>
        </w:rPr>
        <w:t>KETOROLAC S.A.L.F.</w:t>
      </w: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D9711D">
        <w:rPr>
          <w:rFonts w:eastAsia="Calibri" w:cs="Calibri"/>
          <w:b/>
          <w:color w:val="000000"/>
          <w:lang w:eastAsia="it-IT"/>
        </w:rPr>
        <w:t>KETOROLAC S.A.L.F.</w:t>
      </w:r>
    </w:p>
    <w:p w:rsidR="004E5A39" w:rsidRPr="008B1B7D" w:rsidRDefault="004241AC" w:rsidP="008B1B7D">
      <w:pPr>
        <w:autoSpaceDE w:val="0"/>
        <w:autoSpaceDN w:val="0"/>
        <w:adjustRightInd w:val="0"/>
        <w:jc w:val="both"/>
        <w:rPr>
          <w:rFonts w:eastAsia="Calibri" w:cs="Calibri"/>
          <w:bCs/>
          <w:iCs/>
        </w:rPr>
      </w:pPr>
      <w:r w:rsidRPr="00BB2AF8">
        <w:rPr>
          <w:rFonts w:eastAsia="Calibri" w:cs="Calibri"/>
          <w:bCs/>
          <w:iCs/>
          <w:lang w:eastAsia="it-IT"/>
        </w:rPr>
        <w:t xml:space="preserve">Il </w:t>
      </w:r>
      <w:r w:rsidR="008B1B7D" w:rsidRPr="000D42AB">
        <w:rPr>
          <w:rFonts w:eastAsia="Calibri" w:cs="Calibri"/>
          <w:b/>
          <w:bCs/>
          <w:iCs/>
        </w:rPr>
        <w:t>28 settembre 2020</w:t>
      </w:r>
      <w:r w:rsidRPr="00BB2AF8">
        <w:rPr>
          <w:rFonts w:eastAsia="Calibri" w:cs="Calibri"/>
          <w:bCs/>
          <w:iCs/>
          <w:lang w:eastAsia="it-IT"/>
        </w:rPr>
        <w:t xml:space="preserve"> l’AIFA ha rilasciato l’autorizzazione all’immissione in commercio di </w:t>
      </w:r>
      <w:r w:rsidR="00D9711D">
        <w:rPr>
          <w:rFonts w:eastAsia="Calibri" w:cs="Calibri"/>
          <w:color w:val="000000"/>
          <w:lang w:eastAsia="it-IT"/>
        </w:rPr>
        <w:t>KETOROLAC S.A.L.F.</w:t>
      </w:r>
      <w:r w:rsidRPr="007170D7">
        <w:rPr>
          <w:rFonts w:eastAsia="Calibri" w:cs="Calibri"/>
          <w:bCs/>
          <w:lang w:eastAsia="it-IT"/>
        </w:rPr>
        <w:t>.</w:t>
      </w:r>
      <w:r w:rsidRPr="00CA3A1E">
        <w:rPr>
          <w:rFonts w:eastAsia="Calibri" w:cs="Calibri"/>
          <w:bCs/>
          <w:lang w:eastAsia="it-IT"/>
        </w:rPr>
        <w:t xml:space="preserve"> </w:t>
      </w:r>
    </w:p>
    <w:p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D9711D">
        <w:rPr>
          <w:rFonts w:eastAsia="Calibri" w:cs="Calibri"/>
          <w:color w:val="000000"/>
          <w:lang w:eastAsia="it-IT"/>
        </w:rPr>
        <w:t>KETOROLAC S.A.L.F.</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sidRPr="0018344E">
        <w:rPr>
          <w:rFonts w:eastAsia="Calibri" w:cs="Calibri"/>
          <w:lang w:eastAsia="it-IT"/>
        </w:rPr>
        <w:t>(</w:t>
      </w:r>
      <w:hyperlink r:id="rId7" w:history="1">
        <w:r w:rsidR="00567615" w:rsidRPr="0018344E">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w:t>
      </w:r>
      <w:r w:rsidRPr="00B95DE3">
        <w:rPr>
          <w:rFonts w:eastAsia="Calibri" w:cs="Calibri"/>
          <w:lang w:eastAsia="it-IT"/>
        </w:rPr>
        <w:t xml:space="preserve">in </w:t>
      </w:r>
      <w:r w:rsidR="00B1186F" w:rsidRPr="00B95DE3">
        <w:rPr>
          <w:rFonts w:eastAsia="Calibri" w:cs="Calibri"/>
          <w:lang w:eastAsia="it-IT"/>
        </w:rPr>
        <w:t xml:space="preserve">data </w:t>
      </w:r>
      <w:r w:rsidR="00B95DE3" w:rsidRPr="00B95DE3">
        <w:rPr>
          <w:rFonts w:eastAsia="Calibri" w:cs="Calibri"/>
          <w:lang w:eastAsia="it-IT"/>
        </w:rPr>
        <w:t>02</w:t>
      </w:r>
      <w:r w:rsidR="008B1B7D" w:rsidRPr="00B95DE3">
        <w:rPr>
          <w:rFonts w:eastAsia="Calibri" w:cs="Calibri"/>
          <w:lang w:eastAsia="it-IT"/>
        </w:rPr>
        <w:t>/1</w:t>
      </w:r>
      <w:r w:rsidR="00B95DE3" w:rsidRPr="00B95DE3">
        <w:rPr>
          <w:rFonts w:eastAsia="Calibri" w:cs="Calibri"/>
          <w:lang w:eastAsia="it-IT"/>
        </w:rPr>
        <w:t>2</w:t>
      </w:r>
      <w:r w:rsidR="008B1B7D" w:rsidRPr="00B95DE3">
        <w:rPr>
          <w:rFonts w:eastAsia="Calibri" w:cs="Calibri"/>
          <w:lang w:eastAsia="it-IT"/>
        </w:rPr>
        <w:t>/2020</w:t>
      </w:r>
      <w:r w:rsidR="008B1B7D" w:rsidRPr="00B95DE3">
        <w:rPr>
          <w:rFonts w:eastAsia="Calibri" w:cs="Calibri"/>
          <w:b/>
          <w:i/>
          <w:sz w:val="20"/>
          <w:lang w:eastAsia="it-IT"/>
        </w:rPr>
        <w:t>.</w:t>
      </w:r>
    </w:p>
    <w:p w:rsidR="008B1B7D" w:rsidRDefault="008B1B7D" w:rsidP="008B1B7D">
      <w:pPr>
        <w:spacing w:after="0" w:line="240" w:lineRule="auto"/>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8B1B7D">
      <w:pPr>
        <w:spacing w:after="0" w:line="240" w:lineRule="auto"/>
        <w:rPr>
          <w:b/>
          <w:sz w:val="28"/>
        </w:rPr>
      </w:pPr>
    </w:p>
    <w:p w:rsidR="004E5A39" w:rsidRDefault="004E5A39" w:rsidP="004E5A39">
      <w:pPr>
        <w:spacing w:after="0" w:line="240" w:lineRule="auto"/>
        <w:jc w:val="center"/>
        <w:rPr>
          <w:b/>
          <w:sz w:val="28"/>
        </w:rPr>
      </w:pPr>
      <w:r>
        <w:rPr>
          <w:b/>
          <w:sz w:val="28"/>
        </w:rPr>
        <w:t>RELAZIONE PUBBLICA DI VALUTAZIONE</w:t>
      </w: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Pr="0033523E" w:rsidRDefault="004E5A39" w:rsidP="004E5A39">
      <w:pPr>
        <w:spacing w:after="0" w:line="240" w:lineRule="auto"/>
        <w:jc w:val="center"/>
        <w:rPr>
          <w:b/>
        </w:rPr>
      </w:pPr>
      <w:r w:rsidRPr="0033523E">
        <w:rPr>
          <w:b/>
        </w:rPr>
        <w:t>INDICE</w:t>
      </w:r>
    </w:p>
    <w:p w:rsidR="004E5A39" w:rsidRDefault="004E5A39" w:rsidP="004E5A39">
      <w:pPr>
        <w:spacing w:after="0" w:line="240" w:lineRule="auto"/>
        <w:jc w:val="both"/>
      </w:pPr>
    </w:p>
    <w:p w:rsidR="004E5A39" w:rsidRDefault="004E5A39" w:rsidP="004E5A39">
      <w:pPr>
        <w:spacing w:after="0" w:line="240" w:lineRule="auto"/>
        <w:jc w:val="both"/>
      </w:pPr>
    </w:p>
    <w:p w:rsidR="004E5A39" w:rsidRDefault="004E5A39" w:rsidP="004E5A39">
      <w:pPr>
        <w:spacing w:after="0" w:line="240" w:lineRule="auto"/>
        <w:jc w:val="both"/>
      </w:pPr>
    </w:p>
    <w:p w:rsidR="004E5A39" w:rsidRPr="008206E7" w:rsidRDefault="004E5A39" w:rsidP="004E5A39">
      <w:pPr>
        <w:pStyle w:val="Paragrafoelenco"/>
        <w:numPr>
          <w:ilvl w:val="0"/>
          <w:numId w:val="1"/>
        </w:numPr>
        <w:spacing w:after="0" w:line="240" w:lineRule="auto"/>
        <w:rPr>
          <w:b/>
        </w:rPr>
      </w:pPr>
      <w:r w:rsidRPr="008206E7">
        <w:rPr>
          <w:b/>
        </w:rPr>
        <w:t>INTRODUZIONE</w:t>
      </w:r>
    </w:p>
    <w:p w:rsidR="004E5A39" w:rsidRPr="002A3F14" w:rsidRDefault="004E5A39" w:rsidP="004E5A39">
      <w:pPr>
        <w:spacing w:after="0" w:line="240" w:lineRule="auto"/>
        <w:jc w:val="both"/>
      </w:pPr>
    </w:p>
    <w:p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DF7B22">
        <w:rPr>
          <w:b/>
        </w:rPr>
        <w:t>ASPETTI NON CLINICI</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rsidR="004E5A39" w:rsidRPr="0033523E" w:rsidRDefault="004E5A39" w:rsidP="004E5A39">
      <w:pPr>
        <w:pStyle w:val="Paragrafoelenco"/>
        <w:rPr>
          <w:b/>
        </w:rPr>
      </w:pPr>
    </w:p>
    <w:p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rsidR="004E5A39" w:rsidRDefault="004E5A39" w:rsidP="004E5A39">
      <w:pPr>
        <w:pStyle w:val="Paragrafoelenco"/>
        <w:spacing w:after="0" w:line="240" w:lineRule="auto"/>
        <w:ind w:left="1080"/>
        <w:jc w:val="both"/>
        <w:rPr>
          <w:b/>
        </w:rPr>
      </w:pPr>
    </w:p>
    <w:p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CC52A3" w:rsidRDefault="00CC52A3" w:rsidP="004E5A39"/>
    <w:p w:rsidR="00CC52A3" w:rsidRDefault="00CC52A3" w:rsidP="004E5A39"/>
    <w:p w:rsidR="00EF6711" w:rsidRDefault="00EF6711" w:rsidP="004E5A39"/>
    <w:p w:rsidR="008B1B7D" w:rsidRDefault="008B1B7D" w:rsidP="004E5A39"/>
    <w:p w:rsidR="00274658" w:rsidRDefault="00274658" w:rsidP="004E5A39"/>
    <w:p w:rsidR="00274658" w:rsidRDefault="00274658" w:rsidP="004E5A39"/>
    <w:p w:rsidR="008B1B7D" w:rsidRDefault="008B1B7D" w:rsidP="004E5A39"/>
    <w:p w:rsidR="008B1B7D" w:rsidRDefault="008B1B7D" w:rsidP="004E5A39"/>
    <w:p w:rsidR="008B1B7D" w:rsidRDefault="008B1B7D" w:rsidP="004E5A39"/>
    <w:p w:rsidR="008B1B7D" w:rsidRDefault="008B1B7D" w:rsidP="004E5A39"/>
    <w:p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rsidR="004E5A39" w:rsidRPr="000D42AB" w:rsidRDefault="004E5A39" w:rsidP="000D42AB">
      <w:pPr>
        <w:autoSpaceDE w:val="0"/>
        <w:autoSpaceDN w:val="0"/>
        <w:adjustRightInd w:val="0"/>
        <w:spacing w:after="0" w:line="240" w:lineRule="auto"/>
        <w:jc w:val="both"/>
        <w:rPr>
          <w:b/>
        </w:rPr>
      </w:pPr>
      <w:r w:rsidRPr="00EF6711">
        <w:t xml:space="preserve">Sulla base dei dati di qualità, sicurezza ed efficacia, l’AIFA ha rilasciato a </w:t>
      </w:r>
      <w:r w:rsidR="008B1B7D">
        <w:t>S.A.L.F. S.P.A</w:t>
      </w:r>
      <w:r w:rsidR="008B1B7D" w:rsidRPr="008B1B7D">
        <w:rPr>
          <w:b/>
        </w:rPr>
        <w:t xml:space="preserve"> </w:t>
      </w:r>
      <w:r w:rsidR="008B1B7D" w:rsidRPr="008B1B7D">
        <w:t>LABORATORIO FARMACOLOGICO</w:t>
      </w:r>
      <w:r w:rsidR="00B1186F" w:rsidRPr="00EF6711">
        <w:t xml:space="preserve"> </w:t>
      </w:r>
      <w:r w:rsidRPr="00EF6711">
        <w:t xml:space="preserve">l’autorizzazione all’immissione in commercio (AIC) per il medicinale </w:t>
      </w:r>
      <w:r w:rsidR="00D9711D">
        <w:rPr>
          <w:rFonts w:eastAsia="Calibri" w:cs="Calibri"/>
          <w:color w:val="000000"/>
          <w:lang w:eastAsia="it-IT"/>
        </w:rPr>
        <w:t>KETOROLAC S.A.L.F.</w:t>
      </w:r>
      <w:r w:rsidR="007170D7">
        <w:rPr>
          <w:rFonts w:eastAsia="Calibri" w:cs="Calibri"/>
          <w:bCs/>
          <w:iCs/>
          <w:lang w:eastAsia="it-IT"/>
        </w:rPr>
        <w:t xml:space="preserve"> </w:t>
      </w:r>
      <w:r w:rsidRPr="00EF6711">
        <w:rPr>
          <w:rFonts w:eastAsia="Calibri" w:cs="Calibri"/>
          <w:bCs/>
          <w:iCs/>
          <w:lang w:eastAsia="it-IT"/>
        </w:rPr>
        <w:t xml:space="preserve">il </w:t>
      </w:r>
      <w:r w:rsidR="000D42AB" w:rsidRPr="000D42AB">
        <w:rPr>
          <w:rFonts w:eastAsia="Calibri" w:cs="Calibri"/>
          <w:b/>
          <w:bCs/>
          <w:iCs/>
          <w:lang w:eastAsia="it-IT"/>
        </w:rPr>
        <w:t>28.09.2020</w:t>
      </w:r>
      <w:r w:rsidR="000D42AB">
        <w:rPr>
          <w:rFonts w:eastAsia="Calibri" w:cs="Calibri"/>
          <w:b/>
          <w:bCs/>
          <w:iCs/>
          <w:lang w:eastAsia="it-IT"/>
        </w:rPr>
        <w:t>.</w:t>
      </w:r>
    </w:p>
    <w:p w:rsidR="00EF6711" w:rsidRPr="008B1B7D" w:rsidRDefault="00D9711D" w:rsidP="008B1B7D">
      <w:pPr>
        <w:autoSpaceDE w:val="0"/>
        <w:autoSpaceDN w:val="0"/>
        <w:adjustRightInd w:val="0"/>
        <w:rPr>
          <w:rFonts w:cs="Calibri"/>
          <w:color w:val="000000"/>
        </w:rPr>
      </w:pPr>
      <w:r>
        <w:rPr>
          <w:rFonts w:eastAsia="Calibri" w:cs="Calibri"/>
          <w:color w:val="000000"/>
          <w:lang w:eastAsia="it-IT"/>
        </w:rPr>
        <w:t>KETOROLAC S.A.L.F.</w:t>
      </w:r>
      <w:r w:rsidR="007170D7">
        <w:rPr>
          <w:rFonts w:eastAsia="Calibri" w:cs="Calibri"/>
          <w:bCs/>
          <w:iCs/>
          <w:lang w:eastAsia="it-IT"/>
        </w:rPr>
        <w:t xml:space="preserve"> </w:t>
      </w:r>
      <w:r w:rsidR="00EF6711" w:rsidRPr="00B7597D">
        <w:rPr>
          <w:rFonts w:eastAsia="Calibri" w:cs="Calibri"/>
          <w:color w:val="000000"/>
          <w:lang w:eastAsia="it-IT"/>
        </w:rPr>
        <w:t>può essere ottenuto solo su</w:t>
      </w:r>
      <w:r w:rsidR="008B1B7D" w:rsidRPr="008B1B7D">
        <w:rPr>
          <w:rFonts w:cs="Calibri"/>
          <w:color w:val="000000"/>
        </w:rPr>
        <w:t xml:space="preserve"> prescrizione da parte del medico (ricetta non ripetibile).</w:t>
      </w:r>
    </w:p>
    <w:p w:rsidR="004E5A39" w:rsidRPr="00EF6711" w:rsidRDefault="004E5A39" w:rsidP="00EF6711">
      <w:pPr>
        <w:spacing w:after="0" w:line="240" w:lineRule="auto"/>
        <w:jc w:val="both"/>
      </w:pPr>
      <w:r w:rsidRPr="00EF6711">
        <w:t xml:space="preserve">Questa procedura è stata presentata ai sensi dell’art. </w:t>
      </w:r>
      <w:r w:rsidR="008B1B7D">
        <w:t xml:space="preserve">10.1 </w:t>
      </w:r>
      <w:r w:rsidRPr="00EF6711">
        <w:t xml:space="preserve">della Direttiva 2001/83/EU </w:t>
      </w:r>
      <w:proofErr w:type="spellStart"/>
      <w:r w:rsidRPr="00EF6711">
        <w:t>s.m.i.</w:t>
      </w:r>
      <w:proofErr w:type="spellEnd"/>
    </w:p>
    <w:p w:rsidR="007E23A4" w:rsidRDefault="007E23A4" w:rsidP="00EF6711">
      <w:pPr>
        <w:widowControl w:val="0"/>
        <w:spacing w:after="0" w:line="240" w:lineRule="auto"/>
        <w:jc w:val="both"/>
        <w:rPr>
          <w:rFonts w:eastAsia="Calibri" w:cs="Calibri"/>
          <w:b/>
          <w:bCs/>
          <w:i/>
          <w:sz w:val="20"/>
          <w:lang w:eastAsia="it-IT"/>
        </w:rPr>
      </w:pPr>
    </w:p>
    <w:p w:rsidR="004E5A39" w:rsidRPr="00EF6711" w:rsidRDefault="00D9711D" w:rsidP="00EF6711">
      <w:pPr>
        <w:widowControl w:val="0"/>
        <w:spacing w:after="0" w:line="240" w:lineRule="auto"/>
        <w:jc w:val="both"/>
        <w:rPr>
          <w:rFonts w:eastAsia="Calibri" w:cs="Calibri"/>
          <w:lang w:eastAsia="it-IT"/>
        </w:rPr>
      </w:pPr>
      <w:r>
        <w:rPr>
          <w:rFonts w:eastAsia="Calibri" w:cs="Calibri"/>
          <w:color w:val="000000"/>
          <w:lang w:eastAsia="it-IT"/>
        </w:rPr>
        <w:t>KETOROLAC S.A.L.F.</w:t>
      </w:r>
      <w:r w:rsidR="0042214D">
        <w:rPr>
          <w:rFonts w:eastAsia="Calibri" w:cs="Calibri"/>
          <w:color w:val="000000"/>
          <w:lang w:eastAsia="it-IT"/>
        </w:rPr>
        <w:t xml:space="preserve"> </w:t>
      </w:r>
      <w:r w:rsidR="004E5A39" w:rsidRPr="00EF6711">
        <w:rPr>
          <w:rFonts w:eastAsia="Calibri" w:cs="Calibri"/>
          <w:lang w:eastAsia="it-IT"/>
        </w:rPr>
        <w:t>è un medicinale contenente un principio attivo</w:t>
      </w:r>
      <w:r w:rsidR="00C42AAC" w:rsidRPr="00EF6711">
        <w:rPr>
          <w:rFonts w:eastAsia="Calibri" w:cs="Calibri"/>
          <w:lang w:eastAsia="it-IT"/>
        </w:rPr>
        <w:t xml:space="preserve"> </w:t>
      </w:r>
      <w:proofErr w:type="spellStart"/>
      <w:r w:rsidR="008B1B7D">
        <w:rPr>
          <w:rFonts w:eastAsia="Calibri" w:cs="Calibri"/>
          <w:lang w:eastAsia="it-IT"/>
        </w:rPr>
        <w:t>ketorolac</w:t>
      </w:r>
      <w:proofErr w:type="spellEnd"/>
      <w:r w:rsidR="008B1B7D">
        <w:rPr>
          <w:rFonts w:eastAsia="Calibri" w:cs="Calibri"/>
          <w:lang w:eastAsia="it-IT"/>
        </w:rPr>
        <w:t xml:space="preserve"> </w:t>
      </w:r>
      <w:proofErr w:type="spellStart"/>
      <w:r w:rsidR="00697EA4">
        <w:rPr>
          <w:rFonts w:eastAsia="Calibri" w:cs="Calibri"/>
          <w:lang w:eastAsia="it-IT"/>
        </w:rPr>
        <w:t>trometamina</w:t>
      </w:r>
      <w:proofErr w:type="spellEnd"/>
      <w:r w:rsidR="00697EA4" w:rsidRPr="00EF6711">
        <w:rPr>
          <w:rFonts w:eastAsia="Calibri" w:cs="Calibri"/>
          <w:lang w:eastAsia="it-IT"/>
        </w:rPr>
        <w:t xml:space="preserve"> </w:t>
      </w:r>
      <w:r w:rsidR="004E5A39" w:rsidRPr="00EF6711">
        <w:rPr>
          <w:rFonts w:eastAsia="Calibri" w:cs="Calibri"/>
          <w:lang w:eastAsia="it-IT"/>
        </w:rPr>
        <w:t>noto</w:t>
      </w:r>
      <w:r w:rsidR="0042214D">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proofErr w:type="spellStart"/>
      <w:r w:rsidR="008B1B7D">
        <w:rPr>
          <w:rFonts w:eastAsia="Calibri" w:cs="Calibri"/>
          <w:lang w:eastAsia="it-IT"/>
        </w:rPr>
        <w:t>Toradol</w:t>
      </w:r>
      <w:proofErr w:type="spellEnd"/>
      <w:r w:rsidR="0042214D">
        <w:rPr>
          <w:rFonts w:eastAsia="Calibri" w:cs="Calibri"/>
          <w:lang w:eastAsia="it-IT"/>
        </w:rPr>
        <w:t xml:space="preserve"> aut</w:t>
      </w:r>
      <w:r w:rsidR="004E5A39" w:rsidRPr="00EF6711">
        <w:rPr>
          <w:rFonts w:eastAsia="Calibri" w:cs="Calibri"/>
          <w:lang w:eastAsia="it-IT"/>
        </w:rPr>
        <w:t>orizzato in Italia da più di 10 anni.</w:t>
      </w:r>
    </w:p>
    <w:p w:rsidR="004E5A39" w:rsidRPr="00EF6711" w:rsidRDefault="004E5A39" w:rsidP="00EF6711">
      <w:pPr>
        <w:spacing w:after="0" w:line="240" w:lineRule="auto"/>
        <w:jc w:val="both"/>
        <w:rPr>
          <w:highlight w:val="yellow"/>
        </w:rPr>
      </w:pPr>
    </w:p>
    <w:p w:rsidR="006E408C" w:rsidRPr="00360CF4" w:rsidRDefault="00D9711D" w:rsidP="006E408C">
      <w:pPr>
        <w:spacing w:after="0"/>
      </w:pPr>
      <w:r>
        <w:rPr>
          <w:rFonts w:eastAsia="Calibri" w:cs="Calibri"/>
          <w:color w:val="000000"/>
          <w:lang w:eastAsia="it-IT"/>
        </w:rPr>
        <w:t>KETOROLAC S.A.L.F.</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7E23A4" w:rsidRPr="007E23A4">
        <w:t>M01AB15</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proofErr w:type="spellStart"/>
      <w:r w:rsidR="006E408C">
        <w:rPr>
          <w:rFonts w:eastAsia="Calibri" w:cs="Calibri"/>
          <w:lang w:eastAsia="it-IT"/>
        </w:rPr>
        <w:t>ketorolac</w:t>
      </w:r>
      <w:proofErr w:type="spellEnd"/>
      <w:r w:rsidR="006E408C">
        <w:rPr>
          <w:rFonts w:eastAsia="Calibri" w:cs="Calibri"/>
          <w:lang w:eastAsia="it-IT"/>
        </w:rPr>
        <w:t xml:space="preserve"> </w:t>
      </w:r>
      <w:proofErr w:type="spellStart"/>
      <w:r w:rsidR="00697EA4">
        <w:rPr>
          <w:rFonts w:eastAsia="Calibri" w:cs="Calibri"/>
          <w:lang w:eastAsia="it-IT"/>
        </w:rPr>
        <w:t>trometamina</w:t>
      </w:r>
      <w:proofErr w:type="spellEnd"/>
      <w:r w:rsidR="006E408C" w:rsidRPr="00360CF4">
        <w:t>, farmaco appartenente alla classe dei farmaci antinfiammatori</w:t>
      </w:r>
      <w:r w:rsidR="006E408C">
        <w:t xml:space="preserve"> </w:t>
      </w:r>
      <w:r w:rsidR="006E408C" w:rsidRPr="00360CF4">
        <w:t>non steroidei (FANS).</w:t>
      </w:r>
    </w:p>
    <w:p w:rsidR="006E408C" w:rsidRPr="00360CF4" w:rsidRDefault="006E408C" w:rsidP="006E408C">
      <w:pPr>
        <w:spacing w:after="0"/>
      </w:pPr>
      <w:r w:rsidRPr="00360CF4">
        <w:t>La sua attività si esplica principalmente mediante l’inibizione della sintesi delle prostaglandine, in particolare le PGE2 e PGF</w:t>
      </w:r>
      <w:r w:rsidRPr="00CE3655">
        <w:rPr>
          <w:vertAlign w:val="subscript"/>
        </w:rPr>
        <w:t>2alfa</w:t>
      </w:r>
      <w:r w:rsidRPr="00360CF4">
        <w:t>.</w:t>
      </w:r>
    </w:p>
    <w:p w:rsidR="00EF6711" w:rsidRDefault="00EF6711" w:rsidP="00EF6711">
      <w:pPr>
        <w:tabs>
          <w:tab w:val="left" w:pos="0"/>
        </w:tabs>
        <w:overflowPunct w:val="0"/>
        <w:autoSpaceDE w:val="0"/>
        <w:autoSpaceDN w:val="0"/>
        <w:adjustRightInd w:val="0"/>
        <w:spacing w:after="0" w:line="240" w:lineRule="auto"/>
        <w:jc w:val="both"/>
        <w:textAlignment w:val="baseline"/>
      </w:pPr>
    </w:p>
    <w:p w:rsidR="005E4359" w:rsidRPr="00360CF4" w:rsidRDefault="00D9711D" w:rsidP="005E4359">
      <w:pPr>
        <w:spacing w:after="0"/>
      </w:pPr>
      <w:r>
        <w:rPr>
          <w:rFonts w:eastAsia="Calibri" w:cs="Calibri"/>
          <w:color w:val="000000"/>
          <w:lang w:eastAsia="it-IT"/>
        </w:rPr>
        <w:t>KETOROLAC S.A.L.F.</w:t>
      </w:r>
      <w:r w:rsidR="0042214D">
        <w:rPr>
          <w:rFonts w:eastAsia="Calibri" w:cs="Calibri"/>
          <w:color w:val="000000"/>
          <w:lang w:eastAsia="it-IT"/>
        </w:rPr>
        <w:t xml:space="preserve"> </w:t>
      </w:r>
      <w:r w:rsidR="005E4359">
        <w:t xml:space="preserve"> </w:t>
      </w:r>
      <w:r w:rsidR="005E4359" w:rsidRPr="00360CF4">
        <w:t>somministrato per via intramuscolare o endovenosa è indicato nel trattamento a breve termine (massimo</w:t>
      </w:r>
      <w:r w:rsidR="005E4359">
        <w:t xml:space="preserve"> </w:t>
      </w:r>
      <w:r w:rsidR="005E4359" w:rsidRPr="00360CF4">
        <w:t>due giorni) del dolore acuto post-operatorio di grado moderato-severo.</w:t>
      </w:r>
    </w:p>
    <w:p w:rsidR="005E4359" w:rsidRPr="00360CF4" w:rsidRDefault="005E4359" w:rsidP="005E4359">
      <w:pPr>
        <w:spacing w:after="0"/>
      </w:pPr>
      <w:r w:rsidRPr="00360CF4">
        <w:t xml:space="preserve">Nei casi di chirurgia maggiore o di dolore molto intenso </w:t>
      </w:r>
      <w:proofErr w:type="spellStart"/>
      <w:r w:rsidRPr="00360CF4">
        <w:t>Ketorolac</w:t>
      </w:r>
      <w:proofErr w:type="spellEnd"/>
      <w:r w:rsidRPr="00360CF4">
        <w:t xml:space="preserve"> </w:t>
      </w:r>
      <w:proofErr w:type="spellStart"/>
      <w:r w:rsidRPr="00360CF4">
        <w:t>S.A.L.F.</w:t>
      </w:r>
      <w:proofErr w:type="spellEnd"/>
      <w:r w:rsidRPr="00360CF4">
        <w:t xml:space="preserve"> endovenoso può essere usato quale complemento</w:t>
      </w:r>
      <w:r>
        <w:t xml:space="preserve"> </w:t>
      </w:r>
      <w:r w:rsidRPr="00360CF4">
        <w:t>ad un analgesico oppiaceo.</w:t>
      </w:r>
    </w:p>
    <w:p w:rsidR="005E4359" w:rsidRPr="00360CF4" w:rsidRDefault="005E4359" w:rsidP="005E4359">
      <w:pPr>
        <w:spacing w:after="0"/>
      </w:pPr>
      <w:proofErr w:type="spellStart"/>
      <w:r w:rsidRPr="00360CF4">
        <w:t>Ketorolac</w:t>
      </w:r>
      <w:proofErr w:type="spellEnd"/>
      <w:r w:rsidRPr="00360CF4">
        <w:t xml:space="preserve"> </w:t>
      </w:r>
      <w:proofErr w:type="spellStart"/>
      <w:r w:rsidRPr="00360CF4">
        <w:t>S.A.L.F.</w:t>
      </w:r>
      <w:proofErr w:type="spellEnd"/>
      <w:r w:rsidRPr="00360CF4">
        <w:t xml:space="preserve"> 30 mg/ml soluzione iniettabile è inoltre indicato nel trattamento del dolore dovuto a coliche renali.</w:t>
      </w:r>
    </w:p>
    <w:p w:rsidR="00317759" w:rsidRDefault="00317759" w:rsidP="00EF6711">
      <w:pPr>
        <w:spacing w:after="0" w:line="240" w:lineRule="auto"/>
        <w:jc w:val="both"/>
      </w:pPr>
    </w:p>
    <w:p w:rsidR="000E4494" w:rsidRPr="00EF6711" w:rsidRDefault="004E5A39" w:rsidP="00EF6711">
      <w:pPr>
        <w:spacing w:after="0" w:line="240" w:lineRule="auto"/>
        <w:jc w:val="both"/>
        <w:rPr>
          <w:rFonts w:cs="Arial"/>
        </w:rPr>
      </w:pPr>
      <w:r w:rsidRPr="00EF6711">
        <w:t xml:space="preserve">Poiché </w:t>
      </w:r>
      <w:r w:rsidR="00D9711D">
        <w:rPr>
          <w:rFonts w:eastAsia="Calibri" w:cs="Calibri"/>
          <w:color w:val="000000"/>
          <w:lang w:eastAsia="it-IT"/>
        </w:rPr>
        <w:t>KETOROLAC S.A.L.F.</w:t>
      </w:r>
      <w:r w:rsidR="0042214D">
        <w:rPr>
          <w:rFonts w:eastAsia="Calibri" w:cs="Calibri"/>
          <w:color w:val="000000"/>
          <w:lang w:eastAsia="it-IT"/>
        </w:rPr>
        <w:t xml:space="preserve"> </w:t>
      </w:r>
      <w:r w:rsidRPr="00EF6711">
        <w:t xml:space="preserve">contiene </w:t>
      </w:r>
      <w:r w:rsidR="00C42AAC" w:rsidRPr="00EF6711">
        <w:t>un</w:t>
      </w:r>
      <w:r w:rsidRPr="00EF6711">
        <w:t xml:space="preserve"> principi</w:t>
      </w:r>
      <w:r w:rsidR="00C42AAC" w:rsidRPr="00EF6711">
        <w:t>o</w:t>
      </w:r>
      <w:r w:rsidRPr="00EF6711">
        <w:t xml:space="preserve"> attiv</w:t>
      </w:r>
      <w:r w:rsidR="00C42AAC" w:rsidRPr="00EF6711">
        <w:t>o</w:t>
      </w:r>
      <w:r w:rsidRPr="00EF6711">
        <w:t xml:space="preserve"> not</w:t>
      </w:r>
      <w:r w:rsidR="00C42AAC" w:rsidRPr="00EF6711">
        <w:t>o</w:t>
      </w:r>
      <w:r w:rsidRPr="00EF6711">
        <w:t xml:space="preserve">, non sono stati forniti nuovi dati non clinici e clinici: questo approccio è accettabile poiché il medicinale di riferimento </w:t>
      </w:r>
      <w:r w:rsidR="005E4359">
        <w:rPr>
          <w:rFonts w:eastAsia="Calibri" w:cs="Calibri"/>
          <w:lang w:eastAsia="it-IT"/>
        </w:rPr>
        <w:t>TORADOL</w:t>
      </w:r>
      <w:r w:rsidR="00C42AAC" w:rsidRPr="00EF6711">
        <w:t xml:space="preserve"> </w:t>
      </w:r>
      <w:r w:rsidRPr="00EF6711">
        <w:t xml:space="preserve">è autorizzato in Italia </w:t>
      </w:r>
      <w:r w:rsidR="000E4494" w:rsidRPr="00EF6711">
        <w:t xml:space="preserve">da oltre 10 anni; poiché </w:t>
      </w:r>
      <w:r w:rsidR="00D9711D">
        <w:rPr>
          <w:rFonts w:eastAsia="Calibri" w:cs="Calibri"/>
          <w:color w:val="000000"/>
          <w:lang w:eastAsia="it-IT"/>
        </w:rPr>
        <w:t>KETOROLAC S.A.L.F.</w:t>
      </w:r>
      <w:r w:rsidR="0042214D">
        <w:rPr>
          <w:rFonts w:eastAsia="Calibri" w:cs="Calibri"/>
          <w:color w:val="000000"/>
          <w:lang w:eastAsia="it-IT"/>
        </w:rPr>
        <w:t xml:space="preserve">  </w:t>
      </w:r>
      <w:r w:rsidR="000E4494" w:rsidRPr="00EF6711">
        <w:rPr>
          <w:rFonts w:cs="Arial"/>
        </w:rPr>
        <w:t xml:space="preserve">è somministrato come </w:t>
      </w:r>
      <w:r w:rsidR="00CC52A3">
        <w:rPr>
          <w:rFonts w:ascii="Calibri" w:hAnsi="Calibri" w:cs="Arial"/>
        </w:rPr>
        <w:t>soluzione iniettabile</w:t>
      </w:r>
      <w:r w:rsidR="000E4494" w:rsidRPr="00EF6711">
        <w:rPr>
          <w:rFonts w:cs="Arial"/>
        </w:rPr>
        <w:t>, è stat</w:t>
      </w:r>
      <w:r w:rsidR="00265B61">
        <w:rPr>
          <w:rFonts w:cs="Arial"/>
        </w:rPr>
        <w:t>o possibile</w:t>
      </w:r>
      <w:r w:rsidR="000E4494" w:rsidRPr="00EF6711">
        <w:rPr>
          <w:rFonts w:cs="Arial"/>
        </w:rPr>
        <w:t xml:space="preserve"> conce</w:t>
      </w:r>
      <w:r w:rsidR="00265B61">
        <w:rPr>
          <w:rFonts w:cs="Arial"/>
        </w:rPr>
        <w:t>dere</w:t>
      </w:r>
      <w:r w:rsidR="000E4494" w:rsidRPr="00EF6711">
        <w:rPr>
          <w:rFonts w:cs="Arial"/>
        </w:rPr>
        <w:t xml:space="preserve"> l’esenzione dalla conduzione di studi clinici di confronto con il medicinale di riferimento.</w:t>
      </w:r>
    </w:p>
    <w:p w:rsidR="0042214D" w:rsidRDefault="0042214D" w:rsidP="00EF6711">
      <w:pPr>
        <w:spacing w:after="0" w:line="240" w:lineRule="auto"/>
        <w:jc w:val="both"/>
      </w:pPr>
    </w:p>
    <w:p w:rsidR="004E5A39" w:rsidRPr="00EF6711" w:rsidRDefault="004E5A39" w:rsidP="00EF6711">
      <w:pPr>
        <w:spacing w:after="0" w:line="240" w:lineRule="auto"/>
        <w:jc w:val="both"/>
      </w:pPr>
      <w:r w:rsidRPr="00EF6711">
        <w:t>Le officine coinvolte nella produzione sono conformi alle linee guida di Buona Pratica di Fabbricazione (</w:t>
      </w:r>
      <w:proofErr w:type="spellStart"/>
      <w:r w:rsidRPr="00EF6711">
        <w:rPr>
          <w:i/>
        </w:rPr>
        <w:t>Good</w:t>
      </w:r>
      <w:proofErr w:type="spellEnd"/>
      <w:r w:rsidRPr="00EF6711">
        <w:rPr>
          <w:i/>
        </w:rPr>
        <w:t xml:space="preserve"> Manufacturing </w:t>
      </w:r>
      <w:proofErr w:type="spellStart"/>
      <w:r w:rsidRPr="00EF6711">
        <w:rPr>
          <w:i/>
        </w:rPr>
        <w:t>Practice</w:t>
      </w:r>
      <w:proofErr w:type="spellEnd"/>
      <w:r w:rsidRPr="00EF6711">
        <w:t xml:space="preserve"> - GMP). Le autorità regolatore competenti hanno rilasciato i certificati GMP per i siti di produzione sul territorio dell’Unione Europea.</w:t>
      </w:r>
    </w:p>
    <w:p w:rsidR="004E5A39" w:rsidRPr="00EF6711" w:rsidRDefault="004E5A39" w:rsidP="00EF6711">
      <w:pPr>
        <w:spacing w:after="0" w:line="240" w:lineRule="auto"/>
        <w:jc w:val="both"/>
        <w:rPr>
          <w:highlight w:val="yellow"/>
        </w:rPr>
      </w:pPr>
    </w:p>
    <w:p w:rsidR="004E5A39" w:rsidRPr="00EF6711" w:rsidRDefault="004E5A39" w:rsidP="00EF6711">
      <w:pPr>
        <w:spacing w:after="0" w:line="240" w:lineRule="auto"/>
        <w:jc w:val="both"/>
      </w:pPr>
      <w:r w:rsidRPr="00EF6711">
        <w:t>Il sistema di Farmacovigilanza descritto dal titolare dell’AIC è conforme ai requisiti previsti dalla normativa corrente. E</w:t>
      </w:r>
      <w:r w:rsidR="006A333D">
        <w:t xml:space="preserve">’ </w:t>
      </w:r>
      <w:r w:rsidRPr="00EF6711">
        <w:t>stato presentato un Piano di gestione del rischio (</w:t>
      </w:r>
      <w:r w:rsidRPr="00EF6711">
        <w:rPr>
          <w:i/>
        </w:rPr>
        <w:t>Risk Management Plan</w:t>
      </w:r>
      <w:r w:rsidRPr="00EF6711">
        <w:t xml:space="preserve"> – RMP) accettabile.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r w:rsidRPr="00EF6711">
        <w:t>Il titolare di AIC ha presentato una adeguata giustificazione della non presentazione della Valutazione del Rischio ambientale; questo approccio è accettabile in quanto</w:t>
      </w:r>
      <w:r w:rsidR="00C95A8F" w:rsidRPr="00C95A8F">
        <w:rPr>
          <w:rFonts w:eastAsia="Calibri" w:cs="Calibri"/>
          <w:color w:val="000000"/>
          <w:lang w:eastAsia="it-IT"/>
        </w:rPr>
        <w:t xml:space="preserve"> </w:t>
      </w:r>
      <w:r w:rsidR="00C95A8F">
        <w:rPr>
          <w:rFonts w:eastAsia="Calibri" w:cs="Calibri"/>
          <w:color w:val="000000"/>
          <w:lang w:eastAsia="it-IT"/>
        </w:rPr>
        <w:t xml:space="preserve">KETOROLAC S.A.L.F. </w:t>
      </w:r>
      <w:r w:rsidRPr="00EF6711">
        <w:t xml:space="preserve"> 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w:t>
      </w:r>
      <w:r w:rsidRPr="006A333D">
        <w:t>componenti geneticamente modificati; il metodo di produzione e la formulazione del medicinale non presentano problematiche di carattere</w:t>
      </w:r>
      <w:r w:rsidRPr="00EF6711">
        <w:t xml:space="preserve"> ambientale.</w:t>
      </w:r>
    </w:p>
    <w:p w:rsidR="004E5A39" w:rsidRPr="00EF6711" w:rsidRDefault="004E5A39" w:rsidP="00EF6711">
      <w:pPr>
        <w:spacing w:after="0" w:line="240" w:lineRule="auto"/>
        <w:jc w:val="both"/>
      </w:pPr>
    </w:p>
    <w:p w:rsidR="004E5A39" w:rsidRDefault="004E5A39" w:rsidP="00EF6711">
      <w:pPr>
        <w:spacing w:after="0" w:line="240" w:lineRule="auto"/>
        <w:jc w:val="both"/>
      </w:pPr>
    </w:p>
    <w:p w:rsidR="00C95A8F" w:rsidRDefault="00C95A8F" w:rsidP="00EF6711">
      <w:pPr>
        <w:spacing w:after="0" w:line="240" w:lineRule="auto"/>
        <w:jc w:val="both"/>
      </w:pPr>
    </w:p>
    <w:p w:rsidR="00C95A8F" w:rsidRDefault="00C95A8F" w:rsidP="00EF6711">
      <w:pPr>
        <w:spacing w:after="0" w:line="240" w:lineRule="auto"/>
        <w:jc w:val="both"/>
      </w:pPr>
    </w:p>
    <w:p w:rsidR="006A333D" w:rsidRDefault="006A333D" w:rsidP="00EF6711">
      <w:pPr>
        <w:spacing w:after="0" w:line="240" w:lineRule="auto"/>
        <w:jc w:val="both"/>
      </w:pPr>
    </w:p>
    <w:p w:rsidR="006A333D" w:rsidRDefault="006A333D" w:rsidP="00EF6711">
      <w:pPr>
        <w:spacing w:after="0" w:line="240" w:lineRule="auto"/>
        <w:jc w:val="both"/>
      </w:pPr>
    </w:p>
    <w:p w:rsidR="006A333D" w:rsidRDefault="006A333D" w:rsidP="00EF6711">
      <w:pPr>
        <w:spacing w:after="0" w:line="240" w:lineRule="auto"/>
        <w:jc w:val="both"/>
      </w:pPr>
    </w:p>
    <w:p w:rsidR="006A333D" w:rsidRDefault="006A333D" w:rsidP="00EF6711">
      <w:pPr>
        <w:spacing w:after="0" w:line="240" w:lineRule="auto"/>
        <w:jc w:val="both"/>
      </w:pPr>
    </w:p>
    <w:p w:rsidR="006A333D" w:rsidRDefault="006A333D" w:rsidP="00EF6711">
      <w:pPr>
        <w:spacing w:after="0" w:line="240" w:lineRule="auto"/>
        <w:jc w:val="both"/>
      </w:pPr>
    </w:p>
    <w:p w:rsidR="00C95A8F" w:rsidRDefault="00C95A8F" w:rsidP="00EF6711">
      <w:pPr>
        <w:spacing w:after="0" w:line="240" w:lineRule="auto"/>
        <w:jc w:val="both"/>
      </w:pPr>
    </w:p>
    <w:p w:rsidR="00C95A8F" w:rsidRPr="00EF6711" w:rsidRDefault="00C95A8F"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DI QUALITA’</w:t>
      </w:r>
    </w:p>
    <w:p w:rsidR="004E5A39" w:rsidRPr="00EF6711" w:rsidRDefault="004E5A39" w:rsidP="00EF6711">
      <w:pPr>
        <w:spacing w:after="0" w:line="240" w:lineRule="auto"/>
        <w:jc w:val="both"/>
      </w:pPr>
      <w:r w:rsidRPr="00EF6711">
        <w:rPr>
          <w:b/>
        </w:rPr>
        <w:lastRenderedPageBreak/>
        <w:t>II.1 PRINCIPIO ATTIVO</w:t>
      </w:r>
      <w:r w:rsidR="006A333D">
        <w:rPr>
          <w:b/>
        </w:rPr>
        <w:t xml:space="preserve"> KETOROLAC </w:t>
      </w:r>
      <w:r w:rsidR="00697EA4">
        <w:rPr>
          <w:b/>
        </w:rPr>
        <w:t>TROMETAMINA</w:t>
      </w:r>
    </w:p>
    <w:p w:rsidR="006A333D" w:rsidRPr="006A333D" w:rsidRDefault="004E5A39" w:rsidP="006A333D">
      <w:pPr>
        <w:autoSpaceDE w:val="0"/>
        <w:autoSpaceDN w:val="0"/>
        <w:adjustRightInd w:val="0"/>
        <w:spacing w:after="0" w:line="240" w:lineRule="auto"/>
        <w:rPr>
          <w:rFonts w:cs="Calibri"/>
        </w:rPr>
      </w:pPr>
      <w:r w:rsidRPr="00EF6711">
        <w:rPr>
          <w:u w:val="single"/>
        </w:rPr>
        <w:t>Nome chimico</w:t>
      </w:r>
      <w:r w:rsidR="000E4494" w:rsidRPr="00EF6711">
        <w:rPr>
          <w:i/>
          <w:iCs/>
        </w:rPr>
        <w:t xml:space="preserve"> </w:t>
      </w:r>
      <w:r w:rsidR="006A333D" w:rsidRPr="006A333D">
        <w:rPr>
          <w:rFonts w:cs="Calibri"/>
        </w:rPr>
        <w:t>2-Amino-2-(</w:t>
      </w:r>
      <w:proofErr w:type="spellStart"/>
      <w:r w:rsidR="006A333D" w:rsidRPr="006A333D">
        <w:rPr>
          <w:rFonts w:cs="Calibri"/>
        </w:rPr>
        <w:t>hydroxymethyl</w:t>
      </w:r>
      <w:proofErr w:type="spellEnd"/>
      <w:r w:rsidR="006A333D" w:rsidRPr="006A333D">
        <w:rPr>
          <w:rFonts w:cs="Calibri"/>
        </w:rPr>
        <w:t>)</w:t>
      </w:r>
      <w:r w:rsidR="006A333D">
        <w:rPr>
          <w:rFonts w:cs="Calibri"/>
        </w:rPr>
        <w:t xml:space="preserve"> </w:t>
      </w:r>
      <w:r w:rsidR="006A333D" w:rsidRPr="006A333D">
        <w:rPr>
          <w:rFonts w:cs="Calibri"/>
        </w:rPr>
        <w:t>propane-1,3-diol (1RS)</w:t>
      </w:r>
      <w:r w:rsidR="006A333D">
        <w:rPr>
          <w:rFonts w:cs="Calibri"/>
        </w:rPr>
        <w:t xml:space="preserve"> </w:t>
      </w:r>
      <w:r w:rsidR="006A333D" w:rsidRPr="006A333D">
        <w:rPr>
          <w:rFonts w:cs="Calibri"/>
        </w:rPr>
        <w:t>-5-benzoyl-2,3-dihydro-1Hpyrrolizine-</w:t>
      </w:r>
    </w:p>
    <w:p w:rsidR="004E5A39" w:rsidRPr="00CC52A3" w:rsidRDefault="006A333D" w:rsidP="006A333D">
      <w:pPr>
        <w:autoSpaceDE w:val="0"/>
        <w:autoSpaceDN w:val="0"/>
        <w:adjustRightInd w:val="0"/>
        <w:spacing w:after="0" w:line="240" w:lineRule="auto"/>
        <w:rPr>
          <w:highlight w:val="yellow"/>
        </w:rPr>
      </w:pPr>
      <w:r w:rsidRPr="006A333D">
        <w:rPr>
          <w:rFonts w:cs="Calibri"/>
        </w:rPr>
        <w:t>1-carboxylate.</w:t>
      </w:r>
    </w:p>
    <w:p w:rsidR="004E5A39" w:rsidRPr="00EF6711" w:rsidRDefault="004E5A39" w:rsidP="00EF6711">
      <w:pPr>
        <w:spacing w:after="0" w:line="240" w:lineRule="auto"/>
        <w:jc w:val="both"/>
      </w:pPr>
      <w:r w:rsidRPr="00EF6711">
        <w:rPr>
          <w:u w:val="single"/>
        </w:rPr>
        <w:t>Struttura</w:t>
      </w:r>
      <w:r w:rsidRPr="00EF6711">
        <w:t>:</w:t>
      </w:r>
    </w:p>
    <w:p w:rsidR="004E5A39" w:rsidRPr="00EF6711" w:rsidRDefault="00640D3A" w:rsidP="00EF6711">
      <w:pPr>
        <w:spacing w:after="0" w:line="240" w:lineRule="auto"/>
        <w:jc w:val="center"/>
        <w:rPr>
          <w:highlight w:val="yellow"/>
        </w:rPr>
      </w:pPr>
      <w:r>
        <w:rPr>
          <w:noProof/>
          <w:lang w:eastAsia="it-IT"/>
        </w:rPr>
        <w:drawing>
          <wp:inline distT="0" distB="0" distL="0" distR="0">
            <wp:extent cx="1746738" cy="59636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796836" cy="613465"/>
                    </a:xfrm>
                    <a:prstGeom prst="rect">
                      <a:avLst/>
                    </a:prstGeom>
                  </pic:spPr>
                </pic:pic>
              </a:graphicData>
            </a:graphic>
          </wp:inline>
        </w:drawing>
      </w:r>
    </w:p>
    <w:p w:rsidR="004E5A39" w:rsidRPr="00EF6711" w:rsidRDefault="004E5A39" w:rsidP="00EF6711">
      <w:pPr>
        <w:spacing w:after="0" w:line="240" w:lineRule="auto"/>
        <w:jc w:val="both"/>
      </w:pPr>
      <w:r w:rsidRPr="00EF6711">
        <w:rPr>
          <w:u w:val="single"/>
        </w:rPr>
        <w:t>Formula molecolare</w:t>
      </w:r>
      <w:r w:rsidRPr="00EF6711">
        <w:t>:</w:t>
      </w:r>
      <w:r w:rsidR="00640D3A" w:rsidRPr="00640D3A">
        <w:rPr>
          <w:rFonts w:cs="Calibri"/>
          <w:b/>
          <w:bCs/>
        </w:rPr>
        <w:t xml:space="preserve"> </w:t>
      </w:r>
      <w:r w:rsidR="00640D3A" w:rsidRPr="00640D3A">
        <w:rPr>
          <w:rFonts w:cs="Calibri"/>
        </w:rPr>
        <w:t>C</w:t>
      </w:r>
      <w:r w:rsidR="00640D3A" w:rsidRPr="00640D3A">
        <w:rPr>
          <w:rFonts w:cs="Calibri"/>
          <w:vertAlign w:val="subscript"/>
        </w:rPr>
        <w:t>19</w:t>
      </w:r>
      <w:r w:rsidR="00640D3A" w:rsidRPr="00640D3A">
        <w:rPr>
          <w:rFonts w:cs="Calibri"/>
        </w:rPr>
        <w:t>H</w:t>
      </w:r>
      <w:r w:rsidR="00640D3A" w:rsidRPr="00640D3A">
        <w:rPr>
          <w:rFonts w:cs="Calibri"/>
          <w:vertAlign w:val="subscript"/>
        </w:rPr>
        <w:t>24</w:t>
      </w:r>
      <w:r w:rsidR="00640D3A" w:rsidRPr="00640D3A">
        <w:rPr>
          <w:rFonts w:cs="Calibri"/>
        </w:rPr>
        <w:t>N</w:t>
      </w:r>
      <w:r w:rsidR="00640D3A" w:rsidRPr="00640D3A">
        <w:rPr>
          <w:rFonts w:cs="Calibri"/>
          <w:vertAlign w:val="subscript"/>
        </w:rPr>
        <w:t>2</w:t>
      </w:r>
      <w:r w:rsidR="00640D3A" w:rsidRPr="00640D3A">
        <w:rPr>
          <w:rFonts w:cs="Calibri"/>
        </w:rPr>
        <w:t>O</w:t>
      </w:r>
      <w:r w:rsidR="00640D3A" w:rsidRPr="00640D3A">
        <w:rPr>
          <w:rFonts w:cs="Calibri"/>
          <w:vertAlign w:val="subscript"/>
        </w:rPr>
        <w:t>6</w:t>
      </w:r>
    </w:p>
    <w:p w:rsidR="004E5A39" w:rsidRPr="002B453C" w:rsidRDefault="004E5A39" w:rsidP="002B453C">
      <w:pPr>
        <w:autoSpaceDE w:val="0"/>
        <w:autoSpaceDN w:val="0"/>
        <w:adjustRightInd w:val="0"/>
        <w:spacing w:after="0" w:line="240" w:lineRule="auto"/>
        <w:rPr>
          <w:rFonts w:ascii="Times New Roman" w:hAnsi="Times New Roman" w:cs="Times New Roman"/>
          <w:sz w:val="16"/>
          <w:szCs w:val="16"/>
        </w:rPr>
      </w:pPr>
      <w:r w:rsidRPr="00EF6711">
        <w:rPr>
          <w:u w:val="single"/>
        </w:rPr>
        <w:t>Peso molecolar</w:t>
      </w:r>
      <w:r w:rsidRPr="002B453C">
        <w:rPr>
          <w:rFonts w:cstheme="minorHAnsi"/>
          <w:u w:val="single"/>
        </w:rPr>
        <w:t>e</w:t>
      </w:r>
      <w:r w:rsidRPr="002B453C">
        <w:rPr>
          <w:rFonts w:cstheme="minorHAnsi"/>
        </w:rPr>
        <w:t>:</w:t>
      </w:r>
      <w:r w:rsidRPr="002B453C">
        <w:rPr>
          <w:rFonts w:cstheme="minorHAnsi"/>
          <w:color w:val="252525"/>
          <w:shd w:val="clear" w:color="auto" w:fill="F9F9F9"/>
        </w:rPr>
        <w:t xml:space="preserve"> </w:t>
      </w:r>
      <w:r w:rsidR="002B453C" w:rsidRPr="002B453C">
        <w:rPr>
          <w:rFonts w:cstheme="minorHAnsi"/>
        </w:rPr>
        <w:t>376.4</w:t>
      </w:r>
      <w:r w:rsidR="009A23DE" w:rsidRPr="002B453C">
        <w:rPr>
          <w:rFonts w:cstheme="minorHAnsi"/>
        </w:rPr>
        <w:t xml:space="preserve"> </w:t>
      </w:r>
      <w:r w:rsidRPr="002B453C">
        <w:rPr>
          <w:rStyle w:val="s1"/>
          <w:rFonts w:asciiTheme="minorHAnsi" w:hAnsiTheme="minorHAnsi" w:cstheme="minorHAnsi"/>
        </w:rPr>
        <w:t>g/mol</w:t>
      </w:r>
    </w:p>
    <w:p w:rsidR="004E5A39" w:rsidRPr="00EF6711" w:rsidRDefault="004E5A39" w:rsidP="00EF6711">
      <w:pPr>
        <w:spacing w:after="0" w:line="240" w:lineRule="auto"/>
        <w:jc w:val="both"/>
      </w:pPr>
      <w:r w:rsidRPr="00EF6711">
        <w:rPr>
          <w:u w:val="single"/>
        </w:rPr>
        <w:t>CAS</w:t>
      </w:r>
      <w:r w:rsidRPr="00EF6711">
        <w:t xml:space="preserve">: </w:t>
      </w:r>
      <w:r w:rsidR="00640D3A" w:rsidRPr="00640D3A">
        <w:t>[</w:t>
      </w:r>
      <w:r w:rsidR="006A333D" w:rsidRPr="006A333D">
        <w:t>74103-07-4</w:t>
      </w:r>
      <w:r w:rsidR="00CC52A3">
        <w:t>]</w:t>
      </w:r>
    </w:p>
    <w:p w:rsidR="004E5A39" w:rsidRPr="00EF6711" w:rsidRDefault="004E5A39" w:rsidP="002B453C">
      <w:pPr>
        <w:spacing w:line="240" w:lineRule="auto"/>
        <w:jc w:val="both"/>
      </w:pPr>
      <w:r w:rsidRPr="00EF6711">
        <w:rPr>
          <w:u w:val="single"/>
        </w:rPr>
        <w:t>Aspetto</w:t>
      </w:r>
      <w:r w:rsidRPr="00EF6711">
        <w:t xml:space="preserve">: </w:t>
      </w:r>
      <w:r w:rsidR="002B453C">
        <w:t>p</w:t>
      </w:r>
      <w:r w:rsidR="002B453C" w:rsidRPr="002B453C">
        <w:t>olvere cristallina bianca o quasi bianc</w:t>
      </w:r>
      <w:r w:rsidR="00520A09">
        <w:t>a.</w:t>
      </w:r>
    </w:p>
    <w:p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Pr="00EF6711">
        <w:t xml:space="preserve">: </w:t>
      </w:r>
      <w:r w:rsidR="002B453C">
        <w:t>f</w:t>
      </w:r>
      <w:r w:rsidR="002B453C" w:rsidRPr="002B453C">
        <w:t>acilmente solubile in acqua e in metanolo; leggermente solubile in etanolo (96%), praticamente insolubile in cloruro di metilene.</w:t>
      </w:r>
    </w:p>
    <w:p w:rsidR="00CC52A3" w:rsidRPr="00EF6711" w:rsidRDefault="00CC52A3" w:rsidP="00EF6711">
      <w:pPr>
        <w:spacing w:after="0" w:line="240" w:lineRule="auto"/>
        <w:jc w:val="both"/>
      </w:pPr>
    </w:p>
    <w:p w:rsidR="000B7AC8" w:rsidRPr="009D201B" w:rsidRDefault="000B7AC8" w:rsidP="000B7AC8">
      <w:pPr>
        <w:spacing w:after="0" w:line="240" w:lineRule="auto"/>
        <w:jc w:val="both"/>
      </w:pPr>
      <w:r w:rsidRPr="009D201B">
        <w:t>Il principio attivo è presente in Farmacopea Europea e il Direttorato Europeo per la Qualità dei Medicinali (</w:t>
      </w:r>
      <w:proofErr w:type="spellStart"/>
      <w:r w:rsidRPr="009D201B">
        <w:t>European</w:t>
      </w:r>
      <w:proofErr w:type="spellEnd"/>
      <w:r w:rsidRPr="009D201B">
        <w:t xml:space="preserve"> </w:t>
      </w:r>
      <w:proofErr w:type="spellStart"/>
      <w:r w:rsidRPr="009D201B">
        <w:t>Directorate</w:t>
      </w:r>
      <w:proofErr w:type="spellEnd"/>
      <w:r w:rsidRPr="009D201B">
        <w:t xml:space="preserve"> </w:t>
      </w:r>
      <w:proofErr w:type="spellStart"/>
      <w:r w:rsidRPr="009D201B">
        <w:t>for</w:t>
      </w:r>
      <w:proofErr w:type="spellEnd"/>
      <w:r w:rsidRPr="009D201B">
        <w:t xml:space="preserve"> </w:t>
      </w:r>
      <w:proofErr w:type="spellStart"/>
      <w:r w:rsidRPr="009D201B">
        <w:t>Quality</w:t>
      </w:r>
      <w:proofErr w:type="spellEnd"/>
      <w:r w:rsidRPr="009D201B">
        <w:t xml:space="preserve"> </w:t>
      </w:r>
      <w:proofErr w:type="spellStart"/>
      <w:r w:rsidRPr="009D201B">
        <w:t>of</w:t>
      </w:r>
      <w:proofErr w:type="spellEnd"/>
      <w:r w:rsidRPr="009D201B">
        <w:t xml:space="preserve"> </w:t>
      </w:r>
      <w:proofErr w:type="spellStart"/>
      <w:r w:rsidRPr="009D201B">
        <w:t>Medicnals</w:t>
      </w:r>
      <w:proofErr w:type="spellEnd"/>
      <w:r w:rsidRPr="009D201B">
        <w:t xml:space="preserve"> – EDQM) ha rilasciato al produttore il certificato di conformità alla Farmacopea Europea (CEP).</w:t>
      </w:r>
    </w:p>
    <w:p w:rsidR="000B7AC8" w:rsidRDefault="000B7AC8" w:rsidP="000B7AC8">
      <w:pPr>
        <w:spacing w:after="0" w:line="240" w:lineRule="auto"/>
        <w:jc w:val="both"/>
      </w:pPr>
      <w:r w:rsidRPr="009D201B">
        <w:t xml:space="preserve">Tutti gli aspetti di produzione e controllo, ad eccezione </w:t>
      </w:r>
      <w:r>
        <w:t>della stabilità</w:t>
      </w:r>
      <w:r w:rsidR="0050622E">
        <w:t xml:space="preserve">, </w:t>
      </w:r>
      <w:r w:rsidRPr="009D201B">
        <w:t xml:space="preserve">sono coperti dal certificato di conformità alla Farmacopea Europea. </w:t>
      </w:r>
    </w:p>
    <w:p w:rsidR="000B7AC8" w:rsidRPr="009D201B" w:rsidRDefault="000B7AC8" w:rsidP="00C9780B">
      <w:pPr>
        <w:spacing w:line="240" w:lineRule="auto"/>
        <w:jc w:val="both"/>
      </w:pPr>
      <w:r w:rsidRPr="009D201B">
        <w:t>Sono stati forniti adeguati studi di stabilità per il principio attivo conservato nel confezionamento proposto per il commercio</w:t>
      </w:r>
      <w:r>
        <w:t xml:space="preserve"> (</w:t>
      </w:r>
      <w:r w:rsidR="00C9780B">
        <w:t>una sacca</w:t>
      </w:r>
      <w:r w:rsidR="00C9780B" w:rsidRPr="00C9780B">
        <w:t xml:space="preserve"> di polietilene trasparente</w:t>
      </w:r>
      <w:r w:rsidR="00C9780B">
        <w:t xml:space="preserve"> posta in una </w:t>
      </w:r>
      <w:r w:rsidR="00C9780B" w:rsidRPr="00C9780B">
        <w:t>sac</w:t>
      </w:r>
      <w:r w:rsidR="00C9780B">
        <w:t>ca</w:t>
      </w:r>
      <w:r w:rsidR="00C9780B" w:rsidRPr="00C9780B">
        <w:t xml:space="preserve"> di polietilene nero</w:t>
      </w:r>
      <w:r w:rsidR="00C9780B">
        <w:t xml:space="preserve"> </w:t>
      </w:r>
      <w:r w:rsidR="00C9780B" w:rsidRPr="00C9780B">
        <w:t>e conservat</w:t>
      </w:r>
      <w:r w:rsidR="00C9780B">
        <w:t>a</w:t>
      </w:r>
      <w:r w:rsidR="00C9780B" w:rsidRPr="00C9780B">
        <w:t xml:space="preserve"> in fusto di HDPE</w:t>
      </w:r>
      <w:r>
        <w:t>)</w:t>
      </w:r>
      <w:r w:rsidRPr="009D201B">
        <w:t xml:space="preserve">. Sulla base di questi dati, è stato approvato un periodo di </w:t>
      </w:r>
      <w:proofErr w:type="spellStart"/>
      <w:r w:rsidRPr="009D201B">
        <w:t>retest</w:t>
      </w:r>
      <w:proofErr w:type="spellEnd"/>
      <w:r w:rsidRPr="009D201B">
        <w:t xml:space="preserve"> di </w:t>
      </w:r>
      <w:r w:rsidR="00C9780B">
        <w:t>5 anni</w:t>
      </w:r>
      <w:r w:rsidR="00B178D5">
        <w:t>.</w:t>
      </w:r>
    </w:p>
    <w:p w:rsidR="00B30431" w:rsidRDefault="00B30431" w:rsidP="00EF6711">
      <w:pPr>
        <w:spacing w:after="0" w:line="240" w:lineRule="auto"/>
        <w:jc w:val="both"/>
      </w:pPr>
    </w:p>
    <w:p w:rsidR="000B7AC8" w:rsidRPr="00EF6711" w:rsidRDefault="000B7AC8" w:rsidP="00EF6711">
      <w:pPr>
        <w:spacing w:after="0" w:line="240" w:lineRule="auto"/>
        <w:jc w:val="both"/>
      </w:pPr>
    </w:p>
    <w:p w:rsidR="004E5A39" w:rsidRPr="00EF6711" w:rsidRDefault="004E5A39" w:rsidP="00EF6711">
      <w:pPr>
        <w:spacing w:after="0" w:line="240" w:lineRule="auto"/>
        <w:jc w:val="both"/>
        <w:rPr>
          <w:b/>
        </w:rPr>
      </w:pPr>
      <w:r w:rsidRPr="00EF6711">
        <w:rPr>
          <w:b/>
        </w:rPr>
        <w:t>II.2 PRODOTTO FINITO</w:t>
      </w:r>
    </w:p>
    <w:p w:rsidR="004E5A39" w:rsidRPr="00EF6711" w:rsidRDefault="004E5A39" w:rsidP="00EF6711">
      <w:pPr>
        <w:spacing w:after="0" w:line="240" w:lineRule="auto"/>
        <w:jc w:val="both"/>
        <w:rPr>
          <w:b/>
        </w:rPr>
      </w:pPr>
      <w:r w:rsidRPr="00EF6711">
        <w:rPr>
          <w:b/>
        </w:rPr>
        <w:t>Descrizione e composizione</w:t>
      </w:r>
    </w:p>
    <w:p w:rsidR="004E5A39" w:rsidRPr="00EF6711" w:rsidRDefault="00D9711D" w:rsidP="00EF6711">
      <w:pPr>
        <w:widowControl w:val="0"/>
        <w:spacing w:after="0" w:line="240" w:lineRule="auto"/>
        <w:jc w:val="both"/>
      </w:pPr>
      <w:r>
        <w:rPr>
          <w:rFonts w:eastAsia="Calibri" w:cs="Calibri"/>
          <w:color w:val="000000"/>
          <w:lang w:eastAsia="it-IT"/>
        </w:rPr>
        <w:t>KETOROLAC S.A.L.F.</w:t>
      </w:r>
      <w:r w:rsidR="000B7AC8">
        <w:rPr>
          <w:rFonts w:eastAsia="Calibri" w:cs="Calibri"/>
          <w:color w:val="000000"/>
          <w:lang w:eastAsia="it-IT"/>
        </w:rPr>
        <w:t xml:space="preserve"> è disponibile in </w:t>
      </w:r>
      <w:r w:rsidR="004703E8" w:rsidRPr="00360CF4">
        <w:t>soluzione iniettabi</w:t>
      </w:r>
      <w:r w:rsidR="00647466">
        <w:t>le contenente</w:t>
      </w:r>
      <w:r w:rsidR="00647466" w:rsidRPr="00647466">
        <w:t xml:space="preserve"> 30 mg</w:t>
      </w:r>
      <w:r w:rsidR="00647466">
        <w:t>/ml</w:t>
      </w:r>
      <w:r w:rsidR="00647466" w:rsidRPr="00647466">
        <w:t xml:space="preserve"> di </w:t>
      </w:r>
      <w:proofErr w:type="spellStart"/>
      <w:r w:rsidR="00647466" w:rsidRPr="00647466">
        <w:t>ketorolac</w:t>
      </w:r>
      <w:proofErr w:type="spellEnd"/>
      <w:r w:rsidR="00647466" w:rsidRPr="00647466">
        <w:t xml:space="preserve"> </w:t>
      </w:r>
      <w:proofErr w:type="spellStart"/>
      <w:r w:rsidR="00647466" w:rsidRPr="00647466">
        <w:t>trometami</w:t>
      </w:r>
      <w:r w:rsidR="00647466">
        <w:t>na</w:t>
      </w:r>
      <w:proofErr w:type="spellEnd"/>
      <w:r w:rsidR="00647466" w:rsidRPr="00647466">
        <w:t>.</w:t>
      </w:r>
    </w:p>
    <w:p w:rsidR="00647466" w:rsidRPr="00647466" w:rsidRDefault="004E5A39" w:rsidP="00647466">
      <w:pPr>
        <w:spacing w:after="0" w:line="240" w:lineRule="auto"/>
        <w:jc w:val="both"/>
      </w:pPr>
      <w:r w:rsidRPr="00EF6711">
        <w:t>Gli eccipienti sono</w:t>
      </w:r>
      <w:r w:rsidR="00647466">
        <w:t>:</w:t>
      </w:r>
      <w:r w:rsidRPr="00EF6711">
        <w:t xml:space="preserve"> </w:t>
      </w:r>
      <w:r w:rsidR="00B163D3">
        <w:t>e</w:t>
      </w:r>
      <w:r w:rsidR="00647466" w:rsidRPr="00647466">
        <w:t>tanolo (96%)</w:t>
      </w:r>
      <w:r w:rsidR="00647466">
        <w:t xml:space="preserve">, </w:t>
      </w:r>
      <w:r w:rsidR="00B163D3">
        <w:t>s</w:t>
      </w:r>
      <w:r w:rsidR="00647466" w:rsidRPr="00647466">
        <w:t>odio cloruro</w:t>
      </w:r>
      <w:r w:rsidR="00647466">
        <w:t>,</w:t>
      </w:r>
      <w:r w:rsidR="00647466" w:rsidRPr="00647466">
        <w:t xml:space="preserve"> </w:t>
      </w:r>
      <w:r w:rsidR="00B163D3">
        <w:t>a</w:t>
      </w:r>
      <w:r w:rsidR="00647466" w:rsidRPr="00647466">
        <w:t>cido cloridrico (regolatore del pH)</w:t>
      </w:r>
      <w:r w:rsidR="00647466">
        <w:t xml:space="preserve">, </w:t>
      </w:r>
      <w:r w:rsidR="005238C6">
        <w:t>i</w:t>
      </w:r>
      <w:r w:rsidR="00647466" w:rsidRPr="00647466">
        <w:t>drossido di sodio (regolatore di pH)</w:t>
      </w:r>
      <w:r w:rsidR="00647466">
        <w:t xml:space="preserve">, </w:t>
      </w:r>
      <w:r w:rsidR="005238C6">
        <w:t>a</w:t>
      </w:r>
      <w:r w:rsidR="00647466" w:rsidRPr="00647466">
        <w:t>cqua per preparazioni iniettabili</w:t>
      </w:r>
      <w:r w:rsidR="00647466">
        <w:t>.</w:t>
      </w:r>
    </w:p>
    <w:p w:rsidR="000808A3" w:rsidRPr="00EF6711" w:rsidRDefault="004E5A39" w:rsidP="00EF6711">
      <w:pPr>
        <w:spacing w:after="0" w:line="240" w:lineRule="auto"/>
        <w:ind w:right="13"/>
        <w:jc w:val="both"/>
      </w:pPr>
      <w:r w:rsidRPr="00EF6711">
        <w:t>Tutti gli eccipienti sono conformi alla relativa monografia di Farmacopea Europea.</w:t>
      </w:r>
      <w:r w:rsidR="005238C6" w:rsidRPr="00EF6711">
        <w:t xml:space="preserve"> </w:t>
      </w:r>
    </w:p>
    <w:p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Sviluppo farmaceutico</w:t>
      </w:r>
    </w:p>
    <w:p w:rsidR="004E5A39" w:rsidRPr="00EF6711" w:rsidRDefault="004E5A39" w:rsidP="00EF6711">
      <w:pPr>
        <w:spacing w:after="0" w:line="240" w:lineRule="auto"/>
        <w:jc w:val="both"/>
      </w:pPr>
      <w:r w:rsidRPr="00EF6711">
        <w:t>Sono stati forniti dettagli dello sviluppo farmaceutico e questi sono stati ritenuti soddisfacenti.</w:t>
      </w:r>
    </w:p>
    <w:p w:rsidR="00EE6CDB" w:rsidRDefault="004E5A39" w:rsidP="00EF6711">
      <w:pPr>
        <w:spacing w:after="0" w:line="240" w:lineRule="auto"/>
        <w:jc w:val="both"/>
        <w:rPr>
          <w:rFonts w:eastAsia="Calibri" w:cs="Calibri"/>
          <w:lang w:eastAsia="it-IT"/>
        </w:rPr>
      </w:pPr>
      <w:r w:rsidRPr="00EF6711">
        <w:t>Sono stati forniti dati comparativi relativi al profilo di impurezze rispetto al medicinale di riferimento</w:t>
      </w:r>
      <w:r w:rsidR="00B30431" w:rsidRPr="00EF6711">
        <w:rPr>
          <w:rFonts w:eastAsia="Calibri" w:cs="Calibri"/>
          <w:lang w:eastAsia="it-IT"/>
        </w:rPr>
        <w:t xml:space="preserve"> </w:t>
      </w:r>
      <w:proofErr w:type="spellStart"/>
      <w:r w:rsidR="00EE6CDB">
        <w:rPr>
          <w:rFonts w:eastAsia="Calibri" w:cs="Calibri"/>
          <w:lang w:eastAsia="it-IT"/>
        </w:rPr>
        <w:t>Toradol</w:t>
      </w:r>
      <w:proofErr w:type="spellEnd"/>
      <w:r w:rsidR="00EE6CDB">
        <w:rPr>
          <w:rFonts w:eastAsia="Calibri" w:cs="Calibri"/>
          <w:lang w:eastAsia="it-IT"/>
        </w:rPr>
        <w:t>.</w:t>
      </w:r>
    </w:p>
    <w:p w:rsidR="004E5A39" w:rsidRPr="00EF6711" w:rsidRDefault="004E5A39" w:rsidP="00EF6711">
      <w:pPr>
        <w:spacing w:after="0" w:line="240" w:lineRule="auto"/>
        <w:jc w:val="both"/>
      </w:pPr>
      <w:r w:rsidRPr="00EF6711">
        <w:t>I dati sono soddisfacenti.</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 xml:space="preserve">Produzione </w:t>
      </w:r>
    </w:p>
    <w:p w:rsidR="004E5A39" w:rsidRPr="00EF6711" w:rsidRDefault="004E5A39" w:rsidP="00EF6711">
      <w:pPr>
        <w:spacing w:after="0" w:line="240" w:lineRule="auto"/>
        <w:jc w:val="both"/>
      </w:pPr>
      <w:r w:rsidRPr="00EF6711">
        <w:t>Sono stati forniti una descrizione del metodo di produzione e la relativa flow-chart.</w:t>
      </w:r>
    </w:p>
    <w:p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Specifiche del prodotto finito</w:t>
      </w:r>
    </w:p>
    <w:p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prodotto finito: questi dati dimostrano che i lotti prodotti sono in accordo alle specifiche proposte. Sono stati forniti, infine, certificati analitici per gli standard di riferimento utilizzati.</w:t>
      </w:r>
    </w:p>
    <w:p w:rsidR="004E5A39" w:rsidRPr="00EF6711" w:rsidRDefault="004E5A39" w:rsidP="00EF6711">
      <w:pPr>
        <w:spacing w:after="0" w:line="240" w:lineRule="auto"/>
        <w:jc w:val="both"/>
        <w:rPr>
          <w:b/>
        </w:rPr>
      </w:pPr>
    </w:p>
    <w:p w:rsidR="004E5A39" w:rsidRPr="00EF6711" w:rsidRDefault="004E5A39" w:rsidP="00EF6711">
      <w:pPr>
        <w:spacing w:after="0" w:line="240" w:lineRule="auto"/>
        <w:jc w:val="both"/>
        <w:rPr>
          <w:b/>
        </w:rPr>
      </w:pPr>
      <w:r w:rsidRPr="00EF6711">
        <w:rPr>
          <w:b/>
        </w:rPr>
        <w:t>Contenitore</w:t>
      </w:r>
    </w:p>
    <w:p w:rsidR="00BA0ACD" w:rsidRPr="00EF6711" w:rsidRDefault="00D9711D" w:rsidP="00EF6711">
      <w:pPr>
        <w:spacing w:after="0" w:line="240" w:lineRule="auto"/>
        <w:jc w:val="both"/>
      </w:pPr>
      <w:r>
        <w:rPr>
          <w:rFonts w:eastAsia="Calibri" w:cs="Calibri"/>
          <w:color w:val="000000"/>
          <w:lang w:eastAsia="it-IT"/>
        </w:rPr>
        <w:t>KETOROLAC S.A.L.F.</w:t>
      </w:r>
      <w:r w:rsidR="000808A3">
        <w:rPr>
          <w:rFonts w:eastAsia="Calibri" w:cs="Calibri"/>
          <w:color w:val="000000"/>
          <w:lang w:eastAsia="it-IT"/>
        </w:rPr>
        <w:t xml:space="preserve"> </w:t>
      </w:r>
      <w:r w:rsidR="004E5A39" w:rsidRPr="00EF6711">
        <w:t xml:space="preserve">è confezionato in </w:t>
      </w:r>
      <w:r w:rsidR="00CC608F" w:rsidRPr="00CC608F">
        <w:t>fiale di vetro di tipo I, color ambra da 1 ml.</w:t>
      </w:r>
    </w:p>
    <w:p w:rsidR="004E5A39" w:rsidRPr="00EF6711" w:rsidRDefault="004E5A39" w:rsidP="00EF6711">
      <w:pPr>
        <w:spacing w:after="0" w:line="240" w:lineRule="auto"/>
        <w:jc w:val="both"/>
      </w:pPr>
      <w:r w:rsidRPr="00EF6711">
        <w:lastRenderedPageBreak/>
        <w:t>Sono state fornite specifiche e certificati analitici per tutti i componenti del confezionamento primario, che è adeguato per</w:t>
      </w:r>
      <w:r w:rsidR="00CC608F">
        <w:t xml:space="preserve"> </w:t>
      </w:r>
      <w:r w:rsidRPr="00EF6711">
        <w:t>il medicinale.</w:t>
      </w:r>
    </w:p>
    <w:p w:rsidR="00BA0ACD" w:rsidRPr="00EF6711" w:rsidRDefault="00BA0ACD" w:rsidP="00EF6711">
      <w:pPr>
        <w:spacing w:after="0" w:line="240" w:lineRule="auto"/>
        <w:jc w:val="both"/>
      </w:pPr>
    </w:p>
    <w:p w:rsidR="004E5A39" w:rsidRPr="00EF6711" w:rsidRDefault="004E5A39" w:rsidP="00EF6711">
      <w:pPr>
        <w:spacing w:after="0" w:line="240" w:lineRule="auto"/>
        <w:jc w:val="both"/>
        <w:rPr>
          <w:b/>
        </w:rPr>
      </w:pPr>
      <w:r w:rsidRPr="00EF6711">
        <w:rPr>
          <w:b/>
        </w:rPr>
        <w:t>Stabilità</w:t>
      </w:r>
    </w:p>
    <w:p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CC608F">
        <w:t>2</w:t>
      </w:r>
      <w:r w:rsidR="00265B61">
        <w:t xml:space="preserve"> anni</w:t>
      </w:r>
      <w:r w:rsidRPr="00EF6711">
        <w:t xml:space="preserve"> </w:t>
      </w:r>
      <w:r w:rsidR="000808A3">
        <w:t xml:space="preserve">con conservazione </w:t>
      </w:r>
      <w:r w:rsidR="00CC608F" w:rsidRPr="00CC608F">
        <w:t>nella confezione originale per riparare il medicinale dalla luce</w:t>
      </w:r>
      <w:r w:rsidR="00BA0ACD" w:rsidRPr="00EF6711">
        <w:t xml:space="preserve">. </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II.3 Discussione sugli aspetti di qualità</w:t>
      </w:r>
    </w:p>
    <w:p w:rsidR="004E5A39" w:rsidRPr="00EF6711" w:rsidRDefault="004E5A39" w:rsidP="00EF6711">
      <w:pPr>
        <w:spacing w:after="0" w:line="240" w:lineRule="auto"/>
        <w:jc w:val="both"/>
      </w:pPr>
      <w:r w:rsidRPr="00EF6711">
        <w:t xml:space="preserve">Tutte le criticità evidenziate nel corso della valutazione sono state risolte e la qualità di </w:t>
      </w:r>
      <w:bookmarkStart w:id="1" w:name="_Hlk57744014"/>
      <w:r w:rsidR="00D9711D">
        <w:rPr>
          <w:rFonts w:eastAsia="Calibri" w:cs="Calibri"/>
          <w:color w:val="000000"/>
          <w:lang w:eastAsia="it-IT"/>
        </w:rPr>
        <w:t>KETOROLAC S.A.L.F</w:t>
      </w:r>
      <w:bookmarkEnd w:id="1"/>
      <w:r w:rsidR="00D9711D">
        <w:rPr>
          <w:rFonts w:eastAsia="Calibri" w:cs="Calibri"/>
          <w:color w:val="000000"/>
          <w:lang w:eastAsia="it-IT"/>
        </w:rPr>
        <w:t>.</w:t>
      </w:r>
      <w:r w:rsidR="000808A3">
        <w:rPr>
          <w:rFonts w:eastAsia="Calibri" w:cs="Calibri"/>
          <w:color w:val="000000"/>
          <w:lang w:eastAsia="it-IT"/>
        </w:rPr>
        <w:t xml:space="preserve"> </w:t>
      </w:r>
      <w:r w:rsidRPr="00EF6711">
        <w:t xml:space="preserve">è considerata adeguata. Non ci sono obiezioni per l’approvazione di </w:t>
      </w:r>
      <w:r w:rsidR="00CC608F" w:rsidRPr="00CC608F">
        <w:rPr>
          <w:rFonts w:eastAsia="Calibri" w:cs="Calibri"/>
          <w:color w:val="000000"/>
          <w:lang w:eastAsia="it-IT"/>
        </w:rPr>
        <w:t>KETOROLAC S.A.L.F</w:t>
      </w:r>
      <w:r w:rsidR="00CC608F">
        <w:rPr>
          <w:rFonts w:eastAsia="Calibri" w:cs="Calibri"/>
          <w:color w:val="000000"/>
          <w:lang w:eastAsia="it-IT"/>
        </w:rPr>
        <w:t>.</w:t>
      </w:r>
      <w:r w:rsidR="00CC608F" w:rsidRPr="00CC608F">
        <w:rPr>
          <w:rFonts w:eastAsia="Calibri" w:cs="Calibri"/>
          <w:color w:val="000000"/>
          <w:lang w:eastAsia="it-IT"/>
        </w:rPr>
        <w:t xml:space="preserve"> </w:t>
      </w:r>
      <w:r w:rsidRPr="00EF6711">
        <w:t>dal punto di vista chimico-farmaceutico.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rsidR="000808A3" w:rsidRDefault="004E5A39" w:rsidP="00EF6711">
      <w:pPr>
        <w:spacing w:after="0" w:line="240" w:lineRule="auto"/>
        <w:jc w:val="both"/>
      </w:pPr>
      <w:r w:rsidRPr="00EF6711">
        <w:t xml:space="preserve">Non sono stati condotti specifici studi non clinici, in quanto </w:t>
      </w:r>
      <w:r w:rsidR="00D9711D">
        <w:rPr>
          <w:rFonts w:eastAsia="Calibri" w:cs="Calibri"/>
          <w:color w:val="000000"/>
          <w:lang w:eastAsia="it-IT"/>
        </w:rPr>
        <w:t>KETOROLAC S.A.L.F.</w:t>
      </w:r>
      <w:r w:rsidR="000808A3">
        <w:rPr>
          <w:rFonts w:eastAsia="Calibri" w:cs="Calibri"/>
          <w:color w:val="000000"/>
          <w:lang w:eastAsia="it-IT"/>
        </w:rPr>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proofErr w:type="spellStart"/>
      <w:r w:rsidR="00CC608F">
        <w:rPr>
          <w:rFonts w:eastAsia="Calibri" w:cs="Calibri"/>
          <w:lang w:eastAsia="it-IT"/>
        </w:rPr>
        <w:t>Toradol</w:t>
      </w:r>
      <w:proofErr w:type="spellEnd"/>
      <w:r w:rsidR="00C42AAC" w:rsidRPr="00EF6711">
        <w:t xml:space="preserve"> </w:t>
      </w:r>
      <w:r w:rsidRPr="00EF6711">
        <w:t>è autorizzato in Italia da oltre 10 anni</w:t>
      </w:r>
      <w:r w:rsidR="000808A3">
        <w:t>.</w:t>
      </w:r>
    </w:p>
    <w:p w:rsidR="004E5A39" w:rsidRPr="00EF6711" w:rsidRDefault="004E5A39" w:rsidP="00EF6711">
      <w:pPr>
        <w:spacing w:after="0" w:line="240" w:lineRule="auto"/>
        <w:jc w:val="both"/>
      </w:pPr>
      <w:r w:rsidRPr="00EF6711">
        <w:t>Non ci sono obiezioni per l’approvazione dal punto di vista non clinico.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CLINICI</w:t>
      </w:r>
    </w:p>
    <w:p w:rsidR="00902FC5" w:rsidRPr="00902FC5" w:rsidRDefault="00D9711D" w:rsidP="00902FC5">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KETOROLAC S.A.L.F.</w:t>
      </w:r>
      <w:r w:rsidR="000808A3">
        <w:rPr>
          <w:rFonts w:eastAsia="Calibri" w:cs="Calibri"/>
          <w:color w:val="000000"/>
          <w:lang w:eastAsia="it-IT"/>
        </w:rPr>
        <w:t xml:space="preserve"> </w:t>
      </w:r>
      <w:r w:rsidR="00902FC5" w:rsidRPr="00902FC5">
        <w:t>somministrato per via intramuscolare o endovenosa è indicato nel trattamento a breve termine (massimo due giorni) del dolore acuto post-operatorio di grado moderato-severo.</w:t>
      </w:r>
    </w:p>
    <w:p w:rsidR="00902FC5" w:rsidRPr="00902FC5" w:rsidRDefault="00902FC5" w:rsidP="00902FC5">
      <w:pPr>
        <w:tabs>
          <w:tab w:val="left" w:pos="0"/>
        </w:tabs>
        <w:overflowPunct w:val="0"/>
        <w:autoSpaceDE w:val="0"/>
        <w:autoSpaceDN w:val="0"/>
        <w:adjustRightInd w:val="0"/>
        <w:spacing w:after="0" w:line="240" w:lineRule="auto"/>
        <w:jc w:val="both"/>
        <w:textAlignment w:val="baseline"/>
      </w:pPr>
      <w:r w:rsidRPr="00902FC5">
        <w:t xml:space="preserve">Nei casi di chirurgia maggiore o di dolore molto intenso </w:t>
      </w:r>
      <w:proofErr w:type="spellStart"/>
      <w:r w:rsidRPr="00902FC5">
        <w:t>Ketorolac</w:t>
      </w:r>
      <w:proofErr w:type="spellEnd"/>
      <w:r w:rsidRPr="00902FC5">
        <w:t xml:space="preserve"> </w:t>
      </w:r>
      <w:proofErr w:type="spellStart"/>
      <w:r w:rsidRPr="00902FC5">
        <w:t>S.A.L.F.</w:t>
      </w:r>
      <w:proofErr w:type="spellEnd"/>
      <w:r w:rsidRPr="00902FC5">
        <w:t xml:space="preserve"> endovenoso può essere usato quale complemento ad un analgesico oppiaceo.</w:t>
      </w:r>
    </w:p>
    <w:p w:rsidR="00902FC5" w:rsidRPr="00902FC5" w:rsidRDefault="00902FC5" w:rsidP="00902FC5">
      <w:pPr>
        <w:tabs>
          <w:tab w:val="left" w:pos="0"/>
        </w:tabs>
        <w:overflowPunct w:val="0"/>
        <w:autoSpaceDE w:val="0"/>
        <w:autoSpaceDN w:val="0"/>
        <w:adjustRightInd w:val="0"/>
        <w:spacing w:after="0" w:line="240" w:lineRule="auto"/>
        <w:jc w:val="both"/>
        <w:textAlignment w:val="baseline"/>
      </w:pPr>
      <w:proofErr w:type="spellStart"/>
      <w:r w:rsidRPr="00902FC5">
        <w:t>Ketorolac</w:t>
      </w:r>
      <w:proofErr w:type="spellEnd"/>
      <w:r w:rsidRPr="00902FC5">
        <w:t xml:space="preserve"> </w:t>
      </w:r>
      <w:proofErr w:type="spellStart"/>
      <w:r w:rsidRPr="00902FC5">
        <w:t>S.A.L.F.</w:t>
      </w:r>
      <w:proofErr w:type="spellEnd"/>
      <w:r w:rsidRPr="00902FC5">
        <w:t xml:space="preserve"> 30 mg/ml soluzione iniettabile è inoltre indicato nel trattamento del dolore dovuto a coliche renali.</w:t>
      </w:r>
    </w:p>
    <w:p w:rsidR="004E5A39" w:rsidRPr="00EF6711" w:rsidRDefault="004E5A39" w:rsidP="00902FC5">
      <w:pPr>
        <w:tabs>
          <w:tab w:val="left" w:pos="0"/>
        </w:tabs>
        <w:overflowPunct w:val="0"/>
        <w:autoSpaceDE w:val="0"/>
        <w:autoSpaceDN w:val="0"/>
        <w:adjustRightInd w:val="0"/>
        <w:spacing w:after="0" w:line="240" w:lineRule="auto"/>
        <w:jc w:val="both"/>
        <w:textAlignment w:val="baseline"/>
      </w:pPr>
    </w:p>
    <w:p w:rsidR="004E5A39" w:rsidRPr="00EF6711" w:rsidRDefault="004E5A39" w:rsidP="00EF6711">
      <w:pPr>
        <w:spacing w:after="0" w:line="240" w:lineRule="auto"/>
        <w:ind w:right="6"/>
        <w:jc w:val="both"/>
        <w:rPr>
          <w:b/>
        </w:rPr>
      </w:pPr>
      <w:r w:rsidRPr="00EF6711">
        <w:rPr>
          <w:b/>
        </w:rPr>
        <w:t>Posologia e modalità di somministrazione</w:t>
      </w:r>
    </w:p>
    <w:p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4E5A39" w:rsidRPr="00EF6711" w:rsidRDefault="004E5A39" w:rsidP="00EF6711">
      <w:pPr>
        <w:spacing w:after="0" w:line="240" w:lineRule="auto"/>
        <w:ind w:right="6"/>
        <w:jc w:val="both"/>
        <w:rPr>
          <w:rFonts w:eastAsia="Calibri" w:cs="Calibri"/>
          <w:lang w:eastAsia="it-IT"/>
        </w:rPr>
      </w:pPr>
    </w:p>
    <w:p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di </w:t>
      </w:r>
      <w:proofErr w:type="spellStart"/>
      <w:r w:rsidR="00902FC5">
        <w:t>Ketorolac</w:t>
      </w:r>
      <w:proofErr w:type="spellEnd"/>
      <w:r w:rsidR="00902FC5">
        <w:t xml:space="preserve"> </w:t>
      </w:r>
      <w:proofErr w:type="spellStart"/>
      <w:r w:rsidR="00697EA4">
        <w:t>trometamina</w:t>
      </w:r>
      <w:proofErr w:type="spellEnd"/>
      <w:r w:rsidR="00697EA4" w:rsidRPr="00EF6711">
        <w:t xml:space="preserve"> </w:t>
      </w:r>
      <w:r w:rsidRPr="00EF6711">
        <w:rPr>
          <w:rFonts w:eastAsia="Calibri" w:cs="Calibri"/>
          <w:lang w:eastAsia="it-IT"/>
        </w:rPr>
        <w:t>è ben conosciuta; non è stato necessario presentare ulteriori dati.</w:t>
      </w:r>
    </w:p>
    <w:p w:rsidR="004E5A39" w:rsidRDefault="004E5A39" w:rsidP="00EF6711">
      <w:pPr>
        <w:spacing w:after="0" w:line="240" w:lineRule="auto"/>
        <w:ind w:right="6"/>
        <w:jc w:val="both"/>
        <w:rPr>
          <w:rFonts w:eastAsia="Calibri" w:cs="Calibri"/>
          <w:lang w:eastAsia="it-IT"/>
        </w:rPr>
      </w:pPr>
    </w:p>
    <w:p w:rsidR="006727BD" w:rsidRPr="006727BD" w:rsidRDefault="006727BD" w:rsidP="006727BD">
      <w:pPr>
        <w:spacing w:after="0" w:line="240" w:lineRule="auto"/>
        <w:jc w:val="both"/>
        <w:rPr>
          <w:rFonts w:cs="Arial"/>
          <w:b/>
        </w:rPr>
      </w:pPr>
      <w:r w:rsidRPr="006727BD">
        <w:rPr>
          <w:rFonts w:cs="Arial"/>
          <w:b/>
        </w:rPr>
        <w:t>Efficacia e sicurezza clinica</w:t>
      </w:r>
    </w:p>
    <w:p w:rsidR="006727BD" w:rsidRPr="006727BD" w:rsidRDefault="006727BD" w:rsidP="00EF6711">
      <w:pPr>
        <w:spacing w:after="0" w:line="240" w:lineRule="auto"/>
        <w:jc w:val="both"/>
        <w:rPr>
          <w:b/>
          <w:i/>
          <w:sz w:val="20"/>
          <w:highlight w:val="green"/>
        </w:rPr>
      </w:pPr>
      <w:r>
        <w:rPr>
          <w:rFonts w:cs="Arial"/>
        </w:rPr>
        <w:t xml:space="preserve">Non sono stati presentati nuovi dati di efficacia e sicurezza clinica: il profilo di sicurezza e l’efficacia del principio attivo di </w:t>
      </w:r>
      <w:r w:rsidR="00D9711D">
        <w:rPr>
          <w:rFonts w:eastAsia="Calibri" w:cs="Calibri"/>
          <w:color w:val="000000"/>
          <w:lang w:eastAsia="it-IT"/>
        </w:rPr>
        <w:t>KETOROLAC S.A.L.F.</w:t>
      </w:r>
      <w:r w:rsidRPr="006727BD">
        <w:rPr>
          <w:rFonts w:eastAsia="Calibri" w:cs="Calibri"/>
          <w:color w:val="000000"/>
          <w:lang w:eastAsia="it-IT"/>
        </w:rPr>
        <w:t xml:space="preserve"> </w:t>
      </w:r>
      <w:r>
        <w:rPr>
          <w:rFonts w:cs="Arial"/>
        </w:rPr>
        <w:t xml:space="preserve">è ben conosciuto; inoltre, per </w:t>
      </w:r>
      <w:r w:rsidR="00D9711D">
        <w:rPr>
          <w:rFonts w:eastAsia="Calibri" w:cs="Calibri"/>
          <w:color w:val="000000"/>
          <w:lang w:eastAsia="it-IT"/>
        </w:rPr>
        <w:t>KETOROLAC S.A.L.F.</w:t>
      </w:r>
      <w:r w:rsidRPr="006727BD">
        <w:rPr>
          <w:rFonts w:eastAsia="Calibri" w:cs="Calibri"/>
          <w:color w:val="000000"/>
          <w:lang w:eastAsia="it-IT"/>
        </w:rPr>
        <w:t xml:space="preserve"> </w:t>
      </w:r>
      <w:r>
        <w:rPr>
          <w:rFonts w:cs="Arial"/>
        </w:rPr>
        <w:t xml:space="preserve">è stato possibile concedere l’esenzione dalla conduzione di studi clinici di confronto con il medicinale di riferimento in quanto </w:t>
      </w:r>
      <w:r w:rsidR="00D9711D">
        <w:rPr>
          <w:rFonts w:eastAsia="Calibri" w:cs="Calibri"/>
          <w:color w:val="000000"/>
          <w:lang w:eastAsia="it-IT"/>
        </w:rPr>
        <w:t>KETOROLAC S.A.L.F.</w:t>
      </w:r>
      <w:r w:rsidRPr="006727BD">
        <w:rPr>
          <w:rFonts w:eastAsia="Calibri" w:cs="Calibri"/>
          <w:color w:val="000000"/>
          <w:lang w:eastAsia="it-IT"/>
        </w:rPr>
        <w:t xml:space="preserve"> </w:t>
      </w:r>
      <w:r>
        <w:rPr>
          <w:rFonts w:cs="Arial"/>
        </w:rPr>
        <w:t>è somministrato come soluzione iniettabile</w:t>
      </w:r>
      <w:r w:rsidR="007A5BF0">
        <w:rPr>
          <w:rFonts w:cs="Arial"/>
        </w:rPr>
        <w:t>.</w:t>
      </w:r>
      <w:r>
        <w:rPr>
          <w:rFonts w:cs="Arial"/>
        </w:rPr>
        <w:t xml:space="preserve"> </w:t>
      </w:r>
    </w:p>
    <w:p w:rsidR="005049A1" w:rsidRDefault="005049A1" w:rsidP="00EF6711">
      <w:pPr>
        <w:spacing w:after="0" w:line="240" w:lineRule="auto"/>
        <w:jc w:val="both"/>
        <w:rPr>
          <w:highlight w:val="cyan"/>
        </w:rPr>
      </w:pPr>
    </w:p>
    <w:p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rsidR="004E5A39" w:rsidRPr="00EF6711" w:rsidRDefault="004E5A39" w:rsidP="00EF6711">
      <w:pPr>
        <w:pStyle w:val="Paragrafoelenco"/>
        <w:spacing w:after="0" w:line="240" w:lineRule="auto"/>
        <w:ind w:left="0"/>
        <w:jc w:val="both"/>
      </w:pPr>
      <w:r w:rsidRPr="00EF6711">
        <w:t xml:space="preserve">E’ stato presentato un RMP in accordo a quanto previsto dalla Direttiva 2001/83/EU </w:t>
      </w:r>
      <w:proofErr w:type="spellStart"/>
      <w:r w:rsidRPr="00EF6711">
        <w:t>s.m.i.</w:t>
      </w:r>
      <w:proofErr w:type="spellEnd"/>
      <w:r w:rsidRPr="00EF6711">
        <w:t xml:space="preserve"> che descrive le attività di farmacovigilanza e gli interventi definiti al fine di identificare, caratterizzare, prevenire o minimizzare i rischi collegati all’uso di </w:t>
      </w:r>
      <w:r w:rsidR="00D9711D">
        <w:rPr>
          <w:rFonts w:eastAsia="Calibri" w:cs="Calibri"/>
          <w:color w:val="000000"/>
          <w:lang w:eastAsia="it-IT"/>
        </w:rPr>
        <w:t>KETOROLAC S.A.L.F.</w:t>
      </w:r>
    </w:p>
    <w:p w:rsidR="00C87D51" w:rsidRDefault="00C87D51"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r w:rsidR="00D6044E">
        <w:t>.</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rPr>
          <w:b/>
        </w:rPr>
      </w:pPr>
      <w:r w:rsidRPr="00EF6711">
        <w:rPr>
          <w:b/>
        </w:rPr>
        <w:lastRenderedPageBreak/>
        <w:t>Conclusioni</w:t>
      </w:r>
    </w:p>
    <w:p w:rsidR="004E5A39" w:rsidRPr="00EF6711" w:rsidRDefault="004E5A39" w:rsidP="00EF6711">
      <w:pPr>
        <w:pStyle w:val="Paragrafoelenco"/>
        <w:spacing w:after="0" w:line="240" w:lineRule="auto"/>
        <w:ind w:left="0"/>
        <w:jc w:val="both"/>
      </w:pPr>
      <w:r w:rsidRPr="00EF6711">
        <w:t xml:space="preserve">Per la richiesta di AIC di </w:t>
      </w:r>
      <w:r w:rsidR="00D9711D">
        <w:rPr>
          <w:rFonts w:eastAsia="Calibri" w:cs="Calibri"/>
          <w:color w:val="000000"/>
          <w:lang w:eastAsia="it-IT"/>
        </w:rPr>
        <w:t>KETOROLAC S.A.L.F.</w:t>
      </w:r>
      <w:r w:rsidR="00BE7CDB">
        <w:rPr>
          <w:rFonts w:eastAsia="Calibri" w:cs="Calibri"/>
          <w:color w:val="000000"/>
          <w:lang w:eastAsia="it-IT"/>
        </w:rPr>
        <w:t xml:space="preserve"> </w:t>
      </w:r>
      <w:r w:rsidRPr="00EF6711">
        <w:t>sono state presentate sufficienti informazioni cliniche.</w:t>
      </w:r>
    </w:p>
    <w:p w:rsidR="004E5A39" w:rsidRPr="00EF6711" w:rsidRDefault="004E5A39" w:rsidP="00EF6711">
      <w:pPr>
        <w:pStyle w:val="Paragrafoelenco"/>
        <w:spacing w:after="0" w:line="240" w:lineRule="auto"/>
        <w:ind w:left="0"/>
        <w:jc w:val="both"/>
      </w:pPr>
      <w:r w:rsidRPr="00EF6711">
        <w:t xml:space="preserve">Il rapporto beneficio/rischio di </w:t>
      </w:r>
      <w:r w:rsidR="00D9711D">
        <w:rPr>
          <w:rFonts w:eastAsia="Calibri" w:cs="Calibri"/>
          <w:color w:val="000000"/>
          <w:lang w:eastAsia="it-IT"/>
        </w:rPr>
        <w:t>KETOROLAC S.A.L.F.</w:t>
      </w:r>
      <w:r w:rsidR="00BE7CDB">
        <w:rPr>
          <w:rFonts w:eastAsia="Calibri" w:cs="Calibri"/>
          <w:color w:val="000000"/>
          <w:lang w:eastAsia="it-IT"/>
        </w:rPr>
        <w:t xml:space="preserve"> </w:t>
      </w:r>
      <w:r w:rsidRPr="00EF6711">
        <w:t>è considerato favorevole dal punto di vista clinico.</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rsidR="004E5A39" w:rsidRPr="00EF6711" w:rsidRDefault="004E5A39" w:rsidP="00EF6711">
      <w:pPr>
        <w:spacing w:after="0" w:line="240" w:lineRule="auto"/>
        <w:jc w:val="both"/>
      </w:pPr>
      <w:r w:rsidRPr="00EF6711">
        <w:t xml:space="preserve">Il foglio illustrativo è stato sottoposto al </w:t>
      </w:r>
      <w:r w:rsidRPr="00B95DE3">
        <w:t>test di leggibilità in</w:t>
      </w:r>
      <w:r w:rsidRPr="00EF6711">
        <w:t xml:space="preserve">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rsidR="004E5A39" w:rsidRPr="00EF6711" w:rsidRDefault="004E5A39" w:rsidP="00EF6711">
      <w:pPr>
        <w:pStyle w:val="Paragrafoelenco"/>
        <w:spacing w:after="0" w:line="240" w:lineRule="auto"/>
        <w:ind w:left="0"/>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rsidR="004E5A39" w:rsidRPr="00B95DE3" w:rsidRDefault="004E5A39" w:rsidP="00EF6711">
      <w:pPr>
        <w:spacing w:after="0" w:line="240" w:lineRule="auto"/>
        <w:jc w:val="both"/>
      </w:pPr>
      <w:r w:rsidRPr="00EF6711">
        <w:t xml:space="preserve">La qualità di </w:t>
      </w:r>
      <w:r w:rsidR="00D9711D">
        <w:rPr>
          <w:rFonts w:eastAsia="Calibri" w:cs="Calibri"/>
          <w:color w:val="000000"/>
          <w:lang w:eastAsia="it-IT"/>
        </w:rPr>
        <w:t>KETOROLAC S.A.L.F.</w:t>
      </w:r>
      <w:r w:rsidR="00BE7CDB">
        <w:rPr>
          <w:rFonts w:eastAsia="Calibri" w:cs="Calibri"/>
          <w:color w:val="000000"/>
          <w:lang w:eastAsia="it-IT"/>
        </w:rPr>
        <w:t xml:space="preserve"> </w:t>
      </w:r>
      <w:r w:rsidRPr="00EF6711">
        <w:t xml:space="preserve">è accettabile e non sono state rilevate criticità da un punto di </w:t>
      </w:r>
      <w:r w:rsidRPr="00B95DE3">
        <w:t>vista non clinico e clinico.</w:t>
      </w:r>
    </w:p>
    <w:p w:rsidR="004E5A39" w:rsidRPr="00EF6711" w:rsidRDefault="004E5A39" w:rsidP="00EF6711">
      <w:pPr>
        <w:spacing w:after="0" w:line="240" w:lineRule="auto"/>
        <w:jc w:val="both"/>
      </w:pPr>
      <w:r w:rsidRPr="00B95DE3">
        <w:t>Il rapporto beneficio/rischio è considerato positivo.</w:t>
      </w:r>
    </w:p>
    <w:p w:rsidR="00CE62A1"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0"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C7A5126"/>
    <w:multiLevelType w:val="hybridMultilevel"/>
    <w:tmpl w:val="C1242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4241AC"/>
    <w:rsid w:val="00013020"/>
    <w:rsid w:val="00014743"/>
    <w:rsid w:val="00022511"/>
    <w:rsid w:val="00023CEA"/>
    <w:rsid w:val="0005658E"/>
    <w:rsid w:val="00062636"/>
    <w:rsid w:val="000808A3"/>
    <w:rsid w:val="000A4BA1"/>
    <w:rsid w:val="000B7AC8"/>
    <w:rsid w:val="000D42AB"/>
    <w:rsid w:val="000E1F86"/>
    <w:rsid w:val="000E4494"/>
    <w:rsid w:val="000F658F"/>
    <w:rsid w:val="00111E9E"/>
    <w:rsid w:val="001460CA"/>
    <w:rsid w:val="0018344E"/>
    <w:rsid w:val="001C15DF"/>
    <w:rsid w:val="001C6B81"/>
    <w:rsid w:val="00201AF8"/>
    <w:rsid w:val="00265B61"/>
    <w:rsid w:val="00274658"/>
    <w:rsid w:val="00277A0E"/>
    <w:rsid w:val="002B453C"/>
    <w:rsid w:val="002C34CC"/>
    <w:rsid w:val="002C5C2A"/>
    <w:rsid w:val="002F2543"/>
    <w:rsid w:val="002F4000"/>
    <w:rsid w:val="00300BEA"/>
    <w:rsid w:val="003061E0"/>
    <w:rsid w:val="00317759"/>
    <w:rsid w:val="00367CE0"/>
    <w:rsid w:val="003B0297"/>
    <w:rsid w:val="0042214D"/>
    <w:rsid w:val="00423A97"/>
    <w:rsid w:val="004241AC"/>
    <w:rsid w:val="004609F8"/>
    <w:rsid w:val="004703E8"/>
    <w:rsid w:val="00484BAE"/>
    <w:rsid w:val="004B20A8"/>
    <w:rsid w:val="004E5A39"/>
    <w:rsid w:val="00500ACA"/>
    <w:rsid w:val="005049A1"/>
    <w:rsid w:val="00504FC1"/>
    <w:rsid w:val="0050622E"/>
    <w:rsid w:val="00513B1D"/>
    <w:rsid w:val="00520A09"/>
    <w:rsid w:val="005238C6"/>
    <w:rsid w:val="00531B0A"/>
    <w:rsid w:val="005448F2"/>
    <w:rsid w:val="0056372C"/>
    <w:rsid w:val="00564454"/>
    <w:rsid w:val="00567615"/>
    <w:rsid w:val="005950D6"/>
    <w:rsid w:val="005C738D"/>
    <w:rsid w:val="005E4359"/>
    <w:rsid w:val="00621AE2"/>
    <w:rsid w:val="00626670"/>
    <w:rsid w:val="00640D3A"/>
    <w:rsid w:val="00642D6A"/>
    <w:rsid w:val="0064646C"/>
    <w:rsid w:val="00647466"/>
    <w:rsid w:val="00654D9E"/>
    <w:rsid w:val="00664931"/>
    <w:rsid w:val="006727BD"/>
    <w:rsid w:val="00697EA4"/>
    <w:rsid w:val="006A333D"/>
    <w:rsid w:val="006B311C"/>
    <w:rsid w:val="006B3E12"/>
    <w:rsid w:val="006D7B8C"/>
    <w:rsid w:val="006E408C"/>
    <w:rsid w:val="00715AAB"/>
    <w:rsid w:val="00716DF5"/>
    <w:rsid w:val="007170D7"/>
    <w:rsid w:val="007221B6"/>
    <w:rsid w:val="00766E26"/>
    <w:rsid w:val="00797416"/>
    <w:rsid w:val="007A5A86"/>
    <w:rsid w:val="007A5BF0"/>
    <w:rsid w:val="007E23A4"/>
    <w:rsid w:val="008172E2"/>
    <w:rsid w:val="00823F4C"/>
    <w:rsid w:val="00844F5B"/>
    <w:rsid w:val="008547B3"/>
    <w:rsid w:val="0086678C"/>
    <w:rsid w:val="008819D4"/>
    <w:rsid w:val="0088216F"/>
    <w:rsid w:val="00885EF4"/>
    <w:rsid w:val="008A6FEC"/>
    <w:rsid w:val="008B1B7D"/>
    <w:rsid w:val="008B60D7"/>
    <w:rsid w:val="008C3D30"/>
    <w:rsid w:val="008D1529"/>
    <w:rsid w:val="00902FC5"/>
    <w:rsid w:val="00943785"/>
    <w:rsid w:val="00957832"/>
    <w:rsid w:val="00985066"/>
    <w:rsid w:val="009A23DE"/>
    <w:rsid w:val="009A260F"/>
    <w:rsid w:val="009A719E"/>
    <w:rsid w:val="009B03DB"/>
    <w:rsid w:val="009D3446"/>
    <w:rsid w:val="009E0140"/>
    <w:rsid w:val="009E2BC0"/>
    <w:rsid w:val="009F3867"/>
    <w:rsid w:val="00A01AB1"/>
    <w:rsid w:val="00A368FC"/>
    <w:rsid w:val="00A40FF3"/>
    <w:rsid w:val="00A62D55"/>
    <w:rsid w:val="00A908B9"/>
    <w:rsid w:val="00A966D1"/>
    <w:rsid w:val="00AB023B"/>
    <w:rsid w:val="00B023E9"/>
    <w:rsid w:val="00B1186F"/>
    <w:rsid w:val="00B163D3"/>
    <w:rsid w:val="00B178D5"/>
    <w:rsid w:val="00B30431"/>
    <w:rsid w:val="00B95DE3"/>
    <w:rsid w:val="00BA0ACD"/>
    <w:rsid w:val="00BB2AF8"/>
    <w:rsid w:val="00BB7B54"/>
    <w:rsid w:val="00BC74C2"/>
    <w:rsid w:val="00BE7CDB"/>
    <w:rsid w:val="00BF55B9"/>
    <w:rsid w:val="00BF7A42"/>
    <w:rsid w:val="00C2565A"/>
    <w:rsid w:val="00C42AAC"/>
    <w:rsid w:val="00C66597"/>
    <w:rsid w:val="00C76FAB"/>
    <w:rsid w:val="00C87D51"/>
    <w:rsid w:val="00C95A8F"/>
    <w:rsid w:val="00C96F4C"/>
    <w:rsid w:val="00C9780B"/>
    <w:rsid w:val="00CC0210"/>
    <w:rsid w:val="00CC52A3"/>
    <w:rsid w:val="00CC608F"/>
    <w:rsid w:val="00CC7AFF"/>
    <w:rsid w:val="00CE62A1"/>
    <w:rsid w:val="00CE7111"/>
    <w:rsid w:val="00D20170"/>
    <w:rsid w:val="00D212AA"/>
    <w:rsid w:val="00D6044E"/>
    <w:rsid w:val="00D60600"/>
    <w:rsid w:val="00D70EBF"/>
    <w:rsid w:val="00D9711D"/>
    <w:rsid w:val="00DB359A"/>
    <w:rsid w:val="00DC1197"/>
    <w:rsid w:val="00DC6312"/>
    <w:rsid w:val="00E10D6C"/>
    <w:rsid w:val="00E13A8A"/>
    <w:rsid w:val="00E14A09"/>
    <w:rsid w:val="00E43089"/>
    <w:rsid w:val="00E83F8D"/>
    <w:rsid w:val="00EC3589"/>
    <w:rsid w:val="00EE6CDB"/>
    <w:rsid w:val="00EF062E"/>
    <w:rsid w:val="00EF6711"/>
    <w:rsid w:val="00F05B84"/>
    <w:rsid w:val="00F3055A"/>
    <w:rsid w:val="00F66767"/>
    <w:rsid w:val="00F85989"/>
    <w:rsid w:val="00F96473"/>
    <w:rsid w:val="00FA2702"/>
    <w:rsid w:val="00FA7F56"/>
    <w:rsid w:val="00FC50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C6312"/>
    <w:rPr>
      <w:sz w:val="16"/>
      <w:szCs w:val="16"/>
    </w:rPr>
  </w:style>
  <w:style w:type="paragraph" w:styleId="Testocommento">
    <w:name w:val="annotation text"/>
    <w:basedOn w:val="Normale"/>
    <w:link w:val="TestocommentoCarattere"/>
    <w:uiPriority w:val="99"/>
    <w:semiHidden/>
    <w:unhideWhenUsed/>
    <w:rsid w:val="00DC63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C6312"/>
    <w:rPr>
      <w:sz w:val="20"/>
      <w:szCs w:val="20"/>
    </w:rPr>
  </w:style>
  <w:style w:type="paragraph" w:styleId="Soggettocommento">
    <w:name w:val="annotation subject"/>
    <w:basedOn w:val="Testocommento"/>
    <w:next w:val="Testocommento"/>
    <w:link w:val="SoggettocommentoCarattere"/>
    <w:uiPriority w:val="99"/>
    <w:semiHidden/>
    <w:unhideWhenUsed/>
    <w:rsid w:val="00DC6312"/>
    <w:rPr>
      <w:b/>
      <w:bCs/>
    </w:rPr>
  </w:style>
  <w:style w:type="character" w:customStyle="1" w:styleId="SoggettocommentoCarattere">
    <w:name w:val="Soggetto commento Carattere"/>
    <w:basedOn w:val="TestocommentoCarattere"/>
    <w:link w:val="Soggettocommento"/>
    <w:uiPriority w:val="99"/>
    <w:semiHidden/>
    <w:rsid w:val="00DC6312"/>
    <w:rPr>
      <w:b/>
      <w:bCs/>
      <w:sz w:val="20"/>
      <w:szCs w:val="20"/>
    </w:rPr>
  </w:style>
</w:styles>
</file>

<file path=word/webSettings.xml><?xml version="1.0" encoding="utf-8"?>
<w:webSettings xmlns:r="http://schemas.openxmlformats.org/officeDocument/2006/relationships" xmlns:w="http://schemas.openxmlformats.org/wordprocessingml/2006/main">
  <w:divs>
    <w:div w:id="13191944">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400325375">
      <w:bodyDiv w:val="1"/>
      <w:marLeft w:val="0"/>
      <w:marRight w:val="0"/>
      <w:marTop w:val="0"/>
      <w:marBottom w:val="0"/>
      <w:divBdr>
        <w:top w:val="none" w:sz="0" w:space="0" w:color="auto"/>
        <w:left w:val="none" w:sz="0" w:space="0" w:color="auto"/>
        <w:bottom w:val="none" w:sz="0" w:space="0" w:color="auto"/>
        <w:right w:val="none" w:sz="0" w:space="0" w:color="auto"/>
      </w:divBdr>
    </w:div>
    <w:div w:id="728505352">
      <w:bodyDiv w:val="1"/>
      <w:marLeft w:val="0"/>
      <w:marRight w:val="0"/>
      <w:marTop w:val="0"/>
      <w:marBottom w:val="0"/>
      <w:divBdr>
        <w:top w:val="none" w:sz="0" w:space="0" w:color="auto"/>
        <w:left w:val="none" w:sz="0" w:space="0" w:color="auto"/>
        <w:bottom w:val="none" w:sz="0" w:space="0" w:color="auto"/>
        <w:right w:val="none" w:sz="0" w:space="0" w:color="auto"/>
      </w:divBdr>
    </w:div>
    <w:div w:id="117927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2270</Words>
  <Characters>12944</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6</cp:revision>
  <dcterms:created xsi:type="dcterms:W3CDTF">2020-12-02T11:59:00Z</dcterms:created>
  <dcterms:modified xsi:type="dcterms:W3CDTF">2020-12-02T13:05:00Z</dcterms:modified>
</cp:coreProperties>
</file>