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15EB" w:rsidRDefault="003E15EB">
      <w:pPr>
        <w:spacing w:after="0" w:line="240" w:lineRule="auto"/>
        <w:jc w:val="center"/>
        <w:rPr>
          <w:lang w:val="en-US"/>
        </w:rPr>
      </w:pPr>
    </w:p>
    <w:p w:rsidR="003E15EB" w:rsidRDefault="00B648E7">
      <w:pPr>
        <w:spacing w:after="0" w:line="240" w:lineRule="auto"/>
        <w:jc w:val="center"/>
        <w:rPr>
          <w:lang w:val="en-US"/>
        </w:rPr>
      </w:pPr>
      <w:r>
        <w:rPr>
          <w:noProof/>
          <w:lang w:eastAsia="it-IT"/>
        </w:rPr>
        <w:drawing>
          <wp:inline distT="0" distB="0" distL="0" distR="0">
            <wp:extent cx="2878455" cy="1073150"/>
            <wp:effectExtent l="0" t="0" r="0" b="0"/>
            <wp:docPr id="1" name="officeArt object" descr="AIFA18_Def_8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ficeArt object" descr="AIFA18_Def_8cm"/>
                    <pic:cNvPicPr>
                      <a:picLocks noChangeAspect="1" noChangeArrowheads="1"/>
                    </pic:cNvPicPr>
                  </pic:nvPicPr>
                  <pic:blipFill>
                    <a:blip r:embed="rId8" cstate="print"/>
                    <a:stretch>
                      <a:fillRect/>
                    </a:stretch>
                  </pic:blipFill>
                  <pic:spPr bwMode="auto">
                    <a:xfrm>
                      <a:off x="0" y="0"/>
                      <a:ext cx="2878455" cy="1073150"/>
                    </a:xfrm>
                    <a:prstGeom prst="rect">
                      <a:avLst/>
                    </a:prstGeom>
                  </pic:spPr>
                </pic:pic>
              </a:graphicData>
            </a:graphic>
          </wp:inline>
        </w:drawing>
      </w:r>
    </w:p>
    <w:p w:rsidR="003E15EB" w:rsidRDefault="003E15EB">
      <w:pPr>
        <w:spacing w:after="0" w:line="240" w:lineRule="auto"/>
        <w:jc w:val="center"/>
        <w:rPr>
          <w:b/>
        </w:rPr>
      </w:pPr>
    </w:p>
    <w:p w:rsidR="003E15EB" w:rsidRDefault="003E15EB">
      <w:pPr>
        <w:spacing w:after="0" w:line="240" w:lineRule="auto"/>
        <w:jc w:val="center"/>
        <w:rPr>
          <w:b/>
          <w:sz w:val="28"/>
        </w:rPr>
      </w:pPr>
    </w:p>
    <w:p w:rsidR="003E15EB" w:rsidRDefault="00B648E7">
      <w:pPr>
        <w:spacing w:after="0" w:line="240" w:lineRule="auto"/>
        <w:jc w:val="center"/>
        <w:rPr>
          <w:b/>
          <w:sz w:val="28"/>
        </w:rPr>
      </w:pPr>
      <w:r>
        <w:rPr>
          <w:b/>
          <w:sz w:val="40"/>
          <w:szCs w:val="40"/>
        </w:rPr>
        <w:t>Relazione Pubblica di Valutazione</w:t>
      </w:r>
    </w:p>
    <w:p w:rsidR="003E15EB" w:rsidRDefault="003E15EB">
      <w:pPr>
        <w:spacing w:after="0" w:line="240" w:lineRule="auto"/>
        <w:jc w:val="center"/>
        <w:rPr>
          <w:b/>
        </w:rPr>
      </w:pPr>
    </w:p>
    <w:p w:rsidR="003E15EB" w:rsidRDefault="003E15EB">
      <w:pPr>
        <w:spacing w:after="0" w:line="240" w:lineRule="auto"/>
        <w:jc w:val="center"/>
        <w:rPr>
          <w:b/>
          <w:highlight w:val="yellow"/>
        </w:rPr>
      </w:pPr>
    </w:p>
    <w:p w:rsidR="003E15EB" w:rsidRDefault="003E15EB">
      <w:pPr>
        <w:widowControl w:val="0"/>
        <w:spacing w:after="0" w:line="240" w:lineRule="auto"/>
        <w:jc w:val="center"/>
        <w:rPr>
          <w:b/>
          <w:sz w:val="32"/>
        </w:rPr>
      </w:pPr>
    </w:p>
    <w:p w:rsidR="003E15EB" w:rsidRDefault="00B648E7">
      <w:pPr>
        <w:widowControl w:val="0"/>
        <w:spacing w:after="0" w:line="240" w:lineRule="auto"/>
        <w:jc w:val="center"/>
        <w:rPr>
          <w:b/>
          <w:sz w:val="32"/>
        </w:rPr>
      </w:pPr>
      <w:r>
        <w:rPr>
          <w:b/>
          <w:sz w:val="40"/>
          <w:szCs w:val="40"/>
        </w:rPr>
        <w:t>PIOGLITAZONE E METFORMINA EG</w:t>
      </w:r>
    </w:p>
    <w:p w:rsidR="003E15EB" w:rsidRDefault="003E15EB">
      <w:pPr>
        <w:widowControl w:val="0"/>
        <w:spacing w:after="0" w:line="240" w:lineRule="auto"/>
        <w:jc w:val="center"/>
        <w:rPr>
          <w:rFonts w:ascii="Calibri" w:hAnsi="Calibri"/>
          <w:sz w:val="32"/>
          <w:szCs w:val="32"/>
        </w:rPr>
      </w:pPr>
    </w:p>
    <w:p w:rsidR="003E15EB" w:rsidRDefault="00B648E7">
      <w:pPr>
        <w:widowControl w:val="0"/>
        <w:spacing w:after="0" w:line="240" w:lineRule="auto"/>
        <w:jc w:val="center"/>
        <w:rPr>
          <w:rFonts w:ascii="Calibri" w:hAnsi="Calibri"/>
          <w:sz w:val="32"/>
          <w:szCs w:val="32"/>
        </w:rPr>
      </w:pPr>
      <w:r>
        <w:rPr>
          <w:sz w:val="32"/>
          <w:szCs w:val="32"/>
        </w:rPr>
        <w:t>(</w:t>
      </w:r>
      <w:proofErr w:type="spellStart"/>
      <w:r>
        <w:rPr>
          <w:sz w:val="32"/>
          <w:szCs w:val="32"/>
        </w:rPr>
        <w:t>pioglitazone</w:t>
      </w:r>
      <w:proofErr w:type="spellEnd"/>
      <w:r>
        <w:rPr>
          <w:sz w:val="32"/>
          <w:szCs w:val="32"/>
        </w:rPr>
        <w:t xml:space="preserve"> e </w:t>
      </w:r>
      <w:proofErr w:type="spellStart"/>
      <w:r>
        <w:rPr>
          <w:sz w:val="32"/>
          <w:szCs w:val="32"/>
        </w:rPr>
        <w:t>metformina</w:t>
      </w:r>
      <w:proofErr w:type="spellEnd"/>
      <w:r>
        <w:rPr>
          <w:sz w:val="32"/>
          <w:szCs w:val="32"/>
        </w:rPr>
        <w:t>)</w:t>
      </w:r>
    </w:p>
    <w:p w:rsidR="003E15EB" w:rsidRDefault="003E15EB">
      <w:pPr>
        <w:spacing w:after="0" w:line="240" w:lineRule="auto"/>
        <w:jc w:val="center"/>
        <w:rPr>
          <w:b/>
          <w:highlight w:val="yellow"/>
        </w:rPr>
      </w:pPr>
    </w:p>
    <w:p w:rsidR="003E15EB" w:rsidRDefault="003E15EB">
      <w:pPr>
        <w:spacing w:after="0" w:line="240" w:lineRule="auto"/>
        <w:jc w:val="center"/>
        <w:rPr>
          <w:b/>
          <w:highlight w:val="yellow"/>
        </w:rPr>
      </w:pPr>
    </w:p>
    <w:p w:rsidR="003E15EB" w:rsidRDefault="003E15EB">
      <w:pPr>
        <w:spacing w:after="0" w:line="240" w:lineRule="auto"/>
        <w:jc w:val="center"/>
        <w:rPr>
          <w:b/>
        </w:rPr>
      </w:pPr>
    </w:p>
    <w:p w:rsidR="003E15EB" w:rsidRDefault="003E15EB">
      <w:pPr>
        <w:spacing w:after="0" w:line="240" w:lineRule="auto"/>
        <w:jc w:val="center"/>
        <w:rPr>
          <w:b/>
        </w:rPr>
      </w:pPr>
    </w:p>
    <w:p w:rsidR="003E15EB" w:rsidRDefault="00B648E7">
      <w:pPr>
        <w:spacing w:after="0" w:line="240" w:lineRule="auto"/>
        <w:jc w:val="center"/>
        <w:rPr>
          <w:b/>
        </w:rPr>
      </w:pPr>
      <w:r>
        <w:rPr>
          <w:rFonts w:cs="Calibri"/>
          <w:b/>
          <w:sz w:val="32"/>
          <w:szCs w:val="32"/>
        </w:rPr>
        <w:t>EG S.p.A.</w:t>
      </w:r>
      <w:r>
        <w:rPr>
          <w:b/>
          <w:sz w:val="32"/>
          <w:szCs w:val="32"/>
        </w:rPr>
        <w:t xml:space="preserve"> </w:t>
      </w:r>
    </w:p>
    <w:p w:rsidR="003E15EB" w:rsidRDefault="00B648E7">
      <w:pPr>
        <w:spacing w:after="0" w:line="240" w:lineRule="auto"/>
        <w:jc w:val="center"/>
        <w:rPr>
          <w:b/>
        </w:rPr>
      </w:pPr>
      <w:r>
        <w:rPr>
          <w:b/>
          <w:highlight w:val="yellow"/>
        </w:rPr>
        <w:t xml:space="preserve"> </w:t>
      </w:r>
    </w:p>
    <w:p w:rsidR="003E15EB" w:rsidRDefault="003E15EB">
      <w:pPr>
        <w:spacing w:after="0" w:line="240" w:lineRule="auto"/>
        <w:jc w:val="center"/>
        <w:rPr>
          <w:b/>
        </w:rPr>
      </w:pPr>
    </w:p>
    <w:p w:rsidR="003E15EB" w:rsidRDefault="003E15EB">
      <w:pPr>
        <w:jc w:val="center"/>
        <w:rPr>
          <w:b/>
        </w:rPr>
      </w:pPr>
    </w:p>
    <w:p w:rsidR="003E15EB" w:rsidRDefault="003E15EB">
      <w:pPr>
        <w:jc w:val="center"/>
        <w:rPr>
          <w:b/>
        </w:rPr>
      </w:pPr>
    </w:p>
    <w:p w:rsidR="003E15EB" w:rsidRDefault="00B648E7">
      <w:pPr>
        <w:jc w:val="center"/>
        <w:rPr>
          <w:b/>
        </w:rPr>
      </w:pPr>
      <w:r>
        <w:rPr>
          <w:b/>
          <w:sz w:val="40"/>
          <w:szCs w:val="40"/>
        </w:rPr>
        <w:t>Numero di AIC: 046212</w:t>
      </w:r>
      <w:bookmarkStart w:id="0" w:name="Text15"/>
      <w:bookmarkEnd w:id="0"/>
    </w:p>
    <w:p w:rsidR="003E15EB" w:rsidRDefault="00B648E7">
      <w:pPr>
        <w:spacing w:after="0" w:line="240" w:lineRule="auto"/>
        <w:jc w:val="center"/>
        <w:rPr>
          <w:rFonts w:eastAsia="Calibri" w:cs="Calibri"/>
          <w:b/>
          <w:color w:val="000000"/>
          <w:lang w:eastAsia="it-IT"/>
        </w:rPr>
      </w:pPr>
      <w:r>
        <w:rPr>
          <w:rFonts w:eastAsia="Calibri" w:cs="Calibri"/>
          <w:b/>
          <w:color w:val="000000"/>
          <w:lang w:eastAsia="it-IT"/>
        </w:rPr>
        <w:t xml:space="preserve"> </w:t>
      </w:r>
      <w:r>
        <w:br w:type="page"/>
      </w:r>
    </w:p>
    <w:p w:rsidR="003E15EB" w:rsidRDefault="003E15EB">
      <w:pPr>
        <w:spacing w:after="0" w:line="240" w:lineRule="auto"/>
        <w:jc w:val="center"/>
        <w:rPr>
          <w:rFonts w:eastAsia="Calibri" w:cs="Calibri"/>
          <w:b/>
          <w:color w:val="000000"/>
          <w:lang w:eastAsia="it-IT"/>
        </w:rPr>
      </w:pPr>
    </w:p>
    <w:p w:rsidR="003E15EB" w:rsidRDefault="003E15EB">
      <w:pPr>
        <w:spacing w:after="0" w:line="240" w:lineRule="auto"/>
        <w:jc w:val="both"/>
        <w:rPr>
          <w:rFonts w:eastAsia="Calibri" w:cs="Calibri"/>
          <w:color w:val="000000"/>
          <w:lang w:eastAsia="it-IT"/>
        </w:rPr>
      </w:pPr>
    </w:p>
    <w:p w:rsidR="003E15EB" w:rsidRDefault="00B648E7">
      <w:pPr>
        <w:widowControl w:val="0"/>
        <w:spacing w:after="0" w:line="240" w:lineRule="auto"/>
        <w:jc w:val="center"/>
        <w:rPr>
          <w:b/>
          <w:bCs/>
          <w:sz w:val="28"/>
          <w:szCs w:val="28"/>
        </w:rPr>
      </w:pPr>
      <w:r>
        <w:rPr>
          <w:noProof/>
          <w:lang w:eastAsia="it-IT"/>
        </w:rPr>
        <w:drawing>
          <wp:inline distT="0" distB="0" distL="0" distR="0">
            <wp:extent cx="2878455" cy="1073150"/>
            <wp:effectExtent l="0" t="0" r="0" b="0"/>
            <wp:docPr id="2" name="Image1" descr="AIFA18_Def_8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AIFA18_Def_8cm"/>
                    <pic:cNvPicPr>
                      <a:picLocks noChangeAspect="1" noChangeArrowheads="1"/>
                    </pic:cNvPicPr>
                  </pic:nvPicPr>
                  <pic:blipFill>
                    <a:blip r:embed="rId8" cstate="print"/>
                    <a:stretch>
                      <a:fillRect/>
                    </a:stretch>
                  </pic:blipFill>
                  <pic:spPr bwMode="auto">
                    <a:xfrm>
                      <a:off x="0" y="0"/>
                      <a:ext cx="2878455" cy="1073150"/>
                    </a:xfrm>
                    <a:prstGeom prst="rect">
                      <a:avLst/>
                    </a:prstGeom>
                  </pic:spPr>
                </pic:pic>
              </a:graphicData>
            </a:graphic>
          </wp:inline>
        </w:drawing>
      </w:r>
    </w:p>
    <w:p w:rsidR="003E15EB" w:rsidRDefault="003E15EB">
      <w:pPr>
        <w:widowControl w:val="0"/>
        <w:spacing w:after="0" w:line="240" w:lineRule="auto"/>
        <w:jc w:val="center"/>
        <w:rPr>
          <w:b/>
          <w:bCs/>
          <w:sz w:val="28"/>
          <w:szCs w:val="28"/>
        </w:rPr>
      </w:pPr>
    </w:p>
    <w:p w:rsidR="003E15EB" w:rsidRDefault="00B648E7">
      <w:pPr>
        <w:widowControl w:val="0"/>
        <w:spacing w:after="0" w:line="240" w:lineRule="auto"/>
        <w:jc w:val="center"/>
        <w:rPr>
          <w:b/>
          <w:bCs/>
          <w:sz w:val="28"/>
          <w:szCs w:val="28"/>
        </w:rPr>
      </w:pPr>
      <w:r>
        <w:rPr>
          <w:rFonts w:eastAsia="Calibri" w:cs="Calibri"/>
          <w:b/>
          <w:bCs/>
          <w:color w:val="000000"/>
          <w:sz w:val="28"/>
          <w:szCs w:val="28"/>
          <w:lang w:eastAsia="it-IT"/>
        </w:rPr>
        <w:t xml:space="preserve">RIASSUNTO DELLA RELAZIONE PUBBLICA </w:t>
      </w:r>
      <w:proofErr w:type="spellStart"/>
      <w:r>
        <w:rPr>
          <w:rFonts w:eastAsia="Calibri" w:cs="Calibri"/>
          <w:b/>
          <w:bCs/>
          <w:color w:val="000000"/>
          <w:sz w:val="28"/>
          <w:szCs w:val="28"/>
          <w:lang w:eastAsia="it-IT"/>
        </w:rPr>
        <w:t>DI</w:t>
      </w:r>
      <w:proofErr w:type="spellEnd"/>
      <w:r>
        <w:rPr>
          <w:rFonts w:eastAsia="Calibri" w:cs="Calibri"/>
          <w:b/>
          <w:bCs/>
          <w:color w:val="000000"/>
          <w:sz w:val="28"/>
          <w:szCs w:val="28"/>
          <w:lang w:eastAsia="it-IT"/>
        </w:rPr>
        <w:t xml:space="preserve"> VALUTAZIONE</w:t>
      </w:r>
    </w:p>
    <w:p w:rsidR="003E15EB" w:rsidRDefault="003E15EB">
      <w:pPr>
        <w:widowControl w:val="0"/>
        <w:spacing w:after="0" w:line="240" w:lineRule="auto"/>
        <w:jc w:val="center"/>
        <w:rPr>
          <w:b/>
          <w:bCs/>
          <w:sz w:val="28"/>
          <w:szCs w:val="28"/>
        </w:rPr>
      </w:pPr>
    </w:p>
    <w:p w:rsidR="003E15EB" w:rsidRDefault="00B648E7">
      <w:pPr>
        <w:widowControl w:val="0"/>
        <w:spacing w:after="0" w:line="240" w:lineRule="auto"/>
        <w:jc w:val="both"/>
        <w:rPr>
          <w:rFonts w:cs="Times New Roman"/>
          <w:b/>
          <w:bCs/>
          <w:color w:val="000000"/>
        </w:rPr>
      </w:pPr>
      <w:r>
        <w:rPr>
          <w:rFonts w:eastAsia="Calibri" w:cs="Calibri"/>
          <w:color w:val="000000"/>
          <w:lang w:eastAsia="it-IT"/>
        </w:rPr>
        <w:t xml:space="preserve">Questa è la sintesi del </w:t>
      </w:r>
      <w:r>
        <w:rPr>
          <w:rFonts w:eastAsia="Calibri" w:cs="Calibri"/>
          <w:i/>
          <w:color w:val="000000"/>
          <w:lang w:eastAsia="it-IT"/>
        </w:rPr>
        <w:t xml:space="preserve">Public </w:t>
      </w:r>
      <w:proofErr w:type="spellStart"/>
      <w:r>
        <w:rPr>
          <w:rFonts w:eastAsia="Calibri" w:cs="Calibri"/>
          <w:i/>
          <w:color w:val="000000"/>
          <w:lang w:eastAsia="it-IT"/>
        </w:rPr>
        <w:t>Assessment</w:t>
      </w:r>
      <w:proofErr w:type="spellEnd"/>
      <w:r>
        <w:rPr>
          <w:rFonts w:eastAsia="Calibri" w:cs="Calibri"/>
          <w:i/>
          <w:color w:val="000000"/>
          <w:lang w:eastAsia="it-IT"/>
        </w:rPr>
        <w:t xml:space="preserve"> Report</w:t>
      </w:r>
      <w:r>
        <w:rPr>
          <w:rFonts w:eastAsia="Calibri" w:cs="Calibri"/>
          <w:color w:val="000000"/>
          <w:lang w:eastAsia="it-IT"/>
        </w:rPr>
        <w:t xml:space="preserve"> (PAR) per </w:t>
      </w:r>
      <w:r>
        <w:rPr>
          <w:rFonts w:eastAsia="Calibri" w:cs="Calibri"/>
          <w:bCs/>
          <w:color w:val="000000"/>
          <w:lang w:eastAsia="it-IT"/>
        </w:rPr>
        <w:t>PIOGLITAZONE E METFORMINA EG</w:t>
      </w:r>
      <w:r>
        <w:rPr>
          <w:rFonts w:cs="Times New Roman"/>
          <w:bCs/>
          <w:color w:val="000000"/>
        </w:rPr>
        <w:t>.</w:t>
      </w:r>
      <w:r>
        <w:rPr>
          <w:rFonts w:eastAsia="Calibri" w:cs="Calibri"/>
          <w:bCs/>
          <w:color w:val="000000"/>
          <w:lang w:eastAsia="it-IT"/>
        </w:rPr>
        <w:t xml:space="preserve"> </w:t>
      </w:r>
      <w:r>
        <w:rPr>
          <w:rFonts w:eastAsia="Calibri" w:cs="Calibri"/>
          <w:color w:val="000000"/>
          <w:lang w:eastAsia="it-IT"/>
        </w:rPr>
        <w:t>Esso spiega come PIOGLITAZONE E METFORMINA EG è stato valutato dalla Commissione Tecnico-Scientifica (CTS) e sue le condizioni di impiego. Non intende fornire consigli pratici su come utilizzare PIOGLITAZONE E METFORMINA EG.</w:t>
      </w:r>
    </w:p>
    <w:p w:rsidR="003E15EB" w:rsidRDefault="00B648E7">
      <w:pPr>
        <w:spacing w:after="0" w:line="240" w:lineRule="auto"/>
        <w:jc w:val="both"/>
        <w:rPr>
          <w:rFonts w:eastAsia="Calibri" w:cs="Calibri"/>
          <w:color w:val="000000"/>
          <w:lang w:eastAsia="it-IT"/>
        </w:rPr>
      </w:pPr>
      <w:r>
        <w:rPr>
          <w:rFonts w:eastAsia="Calibri" w:cs="Calibri"/>
          <w:color w:val="000000"/>
          <w:lang w:eastAsia="it-IT"/>
        </w:rPr>
        <w:t>Per informazioni pratiche sull'utilizzo di</w:t>
      </w:r>
      <w:r>
        <w:rPr>
          <w:rFonts w:eastAsia="Calibri" w:cs="Calibri"/>
          <w:bCs/>
          <w:color w:val="000000"/>
          <w:lang w:eastAsia="it-IT"/>
        </w:rPr>
        <w:t xml:space="preserve"> </w:t>
      </w:r>
      <w:r>
        <w:rPr>
          <w:rFonts w:eastAsia="Calibri" w:cs="Calibri"/>
          <w:color w:val="000000"/>
          <w:lang w:eastAsia="it-IT"/>
        </w:rPr>
        <w:t xml:space="preserve">PIOGLITAZONE E METFORMINA EG i pazienti devono consultare il foglio illustrativo o contattare il loro medico o il farmacista. </w:t>
      </w:r>
    </w:p>
    <w:p w:rsidR="003E15EB" w:rsidRDefault="003E15EB">
      <w:pPr>
        <w:spacing w:after="0" w:line="240" w:lineRule="auto"/>
        <w:jc w:val="both"/>
        <w:rPr>
          <w:rFonts w:eastAsia="Calibri" w:cs="Calibri"/>
          <w:color w:val="000000"/>
          <w:lang w:eastAsia="it-IT"/>
        </w:rPr>
      </w:pPr>
    </w:p>
    <w:p w:rsidR="003E15EB" w:rsidRDefault="00B648E7">
      <w:pPr>
        <w:spacing w:after="0" w:line="240" w:lineRule="auto"/>
        <w:jc w:val="both"/>
        <w:rPr>
          <w:rFonts w:eastAsia="Calibri" w:cs="Calibri"/>
          <w:color w:val="000000"/>
          <w:lang w:eastAsia="it-IT"/>
        </w:rPr>
      </w:pPr>
      <w:r>
        <w:rPr>
          <w:rFonts w:eastAsia="Calibri" w:cs="Calibri"/>
          <w:b/>
          <w:bCs/>
          <w:color w:val="000000"/>
          <w:lang w:eastAsia="it-IT"/>
        </w:rPr>
        <w:t xml:space="preserve">1) CHE COS’È </w:t>
      </w:r>
      <w:r>
        <w:rPr>
          <w:rFonts w:eastAsia="Calibri" w:cs="Calibri"/>
          <w:b/>
          <w:color w:val="000000"/>
          <w:lang w:eastAsia="it-IT"/>
        </w:rPr>
        <w:t xml:space="preserve">PIOGLITAZONE E METFORMINA EG </w:t>
      </w:r>
      <w:r>
        <w:rPr>
          <w:rFonts w:eastAsia="Calibri" w:cs="Calibri"/>
          <w:b/>
          <w:bCs/>
          <w:color w:val="000000"/>
          <w:lang w:eastAsia="it-IT"/>
        </w:rPr>
        <w:t xml:space="preserve">E A COSA SERVE? </w:t>
      </w:r>
    </w:p>
    <w:p w:rsidR="003E15EB" w:rsidRDefault="00B648E7">
      <w:pPr>
        <w:widowControl w:val="0"/>
        <w:spacing w:after="0" w:line="240" w:lineRule="auto"/>
        <w:jc w:val="both"/>
        <w:rPr>
          <w:rFonts w:eastAsia="Calibri" w:cs="Calibri"/>
          <w:color w:val="000000"/>
          <w:lang w:eastAsia="it-IT"/>
        </w:rPr>
      </w:pPr>
      <w:r>
        <w:rPr>
          <w:rFonts w:eastAsia="Calibri" w:cs="Calibri"/>
          <w:color w:val="000000"/>
          <w:lang w:eastAsia="it-IT"/>
        </w:rPr>
        <w:t xml:space="preserve">PIOGLITAZONE E METFORMINA EG è un medicinale contenente i principi attivi </w:t>
      </w:r>
      <w:proofErr w:type="spellStart"/>
      <w:r>
        <w:rPr>
          <w:rFonts w:eastAsia="Calibri" w:cs="Calibri"/>
          <w:color w:val="000000"/>
          <w:lang w:eastAsia="it-IT"/>
        </w:rPr>
        <w:t>pioglitazone</w:t>
      </w:r>
      <w:proofErr w:type="spellEnd"/>
      <w:r>
        <w:rPr>
          <w:rFonts w:eastAsia="Calibri" w:cs="Calibri"/>
          <w:color w:val="000000"/>
          <w:lang w:eastAsia="it-IT"/>
        </w:rPr>
        <w:t xml:space="preserve"> e </w:t>
      </w:r>
      <w:proofErr w:type="spellStart"/>
      <w:r>
        <w:rPr>
          <w:rFonts w:eastAsia="Calibri" w:cs="Calibri"/>
          <w:color w:val="000000"/>
          <w:lang w:eastAsia="it-IT"/>
        </w:rPr>
        <w:t>metformina</w:t>
      </w:r>
      <w:proofErr w:type="spellEnd"/>
      <w:r>
        <w:rPr>
          <w:rFonts w:eastAsia="Calibri" w:cs="Calibri"/>
          <w:color w:val="000000"/>
          <w:lang w:eastAsia="it-IT"/>
        </w:rPr>
        <w:t xml:space="preserve"> ed è disponibile in compresse rivestite con film contenenti 15 mg di </w:t>
      </w:r>
      <w:proofErr w:type="spellStart"/>
      <w:r>
        <w:rPr>
          <w:rFonts w:eastAsia="Calibri" w:cs="Calibri"/>
          <w:color w:val="000000"/>
          <w:lang w:eastAsia="it-IT"/>
        </w:rPr>
        <w:t>pioglitazone</w:t>
      </w:r>
      <w:proofErr w:type="spellEnd"/>
      <w:r>
        <w:rPr>
          <w:rFonts w:eastAsia="Calibri" w:cs="Calibri"/>
          <w:color w:val="000000"/>
          <w:lang w:eastAsia="it-IT"/>
        </w:rPr>
        <w:t xml:space="preserve"> e 850 mg di </w:t>
      </w:r>
      <w:proofErr w:type="spellStart"/>
      <w:r>
        <w:rPr>
          <w:rFonts w:eastAsia="Calibri" w:cs="Calibri"/>
          <w:color w:val="000000"/>
          <w:lang w:eastAsia="it-IT"/>
        </w:rPr>
        <w:t>metformina</w:t>
      </w:r>
      <w:proofErr w:type="spellEnd"/>
      <w:r>
        <w:rPr>
          <w:rFonts w:eastAsia="Calibri" w:cs="Calibri"/>
          <w:color w:val="000000"/>
          <w:lang w:eastAsia="it-IT"/>
        </w:rPr>
        <w:t xml:space="preserve"> cloridrato.</w:t>
      </w:r>
    </w:p>
    <w:p w:rsidR="003E15EB" w:rsidRDefault="003E15EB">
      <w:pPr>
        <w:widowControl w:val="0"/>
        <w:spacing w:after="0" w:line="240" w:lineRule="auto"/>
        <w:jc w:val="both"/>
        <w:rPr>
          <w:rFonts w:eastAsia="Calibri" w:cs="Calibri"/>
          <w:color w:val="000000"/>
          <w:lang w:eastAsia="it-IT"/>
        </w:rPr>
      </w:pPr>
    </w:p>
    <w:p w:rsidR="003E15EB" w:rsidRDefault="00B648E7">
      <w:pPr>
        <w:widowControl w:val="0"/>
        <w:spacing w:after="0" w:line="240" w:lineRule="auto"/>
        <w:jc w:val="both"/>
        <w:rPr>
          <w:rFonts w:eastAsia="Calibri" w:cs="Calibri"/>
          <w:color w:val="000000"/>
          <w:lang w:eastAsia="it-IT"/>
        </w:rPr>
      </w:pPr>
      <w:r>
        <w:rPr>
          <w:rFonts w:eastAsia="Calibri" w:cs="Calibri"/>
          <w:color w:val="000000"/>
          <w:lang w:eastAsia="it-IT"/>
        </w:rPr>
        <w:t>PIOGLITAZONE E METFORMINA EG 15 mg/850  mg si usa negli adulti (particolarmente in quelli in sovrappeso) per il trattamento del diabete mellito di tipo 2 (</w:t>
      </w:r>
      <w:proofErr w:type="spellStart"/>
      <w:r>
        <w:rPr>
          <w:rFonts w:eastAsia="Calibri" w:cs="Calibri"/>
          <w:color w:val="000000"/>
          <w:lang w:eastAsia="it-IT"/>
        </w:rPr>
        <w:t>non-insulino</w:t>
      </w:r>
      <w:proofErr w:type="spellEnd"/>
      <w:r>
        <w:rPr>
          <w:rFonts w:eastAsia="Calibri" w:cs="Calibri"/>
          <w:color w:val="000000"/>
          <w:lang w:eastAsia="it-IT"/>
        </w:rPr>
        <w:t xml:space="preserve"> dipendente).</w:t>
      </w:r>
    </w:p>
    <w:p w:rsidR="003E15EB" w:rsidRDefault="00B648E7">
      <w:pPr>
        <w:pStyle w:val="Corpodeltesto"/>
        <w:jc w:val="both"/>
        <w:rPr>
          <w:rFonts w:eastAsia="Calibri" w:cs="Calibri"/>
          <w:color w:val="000000"/>
          <w:lang w:val="it-IT" w:eastAsia="it-IT"/>
        </w:rPr>
      </w:pPr>
      <w:r>
        <w:rPr>
          <w:rFonts w:ascii="Calibri" w:eastAsia="Calibri" w:hAnsi="Calibri" w:cs="Calibri"/>
          <w:color w:val="000000"/>
          <w:lang w:val="it-IT" w:eastAsia="it-IT"/>
        </w:rPr>
        <w:t>PIOGLITAZONE E METFORMINA EG</w:t>
      </w:r>
      <w:r>
        <w:rPr>
          <w:rFonts w:ascii="Verdana" w:eastAsia="Calibri" w:hAnsi="Verdana" w:cs="Calibri"/>
          <w:color w:val="000000"/>
          <w:sz w:val="18"/>
          <w:lang w:val="it-IT" w:eastAsia="it-IT"/>
        </w:rPr>
        <w:t xml:space="preserve"> è usato in pazienti che non sono sufficientemente controllati con la </w:t>
      </w:r>
      <w:proofErr w:type="spellStart"/>
      <w:r>
        <w:rPr>
          <w:rFonts w:ascii="Verdana" w:eastAsia="Calibri" w:hAnsi="Verdana" w:cs="Calibri"/>
          <w:color w:val="000000"/>
          <w:sz w:val="18"/>
          <w:lang w:val="it-IT" w:eastAsia="it-IT"/>
        </w:rPr>
        <w:t>metformina</w:t>
      </w:r>
      <w:proofErr w:type="spellEnd"/>
      <w:r>
        <w:rPr>
          <w:rFonts w:ascii="Verdana" w:eastAsia="Calibri" w:hAnsi="Verdana" w:cs="Calibri"/>
          <w:color w:val="000000"/>
          <w:sz w:val="18"/>
          <w:lang w:val="it-IT" w:eastAsia="it-IT"/>
        </w:rPr>
        <w:t xml:space="preserve"> (un medicinale per il trattamento del diabete) da sola alla massima dose possibile. </w:t>
      </w:r>
    </w:p>
    <w:p w:rsidR="003E15EB" w:rsidRDefault="003E15EB">
      <w:pPr>
        <w:widowControl w:val="0"/>
        <w:spacing w:after="0" w:line="240" w:lineRule="auto"/>
        <w:jc w:val="both"/>
        <w:rPr>
          <w:rFonts w:eastAsia="Calibri" w:cs="Calibri"/>
          <w:color w:val="000000"/>
          <w:lang w:eastAsia="it-IT"/>
        </w:rPr>
      </w:pPr>
    </w:p>
    <w:p w:rsidR="003E15EB" w:rsidRDefault="00B648E7">
      <w:pPr>
        <w:widowControl w:val="0"/>
        <w:spacing w:after="0" w:line="240" w:lineRule="auto"/>
        <w:jc w:val="both"/>
        <w:rPr>
          <w:rFonts w:eastAsia="Calibri" w:cs="Calibri"/>
          <w:color w:val="000000"/>
          <w:lang w:eastAsia="it-IT"/>
        </w:rPr>
      </w:pPr>
      <w:r>
        <w:rPr>
          <w:rFonts w:eastAsia="Calibri" w:cs="Calibri"/>
          <w:color w:val="000000"/>
          <w:lang w:eastAsia="it-IT"/>
        </w:rPr>
        <w:t xml:space="preserve">PIOGLITAZONE E METFORMINA EG, è un “medicinale generico”, cioè è analogo ad un “medicinale di riferimento”, </w:t>
      </w:r>
      <w:proofErr w:type="spellStart"/>
      <w:r>
        <w:rPr>
          <w:rFonts w:eastAsia="Calibri" w:cs="Calibri"/>
          <w:color w:val="000000"/>
          <w:lang w:eastAsia="it-IT"/>
        </w:rPr>
        <w:t>Competact</w:t>
      </w:r>
      <w:proofErr w:type="spellEnd"/>
      <w:r>
        <w:rPr>
          <w:rFonts w:eastAsia="Calibri" w:cs="Calibri"/>
          <w:color w:val="000000"/>
          <w:lang w:eastAsia="it-IT"/>
        </w:rPr>
        <w:t>, già autorizzato in Italia con una procedura centralizzata. L’</w:t>
      </w:r>
      <w:proofErr w:type="spellStart"/>
      <w:r>
        <w:rPr>
          <w:rFonts w:eastAsia="Calibri" w:cs="Calibri"/>
          <w:i/>
          <w:color w:val="000000"/>
          <w:lang w:eastAsia="it-IT"/>
        </w:rPr>
        <w:t>European</w:t>
      </w:r>
      <w:proofErr w:type="spellEnd"/>
      <w:r>
        <w:rPr>
          <w:rFonts w:eastAsia="Calibri" w:cs="Calibri"/>
          <w:color w:val="000000"/>
          <w:lang w:eastAsia="it-IT"/>
        </w:rPr>
        <w:t xml:space="preserve"> </w:t>
      </w:r>
      <w:r>
        <w:rPr>
          <w:rFonts w:eastAsia="Calibri" w:cs="Calibri"/>
          <w:i/>
          <w:color w:val="000000"/>
          <w:lang w:eastAsia="it-IT"/>
        </w:rPr>
        <w:t xml:space="preserve">Public </w:t>
      </w:r>
      <w:proofErr w:type="spellStart"/>
      <w:r>
        <w:rPr>
          <w:rFonts w:eastAsia="Calibri" w:cs="Calibri"/>
          <w:i/>
          <w:color w:val="000000"/>
          <w:lang w:eastAsia="it-IT"/>
        </w:rPr>
        <w:t>Assessment</w:t>
      </w:r>
      <w:proofErr w:type="spellEnd"/>
      <w:r>
        <w:rPr>
          <w:rFonts w:eastAsia="Calibri" w:cs="Calibri"/>
          <w:i/>
          <w:color w:val="000000"/>
          <w:lang w:eastAsia="it-IT"/>
        </w:rPr>
        <w:t xml:space="preserve"> Report</w:t>
      </w:r>
      <w:r>
        <w:rPr>
          <w:rFonts w:eastAsia="Calibri" w:cs="Calibri"/>
          <w:color w:val="000000"/>
          <w:lang w:eastAsia="it-IT"/>
        </w:rPr>
        <w:t xml:space="preserve"> (EPAR) di </w:t>
      </w:r>
      <w:proofErr w:type="spellStart"/>
      <w:r>
        <w:rPr>
          <w:rFonts w:eastAsia="Calibri" w:cs="Calibri"/>
          <w:color w:val="000000"/>
          <w:lang w:eastAsia="it-IT"/>
        </w:rPr>
        <w:t>Competact</w:t>
      </w:r>
      <w:proofErr w:type="spellEnd"/>
      <w:r>
        <w:rPr>
          <w:rFonts w:eastAsia="Calibri" w:cs="Calibri"/>
          <w:color w:val="000000"/>
          <w:lang w:eastAsia="it-IT"/>
        </w:rPr>
        <w:t xml:space="preserve"> può essere consultato sul sito dell’Agenzia Europea dei medicinali (</w:t>
      </w:r>
      <w:proofErr w:type="spellStart"/>
      <w:r>
        <w:rPr>
          <w:rFonts w:eastAsia="Calibri" w:cs="Calibri"/>
          <w:i/>
          <w:color w:val="000000"/>
          <w:lang w:eastAsia="it-IT"/>
        </w:rPr>
        <w:t>European</w:t>
      </w:r>
      <w:proofErr w:type="spellEnd"/>
      <w:r>
        <w:rPr>
          <w:rFonts w:eastAsia="Calibri" w:cs="Calibri"/>
          <w:i/>
          <w:color w:val="000000"/>
          <w:lang w:eastAsia="it-IT"/>
        </w:rPr>
        <w:t xml:space="preserve"> </w:t>
      </w:r>
      <w:proofErr w:type="spellStart"/>
      <w:r>
        <w:rPr>
          <w:rFonts w:eastAsia="Calibri" w:cs="Calibri"/>
          <w:i/>
          <w:color w:val="000000"/>
          <w:lang w:eastAsia="it-IT"/>
        </w:rPr>
        <w:t>Medicinal</w:t>
      </w:r>
      <w:proofErr w:type="spellEnd"/>
      <w:r>
        <w:rPr>
          <w:rFonts w:eastAsia="Calibri" w:cs="Calibri"/>
          <w:i/>
          <w:color w:val="000000"/>
          <w:lang w:eastAsia="it-IT"/>
        </w:rPr>
        <w:t xml:space="preserve"> </w:t>
      </w:r>
      <w:proofErr w:type="spellStart"/>
      <w:r>
        <w:rPr>
          <w:rFonts w:eastAsia="Calibri" w:cs="Calibri"/>
          <w:i/>
          <w:color w:val="000000"/>
          <w:lang w:eastAsia="it-IT"/>
        </w:rPr>
        <w:t>Agency</w:t>
      </w:r>
      <w:proofErr w:type="spellEnd"/>
      <w:r>
        <w:rPr>
          <w:rFonts w:eastAsia="Calibri" w:cs="Calibri"/>
          <w:color w:val="000000"/>
          <w:lang w:eastAsia="it-IT"/>
        </w:rPr>
        <w:t xml:space="preserve"> – EMA) </w:t>
      </w:r>
    </w:p>
    <w:p w:rsidR="003E15EB" w:rsidRDefault="00B648E7">
      <w:pPr>
        <w:widowControl w:val="0"/>
        <w:spacing w:after="0" w:line="240" w:lineRule="auto"/>
        <w:jc w:val="both"/>
        <w:rPr>
          <w:rFonts w:eastAsia="Calibri" w:cs="Calibri"/>
          <w:color w:val="000000"/>
          <w:lang w:eastAsia="it-IT"/>
        </w:rPr>
      </w:pPr>
      <w:r>
        <w:rPr>
          <w:rFonts w:eastAsia="Calibri" w:cs="Calibri"/>
          <w:color w:val="000000"/>
          <w:lang w:eastAsia="it-IT"/>
        </w:rPr>
        <w:t>(</w:t>
      </w:r>
      <w:hyperlink r:id="rId9">
        <w:r>
          <w:rPr>
            <w:rStyle w:val="Collegamentoipertestuale"/>
            <w:rFonts w:eastAsia="Calibri" w:cs="Calibri"/>
            <w:color w:val="000000"/>
            <w:lang w:eastAsia="it-IT"/>
          </w:rPr>
          <w:t>https://www.ema.europa.eu/en/medicines/human/EPAR/competact</w:t>
        </w:r>
      </w:hyperlink>
      <w:r>
        <w:rPr>
          <w:rFonts w:eastAsia="Calibri" w:cs="Calibri"/>
          <w:bCs/>
          <w:color w:val="000000"/>
          <w:lang w:eastAsia="it-IT"/>
        </w:rPr>
        <w:t>).</w:t>
      </w:r>
    </w:p>
    <w:p w:rsidR="003E15EB" w:rsidRDefault="003E15EB">
      <w:pPr>
        <w:widowControl w:val="0"/>
        <w:spacing w:after="0" w:line="240" w:lineRule="auto"/>
        <w:jc w:val="both"/>
        <w:rPr>
          <w:rFonts w:eastAsia="Calibri" w:cs="Calibri"/>
          <w:color w:val="000000"/>
          <w:lang w:eastAsia="it-IT"/>
        </w:rPr>
      </w:pPr>
    </w:p>
    <w:p w:rsidR="003E15EB" w:rsidRDefault="00B648E7">
      <w:pPr>
        <w:spacing w:after="0" w:line="240" w:lineRule="auto"/>
        <w:jc w:val="both"/>
        <w:rPr>
          <w:rFonts w:eastAsia="Calibri" w:cs="Calibri"/>
          <w:color w:val="000000"/>
          <w:lang w:eastAsia="it-IT"/>
        </w:rPr>
      </w:pPr>
      <w:r>
        <w:rPr>
          <w:rFonts w:eastAsia="Calibri" w:cs="Calibri"/>
          <w:b/>
          <w:bCs/>
          <w:color w:val="000000"/>
          <w:lang w:eastAsia="it-IT"/>
        </w:rPr>
        <w:t xml:space="preserve">2) COME È PRESCRITTO/USATO </w:t>
      </w:r>
      <w:r>
        <w:rPr>
          <w:rFonts w:eastAsia="Calibri" w:cs="Calibri"/>
          <w:b/>
          <w:color w:val="000000"/>
          <w:lang w:eastAsia="it-IT"/>
        </w:rPr>
        <w:t>PIOGLITAZONE E METFORMINA EG</w:t>
      </w:r>
      <w:r>
        <w:rPr>
          <w:rFonts w:eastAsia="Calibri" w:cs="Calibri"/>
          <w:b/>
          <w:bCs/>
          <w:color w:val="000000"/>
          <w:lang w:eastAsia="it-IT"/>
        </w:rPr>
        <w:t>?</w:t>
      </w:r>
    </w:p>
    <w:p w:rsidR="003E15EB" w:rsidRDefault="00B648E7">
      <w:pPr>
        <w:widowControl w:val="0"/>
        <w:rPr>
          <w:rFonts w:ascii="Calibri" w:eastAsia="Calibri" w:hAnsi="Calibri" w:cs="Calibri"/>
          <w:color w:val="000000"/>
          <w:lang w:eastAsia="it-IT"/>
        </w:rPr>
      </w:pPr>
      <w:r>
        <w:rPr>
          <w:rFonts w:eastAsia="Calibri" w:cs="Calibri"/>
          <w:color w:val="000000"/>
          <w:lang w:eastAsia="it-IT"/>
        </w:rPr>
        <w:t>PIOGLITAZONE E METFORMINA EG può essere ottenuto solo su prescrizione da parte del medico (ricetta ripetibile).</w:t>
      </w:r>
    </w:p>
    <w:p w:rsidR="003E15EB" w:rsidRDefault="00B648E7">
      <w:pPr>
        <w:spacing w:after="0" w:line="240" w:lineRule="auto"/>
        <w:jc w:val="both"/>
        <w:rPr>
          <w:rFonts w:cs="Times New Roman"/>
        </w:rPr>
      </w:pPr>
      <w:r>
        <w:rPr>
          <w:rFonts w:eastAsia="Calibri" w:cs="Calibri"/>
          <w:color w:val="000000"/>
          <w:lang w:eastAsia="it-IT"/>
        </w:rPr>
        <w:t>L’uso di PIOGLITAZONE E METFORMINA EG 15mg/850 mg compresse è</w:t>
      </w:r>
      <w:r>
        <w:rPr>
          <w:rFonts w:cs="Times New Roman"/>
        </w:rPr>
        <w:t xml:space="preserve"> indicato negli adulti. </w:t>
      </w:r>
    </w:p>
    <w:p w:rsidR="003E15EB" w:rsidRDefault="00B648E7">
      <w:pPr>
        <w:spacing w:after="0" w:line="240" w:lineRule="auto"/>
        <w:jc w:val="both"/>
        <w:rPr>
          <w:rFonts w:ascii="Calibri" w:hAnsi="Calibri"/>
        </w:rPr>
      </w:pPr>
      <w:r>
        <w:rPr>
          <w:rFonts w:cs="Times New Roman"/>
        </w:rPr>
        <w:t xml:space="preserve">La dose raccomandata è una compressa da assumere due volte al giorno. Se necessario, il medico potrà prescrivere una dose diversa. </w:t>
      </w:r>
    </w:p>
    <w:p w:rsidR="003E15EB" w:rsidRDefault="00B648E7">
      <w:pPr>
        <w:pStyle w:val="Corpodeltesto"/>
        <w:jc w:val="both"/>
        <w:rPr>
          <w:rFonts w:ascii="Verdana" w:hAnsi="Verdana"/>
          <w:sz w:val="18"/>
          <w:lang w:val="it-IT"/>
        </w:rPr>
      </w:pPr>
      <w:r>
        <w:rPr>
          <w:rFonts w:ascii="Verdana" w:hAnsi="Verdana" w:cs="Times New Roman"/>
          <w:sz w:val="18"/>
          <w:lang w:val="it-IT"/>
        </w:rPr>
        <w:t xml:space="preserve">I pazienti che passano dalla </w:t>
      </w:r>
      <w:proofErr w:type="spellStart"/>
      <w:r>
        <w:rPr>
          <w:rFonts w:ascii="Verdana" w:hAnsi="Verdana" w:cs="Times New Roman"/>
          <w:sz w:val="18"/>
          <w:lang w:val="it-IT"/>
        </w:rPr>
        <w:t>metformina</w:t>
      </w:r>
      <w:proofErr w:type="spellEnd"/>
      <w:r>
        <w:rPr>
          <w:rFonts w:ascii="Verdana" w:hAnsi="Verdana" w:cs="Times New Roman"/>
          <w:sz w:val="18"/>
          <w:lang w:val="it-IT"/>
        </w:rPr>
        <w:t xml:space="preserve"> da sola a </w:t>
      </w:r>
      <w:r>
        <w:rPr>
          <w:rFonts w:ascii="Calibri" w:eastAsia="Calibri" w:hAnsi="Calibri" w:cs="Calibri"/>
          <w:color w:val="000000"/>
          <w:lang w:val="it-IT" w:eastAsia="it-IT"/>
        </w:rPr>
        <w:t>PIOGLITAZONE E METFORMINA EG</w:t>
      </w:r>
      <w:r>
        <w:rPr>
          <w:rFonts w:ascii="Verdana" w:hAnsi="Verdana" w:cs="Times New Roman"/>
          <w:sz w:val="18"/>
          <w:lang w:val="it-IT"/>
        </w:rPr>
        <w:t xml:space="preserve"> possono avere bisogno di introdurre lentamente del </w:t>
      </w:r>
      <w:proofErr w:type="spellStart"/>
      <w:r>
        <w:rPr>
          <w:rFonts w:ascii="Verdana" w:hAnsi="Verdana" w:cs="Times New Roman"/>
          <w:sz w:val="18"/>
          <w:lang w:val="it-IT"/>
        </w:rPr>
        <w:t>pioglitazone</w:t>
      </w:r>
      <w:proofErr w:type="spellEnd"/>
      <w:r>
        <w:rPr>
          <w:rFonts w:ascii="Verdana" w:hAnsi="Verdana" w:cs="Times New Roman"/>
          <w:sz w:val="18"/>
          <w:lang w:val="it-IT"/>
        </w:rPr>
        <w:t xml:space="preserve"> fino a raggiungere una dose di 30 mg al giorno. Quando necessario, è possibile passare direttamente dalla </w:t>
      </w:r>
      <w:proofErr w:type="spellStart"/>
      <w:r>
        <w:rPr>
          <w:rFonts w:ascii="Verdana" w:hAnsi="Verdana" w:cs="Times New Roman"/>
          <w:sz w:val="18"/>
          <w:lang w:val="it-IT"/>
        </w:rPr>
        <w:t>metformina</w:t>
      </w:r>
      <w:proofErr w:type="spellEnd"/>
      <w:r>
        <w:rPr>
          <w:rFonts w:ascii="Verdana" w:hAnsi="Verdana" w:cs="Times New Roman"/>
          <w:sz w:val="18"/>
          <w:lang w:val="it-IT"/>
        </w:rPr>
        <w:t xml:space="preserve"> a </w:t>
      </w:r>
      <w:r>
        <w:rPr>
          <w:rFonts w:ascii="Calibri" w:eastAsia="Calibri" w:hAnsi="Calibri" w:cs="Calibri"/>
          <w:color w:val="000000"/>
          <w:lang w:val="it-IT" w:eastAsia="it-IT"/>
        </w:rPr>
        <w:t>PIOGLITAZONE E METFORMINA EG</w:t>
      </w:r>
      <w:r>
        <w:rPr>
          <w:rFonts w:ascii="Verdana" w:hAnsi="Verdana" w:cs="Times New Roman"/>
          <w:sz w:val="18"/>
          <w:lang w:val="it-IT"/>
        </w:rPr>
        <w:t xml:space="preserve">. </w:t>
      </w:r>
    </w:p>
    <w:p w:rsidR="003E15EB" w:rsidRDefault="003E15EB">
      <w:pPr>
        <w:spacing w:after="0" w:line="240" w:lineRule="auto"/>
        <w:jc w:val="both"/>
        <w:rPr>
          <w:rFonts w:cs="Times New Roman"/>
        </w:rPr>
      </w:pPr>
    </w:p>
    <w:p w:rsidR="003E15EB" w:rsidRDefault="00B648E7">
      <w:pPr>
        <w:spacing w:after="0" w:line="240" w:lineRule="auto"/>
        <w:jc w:val="both"/>
        <w:rPr>
          <w:rFonts w:ascii="Calibri" w:hAnsi="Calibri"/>
        </w:rPr>
      </w:pPr>
      <w:r>
        <w:rPr>
          <w:rFonts w:cs="Times New Roman"/>
        </w:rPr>
        <w:t xml:space="preserve">Nei pazienti con funzionalità renale ridotta, il medico potrà prescrivere una dosa più bassa, che dovrà eventualmente essere assunta sotto forma di compresse separate di </w:t>
      </w:r>
      <w:proofErr w:type="spellStart"/>
      <w:r>
        <w:rPr>
          <w:rFonts w:cs="Times New Roman"/>
        </w:rPr>
        <w:t>pioglitazone</w:t>
      </w:r>
      <w:proofErr w:type="spellEnd"/>
      <w:r>
        <w:rPr>
          <w:rFonts w:cs="Times New Roman"/>
        </w:rPr>
        <w:t xml:space="preserve"> e </w:t>
      </w:r>
      <w:proofErr w:type="spellStart"/>
      <w:r>
        <w:rPr>
          <w:rFonts w:cs="Times New Roman"/>
        </w:rPr>
        <w:t>metformina</w:t>
      </w:r>
      <w:proofErr w:type="spellEnd"/>
      <w:r>
        <w:rPr>
          <w:rFonts w:cs="Times New Roman"/>
        </w:rPr>
        <w:t>.</w:t>
      </w:r>
    </w:p>
    <w:p w:rsidR="003E15EB" w:rsidRDefault="003E15EB">
      <w:pPr>
        <w:spacing w:after="0" w:line="240" w:lineRule="auto"/>
        <w:jc w:val="both"/>
        <w:rPr>
          <w:rFonts w:ascii="Calibri" w:hAnsi="Calibri" w:cs="Times New Roman"/>
        </w:rPr>
      </w:pPr>
    </w:p>
    <w:p w:rsidR="003E15EB" w:rsidRDefault="00B648E7">
      <w:pPr>
        <w:spacing w:after="0" w:line="240" w:lineRule="auto"/>
        <w:jc w:val="both"/>
        <w:rPr>
          <w:rFonts w:ascii="Calibri" w:hAnsi="Calibri"/>
        </w:rPr>
      </w:pPr>
      <w:r>
        <w:rPr>
          <w:rFonts w:cs="Times New Roman"/>
        </w:rPr>
        <w:lastRenderedPageBreak/>
        <w:t>Le compresse devono essere assunte con un bicchiere d’acqua. È possibile assumere le compresse durante o subito dopo i pasti, per ridurre la possibilità di disturbi di stomaco.</w:t>
      </w:r>
    </w:p>
    <w:p w:rsidR="003E15EB" w:rsidRDefault="003E15EB">
      <w:pPr>
        <w:spacing w:after="0" w:line="240" w:lineRule="auto"/>
        <w:jc w:val="both"/>
        <w:rPr>
          <w:rFonts w:ascii="Calibri" w:eastAsia="Calibri" w:hAnsi="Calibri" w:cs="Times New Roman"/>
          <w:color w:val="000000"/>
          <w:lang w:eastAsia="it-IT"/>
        </w:rPr>
      </w:pPr>
    </w:p>
    <w:p w:rsidR="003E15EB" w:rsidRDefault="00B648E7">
      <w:pPr>
        <w:pStyle w:val="Corpodeltesto"/>
        <w:jc w:val="both"/>
        <w:rPr>
          <w:rFonts w:eastAsia="Calibri" w:cs="Calibri"/>
          <w:lang w:val="it-IT" w:eastAsia="it-IT"/>
        </w:rPr>
      </w:pPr>
      <w:r>
        <w:rPr>
          <w:rFonts w:ascii="Calibri" w:eastAsia="Calibri" w:hAnsi="Calibri" w:cs="Calibri"/>
          <w:color w:val="000000"/>
          <w:lang w:val="it-IT" w:eastAsia="it-IT"/>
        </w:rPr>
        <w:t xml:space="preserve">La terapia con PIOGLITAZONE E METFORMINA EG va rivista dopo </w:t>
      </w:r>
      <w:proofErr w:type="spellStart"/>
      <w:r>
        <w:rPr>
          <w:rFonts w:ascii="Calibri" w:eastAsia="Calibri" w:hAnsi="Calibri" w:cs="Calibri"/>
          <w:color w:val="000000"/>
          <w:lang w:val="it-IT" w:eastAsia="it-IT"/>
        </w:rPr>
        <w:t>tre-sei</w:t>
      </w:r>
      <w:proofErr w:type="spellEnd"/>
      <w:r>
        <w:rPr>
          <w:rFonts w:ascii="Calibri" w:eastAsia="Calibri" w:hAnsi="Calibri" w:cs="Calibri"/>
          <w:color w:val="000000"/>
          <w:lang w:val="it-IT" w:eastAsia="it-IT"/>
        </w:rPr>
        <w:t xml:space="preserve"> mesi e interrotta nei pazienti che non ne traggono sufficienti benefici. In occasione di ulteriori riesami, i medici prescriventi devono confermare la </w:t>
      </w:r>
      <w:proofErr w:type="spellStart"/>
      <w:r>
        <w:rPr>
          <w:rFonts w:ascii="Calibri" w:eastAsia="Calibri" w:hAnsi="Calibri" w:cs="Calibri"/>
          <w:color w:val="000000"/>
          <w:lang w:val="it-IT" w:eastAsia="it-IT"/>
        </w:rPr>
        <w:t>continuità</w:t>
      </w:r>
      <w:proofErr w:type="spellEnd"/>
      <w:r>
        <w:rPr>
          <w:rFonts w:ascii="Calibri" w:eastAsia="Calibri" w:hAnsi="Calibri" w:cs="Calibri"/>
          <w:color w:val="000000"/>
          <w:lang w:val="it-IT" w:eastAsia="it-IT"/>
        </w:rPr>
        <w:t xml:space="preserve"> dei benefici derivanti dal trattamento per i pazienti. </w:t>
      </w:r>
    </w:p>
    <w:p w:rsidR="003E15EB" w:rsidRDefault="003E15EB">
      <w:pPr>
        <w:spacing w:after="0" w:line="240" w:lineRule="auto"/>
        <w:jc w:val="both"/>
        <w:rPr>
          <w:rFonts w:eastAsia="Calibri" w:cs="Calibri"/>
          <w:lang w:eastAsia="it-IT"/>
        </w:rPr>
      </w:pPr>
    </w:p>
    <w:p w:rsidR="003E15EB" w:rsidRDefault="00B648E7">
      <w:pPr>
        <w:spacing w:after="0" w:line="240" w:lineRule="auto"/>
        <w:jc w:val="both"/>
        <w:rPr>
          <w:rFonts w:eastAsia="Calibri" w:cs="Calibri"/>
          <w:lang w:eastAsia="it-IT"/>
        </w:rPr>
      </w:pPr>
      <w:r>
        <w:rPr>
          <w:rFonts w:eastAsia="Calibri" w:cs="Calibri"/>
          <w:lang w:eastAsia="it-IT"/>
        </w:rPr>
        <w:t>Per maggiori informazioni riguardo alle dosi raccomandate per PIOGLITAZONE E METFORMINA EG</w:t>
      </w:r>
      <w:r>
        <w:rPr>
          <w:rFonts w:eastAsia="Calibri" w:cs="Calibri"/>
          <w:bCs/>
          <w:color w:val="000000"/>
          <w:lang w:eastAsia="it-IT"/>
        </w:rPr>
        <w:t xml:space="preserve"> </w:t>
      </w:r>
      <w:r>
        <w:rPr>
          <w:rFonts w:eastAsia="Calibri" w:cs="Calibri"/>
          <w:lang w:eastAsia="it-IT"/>
        </w:rPr>
        <w:t>si può leggere il foglio illustrativo (</w:t>
      </w:r>
      <w:hyperlink r:id="rId10">
        <w:r>
          <w:rPr>
            <w:color w:val="0000FF"/>
            <w:u w:val="single"/>
          </w:rPr>
          <w:t>https://farmaci.agenziafarmaco.gov.it/bancadatifarmaci/home</w:t>
        </w:r>
      </w:hyperlink>
      <w:r>
        <w:rPr>
          <w:rFonts w:eastAsia="Calibri" w:cs="Calibri"/>
          <w:lang w:eastAsia="it-IT"/>
        </w:rPr>
        <w:t xml:space="preserve">)  o contattare il medico o il farmacista. </w:t>
      </w:r>
    </w:p>
    <w:p w:rsidR="003E15EB" w:rsidRDefault="00B648E7">
      <w:pPr>
        <w:widowControl w:val="0"/>
        <w:spacing w:after="0" w:line="240" w:lineRule="auto"/>
        <w:jc w:val="both"/>
        <w:rPr>
          <w:rFonts w:eastAsia="Calibri" w:cs="Calibri"/>
          <w:color w:val="000000"/>
          <w:lang w:eastAsia="it-IT"/>
        </w:rPr>
      </w:pPr>
      <w:r>
        <w:rPr>
          <w:rFonts w:eastAsia="Calibri" w:cs="Calibri"/>
          <w:color w:val="000000"/>
          <w:lang w:eastAsia="it-IT"/>
        </w:rPr>
        <w:t xml:space="preserve">  </w:t>
      </w:r>
    </w:p>
    <w:p w:rsidR="003E15EB" w:rsidRDefault="00B648E7">
      <w:pPr>
        <w:spacing w:after="0" w:line="240" w:lineRule="auto"/>
        <w:jc w:val="both"/>
        <w:rPr>
          <w:rFonts w:eastAsia="Calibri" w:cs="Calibri"/>
          <w:color w:val="000000"/>
          <w:lang w:eastAsia="it-IT"/>
        </w:rPr>
      </w:pPr>
      <w:r>
        <w:rPr>
          <w:rFonts w:eastAsia="Calibri" w:cs="Calibri"/>
          <w:b/>
          <w:bCs/>
          <w:color w:val="000000"/>
          <w:lang w:eastAsia="it-IT"/>
        </w:rPr>
        <w:t xml:space="preserve">3) COME FUNZIONA </w:t>
      </w:r>
      <w:r>
        <w:rPr>
          <w:rFonts w:eastAsia="Calibri" w:cs="Calibri"/>
          <w:b/>
          <w:color w:val="000000"/>
          <w:lang w:eastAsia="it-IT"/>
        </w:rPr>
        <w:t>PIOGLITAZONE E METFORMINA EG</w:t>
      </w:r>
      <w:r>
        <w:rPr>
          <w:rFonts w:eastAsia="Calibri" w:cs="Calibri"/>
          <w:b/>
          <w:bCs/>
          <w:color w:val="000000"/>
          <w:lang w:eastAsia="it-IT"/>
        </w:rPr>
        <w:t xml:space="preserve">? </w:t>
      </w:r>
    </w:p>
    <w:p w:rsidR="003E15EB" w:rsidRDefault="00B648E7">
      <w:pPr>
        <w:spacing w:after="0" w:line="240" w:lineRule="auto"/>
        <w:jc w:val="both"/>
        <w:rPr>
          <w:rFonts w:eastAsia="Calibri" w:cs="Calibri"/>
          <w:color w:val="000000"/>
          <w:lang w:eastAsia="it-IT"/>
        </w:rPr>
      </w:pPr>
      <w:r>
        <w:rPr>
          <w:rFonts w:eastAsia="Calibri" w:cs="Calibri"/>
          <w:color w:val="000000"/>
          <w:lang w:eastAsia="it-IT"/>
        </w:rPr>
        <w:t xml:space="preserve">PIOGLITAZONE E METFORMINA EG, il cui codice ATC è </w:t>
      </w:r>
      <w:r>
        <w:rPr>
          <w:rFonts w:ascii="Arial" w:eastAsia="Calibri" w:hAnsi="Arial" w:cs="Arial"/>
          <w:color w:val="000000"/>
          <w:sz w:val="20"/>
          <w:szCs w:val="20"/>
          <w:lang w:eastAsia="it-IT"/>
        </w:rPr>
        <w:t>A10BD05</w:t>
      </w:r>
      <w:r>
        <w:rPr>
          <w:rFonts w:eastAsia="Calibri" w:cs="Calibri"/>
          <w:color w:val="000000"/>
          <w:lang w:eastAsia="it-IT"/>
        </w:rPr>
        <w:t xml:space="preserve">, contiene i principi attivi </w:t>
      </w:r>
      <w:proofErr w:type="spellStart"/>
      <w:r>
        <w:rPr>
          <w:rFonts w:eastAsia="Calibri" w:cs="Calibri"/>
          <w:color w:val="000000"/>
          <w:lang w:eastAsia="it-IT"/>
        </w:rPr>
        <w:t>pioglitazone</w:t>
      </w:r>
      <w:proofErr w:type="spellEnd"/>
      <w:r>
        <w:rPr>
          <w:rFonts w:eastAsia="Calibri" w:cs="Calibri"/>
          <w:color w:val="000000"/>
          <w:lang w:eastAsia="it-IT"/>
        </w:rPr>
        <w:t xml:space="preserve"> e </w:t>
      </w:r>
      <w:proofErr w:type="spellStart"/>
      <w:r>
        <w:rPr>
          <w:rFonts w:eastAsia="Calibri" w:cs="Calibri"/>
          <w:color w:val="000000"/>
          <w:lang w:eastAsia="it-IT"/>
        </w:rPr>
        <w:t>metformina</w:t>
      </w:r>
      <w:proofErr w:type="spellEnd"/>
      <w:r>
        <w:rPr>
          <w:rFonts w:eastAsia="Calibri" w:cs="Calibri"/>
          <w:color w:val="000000"/>
          <w:lang w:eastAsia="it-IT"/>
        </w:rPr>
        <w:t xml:space="preserve"> che appartengono alla classe dei farmaci usati nel diabete, detti ipoglicemizzanti orali.  </w:t>
      </w:r>
    </w:p>
    <w:p w:rsidR="003E15EB" w:rsidRDefault="00B648E7">
      <w:pPr>
        <w:spacing w:after="0" w:line="240" w:lineRule="auto"/>
        <w:jc w:val="both"/>
        <w:rPr>
          <w:rFonts w:eastAsia="Calibri" w:cs="Calibri"/>
          <w:color w:val="000000"/>
          <w:lang w:eastAsia="it-IT"/>
        </w:rPr>
      </w:pPr>
      <w:r>
        <w:rPr>
          <w:rFonts w:ascii="Arial" w:eastAsia="DejaVuSans" w:hAnsi="Arial" w:cs="Arial"/>
          <w:color w:val="000000"/>
          <w:sz w:val="20"/>
          <w:szCs w:val="20"/>
          <w:lang w:eastAsia="it-IT"/>
        </w:rPr>
        <w:t xml:space="preserve">Il diabete di tipo 2 è una malattia in cui il pancreas non produce insulina sufficiente a controllare il livello di glucosio nel sangue o l’organismo non è in grado di utilizzare l’insulina in modo efficace. </w:t>
      </w:r>
      <w:r>
        <w:rPr>
          <w:rFonts w:eastAsia="Calibri" w:cs="Calibri"/>
          <w:color w:val="000000"/>
          <w:lang w:eastAsia="it-IT"/>
        </w:rPr>
        <w:t>PIOGLITAZONE E METFORMINA EG</w:t>
      </w:r>
      <w:r>
        <w:rPr>
          <w:rFonts w:ascii="Arial" w:eastAsia="DejaVuSans" w:hAnsi="Arial" w:cs="Arial"/>
          <w:color w:val="000000"/>
          <w:sz w:val="20"/>
          <w:szCs w:val="20"/>
          <w:lang w:eastAsia="it-IT"/>
        </w:rPr>
        <w:t xml:space="preserve"> contiene due principi attivi che svolgono ciascuno un’azione diversa. Il </w:t>
      </w:r>
      <w:proofErr w:type="spellStart"/>
      <w:r>
        <w:rPr>
          <w:rFonts w:ascii="Arial" w:eastAsia="DejaVuSans" w:hAnsi="Arial" w:cs="Arial"/>
          <w:color w:val="000000"/>
          <w:sz w:val="20"/>
          <w:szCs w:val="20"/>
          <w:lang w:eastAsia="it-IT"/>
        </w:rPr>
        <w:t>pioglitazone</w:t>
      </w:r>
      <w:proofErr w:type="spellEnd"/>
      <w:r>
        <w:rPr>
          <w:rFonts w:ascii="Arial" w:eastAsia="DejaVuSans" w:hAnsi="Arial" w:cs="Arial"/>
          <w:color w:val="000000"/>
          <w:sz w:val="20"/>
          <w:szCs w:val="20"/>
          <w:lang w:eastAsia="it-IT"/>
        </w:rPr>
        <w:t xml:space="preserve"> rende le cellule (del tessuto adiposo, dei muscoli e del fegato) </w:t>
      </w:r>
      <w:proofErr w:type="spellStart"/>
      <w:r>
        <w:rPr>
          <w:rFonts w:ascii="Arial" w:eastAsia="DejaVuSans" w:hAnsi="Arial" w:cs="Arial"/>
          <w:color w:val="000000"/>
          <w:sz w:val="20"/>
          <w:szCs w:val="20"/>
          <w:lang w:eastAsia="it-IT"/>
        </w:rPr>
        <w:t>più</w:t>
      </w:r>
      <w:proofErr w:type="spellEnd"/>
      <w:r>
        <w:rPr>
          <w:rFonts w:ascii="Arial" w:eastAsia="DejaVuSans" w:hAnsi="Arial" w:cs="Arial"/>
          <w:color w:val="000000"/>
          <w:sz w:val="20"/>
          <w:szCs w:val="20"/>
          <w:lang w:eastAsia="it-IT"/>
        </w:rPr>
        <w:t xml:space="preserve"> sensibili all’insulina, il che permette all’organismo di usare meglio l’insulina che produce. </w:t>
      </w:r>
      <w:proofErr w:type="spellStart"/>
      <w:r>
        <w:rPr>
          <w:rFonts w:ascii="Arial" w:eastAsia="DejaVuSans" w:hAnsi="Arial" w:cs="Arial"/>
          <w:color w:val="000000"/>
          <w:sz w:val="20"/>
          <w:szCs w:val="20"/>
          <w:lang w:eastAsia="it-IT"/>
        </w:rPr>
        <w:t>Metformina</w:t>
      </w:r>
      <w:proofErr w:type="spellEnd"/>
      <w:r>
        <w:rPr>
          <w:rFonts w:ascii="Arial" w:eastAsia="DejaVuSans" w:hAnsi="Arial" w:cs="Arial"/>
          <w:color w:val="000000"/>
          <w:sz w:val="20"/>
          <w:szCs w:val="20"/>
          <w:lang w:eastAsia="it-IT"/>
        </w:rPr>
        <w:t xml:space="preserve"> agisce principalmente inibendo la produzione di glucosio e riducendone l’assorbimento nell’intestino. Grazie all’azione combinata dei due principi attivi, il glucosio nel sangue si riduce e </w:t>
      </w:r>
      <w:proofErr w:type="spellStart"/>
      <w:r>
        <w:rPr>
          <w:rFonts w:ascii="Arial" w:eastAsia="DejaVuSans" w:hAnsi="Arial" w:cs="Arial"/>
          <w:color w:val="000000"/>
          <w:sz w:val="20"/>
          <w:szCs w:val="20"/>
          <w:lang w:eastAsia="it-IT"/>
        </w:rPr>
        <w:t>ciò</w:t>
      </w:r>
      <w:proofErr w:type="spellEnd"/>
      <w:r>
        <w:rPr>
          <w:rFonts w:ascii="Arial" w:eastAsia="DejaVuSans" w:hAnsi="Arial" w:cs="Arial"/>
          <w:color w:val="000000"/>
          <w:sz w:val="20"/>
          <w:szCs w:val="20"/>
          <w:lang w:eastAsia="it-IT"/>
        </w:rPr>
        <w:t xml:space="preserve"> contribuisce a controllare il diabete di tipo 2. </w:t>
      </w:r>
    </w:p>
    <w:p w:rsidR="003E15EB" w:rsidRDefault="003E15EB">
      <w:pPr>
        <w:spacing w:after="0" w:line="240" w:lineRule="auto"/>
        <w:jc w:val="both"/>
        <w:rPr>
          <w:rFonts w:eastAsia="Calibri" w:cs="Calibri"/>
          <w:b/>
          <w:bCs/>
          <w:lang w:eastAsia="it-IT"/>
        </w:rPr>
      </w:pPr>
    </w:p>
    <w:p w:rsidR="003E15EB" w:rsidRDefault="00B648E7">
      <w:pPr>
        <w:spacing w:after="0" w:line="240" w:lineRule="auto"/>
        <w:jc w:val="both"/>
        <w:rPr>
          <w:rFonts w:eastAsia="Calibri" w:cs="Calibri"/>
          <w:lang w:eastAsia="it-IT"/>
        </w:rPr>
      </w:pPr>
      <w:r>
        <w:rPr>
          <w:rFonts w:eastAsia="Calibri" w:cs="Calibri"/>
          <w:b/>
          <w:bCs/>
          <w:lang w:eastAsia="it-IT"/>
        </w:rPr>
        <w:t xml:space="preserve">4) COME È STATO STUDIATO </w:t>
      </w:r>
      <w:r>
        <w:rPr>
          <w:rFonts w:eastAsia="Calibri" w:cs="Calibri"/>
          <w:b/>
          <w:color w:val="000000"/>
          <w:lang w:eastAsia="it-IT"/>
        </w:rPr>
        <w:t>PIOGLITAZONE E METFORMINA EG</w:t>
      </w:r>
      <w:r>
        <w:rPr>
          <w:rFonts w:eastAsia="Calibri" w:cs="Calibri"/>
          <w:b/>
          <w:bCs/>
          <w:color w:val="000000"/>
          <w:lang w:eastAsia="it-IT"/>
        </w:rPr>
        <w:t xml:space="preserve">? </w:t>
      </w:r>
      <w:r>
        <w:rPr>
          <w:rFonts w:eastAsia="Calibri" w:cs="Calibri"/>
          <w:b/>
          <w:bCs/>
          <w:lang w:eastAsia="it-IT"/>
        </w:rPr>
        <w:t xml:space="preserve"> </w:t>
      </w:r>
    </w:p>
    <w:p w:rsidR="003E15EB" w:rsidRDefault="00B648E7">
      <w:pPr>
        <w:spacing w:after="0" w:line="240" w:lineRule="auto"/>
        <w:jc w:val="both"/>
        <w:rPr>
          <w:rFonts w:ascii="Calibri" w:eastAsia="Calibri" w:hAnsi="Calibri" w:cs="Calibri"/>
          <w:color w:val="000000"/>
          <w:lang w:eastAsia="it-IT"/>
        </w:rPr>
      </w:pPr>
      <w:r>
        <w:rPr>
          <w:rFonts w:eastAsia="Calibri" w:cs="Calibri"/>
          <w:color w:val="000000"/>
          <w:lang w:eastAsia="it-IT"/>
        </w:rPr>
        <w:t xml:space="preserve">Poiché PIOGLITAZONE E METFORMINA EG è un medicinale generico, è stato sufficiente per PIOGLITAZONE E METFORMINA EG compresse effettuare prove cliniche per determinare la </w:t>
      </w:r>
      <w:proofErr w:type="spellStart"/>
      <w:r>
        <w:rPr>
          <w:rFonts w:eastAsia="Calibri" w:cs="Calibri"/>
          <w:color w:val="000000"/>
          <w:lang w:eastAsia="it-IT"/>
        </w:rPr>
        <w:t>bioequivalenza</w:t>
      </w:r>
      <w:proofErr w:type="spellEnd"/>
      <w:r>
        <w:rPr>
          <w:rFonts w:eastAsia="Calibri" w:cs="Calibri"/>
          <w:color w:val="000000"/>
          <w:lang w:eastAsia="it-IT"/>
        </w:rPr>
        <w:t xml:space="preserve"> rispetto al medicinale di riferimento </w:t>
      </w:r>
      <w:proofErr w:type="spellStart"/>
      <w:r>
        <w:rPr>
          <w:rFonts w:eastAsia="Calibri" w:cs="Calibri"/>
          <w:color w:val="000000"/>
          <w:lang w:eastAsia="it-IT"/>
        </w:rPr>
        <w:t>Competact</w:t>
      </w:r>
      <w:proofErr w:type="spellEnd"/>
      <w:r>
        <w:rPr>
          <w:rFonts w:eastAsia="Calibri" w:cs="Calibri"/>
          <w:color w:val="000000"/>
          <w:lang w:eastAsia="it-IT"/>
        </w:rPr>
        <w:t xml:space="preserve">. Due medicinali sono </w:t>
      </w:r>
      <w:proofErr w:type="spellStart"/>
      <w:r>
        <w:rPr>
          <w:rFonts w:eastAsia="Calibri" w:cs="Calibri"/>
          <w:color w:val="000000"/>
          <w:lang w:eastAsia="it-IT"/>
        </w:rPr>
        <w:t>bioequivalenti</w:t>
      </w:r>
      <w:proofErr w:type="spellEnd"/>
      <w:r>
        <w:rPr>
          <w:rFonts w:eastAsia="Calibri" w:cs="Calibri"/>
          <w:color w:val="000000"/>
          <w:lang w:eastAsia="it-IT"/>
        </w:rPr>
        <w:t xml:space="preserve"> quando producono gli stessi livelli di principio attivo nell’organismo. </w:t>
      </w:r>
    </w:p>
    <w:p w:rsidR="003E15EB" w:rsidRDefault="003E15EB">
      <w:pPr>
        <w:spacing w:after="0" w:line="240" w:lineRule="auto"/>
        <w:jc w:val="both"/>
        <w:rPr>
          <w:rFonts w:eastAsia="Calibri" w:cs="Calibri"/>
          <w:lang w:eastAsia="it-IT"/>
        </w:rPr>
      </w:pPr>
    </w:p>
    <w:p w:rsidR="003E15EB" w:rsidRDefault="00B648E7">
      <w:pPr>
        <w:spacing w:after="0" w:line="240" w:lineRule="auto"/>
        <w:jc w:val="both"/>
        <w:rPr>
          <w:rFonts w:eastAsia="Calibri" w:cs="Calibri"/>
          <w:b/>
          <w:bCs/>
          <w:color w:val="000000"/>
          <w:lang w:eastAsia="it-IT"/>
        </w:rPr>
      </w:pPr>
      <w:r>
        <w:rPr>
          <w:rFonts w:eastAsia="Calibri" w:cs="Calibri"/>
          <w:b/>
          <w:bCs/>
          <w:lang w:eastAsia="it-IT"/>
        </w:rPr>
        <w:t xml:space="preserve">5) QUAL È IL RAPPORTO BENEFICIO/RISCHIO </w:t>
      </w:r>
      <w:proofErr w:type="spellStart"/>
      <w:r>
        <w:rPr>
          <w:rFonts w:eastAsia="Calibri" w:cs="Calibri"/>
          <w:b/>
          <w:bCs/>
          <w:lang w:eastAsia="it-IT"/>
        </w:rPr>
        <w:t>DI</w:t>
      </w:r>
      <w:proofErr w:type="spellEnd"/>
      <w:r>
        <w:rPr>
          <w:rFonts w:eastAsia="Calibri" w:cs="Calibri"/>
          <w:b/>
          <w:bCs/>
          <w:lang w:eastAsia="it-IT"/>
        </w:rPr>
        <w:t xml:space="preserve"> </w:t>
      </w:r>
      <w:r>
        <w:rPr>
          <w:rFonts w:eastAsia="Calibri" w:cs="Calibri"/>
          <w:b/>
          <w:color w:val="000000"/>
          <w:lang w:eastAsia="it-IT"/>
        </w:rPr>
        <w:t>PIOGLITAZONE E METFORMINA EG</w:t>
      </w:r>
      <w:r>
        <w:rPr>
          <w:rFonts w:eastAsia="Calibri" w:cs="Calibri"/>
          <w:b/>
          <w:bCs/>
          <w:color w:val="000000"/>
          <w:lang w:eastAsia="it-IT"/>
        </w:rPr>
        <w:t xml:space="preserve">? </w:t>
      </w:r>
    </w:p>
    <w:p w:rsidR="003E15EB" w:rsidRDefault="00B648E7">
      <w:pPr>
        <w:spacing w:after="0" w:line="240" w:lineRule="auto"/>
        <w:jc w:val="both"/>
        <w:rPr>
          <w:rFonts w:eastAsia="Calibri" w:cs="Calibri"/>
          <w:lang w:eastAsia="it-IT"/>
        </w:rPr>
      </w:pPr>
      <w:r>
        <w:rPr>
          <w:rFonts w:eastAsia="Calibri" w:cs="Calibri"/>
          <w:color w:val="000000"/>
          <w:lang w:eastAsia="it-IT"/>
        </w:rPr>
        <w:t xml:space="preserve">PIOGLITAZONE E METFORMINA EG </w:t>
      </w:r>
      <w:r>
        <w:rPr>
          <w:rFonts w:eastAsia="Calibri" w:cs="Calibri"/>
          <w:lang w:eastAsia="it-IT"/>
        </w:rPr>
        <w:t xml:space="preserve">è un medicinale generico, pertanto i suoi benefici e rischi sono sovrapponibili a quelli del medicinale di riferimento. </w:t>
      </w:r>
    </w:p>
    <w:p w:rsidR="003E15EB" w:rsidRDefault="003E15EB">
      <w:pPr>
        <w:spacing w:after="0" w:line="240" w:lineRule="auto"/>
        <w:jc w:val="both"/>
        <w:rPr>
          <w:rFonts w:eastAsia="Calibri" w:cs="Calibri"/>
          <w:lang w:eastAsia="it-IT"/>
        </w:rPr>
      </w:pPr>
    </w:p>
    <w:p w:rsidR="003E15EB" w:rsidRDefault="00B648E7">
      <w:pPr>
        <w:spacing w:after="0" w:line="240" w:lineRule="auto"/>
        <w:jc w:val="both"/>
        <w:rPr>
          <w:rFonts w:eastAsia="Calibri" w:cs="Calibri"/>
          <w:lang w:eastAsia="it-IT"/>
        </w:rPr>
      </w:pPr>
      <w:r>
        <w:rPr>
          <w:rFonts w:eastAsia="Calibri" w:cs="Calibri"/>
          <w:b/>
          <w:bCs/>
          <w:lang w:eastAsia="it-IT"/>
        </w:rPr>
        <w:t xml:space="preserve">6) PERCHE’ </w:t>
      </w:r>
      <w:r>
        <w:rPr>
          <w:rFonts w:eastAsia="Calibri" w:cs="Calibri"/>
          <w:b/>
          <w:color w:val="000000"/>
          <w:lang w:eastAsia="it-IT"/>
        </w:rPr>
        <w:t xml:space="preserve">PIOGLITAZONE E METFORMINA EG </w:t>
      </w:r>
      <w:r>
        <w:rPr>
          <w:rFonts w:eastAsia="Calibri" w:cs="Calibri"/>
          <w:b/>
          <w:bCs/>
          <w:lang w:eastAsia="it-IT"/>
        </w:rPr>
        <w:t xml:space="preserve">È STATO APPROVATO? </w:t>
      </w:r>
    </w:p>
    <w:p w:rsidR="003E15EB" w:rsidRDefault="00B648E7">
      <w:pPr>
        <w:spacing w:after="0" w:line="240" w:lineRule="auto"/>
        <w:jc w:val="both"/>
        <w:rPr>
          <w:rFonts w:eastAsia="Calibri" w:cs="Calibri"/>
          <w:lang w:eastAsia="it-IT"/>
        </w:rPr>
      </w:pPr>
      <w:r>
        <w:rPr>
          <w:rFonts w:eastAsia="Calibri" w:cs="Calibri"/>
          <w:lang w:eastAsia="it-IT"/>
        </w:rPr>
        <w:t xml:space="preserve">La Commissione Tecnico-Scientifica (CTS) ha concluso che, conformemente ai requisiti della normativa vigente, come nel caso del medicinale di riferimento </w:t>
      </w:r>
      <w:bookmarkStart w:id="1" w:name="_Hlk39842273"/>
      <w:proofErr w:type="spellStart"/>
      <w:r>
        <w:rPr>
          <w:rFonts w:eastAsia="Calibri" w:cs="Calibri"/>
          <w:lang w:eastAsia="it-IT"/>
        </w:rPr>
        <w:t>Competact</w:t>
      </w:r>
      <w:bookmarkEnd w:id="1"/>
      <w:proofErr w:type="spellEnd"/>
      <w:r>
        <w:rPr>
          <w:rFonts w:eastAsia="Calibri" w:cs="Calibri"/>
          <w:color w:val="000000"/>
          <w:lang w:eastAsia="it-IT"/>
        </w:rPr>
        <w:t>,</w:t>
      </w:r>
      <w:r>
        <w:rPr>
          <w:rFonts w:eastAsia="Calibri" w:cs="Calibri"/>
          <w:lang w:eastAsia="it-IT"/>
        </w:rPr>
        <w:t xml:space="preserve"> i benefici di </w:t>
      </w:r>
      <w:r>
        <w:rPr>
          <w:rFonts w:eastAsia="Calibri" w:cs="Calibri"/>
          <w:color w:val="000000"/>
          <w:lang w:eastAsia="it-IT"/>
        </w:rPr>
        <w:t xml:space="preserve">PIOGLITAZONE E METFORMINA EG </w:t>
      </w:r>
      <w:r>
        <w:rPr>
          <w:rFonts w:eastAsia="Calibri" w:cs="Calibri"/>
          <w:lang w:eastAsia="it-IT"/>
        </w:rPr>
        <w:t>siano superiori ai rischi individuati. La CTS ha, inoltre, definito le modalità di prescrizione di cui al punto 2) di questo Riassunto e la classe di rimborsabilità del medicinale (classe</w:t>
      </w:r>
      <w:r>
        <w:rPr>
          <w:rFonts w:cs="Calibri"/>
          <w:lang w:eastAsia="it-IT"/>
        </w:rPr>
        <w:t xml:space="preserve"> A, a seguito di riclassificazione ai sensi dell’art. 8, comma 10, della legge 24 dicembre 1993, n. 537, Determina n. DG 702/2020- GU Serie generale - n. 174 del 13 luglio 2020). </w:t>
      </w:r>
    </w:p>
    <w:p w:rsidR="003E15EB" w:rsidRDefault="003E15EB">
      <w:pPr>
        <w:spacing w:after="0" w:line="240" w:lineRule="auto"/>
        <w:jc w:val="both"/>
        <w:rPr>
          <w:rFonts w:eastAsia="Calibri" w:cs="Calibri"/>
          <w:b/>
          <w:bCs/>
          <w:lang w:eastAsia="it-IT"/>
        </w:rPr>
      </w:pPr>
    </w:p>
    <w:p w:rsidR="003E15EB" w:rsidRDefault="00B648E7">
      <w:pPr>
        <w:spacing w:after="0" w:line="240" w:lineRule="auto"/>
        <w:jc w:val="both"/>
        <w:rPr>
          <w:rFonts w:eastAsia="Calibri" w:cs="Calibri"/>
          <w:lang w:eastAsia="it-IT"/>
        </w:rPr>
      </w:pPr>
      <w:r>
        <w:rPr>
          <w:rFonts w:eastAsia="Calibri" w:cs="Calibri"/>
          <w:b/>
          <w:bCs/>
          <w:lang w:eastAsia="it-IT"/>
        </w:rPr>
        <w:t xml:space="preserve">7) QUALI MISURE SONO STATE PRESE PER ASSICURARE LA SICUREZZA E L’EFFICACIA NELL’USO </w:t>
      </w:r>
      <w:proofErr w:type="spellStart"/>
      <w:r>
        <w:rPr>
          <w:rFonts w:eastAsia="Calibri" w:cs="Calibri"/>
          <w:b/>
          <w:bCs/>
          <w:lang w:eastAsia="it-IT"/>
        </w:rPr>
        <w:t>DI</w:t>
      </w:r>
      <w:proofErr w:type="spellEnd"/>
      <w:r>
        <w:rPr>
          <w:rFonts w:eastAsia="Calibri" w:cs="Calibri"/>
          <w:b/>
          <w:bCs/>
          <w:lang w:eastAsia="it-IT"/>
        </w:rPr>
        <w:t xml:space="preserve"> </w:t>
      </w:r>
      <w:r>
        <w:rPr>
          <w:rFonts w:eastAsia="Calibri" w:cs="Calibri"/>
          <w:b/>
          <w:color w:val="000000"/>
          <w:lang w:eastAsia="it-IT"/>
        </w:rPr>
        <w:t>PIOGLITAZONE E METFORMINA EG</w:t>
      </w:r>
      <w:r>
        <w:rPr>
          <w:rFonts w:eastAsia="Calibri" w:cs="Calibri"/>
          <w:b/>
          <w:bCs/>
          <w:color w:val="000000"/>
          <w:lang w:eastAsia="it-IT"/>
        </w:rPr>
        <w:t>?</w:t>
      </w:r>
    </w:p>
    <w:p w:rsidR="003E15EB" w:rsidRDefault="00B648E7">
      <w:pPr>
        <w:spacing w:after="0" w:line="240" w:lineRule="auto"/>
        <w:jc w:val="both"/>
        <w:rPr>
          <w:rFonts w:eastAsia="Calibri" w:cs="Calibri"/>
          <w:color w:val="000000"/>
          <w:lang w:eastAsia="it-IT"/>
        </w:rPr>
      </w:pPr>
      <w:r>
        <w:rPr>
          <w:rFonts w:eastAsia="Calibri" w:cs="Calibri"/>
          <w:lang w:eastAsia="it-IT"/>
        </w:rPr>
        <w:t xml:space="preserve">Il titolare dell’autorizzazione all’immissione in commercio (AIC) ha presentato un Piano di Gestione del Rischio, in accordo con quanto richiesto dalla Direttiva 2001/83/CE e successivi emendamenti, descrivendo le attività di Farmacovigilanza e gli interventi finalizzati a identificare, caratterizzare, prevenire o minimizzare i rischi correlati a </w:t>
      </w:r>
      <w:r>
        <w:rPr>
          <w:rFonts w:eastAsia="Calibri" w:cs="Calibri"/>
          <w:color w:val="000000"/>
          <w:lang w:eastAsia="it-IT"/>
        </w:rPr>
        <w:t>PIOGLITAZONE E METFORMINA EG.</w:t>
      </w:r>
    </w:p>
    <w:p w:rsidR="003E15EB" w:rsidRDefault="003E15EB">
      <w:pPr>
        <w:spacing w:after="0" w:line="240" w:lineRule="auto"/>
        <w:jc w:val="both"/>
        <w:rPr>
          <w:rFonts w:eastAsia="Calibri" w:cs="Calibri"/>
          <w:lang w:eastAsia="it-IT"/>
        </w:rPr>
      </w:pPr>
    </w:p>
    <w:p w:rsidR="003E15EB" w:rsidRDefault="00B648E7">
      <w:pPr>
        <w:spacing w:after="0" w:line="240" w:lineRule="auto"/>
        <w:jc w:val="both"/>
        <w:rPr>
          <w:rFonts w:eastAsia="Calibri" w:cs="Calibri"/>
          <w:b/>
          <w:bCs/>
          <w:color w:val="000000"/>
          <w:lang w:eastAsia="it-IT"/>
        </w:rPr>
      </w:pPr>
      <w:r>
        <w:rPr>
          <w:rFonts w:eastAsia="Calibri" w:cs="Calibri"/>
          <w:b/>
          <w:bCs/>
          <w:lang w:eastAsia="it-IT"/>
        </w:rPr>
        <w:t xml:space="preserve">8) ALTRE INFORMAZIONI RELATIVE A </w:t>
      </w:r>
      <w:r>
        <w:rPr>
          <w:rFonts w:eastAsia="Calibri" w:cs="Calibri"/>
          <w:b/>
          <w:color w:val="000000"/>
          <w:lang w:eastAsia="it-IT"/>
        </w:rPr>
        <w:t xml:space="preserve">PIOGLITAZONE E METFORMINA EG </w:t>
      </w:r>
    </w:p>
    <w:p w:rsidR="003E15EB" w:rsidRDefault="00B648E7">
      <w:pPr>
        <w:spacing w:after="0" w:line="240" w:lineRule="auto"/>
        <w:jc w:val="both"/>
        <w:rPr>
          <w:rFonts w:eastAsia="Calibri" w:cs="Calibri"/>
          <w:color w:val="000000"/>
          <w:lang w:eastAsia="it-IT"/>
        </w:rPr>
      </w:pPr>
      <w:r>
        <w:rPr>
          <w:rFonts w:eastAsia="Calibri" w:cs="Calibri"/>
          <w:bCs/>
          <w:iCs/>
          <w:color w:val="000000"/>
          <w:lang w:eastAsia="it-IT"/>
        </w:rPr>
        <w:t xml:space="preserve">Il </w:t>
      </w:r>
      <w:r w:rsidR="00A50418" w:rsidRPr="00A50418">
        <w:rPr>
          <w:rFonts w:eastAsia="Calibri" w:cs="Calibri"/>
          <w:b/>
          <w:bCs/>
          <w:iCs/>
          <w:color w:val="000000"/>
          <w:lang w:eastAsia="it-IT"/>
        </w:rPr>
        <w:t>27/01/</w:t>
      </w:r>
      <w:r w:rsidRPr="000E6264">
        <w:rPr>
          <w:rFonts w:eastAsia="Calibri" w:cs="Calibri"/>
          <w:b/>
          <w:iCs/>
          <w:color w:val="000000"/>
          <w:lang w:eastAsia="it-IT"/>
        </w:rPr>
        <w:t>2020</w:t>
      </w:r>
      <w:r>
        <w:rPr>
          <w:rFonts w:eastAsia="Calibri" w:cs="Calibri"/>
          <w:bCs/>
          <w:iCs/>
          <w:lang w:eastAsia="it-IT"/>
        </w:rPr>
        <w:t xml:space="preserve"> l’AIFA ha rilasciato l’autorizzazione all’immissione in commercio di </w:t>
      </w:r>
      <w:r>
        <w:rPr>
          <w:rFonts w:eastAsia="Calibri" w:cs="Calibri"/>
          <w:color w:val="000000"/>
          <w:lang w:eastAsia="it-IT"/>
        </w:rPr>
        <w:t>PIOGLITAZONE E METFORMINA EG.</w:t>
      </w:r>
    </w:p>
    <w:p w:rsidR="003E15EB" w:rsidRDefault="00B648E7">
      <w:pPr>
        <w:spacing w:after="0" w:line="240" w:lineRule="auto"/>
        <w:jc w:val="both"/>
        <w:rPr>
          <w:rFonts w:eastAsia="Calibri" w:cs="Calibri"/>
          <w:lang w:eastAsia="it-IT"/>
        </w:rPr>
      </w:pPr>
      <w:r>
        <w:rPr>
          <w:rFonts w:eastAsia="Calibri" w:cs="Calibri"/>
          <w:lang w:eastAsia="it-IT"/>
        </w:rPr>
        <w:t xml:space="preserve">La Relazione Pubblica di Valutazione completa per PIOGLITAZONE E METFORMINA EG </w:t>
      </w:r>
      <w:r>
        <w:rPr>
          <w:rFonts w:eastAsia="Calibri" w:cs="Calibri"/>
          <w:color w:val="000000"/>
          <w:lang w:eastAsia="it-IT"/>
        </w:rPr>
        <w:t xml:space="preserve">15mg/850 mg compresse </w:t>
      </w:r>
      <w:r>
        <w:rPr>
          <w:rFonts w:eastAsia="Calibri" w:cs="Calibri"/>
          <w:lang w:eastAsia="it-IT"/>
        </w:rPr>
        <w:t xml:space="preserve">segue questo Riassunto. </w:t>
      </w:r>
    </w:p>
    <w:p w:rsidR="003E15EB" w:rsidRDefault="00B648E7">
      <w:pPr>
        <w:spacing w:after="0" w:line="240" w:lineRule="auto"/>
        <w:jc w:val="both"/>
        <w:rPr>
          <w:rFonts w:eastAsia="Calibri" w:cs="Calibri"/>
          <w:lang w:eastAsia="it-IT"/>
        </w:rPr>
      </w:pPr>
      <w:r>
        <w:rPr>
          <w:rFonts w:eastAsia="Calibri" w:cs="Calibri"/>
          <w:lang w:eastAsia="it-IT"/>
        </w:rPr>
        <w:lastRenderedPageBreak/>
        <w:t xml:space="preserve">Per maggiori informazioni riguardo il trattamento con </w:t>
      </w:r>
      <w:r>
        <w:rPr>
          <w:rFonts w:eastAsia="Calibri" w:cs="Calibri"/>
          <w:color w:val="000000"/>
          <w:lang w:eastAsia="it-IT"/>
        </w:rPr>
        <w:t>PIOGLITAZONE E METFORMINA EG</w:t>
      </w:r>
      <w:r>
        <w:rPr>
          <w:rFonts w:eastAsia="Calibri" w:cs="Calibri"/>
          <w:bCs/>
          <w:color w:val="000000"/>
          <w:lang w:eastAsia="it-IT"/>
        </w:rPr>
        <w:t xml:space="preserve"> </w:t>
      </w:r>
      <w:r>
        <w:rPr>
          <w:rFonts w:eastAsia="Calibri" w:cs="Calibri"/>
          <w:lang w:eastAsia="it-IT"/>
        </w:rPr>
        <w:t>si può leggere il foglio illustrativo (</w:t>
      </w:r>
      <w:hyperlink r:id="rId11">
        <w:bookmarkStart w:id="2" w:name="_Hlk39842315"/>
        <w:r>
          <w:rPr>
            <w:color w:val="0000FF"/>
            <w:u w:val="single"/>
          </w:rPr>
          <w:t>https://farmaci.agenziafarmaco.gov.it/bancadatifarmaci/home</w:t>
        </w:r>
      </w:hyperlink>
      <w:bookmarkEnd w:id="2"/>
      <w:r>
        <w:rPr>
          <w:rFonts w:eastAsia="Calibri" w:cs="Calibri"/>
          <w:lang w:eastAsia="it-IT"/>
        </w:rPr>
        <w:t xml:space="preserve">) o contattare il medico o il farmacista. </w:t>
      </w:r>
    </w:p>
    <w:p w:rsidR="003E15EB" w:rsidRDefault="00B648E7">
      <w:pPr>
        <w:spacing w:after="0" w:line="240" w:lineRule="auto"/>
        <w:jc w:val="both"/>
        <w:rPr>
          <w:rFonts w:eastAsia="Calibri" w:cs="Calibri"/>
          <w:lang w:eastAsia="it-IT"/>
        </w:rPr>
      </w:pPr>
      <w:r>
        <w:rPr>
          <w:rFonts w:eastAsia="Calibri" w:cs="Calibri"/>
          <w:lang w:eastAsia="it-IT"/>
        </w:rPr>
        <w:t>Questo riassunto è stato redatto in data 04/09/2020.</w:t>
      </w:r>
      <w:r>
        <w:br w:type="page"/>
      </w:r>
    </w:p>
    <w:p w:rsidR="003E15EB" w:rsidRDefault="003E15EB">
      <w:pPr>
        <w:spacing w:after="0" w:line="240" w:lineRule="auto"/>
        <w:jc w:val="both"/>
        <w:rPr>
          <w:rFonts w:eastAsia="Calibri" w:cs="Calibri"/>
          <w:lang w:eastAsia="it-IT"/>
        </w:rPr>
      </w:pPr>
    </w:p>
    <w:p w:rsidR="003E15EB" w:rsidRDefault="003E15EB">
      <w:pPr>
        <w:spacing w:after="0" w:line="240" w:lineRule="auto"/>
        <w:jc w:val="both"/>
        <w:rPr>
          <w:rFonts w:eastAsia="Calibri" w:cs="Calibri"/>
          <w:lang w:eastAsia="it-IT"/>
        </w:rPr>
      </w:pPr>
    </w:p>
    <w:p w:rsidR="003E15EB" w:rsidRDefault="00B648E7">
      <w:pPr>
        <w:spacing w:after="0" w:line="240" w:lineRule="auto"/>
        <w:jc w:val="center"/>
        <w:rPr>
          <w:b/>
          <w:sz w:val="28"/>
        </w:rPr>
      </w:pPr>
      <w:r>
        <w:rPr>
          <w:noProof/>
          <w:lang w:eastAsia="it-IT"/>
        </w:rPr>
        <w:drawing>
          <wp:inline distT="0" distB="0" distL="0" distR="0">
            <wp:extent cx="2878455" cy="1073150"/>
            <wp:effectExtent l="0" t="0" r="0" b="0"/>
            <wp:docPr id="3" name="Image2" descr="AIFA18_Def_8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 descr="AIFA18_Def_8cm"/>
                    <pic:cNvPicPr>
                      <a:picLocks noChangeAspect="1" noChangeArrowheads="1"/>
                    </pic:cNvPicPr>
                  </pic:nvPicPr>
                  <pic:blipFill>
                    <a:blip r:embed="rId8" cstate="print"/>
                    <a:stretch>
                      <a:fillRect/>
                    </a:stretch>
                  </pic:blipFill>
                  <pic:spPr bwMode="auto">
                    <a:xfrm>
                      <a:off x="0" y="0"/>
                      <a:ext cx="2878455" cy="1073150"/>
                    </a:xfrm>
                    <a:prstGeom prst="rect">
                      <a:avLst/>
                    </a:prstGeom>
                  </pic:spPr>
                </pic:pic>
              </a:graphicData>
            </a:graphic>
          </wp:inline>
        </w:drawing>
      </w:r>
    </w:p>
    <w:p w:rsidR="003E15EB" w:rsidRDefault="003E15EB">
      <w:pPr>
        <w:spacing w:after="0" w:line="240" w:lineRule="auto"/>
        <w:jc w:val="center"/>
        <w:rPr>
          <w:b/>
          <w:sz w:val="28"/>
        </w:rPr>
      </w:pPr>
    </w:p>
    <w:p w:rsidR="003E15EB" w:rsidRDefault="003E15EB">
      <w:pPr>
        <w:spacing w:after="0" w:line="240" w:lineRule="auto"/>
        <w:jc w:val="center"/>
        <w:rPr>
          <w:b/>
          <w:sz w:val="28"/>
        </w:rPr>
      </w:pPr>
    </w:p>
    <w:p w:rsidR="003E15EB" w:rsidRDefault="00B648E7">
      <w:pPr>
        <w:spacing w:after="0" w:line="240" w:lineRule="auto"/>
        <w:jc w:val="center"/>
        <w:rPr>
          <w:b/>
          <w:sz w:val="28"/>
        </w:rPr>
      </w:pPr>
      <w:r>
        <w:rPr>
          <w:b/>
          <w:sz w:val="32"/>
          <w:szCs w:val="32"/>
        </w:rPr>
        <w:t xml:space="preserve">RELAZIONE PUBBLICA </w:t>
      </w:r>
      <w:proofErr w:type="spellStart"/>
      <w:r>
        <w:rPr>
          <w:b/>
          <w:sz w:val="32"/>
          <w:szCs w:val="32"/>
        </w:rPr>
        <w:t>DI</w:t>
      </w:r>
      <w:proofErr w:type="spellEnd"/>
      <w:r>
        <w:rPr>
          <w:b/>
          <w:sz w:val="32"/>
          <w:szCs w:val="32"/>
        </w:rPr>
        <w:t xml:space="preserve"> VALUTAZIONE</w:t>
      </w:r>
    </w:p>
    <w:p w:rsidR="003E15EB" w:rsidRDefault="003E15EB">
      <w:pPr>
        <w:spacing w:after="0" w:line="240" w:lineRule="auto"/>
        <w:jc w:val="center"/>
        <w:rPr>
          <w:b/>
        </w:rPr>
      </w:pPr>
    </w:p>
    <w:p w:rsidR="003E15EB" w:rsidRDefault="003E15EB">
      <w:pPr>
        <w:spacing w:after="0" w:line="240" w:lineRule="auto"/>
        <w:jc w:val="center"/>
        <w:rPr>
          <w:b/>
        </w:rPr>
      </w:pPr>
    </w:p>
    <w:p w:rsidR="003E15EB" w:rsidRDefault="003E15EB">
      <w:pPr>
        <w:spacing w:after="0" w:line="240" w:lineRule="auto"/>
        <w:jc w:val="center"/>
        <w:rPr>
          <w:b/>
        </w:rPr>
      </w:pPr>
    </w:p>
    <w:p w:rsidR="003E15EB" w:rsidRDefault="003E15EB">
      <w:pPr>
        <w:spacing w:after="0" w:line="240" w:lineRule="auto"/>
        <w:jc w:val="center"/>
        <w:rPr>
          <w:b/>
        </w:rPr>
      </w:pPr>
    </w:p>
    <w:p w:rsidR="003E15EB" w:rsidRDefault="00B648E7">
      <w:pPr>
        <w:spacing w:after="0" w:line="240" w:lineRule="auto"/>
        <w:jc w:val="center"/>
        <w:rPr>
          <w:b/>
        </w:rPr>
      </w:pPr>
      <w:r>
        <w:rPr>
          <w:b/>
          <w:sz w:val="28"/>
          <w:szCs w:val="28"/>
        </w:rPr>
        <w:t>INDICE</w:t>
      </w:r>
    </w:p>
    <w:p w:rsidR="003E15EB" w:rsidRDefault="003E15EB">
      <w:pPr>
        <w:spacing w:after="0" w:line="240" w:lineRule="auto"/>
        <w:jc w:val="both"/>
        <w:rPr>
          <w:rFonts w:ascii="Calibri" w:hAnsi="Calibri"/>
        </w:rPr>
      </w:pPr>
    </w:p>
    <w:p w:rsidR="003E15EB" w:rsidRDefault="003E15EB">
      <w:pPr>
        <w:spacing w:after="0" w:line="240" w:lineRule="auto"/>
        <w:jc w:val="both"/>
        <w:rPr>
          <w:rFonts w:ascii="Calibri" w:hAnsi="Calibri"/>
        </w:rPr>
      </w:pPr>
    </w:p>
    <w:p w:rsidR="003E15EB" w:rsidRDefault="003E15EB">
      <w:pPr>
        <w:spacing w:after="0" w:line="240" w:lineRule="auto"/>
        <w:jc w:val="both"/>
        <w:rPr>
          <w:rFonts w:ascii="Calibri" w:hAnsi="Calibri"/>
        </w:rPr>
      </w:pPr>
    </w:p>
    <w:p w:rsidR="003E15EB" w:rsidRDefault="00B648E7">
      <w:pPr>
        <w:pStyle w:val="Paragrafoelenco"/>
        <w:numPr>
          <w:ilvl w:val="0"/>
          <w:numId w:val="1"/>
        </w:numPr>
        <w:spacing w:after="0" w:line="240" w:lineRule="auto"/>
        <w:rPr>
          <w:b/>
        </w:rPr>
      </w:pPr>
      <w:r>
        <w:rPr>
          <w:b/>
          <w:sz w:val="28"/>
          <w:szCs w:val="28"/>
        </w:rPr>
        <w:t>INTRODUZIONE</w:t>
      </w:r>
    </w:p>
    <w:p w:rsidR="003E15EB" w:rsidRDefault="003E15EB">
      <w:pPr>
        <w:spacing w:after="0" w:line="240" w:lineRule="auto"/>
        <w:jc w:val="both"/>
        <w:rPr>
          <w:rFonts w:ascii="Calibri" w:hAnsi="Calibri"/>
          <w:sz w:val="28"/>
          <w:szCs w:val="28"/>
        </w:rPr>
      </w:pPr>
    </w:p>
    <w:p w:rsidR="003E15EB" w:rsidRDefault="00B648E7">
      <w:pPr>
        <w:pStyle w:val="Paragrafoelenco"/>
        <w:numPr>
          <w:ilvl w:val="0"/>
          <w:numId w:val="1"/>
        </w:numPr>
        <w:spacing w:after="0" w:line="240" w:lineRule="auto"/>
        <w:jc w:val="both"/>
        <w:rPr>
          <w:b/>
        </w:rPr>
      </w:pPr>
      <w:r>
        <w:rPr>
          <w:b/>
          <w:sz w:val="28"/>
          <w:szCs w:val="28"/>
        </w:rPr>
        <w:t xml:space="preserve">ASPETTI </w:t>
      </w:r>
      <w:proofErr w:type="spellStart"/>
      <w:r>
        <w:rPr>
          <w:b/>
          <w:sz w:val="28"/>
          <w:szCs w:val="28"/>
        </w:rPr>
        <w:t>DI</w:t>
      </w:r>
      <w:proofErr w:type="spellEnd"/>
      <w:r>
        <w:rPr>
          <w:b/>
          <w:sz w:val="28"/>
          <w:szCs w:val="28"/>
        </w:rPr>
        <w:t xml:space="preserve"> QUALITA’</w:t>
      </w:r>
    </w:p>
    <w:p w:rsidR="003E15EB" w:rsidRDefault="003E15EB">
      <w:pPr>
        <w:pStyle w:val="Paragrafoelenco"/>
        <w:spacing w:after="0" w:line="240" w:lineRule="auto"/>
        <w:rPr>
          <w:b/>
        </w:rPr>
      </w:pPr>
    </w:p>
    <w:p w:rsidR="003E15EB" w:rsidRDefault="00B648E7">
      <w:pPr>
        <w:pStyle w:val="Paragrafoelenco"/>
        <w:numPr>
          <w:ilvl w:val="0"/>
          <w:numId w:val="1"/>
        </w:numPr>
        <w:spacing w:after="0" w:line="240" w:lineRule="auto"/>
        <w:jc w:val="both"/>
        <w:rPr>
          <w:b/>
        </w:rPr>
      </w:pPr>
      <w:r>
        <w:rPr>
          <w:b/>
          <w:sz w:val="28"/>
          <w:szCs w:val="28"/>
        </w:rPr>
        <w:t>ASPETTI NON CLINICI</w:t>
      </w:r>
    </w:p>
    <w:p w:rsidR="003E15EB" w:rsidRDefault="003E15EB">
      <w:pPr>
        <w:pStyle w:val="Paragrafoelenco"/>
        <w:spacing w:after="0" w:line="240" w:lineRule="auto"/>
        <w:rPr>
          <w:b/>
        </w:rPr>
      </w:pPr>
    </w:p>
    <w:p w:rsidR="003E15EB" w:rsidRDefault="00B648E7">
      <w:pPr>
        <w:pStyle w:val="Paragrafoelenco"/>
        <w:numPr>
          <w:ilvl w:val="0"/>
          <w:numId w:val="1"/>
        </w:numPr>
        <w:spacing w:after="0" w:line="240" w:lineRule="auto"/>
        <w:jc w:val="both"/>
        <w:rPr>
          <w:b/>
        </w:rPr>
      </w:pPr>
      <w:r>
        <w:rPr>
          <w:b/>
          <w:sz w:val="28"/>
          <w:szCs w:val="28"/>
        </w:rPr>
        <w:t>ASPETTI CLINICI</w:t>
      </w:r>
    </w:p>
    <w:p w:rsidR="003E15EB" w:rsidRDefault="003E15EB">
      <w:pPr>
        <w:pStyle w:val="Paragrafoelenco"/>
        <w:spacing w:after="0" w:line="240" w:lineRule="auto"/>
        <w:rPr>
          <w:b/>
        </w:rPr>
      </w:pPr>
    </w:p>
    <w:p w:rsidR="003E15EB" w:rsidRDefault="00B648E7">
      <w:pPr>
        <w:pStyle w:val="Paragrafoelenco"/>
        <w:numPr>
          <w:ilvl w:val="0"/>
          <w:numId w:val="1"/>
        </w:numPr>
        <w:spacing w:after="0" w:line="240" w:lineRule="auto"/>
        <w:jc w:val="both"/>
        <w:rPr>
          <w:b/>
        </w:rPr>
      </w:pPr>
      <w:r>
        <w:rPr>
          <w:b/>
          <w:sz w:val="28"/>
          <w:szCs w:val="28"/>
        </w:rPr>
        <w:t>CONSULTAZIONE SUL FOGLIO ILLUSTRATIVO</w:t>
      </w:r>
    </w:p>
    <w:p w:rsidR="003E15EB" w:rsidRDefault="003E15EB">
      <w:pPr>
        <w:pStyle w:val="Paragrafoelenco"/>
        <w:spacing w:after="0" w:line="240" w:lineRule="auto"/>
        <w:ind w:left="1080"/>
        <w:jc w:val="both"/>
        <w:rPr>
          <w:b/>
        </w:rPr>
      </w:pPr>
    </w:p>
    <w:p w:rsidR="003E15EB" w:rsidRDefault="00B648E7">
      <w:pPr>
        <w:pStyle w:val="Paragrafoelenco"/>
        <w:numPr>
          <w:ilvl w:val="0"/>
          <w:numId w:val="1"/>
        </w:numPr>
        <w:spacing w:after="0" w:line="240" w:lineRule="auto"/>
        <w:jc w:val="both"/>
        <w:rPr>
          <w:b/>
        </w:rPr>
      </w:pPr>
      <w:r>
        <w:rPr>
          <w:b/>
          <w:sz w:val="28"/>
          <w:szCs w:val="28"/>
        </w:rPr>
        <w:t>CONCLUSIONI, VALUTAZIONE DEL RAPPORTO BENEFICIO/RISCHIO E RACCOMANDAZIONI</w:t>
      </w:r>
    </w:p>
    <w:p w:rsidR="003E15EB" w:rsidRDefault="003E15EB">
      <w:pPr>
        <w:spacing w:after="0" w:line="240" w:lineRule="auto"/>
        <w:rPr>
          <w:rFonts w:ascii="Calibri" w:hAnsi="Calibri"/>
        </w:rPr>
      </w:pPr>
    </w:p>
    <w:p w:rsidR="003E15EB" w:rsidRDefault="003E15EB">
      <w:pPr>
        <w:spacing w:after="0" w:line="240" w:lineRule="auto"/>
        <w:rPr>
          <w:rFonts w:ascii="Calibri" w:hAnsi="Calibri"/>
        </w:rPr>
      </w:pPr>
    </w:p>
    <w:p w:rsidR="003E15EB" w:rsidRDefault="003E15EB">
      <w:pPr>
        <w:spacing w:after="0" w:line="240" w:lineRule="auto"/>
        <w:rPr>
          <w:rFonts w:ascii="Calibri" w:hAnsi="Calibri"/>
        </w:rPr>
      </w:pPr>
    </w:p>
    <w:p w:rsidR="003E15EB" w:rsidRDefault="003E15EB">
      <w:pPr>
        <w:spacing w:after="0" w:line="240" w:lineRule="auto"/>
        <w:rPr>
          <w:rFonts w:ascii="Calibri" w:hAnsi="Calibri"/>
        </w:rPr>
      </w:pPr>
    </w:p>
    <w:p w:rsidR="003E15EB" w:rsidRDefault="003E15EB">
      <w:pPr>
        <w:spacing w:after="0" w:line="240" w:lineRule="auto"/>
        <w:rPr>
          <w:rFonts w:ascii="Calibri" w:hAnsi="Calibri"/>
        </w:rPr>
      </w:pPr>
    </w:p>
    <w:p w:rsidR="003E15EB" w:rsidRDefault="003E15EB">
      <w:pPr>
        <w:spacing w:after="0" w:line="240" w:lineRule="auto"/>
        <w:rPr>
          <w:rFonts w:ascii="Calibri" w:hAnsi="Calibri"/>
        </w:rPr>
      </w:pPr>
    </w:p>
    <w:p w:rsidR="003E15EB" w:rsidRDefault="003E15EB">
      <w:pPr>
        <w:spacing w:after="0" w:line="240" w:lineRule="auto"/>
        <w:rPr>
          <w:rFonts w:ascii="Calibri" w:hAnsi="Calibri"/>
        </w:rPr>
      </w:pPr>
    </w:p>
    <w:p w:rsidR="003E15EB" w:rsidRDefault="003E15EB">
      <w:pPr>
        <w:spacing w:after="0" w:line="240" w:lineRule="auto"/>
        <w:rPr>
          <w:rFonts w:ascii="Calibri" w:hAnsi="Calibri"/>
        </w:rPr>
      </w:pPr>
    </w:p>
    <w:p w:rsidR="003E15EB" w:rsidRDefault="003E15EB">
      <w:pPr>
        <w:spacing w:after="0" w:line="240" w:lineRule="auto"/>
        <w:rPr>
          <w:rFonts w:ascii="Calibri" w:hAnsi="Calibri"/>
        </w:rPr>
      </w:pPr>
    </w:p>
    <w:p w:rsidR="003E15EB" w:rsidRDefault="003E15EB">
      <w:pPr>
        <w:spacing w:after="0" w:line="240" w:lineRule="auto"/>
        <w:rPr>
          <w:rFonts w:ascii="Calibri" w:hAnsi="Calibri"/>
        </w:rPr>
      </w:pPr>
    </w:p>
    <w:p w:rsidR="003E15EB" w:rsidRDefault="003E15EB">
      <w:pPr>
        <w:spacing w:after="0" w:line="240" w:lineRule="auto"/>
        <w:rPr>
          <w:rFonts w:ascii="Calibri" w:hAnsi="Calibri"/>
        </w:rPr>
      </w:pPr>
    </w:p>
    <w:p w:rsidR="003E15EB" w:rsidRDefault="003E15EB">
      <w:pPr>
        <w:spacing w:after="0" w:line="240" w:lineRule="auto"/>
        <w:rPr>
          <w:rFonts w:ascii="Calibri" w:hAnsi="Calibri"/>
        </w:rPr>
      </w:pPr>
    </w:p>
    <w:p w:rsidR="003E15EB" w:rsidRDefault="003E15EB">
      <w:pPr>
        <w:spacing w:after="0" w:line="240" w:lineRule="auto"/>
        <w:rPr>
          <w:rFonts w:ascii="Calibri" w:hAnsi="Calibri"/>
        </w:rPr>
      </w:pPr>
    </w:p>
    <w:p w:rsidR="003E15EB" w:rsidRDefault="003E15EB">
      <w:pPr>
        <w:spacing w:after="0" w:line="240" w:lineRule="auto"/>
        <w:rPr>
          <w:rFonts w:ascii="Calibri" w:hAnsi="Calibri"/>
        </w:rPr>
      </w:pPr>
    </w:p>
    <w:p w:rsidR="003E15EB" w:rsidRDefault="003E15EB">
      <w:pPr>
        <w:spacing w:after="0" w:line="240" w:lineRule="auto"/>
        <w:rPr>
          <w:rFonts w:ascii="Calibri" w:hAnsi="Calibri"/>
        </w:rPr>
      </w:pPr>
    </w:p>
    <w:p w:rsidR="003E15EB" w:rsidRDefault="003E15EB">
      <w:pPr>
        <w:spacing w:after="0" w:line="240" w:lineRule="auto"/>
        <w:rPr>
          <w:rFonts w:ascii="Calibri" w:hAnsi="Calibri"/>
        </w:rPr>
      </w:pPr>
    </w:p>
    <w:p w:rsidR="003E15EB" w:rsidRDefault="003E15EB">
      <w:pPr>
        <w:spacing w:after="0" w:line="240" w:lineRule="auto"/>
        <w:rPr>
          <w:rFonts w:ascii="Calibri" w:hAnsi="Calibri"/>
        </w:rPr>
      </w:pPr>
    </w:p>
    <w:p w:rsidR="003E15EB" w:rsidRDefault="00B648E7">
      <w:pPr>
        <w:pStyle w:val="Paragrafoelenco"/>
        <w:numPr>
          <w:ilvl w:val="0"/>
          <w:numId w:val="2"/>
        </w:numPr>
        <w:spacing w:after="0" w:line="240" w:lineRule="auto"/>
        <w:rPr>
          <w:b/>
        </w:rPr>
      </w:pPr>
      <w:r>
        <w:rPr>
          <w:b/>
        </w:rPr>
        <w:t>INTRODUZIONE</w:t>
      </w:r>
    </w:p>
    <w:p w:rsidR="003E15EB" w:rsidRDefault="00B648E7">
      <w:pPr>
        <w:spacing w:after="0" w:line="240" w:lineRule="auto"/>
        <w:jc w:val="both"/>
      </w:pPr>
      <w:r>
        <w:t xml:space="preserve">Sulla base dei dati di qualità, sicurezza ed efficacia, l’AIFA ha rilasciato ad EG S.p.A. l’autorizzazione all’immissione in commercio (AIC) per il medicinale PIOGLITAZONE E METFORMINA EG 15 mg/850  mg compresse rivestite con film il </w:t>
      </w:r>
      <w:r w:rsidRPr="000E6264">
        <w:rPr>
          <w:b/>
        </w:rPr>
        <w:t>2</w:t>
      </w:r>
      <w:r w:rsidR="00A50418">
        <w:rPr>
          <w:b/>
        </w:rPr>
        <w:t>7</w:t>
      </w:r>
      <w:r w:rsidRPr="000E6264">
        <w:rPr>
          <w:b/>
        </w:rPr>
        <w:t>/0</w:t>
      </w:r>
      <w:r w:rsidR="00A50418">
        <w:rPr>
          <w:b/>
        </w:rPr>
        <w:t>1</w:t>
      </w:r>
      <w:r w:rsidRPr="000E6264">
        <w:rPr>
          <w:b/>
        </w:rPr>
        <w:t>/2020</w:t>
      </w:r>
      <w:r>
        <w:t>.</w:t>
      </w:r>
    </w:p>
    <w:p w:rsidR="003E15EB" w:rsidRDefault="003E15EB">
      <w:pPr>
        <w:spacing w:after="0" w:line="240" w:lineRule="auto"/>
        <w:jc w:val="both"/>
        <w:rPr>
          <w:rFonts w:ascii="Calibri" w:hAnsi="Calibri"/>
        </w:rPr>
      </w:pPr>
    </w:p>
    <w:p w:rsidR="003E15EB" w:rsidRDefault="00B648E7">
      <w:pPr>
        <w:spacing w:after="0" w:line="240" w:lineRule="auto"/>
        <w:jc w:val="both"/>
        <w:rPr>
          <w:rFonts w:ascii="Calibri" w:hAnsi="Calibri"/>
        </w:rPr>
      </w:pPr>
      <w:r>
        <w:t>PIOGLITAZONE E METFORMINA EG può essere ottenuto solo su prescrizione da parte del medico (RR).</w:t>
      </w:r>
    </w:p>
    <w:p w:rsidR="003E15EB" w:rsidRDefault="003E15EB">
      <w:pPr>
        <w:spacing w:after="0" w:line="240" w:lineRule="auto"/>
        <w:jc w:val="both"/>
        <w:rPr>
          <w:rFonts w:ascii="Calibri" w:hAnsi="Calibri"/>
        </w:rPr>
      </w:pPr>
    </w:p>
    <w:p w:rsidR="003E15EB" w:rsidRDefault="00B648E7">
      <w:pPr>
        <w:spacing w:after="0" w:line="240" w:lineRule="auto"/>
        <w:jc w:val="both"/>
        <w:rPr>
          <w:rFonts w:ascii="Calibri" w:hAnsi="Calibri"/>
        </w:rPr>
      </w:pPr>
      <w:r>
        <w:t xml:space="preserve">Questa procedura è stata presentata ai sensi dell’art. 10(1) della Direttiva 2001/83/EU </w:t>
      </w:r>
      <w:proofErr w:type="spellStart"/>
      <w:r>
        <w:t>s.m.i.</w:t>
      </w:r>
      <w:proofErr w:type="spellEnd"/>
      <w:r>
        <w:t xml:space="preserve"> </w:t>
      </w:r>
    </w:p>
    <w:p w:rsidR="003E15EB" w:rsidRDefault="003E15EB">
      <w:pPr>
        <w:spacing w:after="0" w:line="240" w:lineRule="auto"/>
        <w:jc w:val="both"/>
        <w:rPr>
          <w:rFonts w:ascii="Calibri" w:hAnsi="Calibri"/>
        </w:rPr>
      </w:pPr>
    </w:p>
    <w:p w:rsidR="003E15EB" w:rsidRDefault="00B648E7">
      <w:pPr>
        <w:widowControl w:val="0"/>
        <w:spacing w:after="0" w:line="240" w:lineRule="auto"/>
        <w:jc w:val="both"/>
      </w:pPr>
      <w:r>
        <w:t xml:space="preserve">PIOGLITAZONE E METFORMINA EG è un medicinale generico contenente la combinazione di due principi attivi </w:t>
      </w:r>
      <w:proofErr w:type="spellStart"/>
      <w:r>
        <w:t>pioglitazone</w:t>
      </w:r>
      <w:proofErr w:type="spellEnd"/>
      <w:r>
        <w:t xml:space="preserve"> e </w:t>
      </w:r>
      <w:proofErr w:type="spellStart"/>
      <w:r>
        <w:t>metformina</w:t>
      </w:r>
      <w:proofErr w:type="spellEnd"/>
      <w:r>
        <w:t xml:space="preserve">, presenti nel medicinale di riferimento </w:t>
      </w:r>
      <w:proofErr w:type="spellStart"/>
      <w:r>
        <w:t>Competact</w:t>
      </w:r>
      <w:bookmarkStart w:id="3" w:name="_Hlk39842360"/>
      <w:bookmarkEnd w:id="3"/>
      <w:proofErr w:type="spellEnd"/>
      <w:r>
        <w:t>, autorizzato in Italia da più di dieci anni.</w:t>
      </w:r>
    </w:p>
    <w:p w:rsidR="003E15EB" w:rsidRDefault="003E15EB">
      <w:pPr>
        <w:spacing w:after="0" w:line="240" w:lineRule="auto"/>
        <w:jc w:val="both"/>
        <w:rPr>
          <w:rFonts w:ascii="Calibri" w:hAnsi="Calibri" w:cs="Arial"/>
        </w:rPr>
      </w:pPr>
    </w:p>
    <w:p w:rsidR="003E15EB" w:rsidRDefault="00B648E7">
      <w:pPr>
        <w:spacing w:after="0" w:line="240" w:lineRule="auto"/>
        <w:jc w:val="both"/>
        <w:rPr>
          <w:rFonts w:ascii="Calibri" w:hAnsi="Calibri"/>
        </w:rPr>
      </w:pPr>
      <w:proofErr w:type="spellStart"/>
      <w:r>
        <w:rPr>
          <w:rFonts w:cs="Arial"/>
        </w:rPr>
        <w:t>Pioglitazone</w:t>
      </w:r>
      <w:proofErr w:type="spellEnd"/>
      <w:r>
        <w:rPr>
          <w:rFonts w:cs="Arial"/>
        </w:rPr>
        <w:t xml:space="preserve"> e </w:t>
      </w:r>
      <w:proofErr w:type="spellStart"/>
      <w:r>
        <w:rPr>
          <w:rFonts w:cs="Arial"/>
        </w:rPr>
        <w:t>metformina</w:t>
      </w:r>
      <w:proofErr w:type="spellEnd"/>
      <w:r>
        <w:rPr>
          <w:rFonts w:cs="Arial"/>
        </w:rPr>
        <w:t xml:space="preserve"> appartengono alla categoria </w:t>
      </w:r>
      <w:proofErr w:type="spellStart"/>
      <w:r>
        <w:rPr>
          <w:rFonts w:cs="Arial"/>
        </w:rPr>
        <w:t>farmacoterapeutica</w:t>
      </w:r>
      <w:proofErr w:type="spellEnd"/>
      <w:r>
        <w:rPr>
          <w:rFonts w:cs="Arial"/>
        </w:rPr>
        <w:t xml:space="preserve">: farmaci usati nel diabete, associazioni di farmaci </w:t>
      </w:r>
      <w:proofErr w:type="spellStart"/>
      <w:r>
        <w:rPr>
          <w:rFonts w:cs="Arial"/>
        </w:rPr>
        <w:t>ipoglicemizzanti</w:t>
      </w:r>
      <w:proofErr w:type="spellEnd"/>
      <w:r>
        <w:rPr>
          <w:rFonts w:cs="Arial"/>
        </w:rPr>
        <w:t xml:space="preserve"> orali, codice ATC: A10BD05. I due principi attivi sono </w:t>
      </w:r>
      <w:proofErr w:type="spellStart"/>
      <w:r>
        <w:rPr>
          <w:rFonts w:cs="Arial"/>
        </w:rPr>
        <w:t>ipoglicemizzanti</w:t>
      </w:r>
      <w:proofErr w:type="spellEnd"/>
      <w:r>
        <w:rPr>
          <w:rFonts w:cs="Arial"/>
        </w:rPr>
        <w:t xml:space="preserve"> ed hanno un meccanismo di azione complementare finalizzato a migliorare il controllo glicemico in pazienti con diabete mellito di tipo 2. </w:t>
      </w:r>
      <w:proofErr w:type="spellStart"/>
      <w:r>
        <w:rPr>
          <w:rFonts w:cs="Arial"/>
        </w:rPr>
        <w:t>Pioglitazone</w:t>
      </w:r>
      <w:proofErr w:type="spellEnd"/>
      <w:r>
        <w:rPr>
          <w:rFonts w:cs="Arial"/>
        </w:rPr>
        <w:t xml:space="preserve">, un componente della classe dei </w:t>
      </w:r>
      <w:proofErr w:type="spellStart"/>
      <w:r>
        <w:rPr>
          <w:rFonts w:cs="Arial"/>
        </w:rPr>
        <w:t>tiazolidinedioni</w:t>
      </w:r>
      <w:proofErr w:type="spellEnd"/>
      <w:r>
        <w:rPr>
          <w:rFonts w:cs="Arial"/>
        </w:rPr>
        <w:t>, ag</w:t>
      </w:r>
      <w:r>
        <w:rPr>
          <w:rFonts w:cs="Arial"/>
          <w:color w:val="000000"/>
        </w:rPr>
        <w:t>isce principalmente riducendo l’</w:t>
      </w:r>
      <w:proofErr w:type="spellStart"/>
      <w:r>
        <w:rPr>
          <w:rFonts w:cs="Arial"/>
          <w:color w:val="000000"/>
        </w:rPr>
        <w:t>insulino-resistenza</w:t>
      </w:r>
      <w:proofErr w:type="spellEnd"/>
      <w:r>
        <w:rPr>
          <w:rFonts w:cs="Arial"/>
        </w:rPr>
        <w:t xml:space="preserve"> e </w:t>
      </w:r>
      <w:proofErr w:type="spellStart"/>
      <w:r>
        <w:rPr>
          <w:rFonts w:cs="Arial"/>
        </w:rPr>
        <w:t>metformina</w:t>
      </w:r>
      <w:proofErr w:type="spellEnd"/>
      <w:r>
        <w:rPr>
          <w:rFonts w:cs="Arial"/>
        </w:rPr>
        <w:t xml:space="preserve"> cloridrato, un componente della classe delle </w:t>
      </w:r>
      <w:proofErr w:type="spellStart"/>
      <w:r>
        <w:rPr>
          <w:rFonts w:cs="Arial"/>
        </w:rPr>
        <w:t>biguanidi</w:t>
      </w:r>
      <w:proofErr w:type="spellEnd"/>
      <w:r>
        <w:rPr>
          <w:rFonts w:cs="Arial"/>
        </w:rPr>
        <w:t xml:space="preserve">, </w:t>
      </w:r>
      <w:r>
        <w:rPr>
          <w:rFonts w:cs="Arial"/>
          <w:color w:val="000000"/>
        </w:rPr>
        <w:t>agisce principalmente riducendo la produzione endogena di glucosio da parte del fegato.</w:t>
      </w:r>
    </w:p>
    <w:p w:rsidR="003E15EB" w:rsidRDefault="003E15EB">
      <w:pPr>
        <w:spacing w:after="0" w:line="240" w:lineRule="auto"/>
        <w:jc w:val="both"/>
        <w:rPr>
          <w:rFonts w:ascii="Calibri" w:hAnsi="Calibri"/>
        </w:rPr>
      </w:pPr>
    </w:p>
    <w:p w:rsidR="003E15EB" w:rsidRDefault="00B648E7">
      <w:pPr>
        <w:spacing w:after="0" w:line="240" w:lineRule="auto"/>
        <w:jc w:val="both"/>
      </w:pPr>
      <w:r>
        <w:t xml:space="preserve">A supporto della domanda di autorizzazione del medicinale PIOGLITAZONE E METFORMINA EG </w:t>
      </w:r>
      <w:bookmarkStart w:id="4" w:name="_Hlk39842384"/>
      <w:r>
        <w:t xml:space="preserve">sono stati presentati i risultati di uno studio di </w:t>
      </w:r>
      <w:proofErr w:type="spellStart"/>
      <w:r>
        <w:t>bioequivalenza</w:t>
      </w:r>
      <w:proofErr w:type="spellEnd"/>
      <w:r>
        <w:t xml:space="preserve"> che ha confrontato i profili farmacocinetici del medicinale test </w:t>
      </w:r>
      <w:r>
        <w:rPr>
          <w:rFonts w:eastAsia="Calibri" w:cs="Calibri"/>
          <w:color w:val="000000"/>
          <w:lang w:eastAsia="it-IT"/>
        </w:rPr>
        <w:t>PIOGLITAZONE E METFORMINA EG</w:t>
      </w:r>
      <w:r>
        <w:t xml:space="preserve"> e quelli del medicinale di riferimento </w:t>
      </w:r>
      <w:proofErr w:type="spellStart"/>
      <w:r>
        <w:t>Competact</w:t>
      </w:r>
      <w:proofErr w:type="spellEnd"/>
      <w:r>
        <w:t xml:space="preserve"> autorizzato in Italia.</w:t>
      </w:r>
      <w:bookmarkEnd w:id="4"/>
    </w:p>
    <w:p w:rsidR="003E15EB" w:rsidRDefault="003E15EB">
      <w:pPr>
        <w:spacing w:after="0" w:line="240" w:lineRule="auto"/>
        <w:jc w:val="both"/>
        <w:rPr>
          <w:rFonts w:ascii="Calibri" w:hAnsi="Calibri"/>
        </w:rPr>
      </w:pPr>
    </w:p>
    <w:p w:rsidR="003E15EB" w:rsidRDefault="00B648E7">
      <w:pPr>
        <w:spacing w:after="0" w:line="240" w:lineRule="auto"/>
        <w:jc w:val="both"/>
        <w:rPr>
          <w:rFonts w:ascii="Calibri" w:hAnsi="Calibri"/>
        </w:rPr>
      </w:pPr>
      <w:r>
        <w:t xml:space="preserve">Gli studi di </w:t>
      </w:r>
      <w:proofErr w:type="spellStart"/>
      <w:r>
        <w:t>bioequivalenza</w:t>
      </w:r>
      <w:proofErr w:type="spellEnd"/>
      <w:r>
        <w:t xml:space="preserve"> sono stati condotti in conformità alle linee guida di Buona Pratica Clinica (</w:t>
      </w:r>
      <w:proofErr w:type="spellStart"/>
      <w:r>
        <w:rPr>
          <w:i/>
        </w:rPr>
        <w:t>Good</w:t>
      </w:r>
      <w:proofErr w:type="spellEnd"/>
      <w:r>
        <w:rPr>
          <w:i/>
        </w:rPr>
        <w:t xml:space="preserve"> </w:t>
      </w:r>
      <w:proofErr w:type="spellStart"/>
      <w:r>
        <w:rPr>
          <w:i/>
        </w:rPr>
        <w:t>Clinical</w:t>
      </w:r>
      <w:proofErr w:type="spellEnd"/>
      <w:r>
        <w:rPr>
          <w:i/>
        </w:rPr>
        <w:t xml:space="preserve"> </w:t>
      </w:r>
      <w:proofErr w:type="spellStart"/>
      <w:r>
        <w:rPr>
          <w:i/>
        </w:rPr>
        <w:t>Practice</w:t>
      </w:r>
      <w:proofErr w:type="spellEnd"/>
      <w:r>
        <w:t xml:space="preserve"> - GCP).</w:t>
      </w:r>
    </w:p>
    <w:p w:rsidR="003E15EB" w:rsidRDefault="003E15EB">
      <w:pPr>
        <w:spacing w:after="0" w:line="240" w:lineRule="auto"/>
        <w:contextualSpacing/>
        <w:jc w:val="both"/>
        <w:rPr>
          <w:rFonts w:ascii="Calibri" w:hAnsi="Calibri"/>
        </w:rPr>
      </w:pPr>
    </w:p>
    <w:p w:rsidR="003E15EB" w:rsidRDefault="00B648E7">
      <w:pPr>
        <w:spacing w:after="0" w:line="240" w:lineRule="auto"/>
        <w:contextualSpacing/>
        <w:jc w:val="both"/>
        <w:rPr>
          <w:rFonts w:ascii="Calibri" w:hAnsi="Calibri"/>
        </w:rPr>
      </w:pPr>
      <w:r>
        <w:t xml:space="preserve">Poiché PIOGLITAZONE E METFORMINA EG contiene principi attivi noti, non sono stati forniti nuovi dati non clinici e clinici: questo approccio è accettabile poiché il medicinale di riferimento </w:t>
      </w:r>
      <w:proofErr w:type="spellStart"/>
      <w:r>
        <w:t>Competact</w:t>
      </w:r>
      <w:bookmarkStart w:id="5" w:name="_Hlk39842403"/>
      <w:bookmarkEnd w:id="5"/>
      <w:proofErr w:type="spellEnd"/>
      <w:r>
        <w:t xml:space="preserve"> è autorizzato in Italia da oltre dieci anni.</w:t>
      </w:r>
    </w:p>
    <w:p w:rsidR="003E15EB" w:rsidRDefault="003E15EB">
      <w:pPr>
        <w:spacing w:after="0" w:line="240" w:lineRule="auto"/>
        <w:jc w:val="both"/>
        <w:rPr>
          <w:rFonts w:ascii="Calibri" w:hAnsi="Calibri"/>
        </w:rPr>
      </w:pPr>
    </w:p>
    <w:p w:rsidR="003E15EB" w:rsidRDefault="00B648E7">
      <w:pPr>
        <w:spacing w:after="0" w:line="240" w:lineRule="auto"/>
        <w:jc w:val="both"/>
        <w:rPr>
          <w:rFonts w:ascii="Calibri" w:hAnsi="Calibri"/>
        </w:rPr>
      </w:pPr>
      <w:r>
        <w:t>Le officine coinvolte nella produzione sono conformi alle linee guida di Buona Pratica di Fabbricazione (</w:t>
      </w:r>
      <w:proofErr w:type="spellStart"/>
      <w:r>
        <w:t>Good</w:t>
      </w:r>
      <w:proofErr w:type="spellEnd"/>
      <w:r>
        <w:t xml:space="preserve"> Manufacturing </w:t>
      </w:r>
      <w:proofErr w:type="spellStart"/>
      <w:r>
        <w:t>Practice</w:t>
      </w:r>
      <w:proofErr w:type="spellEnd"/>
      <w:r>
        <w:t xml:space="preserve"> - GMP). Le autorità </w:t>
      </w:r>
      <w:proofErr w:type="spellStart"/>
      <w:r>
        <w:t>regolatorie</w:t>
      </w:r>
      <w:proofErr w:type="spellEnd"/>
      <w:r>
        <w:t xml:space="preserve"> competenti hanno rilasciato i certificati GMP per i siti di produzione sul territorio dell’Unione Europea.</w:t>
      </w:r>
    </w:p>
    <w:p w:rsidR="003E15EB" w:rsidRDefault="003E15EB">
      <w:pPr>
        <w:spacing w:after="0" w:line="240" w:lineRule="auto"/>
        <w:jc w:val="both"/>
        <w:rPr>
          <w:rFonts w:ascii="Calibri" w:hAnsi="Calibri"/>
        </w:rPr>
      </w:pPr>
    </w:p>
    <w:p w:rsidR="003E15EB" w:rsidRDefault="00B648E7">
      <w:pPr>
        <w:spacing w:after="0" w:line="240" w:lineRule="auto"/>
        <w:jc w:val="both"/>
        <w:rPr>
          <w:rFonts w:ascii="Calibri" w:hAnsi="Calibri"/>
        </w:rPr>
      </w:pPr>
      <w:r>
        <w:t>Il sistema di Farmacovigilanza descritto dal titolare dell’AIC è conforme ai requisiti previsti dalla normativa corrente. È stato presentato un Piano di gestione del rischio (</w:t>
      </w:r>
      <w:proofErr w:type="spellStart"/>
      <w:r>
        <w:t>Risk</w:t>
      </w:r>
      <w:proofErr w:type="spellEnd"/>
      <w:r>
        <w:t xml:space="preserve"> Management </w:t>
      </w:r>
      <w:proofErr w:type="spellStart"/>
      <w:r>
        <w:t>Plan</w:t>
      </w:r>
      <w:proofErr w:type="spellEnd"/>
      <w:r>
        <w:t xml:space="preserve"> – RMP) accettabile.</w:t>
      </w:r>
    </w:p>
    <w:p w:rsidR="003E15EB" w:rsidRDefault="003E15EB">
      <w:pPr>
        <w:spacing w:after="0" w:line="240" w:lineRule="auto"/>
        <w:jc w:val="both"/>
        <w:rPr>
          <w:rFonts w:ascii="Calibri" w:hAnsi="Calibri"/>
        </w:rPr>
      </w:pPr>
    </w:p>
    <w:p w:rsidR="003E15EB" w:rsidRDefault="00B648E7">
      <w:pPr>
        <w:spacing w:after="0" w:line="240" w:lineRule="auto"/>
        <w:jc w:val="both"/>
        <w:rPr>
          <w:rFonts w:ascii="Calibri" w:hAnsi="Calibri"/>
        </w:rPr>
      </w:pPr>
      <w:r>
        <w:t>Il titolare di AIC ha presentato una adeguata giustificazione per la mancata presentazione della Valutazione del Rischio ambientale; questo approccio è accettabile in quanto PIOGLITAZONE E METFORMINA EG contiene principi attivi noti presenti in medicinali autorizzati; inoltre, non sono presenti componenti geneticamente modificati; il metodo di produzione e la formulazione del medicinale non presentano problematiche di carattere ambientale.</w:t>
      </w:r>
    </w:p>
    <w:p w:rsidR="003E15EB" w:rsidRDefault="003E15EB">
      <w:pPr>
        <w:spacing w:after="0" w:line="240" w:lineRule="auto"/>
        <w:jc w:val="both"/>
        <w:rPr>
          <w:rFonts w:ascii="Calibri" w:hAnsi="Calibri"/>
        </w:rPr>
      </w:pPr>
    </w:p>
    <w:p w:rsidR="003E15EB" w:rsidRDefault="003E15EB">
      <w:pPr>
        <w:spacing w:after="0" w:line="240" w:lineRule="auto"/>
        <w:jc w:val="both"/>
        <w:rPr>
          <w:rFonts w:ascii="Calibri" w:hAnsi="Calibri"/>
        </w:rPr>
      </w:pPr>
    </w:p>
    <w:p w:rsidR="003E15EB" w:rsidRDefault="003E15EB">
      <w:pPr>
        <w:spacing w:after="0" w:line="240" w:lineRule="auto"/>
        <w:jc w:val="both"/>
        <w:rPr>
          <w:rFonts w:ascii="Calibri" w:hAnsi="Calibri"/>
        </w:rPr>
      </w:pPr>
    </w:p>
    <w:p w:rsidR="003E15EB" w:rsidRDefault="003E15EB">
      <w:pPr>
        <w:spacing w:after="0" w:line="240" w:lineRule="auto"/>
        <w:jc w:val="both"/>
        <w:rPr>
          <w:rFonts w:ascii="Calibri" w:hAnsi="Calibri"/>
        </w:rPr>
      </w:pPr>
    </w:p>
    <w:p w:rsidR="003E15EB" w:rsidRDefault="003E15EB">
      <w:pPr>
        <w:spacing w:after="0" w:line="240" w:lineRule="auto"/>
        <w:jc w:val="both"/>
        <w:rPr>
          <w:rFonts w:ascii="Calibri" w:hAnsi="Calibri"/>
        </w:rPr>
      </w:pPr>
    </w:p>
    <w:p w:rsidR="003E15EB" w:rsidRDefault="003E15EB">
      <w:pPr>
        <w:spacing w:after="0" w:line="240" w:lineRule="auto"/>
        <w:jc w:val="both"/>
        <w:rPr>
          <w:rFonts w:ascii="Calibri" w:hAnsi="Calibri"/>
        </w:rPr>
      </w:pPr>
    </w:p>
    <w:p w:rsidR="003E15EB" w:rsidRDefault="003E15EB">
      <w:pPr>
        <w:spacing w:after="0" w:line="240" w:lineRule="auto"/>
        <w:jc w:val="both"/>
        <w:rPr>
          <w:rFonts w:ascii="Calibri" w:hAnsi="Calibri"/>
        </w:rPr>
      </w:pPr>
    </w:p>
    <w:p w:rsidR="003E15EB" w:rsidRDefault="00B648E7">
      <w:pPr>
        <w:pStyle w:val="Paragrafoelenco"/>
        <w:numPr>
          <w:ilvl w:val="0"/>
          <w:numId w:val="2"/>
        </w:numPr>
        <w:spacing w:after="0" w:line="240" w:lineRule="auto"/>
        <w:jc w:val="both"/>
        <w:rPr>
          <w:b/>
        </w:rPr>
      </w:pPr>
      <w:r>
        <w:rPr>
          <w:b/>
        </w:rPr>
        <w:lastRenderedPageBreak/>
        <w:t xml:space="preserve">ASPETTI </w:t>
      </w:r>
      <w:proofErr w:type="spellStart"/>
      <w:r>
        <w:rPr>
          <w:b/>
        </w:rPr>
        <w:t>DI</w:t>
      </w:r>
      <w:proofErr w:type="spellEnd"/>
      <w:r>
        <w:rPr>
          <w:b/>
        </w:rPr>
        <w:t xml:space="preserve"> QUALITA’</w:t>
      </w:r>
    </w:p>
    <w:p w:rsidR="003E15EB" w:rsidRDefault="003E15EB">
      <w:pPr>
        <w:pStyle w:val="Paragrafoelenco"/>
        <w:spacing w:after="0" w:line="240" w:lineRule="auto"/>
        <w:ind w:left="2520"/>
        <w:jc w:val="both"/>
        <w:rPr>
          <w:b/>
        </w:rPr>
      </w:pPr>
    </w:p>
    <w:p w:rsidR="003E15EB" w:rsidRDefault="00B648E7">
      <w:pPr>
        <w:spacing w:after="0" w:line="240" w:lineRule="auto"/>
        <w:jc w:val="both"/>
        <w:rPr>
          <w:rFonts w:ascii="Calibri" w:hAnsi="Calibri"/>
        </w:rPr>
      </w:pPr>
      <w:r>
        <w:rPr>
          <w:b/>
        </w:rPr>
        <w:t>II.1.a PRINCIPIO ATTIVO PIOGLITAZONE</w:t>
      </w:r>
    </w:p>
    <w:p w:rsidR="003E15EB" w:rsidRDefault="00B648E7">
      <w:pPr>
        <w:spacing w:after="0" w:line="240" w:lineRule="auto"/>
        <w:jc w:val="both"/>
      </w:pPr>
      <w:r>
        <w:rPr>
          <w:rStyle w:val="Nessuno"/>
          <w:color w:val="000000"/>
        </w:rPr>
        <w:t xml:space="preserve">Il principio attivo </w:t>
      </w:r>
      <w:proofErr w:type="spellStart"/>
      <w:r>
        <w:rPr>
          <w:rStyle w:val="Nessuno"/>
          <w:color w:val="000000"/>
        </w:rPr>
        <w:t>Pioglitazone</w:t>
      </w:r>
      <w:proofErr w:type="spellEnd"/>
      <w:r>
        <w:rPr>
          <w:rStyle w:val="Nessuno"/>
          <w:color w:val="000000"/>
        </w:rPr>
        <w:t xml:space="preserve"> (cloridrato) è presente in Farmacopea Europea e il </w:t>
      </w:r>
      <w:proofErr w:type="spellStart"/>
      <w:r>
        <w:rPr>
          <w:rStyle w:val="Nessuno"/>
          <w:color w:val="000000"/>
        </w:rPr>
        <w:t>Direttorato</w:t>
      </w:r>
      <w:proofErr w:type="spellEnd"/>
      <w:r>
        <w:rPr>
          <w:rStyle w:val="Nessuno"/>
          <w:color w:val="000000"/>
        </w:rPr>
        <w:t xml:space="preserve"> Europeo per la Qualità dei Medicinali (</w:t>
      </w:r>
      <w:proofErr w:type="spellStart"/>
      <w:r>
        <w:rPr>
          <w:rStyle w:val="Nessuno"/>
          <w:i/>
          <w:iCs/>
          <w:color w:val="000000"/>
        </w:rPr>
        <w:t>European</w:t>
      </w:r>
      <w:proofErr w:type="spellEnd"/>
      <w:r>
        <w:rPr>
          <w:rStyle w:val="Nessuno"/>
          <w:i/>
          <w:iCs/>
          <w:color w:val="000000"/>
        </w:rPr>
        <w:t xml:space="preserve"> </w:t>
      </w:r>
      <w:proofErr w:type="spellStart"/>
      <w:r>
        <w:rPr>
          <w:rStyle w:val="Nessuno"/>
          <w:i/>
          <w:iCs/>
          <w:color w:val="000000"/>
        </w:rPr>
        <w:t>Directorate</w:t>
      </w:r>
      <w:proofErr w:type="spellEnd"/>
      <w:r>
        <w:rPr>
          <w:rStyle w:val="Nessuno"/>
          <w:i/>
          <w:iCs/>
          <w:color w:val="000000"/>
        </w:rPr>
        <w:t xml:space="preserve"> </w:t>
      </w:r>
      <w:proofErr w:type="spellStart"/>
      <w:r>
        <w:rPr>
          <w:rStyle w:val="Nessuno"/>
          <w:i/>
          <w:iCs/>
          <w:color w:val="000000"/>
        </w:rPr>
        <w:t>for</w:t>
      </w:r>
      <w:proofErr w:type="spellEnd"/>
      <w:r>
        <w:rPr>
          <w:rStyle w:val="Nessuno"/>
          <w:i/>
          <w:iCs/>
          <w:color w:val="000000"/>
        </w:rPr>
        <w:t xml:space="preserve"> </w:t>
      </w:r>
      <w:proofErr w:type="spellStart"/>
      <w:r>
        <w:rPr>
          <w:rStyle w:val="Nessuno"/>
          <w:i/>
          <w:iCs/>
          <w:color w:val="000000"/>
        </w:rPr>
        <w:t>Quality</w:t>
      </w:r>
      <w:proofErr w:type="spellEnd"/>
      <w:r>
        <w:rPr>
          <w:rStyle w:val="Nessuno"/>
          <w:i/>
          <w:iCs/>
          <w:color w:val="000000"/>
        </w:rPr>
        <w:t xml:space="preserve"> </w:t>
      </w:r>
      <w:proofErr w:type="spellStart"/>
      <w:r>
        <w:rPr>
          <w:rStyle w:val="Nessuno"/>
          <w:i/>
          <w:iCs/>
          <w:color w:val="000000"/>
        </w:rPr>
        <w:t>of</w:t>
      </w:r>
      <w:proofErr w:type="spellEnd"/>
      <w:r>
        <w:rPr>
          <w:rStyle w:val="Nessuno"/>
          <w:i/>
          <w:iCs/>
          <w:color w:val="000000"/>
        </w:rPr>
        <w:t xml:space="preserve"> </w:t>
      </w:r>
      <w:proofErr w:type="spellStart"/>
      <w:r>
        <w:rPr>
          <w:rStyle w:val="Nessuno"/>
          <w:i/>
          <w:iCs/>
          <w:color w:val="000000"/>
        </w:rPr>
        <w:t>Medicinals</w:t>
      </w:r>
      <w:proofErr w:type="spellEnd"/>
      <w:r>
        <w:rPr>
          <w:rStyle w:val="Nessuno"/>
          <w:color w:val="000000"/>
        </w:rPr>
        <w:t xml:space="preserve"> – EDQM) ha rilasciato al produttore proposto il certificato di conformità alla Farmacopea Europea (CEP)</w:t>
      </w:r>
      <w:r>
        <w:rPr>
          <w:rStyle w:val="Nessuno"/>
        </w:rPr>
        <w:t xml:space="preserve">. </w:t>
      </w:r>
      <w:r>
        <w:rPr>
          <w:rStyle w:val="Nessuno"/>
          <w:highlight w:val="red"/>
        </w:rPr>
        <w:t xml:space="preserve"> </w:t>
      </w:r>
    </w:p>
    <w:p w:rsidR="003E15EB" w:rsidRDefault="00B648E7">
      <w:pPr>
        <w:spacing w:after="0" w:line="240" w:lineRule="auto"/>
        <w:jc w:val="both"/>
      </w:pPr>
      <w:r>
        <w:rPr>
          <w:rStyle w:val="Nessuno"/>
        </w:rPr>
        <w:t>Tutti gli aspetti di produzione e controllo sono coperti dal certificato di conformità alla Farmacopea Europea.</w:t>
      </w:r>
    </w:p>
    <w:p w:rsidR="003E15EB" w:rsidRDefault="003E15EB">
      <w:pPr>
        <w:spacing w:after="0" w:line="240" w:lineRule="auto"/>
        <w:jc w:val="both"/>
        <w:rPr>
          <w:b/>
        </w:rPr>
      </w:pPr>
    </w:p>
    <w:p w:rsidR="003E15EB" w:rsidRDefault="00B648E7">
      <w:pPr>
        <w:spacing w:after="0" w:line="240" w:lineRule="auto"/>
        <w:jc w:val="both"/>
        <w:rPr>
          <w:b/>
        </w:rPr>
      </w:pPr>
      <w:r>
        <w:rPr>
          <w:b/>
        </w:rPr>
        <w:t>II.1.b PRINCIPIO ATTIVO METFORMINA</w:t>
      </w:r>
    </w:p>
    <w:p w:rsidR="003E15EB" w:rsidRDefault="00B648E7">
      <w:pPr>
        <w:spacing w:after="0" w:line="240" w:lineRule="auto"/>
        <w:jc w:val="both"/>
      </w:pPr>
      <w:r>
        <w:rPr>
          <w:rStyle w:val="Nessuno"/>
        </w:rPr>
        <w:t xml:space="preserve">Il principio attivo </w:t>
      </w:r>
      <w:proofErr w:type="spellStart"/>
      <w:r>
        <w:rPr>
          <w:rStyle w:val="Nessuno"/>
        </w:rPr>
        <w:t>Metformina</w:t>
      </w:r>
      <w:proofErr w:type="spellEnd"/>
      <w:r>
        <w:rPr>
          <w:rStyle w:val="Nessuno"/>
        </w:rPr>
        <w:t xml:space="preserve"> (cloridrato) è presente in Farmacopea Europea e il </w:t>
      </w:r>
      <w:proofErr w:type="spellStart"/>
      <w:r>
        <w:rPr>
          <w:rStyle w:val="Nessuno"/>
        </w:rPr>
        <w:t>Direttorato</w:t>
      </w:r>
      <w:proofErr w:type="spellEnd"/>
      <w:r>
        <w:rPr>
          <w:rStyle w:val="Nessuno"/>
        </w:rPr>
        <w:t xml:space="preserve"> Europeo per la Qualità dei Medicinali (</w:t>
      </w:r>
      <w:proofErr w:type="spellStart"/>
      <w:r>
        <w:rPr>
          <w:rStyle w:val="Nessuno"/>
          <w:i/>
          <w:iCs/>
        </w:rPr>
        <w:t>European</w:t>
      </w:r>
      <w:proofErr w:type="spellEnd"/>
      <w:r>
        <w:rPr>
          <w:rStyle w:val="Nessuno"/>
          <w:i/>
          <w:iCs/>
        </w:rPr>
        <w:t xml:space="preserve"> </w:t>
      </w:r>
      <w:proofErr w:type="spellStart"/>
      <w:r>
        <w:rPr>
          <w:rStyle w:val="Nessuno"/>
          <w:i/>
          <w:iCs/>
        </w:rPr>
        <w:t>Directorate</w:t>
      </w:r>
      <w:proofErr w:type="spellEnd"/>
      <w:r>
        <w:rPr>
          <w:rStyle w:val="Nessuno"/>
          <w:i/>
          <w:iCs/>
        </w:rPr>
        <w:t xml:space="preserve"> </w:t>
      </w:r>
      <w:proofErr w:type="spellStart"/>
      <w:r>
        <w:rPr>
          <w:rStyle w:val="Nessuno"/>
          <w:i/>
          <w:iCs/>
        </w:rPr>
        <w:t>for</w:t>
      </w:r>
      <w:proofErr w:type="spellEnd"/>
      <w:r>
        <w:rPr>
          <w:rStyle w:val="Nessuno"/>
          <w:i/>
          <w:iCs/>
        </w:rPr>
        <w:t xml:space="preserve"> </w:t>
      </w:r>
      <w:proofErr w:type="spellStart"/>
      <w:r>
        <w:rPr>
          <w:rStyle w:val="Nessuno"/>
          <w:i/>
          <w:iCs/>
        </w:rPr>
        <w:t>Quality</w:t>
      </w:r>
      <w:proofErr w:type="spellEnd"/>
      <w:r>
        <w:rPr>
          <w:rStyle w:val="Nessuno"/>
          <w:i/>
          <w:iCs/>
        </w:rPr>
        <w:t xml:space="preserve"> </w:t>
      </w:r>
      <w:proofErr w:type="spellStart"/>
      <w:r>
        <w:rPr>
          <w:rStyle w:val="Nessuno"/>
          <w:i/>
          <w:iCs/>
        </w:rPr>
        <w:t>of</w:t>
      </w:r>
      <w:proofErr w:type="spellEnd"/>
      <w:r>
        <w:rPr>
          <w:rStyle w:val="Nessuno"/>
          <w:i/>
          <w:iCs/>
        </w:rPr>
        <w:t xml:space="preserve"> </w:t>
      </w:r>
      <w:proofErr w:type="spellStart"/>
      <w:r>
        <w:rPr>
          <w:rStyle w:val="Nessuno"/>
          <w:i/>
          <w:iCs/>
        </w:rPr>
        <w:t>Medicinals</w:t>
      </w:r>
      <w:proofErr w:type="spellEnd"/>
      <w:r>
        <w:rPr>
          <w:rStyle w:val="Nessuno"/>
        </w:rPr>
        <w:t xml:space="preserve"> – EDQM) ha rilasciato al produttore proposto il certificato di conformità alla Farmacopea Europea, il quale riporta un sito per la produzione della sostanza attiva.  </w:t>
      </w:r>
    </w:p>
    <w:p w:rsidR="003E15EB" w:rsidRDefault="00B648E7">
      <w:pPr>
        <w:spacing w:after="0" w:line="240" w:lineRule="auto"/>
        <w:jc w:val="both"/>
        <w:rPr>
          <w:rStyle w:val="Nessuno"/>
        </w:rPr>
      </w:pPr>
      <w:r>
        <w:rPr>
          <w:rStyle w:val="Nessuno"/>
        </w:rPr>
        <w:t xml:space="preserve">Tutti gli aspetti di produzione e controllo sono coperti dal certificato di conformità alla Farmacopea Europea. </w:t>
      </w:r>
    </w:p>
    <w:p w:rsidR="003E15EB" w:rsidRDefault="003E15EB">
      <w:pPr>
        <w:spacing w:after="0" w:line="240" w:lineRule="auto"/>
        <w:jc w:val="both"/>
        <w:rPr>
          <w:b/>
        </w:rPr>
      </w:pPr>
    </w:p>
    <w:p w:rsidR="003E15EB" w:rsidRDefault="00B648E7">
      <w:pPr>
        <w:spacing w:after="0" w:line="240" w:lineRule="auto"/>
        <w:jc w:val="both"/>
        <w:rPr>
          <w:b/>
        </w:rPr>
      </w:pPr>
      <w:r>
        <w:rPr>
          <w:b/>
        </w:rPr>
        <w:t>II.2 PRODOTTO FINITO</w:t>
      </w:r>
    </w:p>
    <w:p w:rsidR="003E15EB" w:rsidRDefault="00B648E7">
      <w:pPr>
        <w:spacing w:after="0" w:line="240" w:lineRule="auto"/>
        <w:jc w:val="both"/>
        <w:rPr>
          <w:b/>
        </w:rPr>
      </w:pPr>
      <w:r>
        <w:rPr>
          <w:b/>
        </w:rPr>
        <w:t>Descrizione e composizione</w:t>
      </w:r>
    </w:p>
    <w:p w:rsidR="003E15EB" w:rsidRDefault="00B648E7">
      <w:pPr>
        <w:spacing w:after="0" w:line="240" w:lineRule="auto"/>
        <w:jc w:val="both"/>
      </w:pPr>
      <w:r>
        <w:t>PIOGLITAZONE E METFORMINA EG è disponibile in compresse rivestite con film nel dosaggio 15 mg/850  mg.</w:t>
      </w:r>
    </w:p>
    <w:p w:rsidR="003E15EB" w:rsidRDefault="00B648E7">
      <w:pPr>
        <w:widowControl w:val="0"/>
        <w:spacing w:after="0" w:line="240" w:lineRule="auto"/>
        <w:jc w:val="both"/>
        <w:rPr>
          <w:rFonts w:eastAsia="Calibri" w:cs="Calibri"/>
          <w:color w:val="000000"/>
          <w:lang w:eastAsia="it-IT"/>
        </w:rPr>
      </w:pPr>
      <w:r>
        <w:rPr>
          <w:rFonts w:eastAsia="Calibri" w:cs="Arial"/>
          <w:bCs/>
          <w:color w:val="000000"/>
          <w:lang w:eastAsia="it-IT"/>
        </w:rPr>
        <w:t>Le compresse sono di colore da bianco a biancastro, a forma di capsula, biconvesse, rivestite con film, con impresso '15/850' su un lato e '1281' sull’altro lato.</w:t>
      </w:r>
    </w:p>
    <w:p w:rsidR="003E15EB" w:rsidRDefault="003E15EB">
      <w:pPr>
        <w:widowControl w:val="0"/>
        <w:spacing w:after="0" w:line="240" w:lineRule="auto"/>
        <w:jc w:val="both"/>
        <w:rPr>
          <w:rFonts w:eastAsia="Calibri" w:cs="Calibri"/>
          <w:color w:val="000000"/>
          <w:lang w:eastAsia="it-IT"/>
        </w:rPr>
      </w:pPr>
    </w:p>
    <w:p w:rsidR="003E15EB" w:rsidRDefault="00B648E7">
      <w:pPr>
        <w:spacing w:after="0" w:line="240" w:lineRule="auto"/>
        <w:jc w:val="both"/>
        <w:rPr>
          <w:rFonts w:eastAsia="Calibri" w:cs="Calibri"/>
          <w:color w:val="000000"/>
          <w:lang w:eastAsia="it-IT"/>
        </w:rPr>
      </w:pPr>
      <w:r>
        <w:rPr>
          <w:rFonts w:eastAsia="Calibri" w:cs="Calibri"/>
          <w:color w:val="000000"/>
          <w:lang w:eastAsia="it-IT"/>
        </w:rPr>
        <w:t>Gli eccipienti sono i seguenti: c</w:t>
      </w:r>
      <w:r>
        <w:rPr>
          <w:rFonts w:eastAsia="Calibri" w:cs="Arial"/>
          <w:color w:val="000000"/>
          <w:lang w:eastAsia="it-IT"/>
        </w:rPr>
        <w:t xml:space="preserve">ellulosa microcristallina (PH 101), </w:t>
      </w:r>
      <w:proofErr w:type="spellStart"/>
      <w:r>
        <w:rPr>
          <w:rFonts w:eastAsia="Calibri" w:cs="Arial"/>
          <w:color w:val="000000"/>
          <w:lang w:eastAsia="it-IT"/>
        </w:rPr>
        <w:t>p</w:t>
      </w:r>
      <w:r>
        <w:rPr>
          <w:rFonts w:cs="Arial"/>
        </w:rPr>
        <w:t>ovidone</w:t>
      </w:r>
      <w:proofErr w:type="spellEnd"/>
      <w:r>
        <w:rPr>
          <w:rFonts w:cs="Arial"/>
        </w:rPr>
        <w:t xml:space="preserve"> (K 30), </w:t>
      </w:r>
      <w:proofErr w:type="spellStart"/>
      <w:r>
        <w:rPr>
          <w:rFonts w:cs="Arial"/>
        </w:rPr>
        <w:t>croscarmellosa</w:t>
      </w:r>
      <w:proofErr w:type="spellEnd"/>
      <w:r>
        <w:rPr>
          <w:rFonts w:cs="Arial"/>
        </w:rPr>
        <w:t xml:space="preserve"> sodica, magnesio stearato e acqua depurata per il nucleo della compressa; </w:t>
      </w:r>
      <w:proofErr w:type="spellStart"/>
      <w:r>
        <w:rPr>
          <w:rFonts w:cs="Arial"/>
        </w:rPr>
        <w:t>ipromellosa</w:t>
      </w:r>
      <w:proofErr w:type="spellEnd"/>
      <w:r>
        <w:rPr>
          <w:rFonts w:cs="Arial"/>
        </w:rPr>
        <w:t xml:space="preserve"> 2910 (6 </w:t>
      </w:r>
      <w:proofErr w:type="spellStart"/>
      <w:r>
        <w:rPr>
          <w:rFonts w:cs="Arial"/>
        </w:rPr>
        <w:t>cps</w:t>
      </w:r>
      <w:proofErr w:type="spellEnd"/>
      <w:r>
        <w:rPr>
          <w:rFonts w:cs="Arial"/>
        </w:rPr>
        <w:t>), macrogol 8000, talco, titanio diossido (E171) e a</w:t>
      </w:r>
      <w:r>
        <w:rPr>
          <w:rFonts w:eastAsia="Calibri" w:cs="Arial"/>
          <w:color w:val="000000"/>
          <w:lang w:eastAsia="it-IT"/>
        </w:rPr>
        <w:t>cqua depurata</w:t>
      </w:r>
      <w:r>
        <w:rPr>
          <w:rFonts w:eastAsia="Calibri" w:cs="Calibri"/>
          <w:color w:val="000000"/>
          <w:lang w:eastAsia="it-IT"/>
        </w:rPr>
        <w:t xml:space="preserve"> per il film di rivestimento.</w:t>
      </w:r>
    </w:p>
    <w:p w:rsidR="003E15EB" w:rsidRDefault="00B648E7">
      <w:pPr>
        <w:spacing w:after="0" w:line="240" w:lineRule="auto"/>
        <w:jc w:val="both"/>
        <w:rPr>
          <w:rFonts w:ascii="Calibri" w:hAnsi="Calibri"/>
        </w:rPr>
      </w:pPr>
      <w:r>
        <w:t>La qualità degli eccipienti utilizzati nelle formulazioni è assicurata da adeguate specifiche e metodi analitici di controllo.  E’ stata fornita una dichiarazione relativa all’assenza del rischio BSE/TSE. Nessun eccipiente è ottenuto da organismi geneticamente modificati; non sono presenti eccipienti mai utilizzati nell’uomo.</w:t>
      </w:r>
    </w:p>
    <w:p w:rsidR="003E15EB" w:rsidRDefault="003E15EB">
      <w:pPr>
        <w:spacing w:after="0" w:line="240" w:lineRule="auto"/>
        <w:contextualSpacing/>
        <w:jc w:val="both"/>
        <w:rPr>
          <w:rFonts w:ascii="Calibri" w:hAnsi="Calibri"/>
          <w:highlight w:val="yellow"/>
        </w:rPr>
      </w:pPr>
    </w:p>
    <w:p w:rsidR="003E15EB" w:rsidRDefault="00B648E7">
      <w:pPr>
        <w:spacing w:after="0" w:line="240" w:lineRule="auto"/>
        <w:jc w:val="both"/>
        <w:rPr>
          <w:b/>
        </w:rPr>
      </w:pPr>
      <w:r>
        <w:rPr>
          <w:b/>
          <w:color w:val="000000"/>
        </w:rPr>
        <w:t>Sviluppo farmaceutico</w:t>
      </w:r>
    </w:p>
    <w:p w:rsidR="003E15EB" w:rsidRDefault="00B648E7">
      <w:pPr>
        <w:spacing w:after="0" w:line="240" w:lineRule="auto"/>
        <w:jc w:val="both"/>
        <w:rPr>
          <w:rFonts w:ascii="Calibri" w:hAnsi="Calibri"/>
        </w:rPr>
      </w:pPr>
      <w:r>
        <w:rPr>
          <w:color w:val="000000"/>
        </w:rPr>
        <w:t>Sono stati forniti dettagli dello sviluppo farmaceutico e questi sono stati ritenuti soddisfacenti.</w:t>
      </w:r>
    </w:p>
    <w:p w:rsidR="003E15EB" w:rsidRDefault="003E15EB">
      <w:pPr>
        <w:spacing w:after="0" w:line="240" w:lineRule="auto"/>
        <w:jc w:val="both"/>
        <w:rPr>
          <w:rFonts w:ascii="Calibri" w:hAnsi="Calibri"/>
        </w:rPr>
      </w:pPr>
    </w:p>
    <w:p w:rsidR="003E15EB" w:rsidRDefault="00B648E7">
      <w:pPr>
        <w:spacing w:after="0" w:line="240" w:lineRule="auto"/>
        <w:jc w:val="both"/>
        <w:rPr>
          <w:b/>
        </w:rPr>
      </w:pPr>
      <w:r>
        <w:rPr>
          <w:b/>
          <w:color w:val="000000"/>
        </w:rPr>
        <w:t xml:space="preserve">Produzione </w:t>
      </w:r>
    </w:p>
    <w:p w:rsidR="003E15EB" w:rsidRDefault="00B648E7">
      <w:pPr>
        <w:spacing w:after="0" w:line="240" w:lineRule="auto"/>
        <w:jc w:val="both"/>
        <w:rPr>
          <w:rFonts w:ascii="Calibri" w:hAnsi="Calibri"/>
        </w:rPr>
      </w:pPr>
      <w:r>
        <w:rPr>
          <w:color w:val="000000"/>
        </w:rPr>
        <w:t>Sono stati forniti una descrizione del metodo di produzione e la relativa flow-chart.</w:t>
      </w:r>
    </w:p>
    <w:p w:rsidR="003E15EB" w:rsidRDefault="00B648E7">
      <w:pPr>
        <w:spacing w:after="0" w:line="240" w:lineRule="auto"/>
        <w:jc w:val="both"/>
        <w:rPr>
          <w:rFonts w:ascii="Calibri" w:hAnsi="Calibri"/>
        </w:rPr>
      </w:pPr>
      <w:r>
        <w:rPr>
          <w:color w:val="000000"/>
        </w:rPr>
        <w:t>I controlli effettuati nel corso della produzione sono appropriati per la natura del medicinale e del metodo di produzione. Sono stati forniti, inoltre, dati soddisfacenti relativi alla convalida del metodo di produzione.</w:t>
      </w:r>
    </w:p>
    <w:p w:rsidR="003E15EB" w:rsidRDefault="003E15EB">
      <w:pPr>
        <w:spacing w:after="0" w:line="240" w:lineRule="auto"/>
        <w:jc w:val="both"/>
        <w:rPr>
          <w:rFonts w:ascii="Calibri" w:hAnsi="Calibri"/>
          <w:highlight w:val="yellow"/>
        </w:rPr>
      </w:pPr>
    </w:p>
    <w:p w:rsidR="003E15EB" w:rsidRDefault="00B648E7">
      <w:pPr>
        <w:spacing w:after="0" w:line="240" w:lineRule="auto"/>
        <w:jc w:val="both"/>
        <w:rPr>
          <w:b/>
        </w:rPr>
      </w:pPr>
      <w:r>
        <w:rPr>
          <w:b/>
        </w:rPr>
        <w:t>Specifiche del prodotto finito</w:t>
      </w:r>
    </w:p>
    <w:p w:rsidR="003E15EB" w:rsidRDefault="00B648E7">
      <w:pPr>
        <w:spacing w:after="0" w:line="240" w:lineRule="auto"/>
        <w:jc w:val="both"/>
        <w:rPr>
          <w:rFonts w:ascii="Calibri" w:hAnsi="Calibri"/>
        </w:rPr>
      </w:pPr>
      <w:r>
        <w:t>Sono state fornite adeguate specifiche di controllo per il prodotto finito al rilascio e alla fine della validità. I metodi analitici sono stati descritti e adeguatamente convalidati. Sono stati forniti, inoltre, dati analitici per il prodotto finito: questi dati dimostrano che i lotti prodotti sono in accordo alle specifiche proposte. Sono stati forniti, infine, certificati analitici per gli standard di riferimento utilizzati.</w:t>
      </w:r>
    </w:p>
    <w:p w:rsidR="003E15EB" w:rsidRDefault="003E15EB">
      <w:pPr>
        <w:spacing w:after="0" w:line="240" w:lineRule="auto"/>
        <w:jc w:val="both"/>
        <w:rPr>
          <w:b/>
        </w:rPr>
      </w:pPr>
    </w:p>
    <w:p w:rsidR="003E15EB" w:rsidRDefault="00B648E7">
      <w:pPr>
        <w:spacing w:after="0" w:line="240" w:lineRule="auto"/>
        <w:jc w:val="both"/>
        <w:rPr>
          <w:b/>
        </w:rPr>
      </w:pPr>
      <w:r>
        <w:rPr>
          <w:b/>
        </w:rPr>
        <w:t>Contenitore</w:t>
      </w:r>
    </w:p>
    <w:p w:rsidR="003E15EB" w:rsidRDefault="00B648E7">
      <w:pPr>
        <w:spacing w:after="0" w:line="240" w:lineRule="auto"/>
        <w:jc w:val="both"/>
        <w:rPr>
          <w:rFonts w:ascii="Calibri" w:hAnsi="Calibri"/>
        </w:rPr>
      </w:pPr>
      <w:r>
        <w:t>PIOGLITAZONE E METFORMINA EG è confezionato in blister di Al/Al. Sono state fornite specifiche e certificati analitici per tutti i componenti del confezionamento primario, che è adeguato per il medicinale.</w:t>
      </w:r>
    </w:p>
    <w:p w:rsidR="003E15EB" w:rsidRDefault="003E15EB">
      <w:pPr>
        <w:spacing w:after="0" w:line="240" w:lineRule="auto"/>
        <w:jc w:val="both"/>
        <w:rPr>
          <w:rFonts w:ascii="Calibri" w:hAnsi="Calibri"/>
        </w:rPr>
      </w:pPr>
    </w:p>
    <w:p w:rsidR="003E15EB" w:rsidRDefault="00B648E7">
      <w:pPr>
        <w:spacing w:after="0" w:line="240" w:lineRule="auto"/>
        <w:jc w:val="both"/>
        <w:rPr>
          <w:b/>
        </w:rPr>
      </w:pPr>
      <w:r>
        <w:rPr>
          <w:b/>
        </w:rPr>
        <w:t>Stabilità</w:t>
      </w:r>
    </w:p>
    <w:p w:rsidR="003E15EB" w:rsidRDefault="00B648E7">
      <w:pPr>
        <w:spacing w:after="0" w:line="240" w:lineRule="auto"/>
        <w:jc w:val="both"/>
        <w:rPr>
          <w:rFonts w:ascii="Calibri" w:hAnsi="Calibri"/>
        </w:rPr>
      </w:pPr>
      <w:r>
        <w:t>Studi di stabilità sul prodotto finito sono stati condotti in accordo alle correnti linee guida e i risultati sono entro i limiti delle specifiche autorizzate. Sulla base di questi risultati, è stato autorizzato un periodo di validità di 2 anni per PIOGLITAZONE E METFORMINA EG senza alcuna condizione particolare prevista per la conservazione.</w:t>
      </w:r>
    </w:p>
    <w:p w:rsidR="003E15EB" w:rsidRDefault="003E15EB">
      <w:pPr>
        <w:spacing w:after="0" w:line="240" w:lineRule="auto"/>
        <w:jc w:val="both"/>
        <w:rPr>
          <w:rFonts w:ascii="Calibri" w:hAnsi="Calibri"/>
        </w:rPr>
      </w:pPr>
    </w:p>
    <w:p w:rsidR="003E15EB" w:rsidRDefault="00B648E7">
      <w:pPr>
        <w:spacing w:after="0" w:line="240" w:lineRule="auto"/>
        <w:jc w:val="both"/>
        <w:rPr>
          <w:b/>
        </w:rPr>
      </w:pPr>
      <w:r>
        <w:rPr>
          <w:b/>
        </w:rPr>
        <w:t>II.3 Discussione sugli aspetti di qualità</w:t>
      </w:r>
    </w:p>
    <w:p w:rsidR="003E15EB" w:rsidRDefault="00B648E7">
      <w:pPr>
        <w:spacing w:after="0" w:line="240" w:lineRule="auto"/>
        <w:jc w:val="both"/>
        <w:rPr>
          <w:rFonts w:ascii="Calibri" w:hAnsi="Calibri"/>
        </w:rPr>
      </w:pPr>
      <w:r>
        <w:t>Tutte le criticità evidenziate nel corso della valutazione sono state risolte e la qualità di PIOGLITAZONE E METFORMINA EG è considerata adeguata. Non ci sono obiezioni per l’approvazione di PIOGLITAZONE E METFORMINA EG dal punto di vista chimico-farmaceutico.</w:t>
      </w:r>
    </w:p>
    <w:p w:rsidR="003E15EB" w:rsidRDefault="003E15EB">
      <w:pPr>
        <w:spacing w:after="0" w:line="240" w:lineRule="auto"/>
        <w:jc w:val="both"/>
        <w:rPr>
          <w:rFonts w:ascii="Calibri" w:hAnsi="Calibri"/>
        </w:rPr>
      </w:pPr>
    </w:p>
    <w:p w:rsidR="003E15EB" w:rsidRDefault="003E15EB">
      <w:pPr>
        <w:spacing w:after="0" w:line="240" w:lineRule="auto"/>
        <w:jc w:val="both"/>
        <w:rPr>
          <w:rFonts w:ascii="Calibri" w:hAnsi="Calibri"/>
        </w:rPr>
      </w:pPr>
    </w:p>
    <w:p w:rsidR="003E15EB" w:rsidRDefault="00B648E7">
      <w:pPr>
        <w:pStyle w:val="Paragrafoelenco"/>
        <w:numPr>
          <w:ilvl w:val="0"/>
          <w:numId w:val="2"/>
        </w:numPr>
        <w:spacing w:after="0" w:line="240" w:lineRule="auto"/>
        <w:jc w:val="both"/>
        <w:rPr>
          <w:b/>
        </w:rPr>
      </w:pPr>
      <w:r>
        <w:rPr>
          <w:b/>
        </w:rPr>
        <w:t>ASPETTI NON CLINICI</w:t>
      </w:r>
    </w:p>
    <w:p w:rsidR="003E15EB" w:rsidRDefault="00B648E7">
      <w:pPr>
        <w:spacing w:after="0" w:line="240" w:lineRule="auto"/>
        <w:jc w:val="both"/>
        <w:rPr>
          <w:rFonts w:ascii="Calibri" w:hAnsi="Calibri"/>
        </w:rPr>
      </w:pPr>
      <w:r>
        <w:t xml:space="preserve">Non sono stati condotti specifici studi non clinici, in quanto PIOGLITAZONE E METFORMINA EG contiene  principi attivi noti: questo approccio è accettabile poiché il medicinale di riferimento </w:t>
      </w:r>
      <w:proofErr w:type="spellStart"/>
      <w:r>
        <w:t>Competact</w:t>
      </w:r>
      <w:proofErr w:type="spellEnd"/>
      <w:r>
        <w:t xml:space="preserve"> è autorizzato in Italia da oltre dieci anni. Non ci sono obiezioni per l’approvazione dal punto di vista non clinico.</w:t>
      </w:r>
    </w:p>
    <w:p w:rsidR="003E15EB" w:rsidRDefault="003E15EB">
      <w:pPr>
        <w:spacing w:after="0" w:line="240" w:lineRule="auto"/>
        <w:jc w:val="both"/>
        <w:rPr>
          <w:rFonts w:ascii="Calibri" w:hAnsi="Calibri"/>
        </w:rPr>
      </w:pPr>
    </w:p>
    <w:p w:rsidR="003E15EB" w:rsidRDefault="003E15EB">
      <w:pPr>
        <w:spacing w:after="0" w:line="240" w:lineRule="auto"/>
        <w:jc w:val="both"/>
        <w:rPr>
          <w:rFonts w:ascii="Calibri" w:hAnsi="Calibri"/>
        </w:rPr>
      </w:pPr>
    </w:p>
    <w:p w:rsidR="003E15EB" w:rsidRDefault="00B648E7">
      <w:pPr>
        <w:pStyle w:val="Paragrafoelenco"/>
        <w:numPr>
          <w:ilvl w:val="0"/>
          <w:numId w:val="2"/>
        </w:numPr>
        <w:spacing w:after="0" w:line="240" w:lineRule="auto"/>
        <w:jc w:val="both"/>
        <w:rPr>
          <w:b/>
        </w:rPr>
      </w:pPr>
      <w:r>
        <w:rPr>
          <w:b/>
        </w:rPr>
        <w:t>ASPETTI CLINICI</w:t>
      </w:r>
    </w:p>
    <w:p w:rsidR="003E15EB" w:rsidRDefault="003E15EB">
      <w:pPr>
        <w:keepNext/>
        <w:spacing w:after="0" w:line="240" w:lineRule="auto"/>
        <w:jc w:val="both"/>
        <w:rPr>
          <w:rFonts w:ascii="Calibri" w:eastAsia="Calibri" w:hAnsi="Calibri" w:cs="Times New Roman"/>
        </w:rPr>
      </w:pPr>
    </w:p>
    <w:p w:rsidR="003E15EB" w:rsidRDefault="00B648E7">
      <w:pPr>
        <w:keepNext/>
        <w:spacing w:after="0" w:line="240" w:lineRule="auto"/>
        <w:jc w:val="both"/>
        <w:rPr>
          <w:rFonts w:ascii="Calibri" w:eastAsia="Calibri" w:hAnsi="Calibri" w:cs="Times New Roman"/>
        </w:rPr>
      </w:pPr>
      <w:r>
        <w:rPr>
          <w:rFonts w:eastAsia="Calibri" w:cs="Times New Roman"/>
          <w:bCs/>
        </w:rPr>
        <w:t>Non ci sono obiezioni per l’approvazione dal punto di vista clinico.</w:t>
      </w:r>
    </w:p>
    <w:p w:rsidR="003E15EB" w:rsidRDefault="003E15EB">
      <w:pPr>
        <w:spacing w:after="0" w:line="240" w:lineRule="auto"/>
        <w:jc w:val="both"/>
        <w:rPr>
          <w:rFonts w:ascii="Calibri" w:eastAsia="Calibri" w:hAnsi="Calibri" w:cs="Times New Roman"/>
        </w:rPr>
      </w:pPr>
    </w:p>
    <w:p w:rsidR="003E15EB" w:rsidRDefault="00B648E7">
      <w:pPr>
        <w:spacing w:after="0" w:line="240" w:lineRule="auto"/>
        <w:jc w:val="both"/>
        <w:rPr>
          <w:rFonts w:ascii="Calibri" w:eastAsia="Calibri" w:hAnsi="Calibri" w:cs="Times New Roman"/>
        </w:rPr>
      </w:pPr>
      <w:r>
        <w:rPr>
          <w:rFonts w:eastAsia="Calibri" w:cs="Times New Roman"/>
        </w:rPr>
        <w:t xml:space="preserve">PIOGLITAZONE E METFORMINA EG è indicato </w:t>
      </w:r>
      <w:r>
        <w:rPr>
          <w:rFonts w:eastAsia="Calibri" w:cs="Times New Roman"/>
          <w:bCs/>
        </w:rPr>
        <w:t xml:space="preserve">nel trattamento di seconda linea di pazienti adulti con diabete mellito di tipo 2, particolarmente nei pazienti in sovrappeso che non sono in grado di ottenere un sufficiente controllo glicemico con le dosi massime tollerate della sola </w:t>
      </w:r>
      <w:proofErr w:type="spellStart"/>
      <w:r>
        <w:rPr>
          <w:rFonts w:eastAsia="Calibri" w:cs="Times New Roman"/>
          <w:bCs/>
        </w:rPr>
        <w:t>metformina</w:t>
      </w:r>
      <w:proofErr w:type="spellEnd"/>
      <w:r>
        <w:rPr>
          <w:rFonts w:eastAsia="Calibri" w:cs="Times New Roman"/>
          <w:bCs/>
        </w:rPr>
        <w:t xml:space="preserve"> orale.</w:t>
      </w:r>
    </w:p>
    <w:p w:rsidR="003E15EB" w:rsidRDefault="003E15EB">
      <w:pPr>
        <w:spacing w:after="0" w:line="240" w:lineRule="auto"/>
        <w:jc w:val="both"/>
        <w:rPr>
          <w:rFonts w:ascii="Calibri" w:eastAsia="Calibri" w:hAnsi="Calibri" w:cs="Times New Roman"/>
          <w:bCs/>
        </w:rPr>
      </w:pPr>
    </w:p>
    <w:p w:rsidR="003E15EB" w:rsidRDefault="00B648E7">
      <w:pPr>
        <w:spacing w:after="0" w:line="240" w:lineRule="auto"/>
        <w:jc w:val="both"/>
        <w:rPr>
          <w:rFonts w:ascii="Calibri" w:eastAsia="Calibri" w:hAnsi="Calibri" w:cs="Times New Roman"/>
        </w:rPr>
      </w:pPr>
      <w:r>
        <w:rPr>
          <w:rFonts w:eastAsia="Calibri" w:cs="Times New Roman"/>
          <w:bCs/>
        </w:rPr>
        <w:t xml:space="preserve">Dopo l’inizio della terapia con </w:t>
      </w:r>
      <w:proofErr w:type="spellStart"/>
      <w:r>
        <w:rPr>
          <w:rFonts w:eastAsia="Calibri" w:cs="Times New Roman"/>
          <w:bCs/>
        </w:rPr>
        <w:t>pioglitazone</w:t>
      </w:r>
      <w:proofErr w:type="spellEnd"/>
      <w:r>
        <w:rPr>
          <w:rFonts w:eastAsia="Calibri" w:cs="Times New Roman"/>
          <w:bCs/>
        </w:rPr>
        <w:t xml:space="preserve">, i pazienti devono essere rivalutati dopo 3-6 mesi per verificare l’adeguatezza della risposta al trattamento (ad esempio, la riduzione della emoglobina </w:t>
      </w:r>
      <w:proofErr w:type="spellStart"/>
      <w:r>
        <w:rPr>
          <w:rFonts w:eastAsia="Calibri" w:cs="Times New Roman"/>
          <w:bCs/>
        </w:rPr>
        <w:t>glicata</w:t>
      </w:r>
      <w:proofErr w:type="spellEnd"/>
      <w:r>
        <w:rPr>
          <w:rFonts w:eastAsia="Calibri" w:cs="Times New Roman"/>
          <w:bCs/>
        </w:rPr>
        <w:t xml:space="preserve">, HbA1c). Nei pazienti che non rispondono adeguatamente, il trattamento con </w:t>
      </w:r>
      <w:proofErr w:type="spellStart"/>
      <w:r>
        <w:rPr>
          <w:rFonts w:eastAsia="Calibri" w:cs="Times New Roman"/>
          <w:bCs/>
        </w:rPr>
        <w:t>pioglitazone</w:t>
      </w:r>
      <w:proofErr w:type="spellEnd"/>
      <w:r>
        <w:rPr>
          <w:rFonts w:eastAsia="Calibri" w:cs="Times New Roman"/>
          <w:bCs/>
        </w:rPr>
        <w:t xml:space="preserve"> deve essere interrotto. Alla luce dei potenziali rischi di una terapia prolungata, i </w:t>
      </w:r>
      <w:proofErr w:type="spellStart"/>
      <w:r>
        <w:rPr>
          <w:rFonts w:eastAsia="Calibri" w:cs="Times New Roman"/>
          <w:bCs/>
        </w:rPr>
        <w:t>prescrittori</w:t>
      </w:r>
      <w:proofErr w:type="spellEnd"/>
      <w:r>
        <w:rPr>
          <w:rFonts w:eastAsia="Calibri" w:cs="Times New Roman"/>
          <w:bCs/>
        </w:rPr>
        <w:t xml:space="preserve"> devono confermare, in occasione delle visite successive, che i benefici del trattamento con </w:t>
      </w:r>
      <w:proofErr w:type="spellStart"/>
      <w:r>
        <w:rPr>
          <w:rFonts w:eastAsia="Calibri" w:cs="Times New Roman"/>
          <w:bCs/>
        </w:rPr>
        <w:t>pioglitazone</w:t>
      </w:r>
      <w:proofErr w:type="spellEnd"/>
      <w:r>
        <w:rPr>
          <w:rFonts w:eastAsia="Calibri" w:cs="Times New Roman"/>
          <w:bCs/>
        </w:rPr>
        <w:t xml:space="preserve"> siano mantenuti.</w:t>
      </w:r>
    </w:p>
    <w:p w:rsidR="003E15EB" w:rsidRDefault="003E15EB">
      <w:pPr>
        <w:spacing w:after="0" w:line="240" w:lineRule="auto"/>
        <w:ind w:right="6"/>
        <w:jc w:val="both"/>
        <w:rPr>
          <w:b/>
        </w:rPr>
      </w:pPr>
    </w:p>
    <w:p w:rsidR="003E15EB" w:rsidRDefault="00B648E7">
      <w:pPr>
        <w:spacing w:after="0" w:line="240" w:lineRule="auto"/>
        <w:ind w:right="6"/>
        <w:jc w:val="both"/>
        <w:rPr>
          <w:b/>
        </w:rPr>
      </w:pPr>
      <w:r>
        <w:rPr>
          <w:b/>
        </w:rPr>
        <w:t>Posologia e modalità di somministrazione</w:t>
      </w:r>
    </w:p>
    <w:p w:rsidR="003E15EB" w:rsidRDefault="00B648E7">
      <w:pPr>
        <w:spacing w:after="0" w:line="240" w:lineRule="auto"/>
        <w:ind w:right="6"/>
        <w:jc w:val="both"/>
        <w:rPr>
          <w:rFonts w:eastAsia="Calibri" w:cs="Calibri"/>
          <w:lang w:eastAsia="it-IT"/>
        </w:rPr>
      </w:pPr>
      <w:r>
        <w:t xml:space="preserve">Le informazioni sulla posologia e sulle modalità di somministrazione sono riportate nel Riassunto delle Caratteristiche del Prodotto pubblicato sul sito dell’Agenzia Italiana del Farmaco - AIFA </w:t>
      </w:r>
      <w:r>
        <w:rPr>
          <w:rFonts w:eastAsia="Calibri" w:cs="Calibri"/>
          <w:lang w:eastAsia="it-IT"/>
        </w:rPr>
        <w:t>(</w:t>
      </w:r>
      <w:hyperlink r:id="rId12">
        <w:r>
          <w:rPr>
            <w:color w:val="0000FF"/>
            <w:u w:val="single"/>
          </w:rPr>
          <w:t>https://farmaci.agenziafarmaco.gov.it/bancadatifarmaci/home</w:t>
        </w:r>
      </w:hyperlink>
    </w:p>
    <w:p w:rsidR="003E15EB" w:rsidRDefault="003E15EB">
      <w:pPr>
        <w:spacing w:after="0" w:line="240" w:lineRule="auto"/>
        <w:ind w:right="6"/>
        <w:jc w:val="both"/>
        <w:rPr>
          <w:rFonts w:eastAsia="Calibri" w:cs="Calibri"/>
          <w:lang w:eastAsia="it-IT"/>
        </w:rPr>
      </w:pPr>
    </w:p>
    <w:p w:rsidR="003E15EB" w:rsidRDefault="00B648E7">
      <w:pPr>
        <w:spacing w:after="0" w:line="240" w:lineRule="auto"/>
        <w:ind w:right="6"/>
        <w:jc w:val="both"/>
        <w:rPr>
          <w:rFonts w:eastAsia="Calibri" w:cs="Calibri"/>
          <w:b/>
          <w:lang w:eastAsia="it-IT"/>
        </w:rPr>
      </w:pPr>
      <w:r>
        <w:rPr>
          <w:rFonts w:eastAsia="Calibri" w:cs="Calibri"/>
          <w:b/>
          <w:lang w:eastAsia="it-IT"/>
        </w:rPr>
        <w:t>Tossicologia</w:t>
      </w:r>
    </w:p>
    <w:p w:rsidR="003E15EB" w:rsidRDefault="00B648E7">
      <w:pPr>
        <w:spacing w:after="0" w:line="240" w:lineRule="auto"/>
        <w:ind w:right="6"/>
        <w:jc w:val="both"/>
        <w:rPr>
          <w:rFonts w:eastAsia="Calibri" w:cs="Calibri"/>
          <w:lang w:eastAsia="it-IT"/>
        </w:rPr>
      </w:pPr>
      <w:r>
        <w:rPr>
          <w:rFonts w:eastAsia="Calibri" w:cs="Calibri"/>
          <w:lang w:eastAsia="it-IT"/>
        </w:rPr>
        <w:t xml:space="preserve">La tossicologia di </w:t>
      </w:r>
      <w:proofErr w:type="spellStart"/>
      <w:r>
        <w:rPr>
          <w:rFonts w:eastAsia="Calibri" w:cs="Times New Roman"/>
        </w:rPr>
        <w:t>pioglitazone</w:t>
      </w:r>
      <w:proofErr w:type="spellEnd"/>
      <w:r>
        <w:rPr>
          <w:rFonts w:eastAsia="Calibri" w:cs="Times New Roman"/>
        </w:rPr>
        <w:t xml:space="preserve"> e </w:t>
      </w:r>
      <w:proofErr w:type="spellStart"/>
      <w:r>
        <w:rPr>
          <w:rFonts w:eastAsia="Calibri" w:cs="Times New Roman"/>
        </w:rPr>
        <w:t>metformina</w:t>
      </w:r>
      <w:proofErr w:type="spellEnd"/>
      <w:r>
        <w:rPr>
          <w:rFonts w:eastAsia="Calibri" w:cs="Times New Roman"/>
        </w:rPr>
        <w:t xml:space="preserve"> </w:t>
      </w:r>
      <w:r>
        <w:rPr>
          <w:rFonts w:eastAsia="Calibri" w:cs="Calibri"/>
          <w:lang w:eastAsia="it-IT"/>
        </w:rPr>
        <w:t>è ben conosciuta; non è stato necessario presentare ulteriori dati.</w:t>
      </w:r>
    </w:p>
    <w:p w:rsidR="003E15EB" w:rsidRDefault="003E15EB">
      <w:pPr>
        <w:spacing w:after="0" w:line="240" w:lineRule="auto"/>
        <w:ind w:right="6"/>
        <w:jc w:val="both"/>
        <w:rPr>
          <w:rFonts w:eastAsia="Calibri" w:cs="Calibri"/>
          <w:lang w:eastAsia="it-IT"/>
        </w:rPr>
      </w:pPr>
    </w:p>
    <w:p w:rsidR="003E15EB" w:rsidRDefault="00B648E7">
      <w:pPr>
        <w:spacing w:after="0" w:line="240" w:lineRule="auto"/>
        <w:ind w:right="6"/>
        <w:jc w:val="both"/>
        <w:rPr>
          <w:rFonts w:eastAsia="Times New Roman" w:cs="Times New Roman"/>
          <w:b/>
        </w:rPr>
      </w:pPr>
      <w:r>
        <w:rPr>
          <w:rFonts w:eastAsia="Times New Roman" w:cs="Times New Roman"/>
          <w:b/>
        </w:rPr>
        <w:t>Farmacologia clinica</w:t>
      </w:r>
    </w:p>
    <w:p w:rsidR="003E15EB" w:rsidRDefault="00B648E7">
      <w:pPr>
        <w:keepNext/>
        <w:jc w:val="both"/>
        <w:rPr>
          <w:rFonts w:ascii="Calibri" w:eastAsia="Calibri" w:hAnsi="Calibri" w:cs="Times New Roman"/>
        </w:rPr>
      </w:pPr>
      <w:r>
        <w:rPr>
          <w:rFonts w:eastAsia="Calibri" w:cs="Calibri"/>
          <w:lang w:eastAsia="it-IT"/>
        </w:rPr>
        <w:t xml:space="preserve">La farmacologia clinica di </w:t>
      </w:r>
      <w:proofErr w:type="spellStart"/>
      <w:r>
        <w:rPr>
          <w:rFonts w:eastAsia="Calibri" w:cs="Calibri"/>
          <w:lang w:eastAsia="it-IT"/>
        </w:rPr>
        <w:t>pioglitazone</w:t>
      </w:r>
      <w:proofErr w:type="spellEnd"/>
      <w:r>
        <w:rPr>
          <w:rFonts w:eastAsia="Calibri" w:cs="Calibri"/>
          <w:lang w:eastAsia="it-IT"/>
        </w:rPr>
        <w:t xml:space="preserve"> e </w:t>
      </w:r>
      <w:proofErr w:type="spellStart"/>
      <w:r>
        <w:rPr>
          <w:rFonts w:eastAsia="Calibri" w:cs="Calibri"/>
          <w:lang w:eastAsia="it-IT"/>
        </w:rPr>
        <w:t>metformina</w:t>
      </w:r>
      <w:proofErr w:type="spellEnd"/>
      <w:r>
        <w:rPr>
          <w:rFonts w:eastAsia="Calibri" w:cs="Times New Roman"/>
        </w:rPr>
        <w:t xml:space="preserve"> </w:t>
      </w:r>
      <w:r>
        <w:rPr>
          <w:rFonts w:eastAsia="Calibri" w:cs="Calibri"/>
          <w:lang w:eastAsia="it-IT"/>
        </w:rPr>
        <w:t>è ben conosciuta.</w:t>
      </w:r>
      <w:r>
        <w:t xml:space="preserve"> Fatta eccezione per lo studio di  </w:t>
      </w:r>
      <w:proofErr w:type="spellStart"/>
      <w:r>
        <w:t>bioequivalenza</w:t>
      </w:r>
      <w:proofErr w:type="spellEnd"/>
      <w:r>
        <w:t xml:space="preserve">, non sono stati condotti nuovi studi clinici di farmacodinamica e farmacocinetica, in quanto </w:t>
      </w:r>
      <w:r>
        <w:rPr>
          <w:rFonts w:eastAsia="Calibri" w:cs="Times New Roman"/>
        </w:rPr>
        <w:t xml:space="preserve">PIOGLITAZONE E METFORMINA EG </w:t>
      </w:r>
      <w:r>
        <w:t xml:space="preserve">contiene principi attivi noti e presenti nel medicinale di riferimento </w:t>
      </w:r>
      <w:proofErr w:type="spellStart"/>
      <w:r>
        <w:t>Competact</w:t>
      </w:r>
      <w:proofErr w:type="spellEnd"/>
      <w:r>
        <w:t xml:space="preserve"> autorizzato in Italia da più di 10 anni</w:t>
      </w:r>
    </w:p>
    <w:p w:rsidR="003E15EB" w:rsidRDefault="003E15EB">
      <w:pPr>
        <w:keepNext/>
        <w:spacing w:after="0" w:line="240" w:lineRule="auto"/>
        <w:jc w:val="both"/>
        <w:rPr>
          <w:rFonts w:ascii="Calibri" w:eastAsia="Calibri" w:hAnsi="Calibri" w:cs="Times New Roman"/>
        </w:rPr>
      </w:pPr>
    </w:p>
    <w:p w:rsidR="003E15EB" w:rsidRDefault="00B648E7">
      <w:pPr>
        <w:spacing w:after="0" w:line="240" w:lineRule="auto"/>
        <w:jc w:val="both"/>
        <w:rPr>
          <w:rFonts w:ascii="Calibri" w:hAnsi="Calibri" w:cs="Arial"/>
          <w:b/>
          <w:bCs/>
        </w:rPr>
      </w:pPr>
      <w:r>
        <w:rPr>
          <w:rFonts w:cs="Arial"/>
          <w:b/>
          <w:bCs/>
        </w:rPr>
        <w:t xml:space="preserve">Studio di </w:t>
      </w:r>
      <w:proofErr w:type="spellStart"/>
      <w:r>
        <w:rPr>
          <w:rFonts w:cs="Arial"/>
          <w:b/>
          <w:bCs/>
        </w:rPr>
        <w:t>bioequivalenza</w:t>
      </w:r>
      <w:proofErr w:type="spellEnd"/>
    </w:p>
    <w:p w:rsidR="003E15EB" w:rsidRDefault="00B648E7">
      <w:pPr>
        <w:spacing w:after="0" w:line="240" w:lineRule="auto"/>
        <w:jc w:val="both"/>
        <w:rPr>
          <w:rFonts w:ascii="Calibri" w:hAnsi="Calibri"/>
        </w:rPr>
      </w:pPr>
      <w:r>
        <w:t xml:space="preserve">La richiesta di AIC è supportata da uno studio di  </w:t>
      </w:r>
      <w:proofErr w:type="spellStart"/>
      <w:r>
        <w:t>bioequivalenza</w:t>
      </w:r>
      <w:proofErr w:type="spellEnd"/>
      <w:r>
        <w:t xml:space="preserve"> che ha confrontato i profili farmacocinetici di </w:t>
      </w:r>
      <w:r>
        <w:rPr>
          <w:rFonts w:eastAsia="Calibri" w:cs="Times New Roman"/>
        </w:rPr>
        <w:t xml:space="preserve">PIOGLITAZONE E METFORMINA EG 15 mg/850 mg compresse rivestite con film </w:t>
      </w:r>
      <w:r>
        <w:t xml:space="preserve">e quelli del medicinale di riferimento </w:t>
      </w:r>
      <w:proofErr w:type="spellStart"/>
      <w:r>
        <w:t>Competact</w:t>
      </w:r>
      <w:proofErr w:type="spellEnd"/>
      <w:r>
        <w:t xml:space="preserve"> (</w:t>
      </w:r>
      <w:proofErr w:type="spellStart"/>
      <w:r>
        <w:t>Takeda</w:t>
      </w:r>
      <w:proofErr w:type="spellEnd"/>
      <w:r>
        <w:t xml:space="preserve"> </w:t>
      </w:r>
      <w:proofErr w:type="spellStart"/>
      <w:r>
        <w:t>Pharma</w:t>
      </w:r>
      <w:proofErr w:type="spellEnd"/>
      <w:r>
        <w:t>) nello stesso dosaggio, forma farmaceutica e via di somministrazione, dopo assunzione di un pasto.</w:t>
      </w:r>
    </w:p>
    <w:p w:rsidR="003E15EB" w:rsidRDefault="003E15EB">
      <w:pPr>
        <w:spacing w:after="0" w:line="240" w:lineRule="auto"/>
        <w:jc w:val="both"/>
        <w:rPr>
          <w:rFonts w:ascii="Calibri" w:hAnsi="Calibri"/>
        </w:rPr>
      </w:pPr>
    </w:p>
    <w:p w:rsidR="003E15EB" w:rsidRDefault="00B648E7">
      <w:pPr>
        <w:pStyle w:val="Paragrafoelenco"/>
        <w:spacing w:after="0" w:line="240" w:lineRule="auto"/>
        <w:ind w:left="0"/>
        <w:jc w:val="both"/>
        <w:rPr>
          <w:rFonts w:ascii="Calibri" w:hAnsi="Calibri"/>
        </w:rPr>
      </w:pPr>
      <w:r>
        <w:t>Gli studi sono caratterizzati da un appropriato disegno e sono stati condotti in accordo alla linea guida prodotto specifica EMA/CHMP/315234/2014/Rev.1†, e ai principi GCP.</w:t>
      </w:r>
    </w:p>
    <w:p w:rsidR="003E15EB" w:rsidRDefault="00B648E7">
      <w:pPr>
        <w:pStyle w:val="Paragrafoelenco"/>
        <w:spacing w:after="0" w:line="240" w:lineRule="auto"/>
        <w:ind w:left="0"/>
        <w:jc w:val="both"/>
      </w:pPr>
      <w:r>
        <w:lastRenderedPageBreak/>
        <w:t>La somministrazione a stomaco pieno delle formulazioni in studio è stata adeguatamente giustificata.</w:t>
      </w:r>
    </w:p>
    <w:p w:rsidR="003E15EB" w:rsidRDefault="003E15EB">
      <w:pPr>
        <w:pStyle w:val="Paragrafoelenco"/>
        <w:spacing w:after="0" w:line="240" w:lineRule="auto"/>
        <w:ind w:left="0"/>
        <w:jc w:val="both"/>
        <w:rPr>
          <w:rFonts w:ascii="Calibri" w:hAnsi="Calibri"/>
        </w:rPr>
      </w:pPr>
    </w:p>
    <w:p w:rsidR="003E15EB" w:rsidRDefault="00B648E7">
      <w:pPr>
        <w:pStyle w:val="Paragrafoelenco"/>
        <w:spacing w:after="0" w:line="240" w:lineRule="auto"/>
        <w:ind w:left="0"/>
        <w:jc w:val="both"/>
        <w:rPr>
          <w:rFonts w:ascii="Calibri" w:hAnsi="Calibri"/>
        </w:rPr>
      </w:pPr>
      <w:r>
        <w:t>Sono stati forniti certificati analitici per medicinale test e medicinale di riferimento.</w:t>
      </w:r>
    </w:p>
    <w:p w:rsidR="003E15EB" w:rsidRDefault="003E15EB">
      <w:pPr>
        <w:pStyle w:val="Paragrafoelenco"/>
        <w:spacing w:after="0" w:line="240" w:lineRule="auto"/>
        <w:ind w:left="0"/>
        <w:jc w:val="both"/>
        <w:rPr>
          <w:b/>
          <w:i/>
        </w:rPr>
      </w:pPr>
    </w:p>
    <w:p w:rsidR="003E15EB" w:rsidRDefault="00B648E7">
      <w:pPr>
        <w:spacing w:after="0" w:line="240" w:lineRule="auto"/>
        <w:jc w:val="both"/>
        <w:rPr>
          <w:rFonts w:ascii="Calibri" w:hAnsi="Calibri" w:cs="Arial"/>
        </w:rPr>
      </w:pPr>
      <w:r>
        <w:t xml:space="preserve">Lo studio di </w:t>
      </w:r>
      <w:proofErr w:type="spellStart"/>
      <w:r>
        <w:t>bioequivalenza</w:t>
      </w:r>
      <w:proofErr w:type="spellEnd"/>
      <w:r>
        <w:t xml:space="preserve"> è uno studio comparativo (</w:t>
      </w:r>
      <w:r>
        <w:rPr>
          <w:rFonts w:cs="Arial"/>
          <w:color w:val="272727"/>
        </w:rPr>
        <w:t xml:space="preserve">PIOGLITAZONE E METFORMINA EG 15 mg/850 mg  </w:t>
      </w:r>
      <w:r>
        <w:rPr>
          <w:rFonts w:cs="Arial"/>
          <w:bCs/>
          <w:color w:val="272727"/>
        </w:rPr>
        <w:t>compresse</w:t>
      </w:r>
      <w:r>
        <w:rPr>
          <w:rFonts w:cs="Arial"/>
          <w:b/>
          <w:color w:val="272727"/>
        </w:rPr>
        <w:t xml:space="preserve"> rivestite con film </w:t>
      </w:r>
      <w:r>
        <w:rPr>
          <w:rFonts w:cs="Arial"/>
          <w:color w:val="272727"/>
        </w:rPr>
        <w:t xml:space="preserve">versus </w:t>
      </w:r>
      <w:proofErr w:type="spellStart"/>
      <w:r>
        <w:rPr>
          <w:rFonts w:cs="Arial"/>
          <w:color w:val="000000"/>
        </w:rPr>
        <w:t>Competact</w:t>
      </w:r>
      <w:proofErr w:type="spellEnd"/>
      <w:r>
        <w:rPr>
          <w:rFonts w:cs="Arial"/>
          <w:color w:val="000000"/>
        </w:rPr>
        <w:t xml:space="preserve"> 15 mg/850 mg </w:t>
      </w:r>
      <w:r>
        <w:rPr>
          <w:rFonts w:cs="Arial"/>
          <w:color w:val="272727"/>
        </w:rPr>
        <w:t xml:space="preserve"> compresse</w:t>
      </w:r>
      <w:r>
        <w:rPr>
          <w:rFonts w:cs="Arial"/>
          <w:b/>
          <w:color w:val="272727"/>
        </w:rPr>
        <w:t xml:space="preserve"> </w:t>
      </w:r>
      <w:r>
        <w:rPr>
          <w:rFonts w:cs="Arial"/>
          <w:color w:val="272727"/>
        </w:rPr>
        <w:t>rivestite con film</w:t>
      </w:r>
      <w:r>
        <w:t xml:space="preserve">), randomizzato, a dose singola, 2-periodi, crossover, condotto su 39 volontari sani, con somministrazione a stomaco pieno. </w:t>
      </w:r>
      <w:r>
        <w:rPr>
          <w:rFonts w:cs="Arial"/>
        </w:rPr>
        <w:t xml:space="preserve">Dopo un digiuno di almeno 8 ore e dopo 30 minuti dalla somministrazione di un pasto ad alto contenuto di grassi e calorie, il medicinale è stato somministrato con 200 ml di soluzione al 20% in glucosio. </w:t>
      </w:r>
    </w:p>
    <w:p w:rsidR="003E15EB" w:rsidRDefault="00B648E7">
      <w:pPr>
        <w:spacing w:after="0" w:line="240" w:lineRule="auto"/>
        <w:jc w:val="both"/>
        <w:rPr>
          <w:rFonts w:ascii="Calibri" w:hAnsi="Calibri" w:cs="Arial"/>
        </w:rPr>
      </w:pPr>
      <w:r>
        <w:t xml:space="preserve">Un soddisfacente periodo di wash-out di dieci </w:t>
      </w:r>
      <w:r>
        <w:rPr>
          <w:rFonts w:cs="Arial"/>
        </w:rPr>
        <w:t>giorni è stato previsto tra le somministrazioni in ogni gruppo.</w:t>
      </w:r>
    </w:p>
    <w:p w:rsidR="003E15EB" w:rsidRDefault="00B648E7">
      <w:pPr>
        <w:spacing w:after="0" w:line="240" w:lineRule="auto"/>
        <w:jc w:val="both"/>
        <w:rPr>
          <w:rFonts w:ascii="Calibri" w:hAnsi="Calibri" w:cs="Arial"/>
        </w:rPr>
      </w:pPr>
      <w:r>
        <w:rPr>
          <w:rFonts w:cs="Arial"/>
        </w:rPr>
        <w:t>Campioni di sangue sono stati prelevati al tempo zero (</w:t>
      </w:r>
      <w:proofErr w:type="spellStart"/>
      <w:r>
        <w:rPr>
          <w:rFonts w:cs="Arial"/>
        </w:rPr>
        <w:t>pre-dose</w:t>
      </w:r>
      <w:proofErr w:type="spellEnd"/>
      <w:r>
        <w:rPr>
          <w:rFonts w:cs="Arial"/>
        </w:rPr>
        <w:t xml:space="preserve">) e a specificati tempi fino a 48 ore dopo la somministrazione. I livelli plasmatici di </w:t>
      </w:r>
      <w:proofErr w:type="spellStart"/>
      <w:r>
        <w:rPr>
          <w:rFonts w:cs="Arial"/>
        </w:rPr>
        <w:t>pioglitazone</w:t>
      </w:r>
      <w:proofErr w:type="spellEnd"/>
      <w:r>
        <w:rPr>
          <w:rFonts w:cs="Arial"/>
        </w:rPr>
        <w:t xml:space="preserve"> e </w:t>
      </w:r>
      <w:proofErr w:type="spellStart"/>
      <w:r>
        <w:rPr>
          <w:rFonts w:cs="Arial"/>
        </w:rPr>
        <w:t>metformina</w:t>
      </w:r>
      <w:proofErr w:type="spellEnd"/>
      <w:r>
        <w:rPr>
          <w:rFonts w:cs="Arial"/>
        </w:rPr>
        <w:t xml:space="preserve"> sono stati determinati mediante un metodo analitico </w:t>
      </w:r>
      <w:r>
        <w:rPr>
          <w:lang w:eastAsia="fi-FI"/>
        </w:rPr>
        <w:t>LC MS/MS</w:t>
      </w:r>
      <w:r>
        <w:rPr>
          <w:rFonts w:cs="Arial"/>
        </w:rPr>
        <w:t xml:space="preserve"> opportunamente convalidato.</w:t>
      </w:r>
    </w:p>
    <w:p w:rsidR="003E15EB" w:rsidRDefault="00B648E7">
      <w:pPr>
        <w:spacing w:after="0" w:line="240" w:lineRule="auto"/>
        <w:jc w:val="both"/>
        <w:rPr>
          <w:rFonts w:ascii="Calibri" w:hAnsi="Calibri" w:cs="Arial"/>
          <w:bCs/>
        </w:rPr>
      </w:pPr>
      <w:bookmarkStart w:id="6" w:name="_Hlk39838655"/>
      <w:r>
        <w:rPr>
          <w:rFonts w:cs="Arial"/>
        </w:rPr>
        <w:t xml:space="preserve">Per </w:t>
      </w:r>
      <w:proofErr w:type="spellStart"/>
      <w:r>
        <w:rPr>
          <w:rFonts w:cs="Arial"/>
        </w:rPr>
        <w:t>pioglitazone</w:t>
      </w:r>
      <w:proofErr w:type="spellEnd"/>
      <w:r>
        <w:rPr>
          <w:rFonts w:cs="Arial"/>
        </w:rPr>
        <w:t xml:space="preserve"> e </w:t>
      </w:r>
      <w:proofErr w:type="spellStart"/>
      <w:r>
        <w:rPr>
          <w:rFonts w:cs="Arial"/>
        </w:rPr>
        <w:t>metformina</w:t>
      </w:r>
      <w:proofErr w:type="spellEnd"/>
      <w:r>
        <w:rPr>
          <w:rFonts w:cs="Arial"/>
        </w:rPr>
        <w:t xml:space="preserve"> sono state definite le seguenti variabili farmacocinetiche: </w:t>
      </w:r>
      <w:proofErr w:type="spellStart"/>
      <w:r>
        <w:rPr>
          <w:rFonts w:cs="Arial"/>
        </w:rPr>
        <w:t>C</w:t>
      </w:r>
      <w:r>
        <w:rPr>
          <w:rFonts w:cs="Arial"/>
          <w:vertAlign w:val="subscript"/>
        </w:rPr>
        <w:t>max</w:t>
      </w:r>
      <w:proofErr w:type="spellEnd"/>
      <w:r>
        <w:rPr>
          <w:rFonts w:cs="Arial"/>
        </w:rPr>
        <w:t>, AUC</w:t>
      </w:r>
      <w:r>
        <w:rPr>
          <w:rFonts w:cs="Arial"/>
          <w:vertAlign w:val="subscript"/>
        </w:rPr>
        <w:t>0-t</w:t>
      </w:r>
      <w:r>
        <w:rPr>
          <w:rFonts w:cs="Arial"/>
        </w:rPr>
        <w:t>, AUC</w:t>
      </w:r>
      <w:r>
        <w:rPr>
          <w:rFonts w:cs="Arial"/>
          <w:vertAlign w:val="subscript"/>
        </w:rPr>
        <w:t>0-</w:t>
      </w:r>
      <w:bookmarkStart w:id="7" w:name="_GoBack"/>
      <w:r>
        <w:rPr>
          <w:rFonts w:eastAsia="Symbol" w:cs="Symbol"/>
          <w:vertAlign w:val="subscript"/>
        </w:rPr>
        <w:t>¥</w:t>
      </w:r>
      <w:bookmarkEnd w:id="7"/>
      <w:r>
        <w:rPr>
          <w:rFonts w:cs="Arial"/>
        </w:rPr>
        <w:t xml:space="preserve">, </w:t>
      </w:r>
      <w:proofErr w:type="spellStart"/>
      <w:r>
        <w:rPr>
          <w:rFonts w:cs="Arial"/>
        </w:rPr>
        <w:t>t</w:t>
      </w:r>
      <w:r>
        <w:rPr>
          <w:rFonts w:cs="Arial"/>
          <w:vertAlign w:val="subscript"/>
        </w:rPr>
        <w:t>max</w:t>
      </w:r>
      <w:proofErr w:type="spellEnd"/>
      <w:r>
        <w:rPr>
          <w:rFonts w:cs="Arial"/>
        </w:rPr>
        <w:t xml:space="preserve">, </w:t>
      </w:r>
      <w:proofErr w:type="spellStart"/>
      <w:r>
        <w:rPr>
          <w:rFonts w:cs="Arial"/>
        </w:rPr>
        <w:t>t</w:t>
      </w:r>
      <w:r>
        <w:rPr>
          <w:rFonts w:cs="Arial"/>
          <w:vertAlign w:val="subscript"/>
        </w:rPr>
        <w:t>½</w:t>
      </w:r>
      <w:proofErr w:type="spellEnd"/>
      <w:r>
        <w:rPr>
          <w:rFonts w:cs="Arial"/>
        </w:rPr>
        <w:t xml:space="preserve">, </w:t>
      </w:r>
      <w:r>
        <w:rPr>
          <w:rFonts w:cs="Arial"/>
          <w:bCs/>
        </w:rPr>
        <w:t>λ</w:t>
      </w:r>
      <w:r>
        <w:rPr>
          <w:rFonts w:cs="Arial"/>
          <w:bCs/>
          <w:vertAlign w:val="subscript"/>
        </w:rPr>
        <w:t xml:space="preserve">z </w:t>
      </w:r>
      <w:r>
        <w:rPr>
          <w:rFonts w:cs="Arial"/>
        </w:rPr>
        <w:t xml:space="preserve">e % </w:t>
      </w:r>
      <w:proofErr w:type="spellStart"/>
      <w:r>
        <w:rPr>
          <w:rFonts w:cs="Arial"/>
        </w:rPr>
        <w:t>Residual</w:t>
      </w:r>
      <w:proofErr w:type="spellEnd"/>
      <w:r>
        <w:rPr>
          <w:rFonts w:cs="Arial"/>
        </w:rPr>
        <w:t xml:space="preserve"> area</w:t>
      </w:r>
      <w:bookmarkEnd w:id="6"/>
      <w:r>
        <w:rPr>
          <w:rFonts w:cs="Arial"/>
        </w:rPr>
        <w:t xml:space="preserve">. La </w:t>
      </w:r>
      <w:proofErr w:type="spellStart"/>
      <w:r>
        <w:rPr>
          <w:rFonts w:cs="Arial"/>
        </w:rPr>
        <w:t>bioequivalenza</w:t>
      </w:r>
      <w:proofErr w:type="spellEnd"/>
      <w:r>
        <w:rPr>
          <w:rFonts w:cs="Arial"/>
        </w:rPr>
        <w:t xml:space="preserve"> tra medicinale test e medicinale di riferimento è dimostrata se gli intervalli di confidenza al 90% per la trasformata logaritmica di </w:t>
      </w:r>
      <w:proofErr w:type="spellStart"/>
      <w:r>
        <w:rPr>
          <w:rFonts w:cs="Arial"/>
        </w:rPr>
        <w:t>C</w:t>
      </w:r>
      <w:r>
        <w:rPr>
          <w:rFonts w:cs="Arial"/>
          <w:vertAlign w:val="subscript"/>
        </w:rPr>
        <w:t>max</w:t>
      </w:r>
      <w:proofErr w:type="spellEnd"/>
      <w:r>
        <w:rPr>
          <w:rFonts w:cs="Arial"/>
        </w:rPr>
        <w:t xml:space="preserve"> e AUC</w:t>
      </w:r>
      <w:r>
        <w:rPr>
          <w:rFonts w:cs="Arial"/>
          <w:vertAlign w:val="subscript"/>
        </w:rPr>
        <w:t>0-t</w:t>
      </w:r>
      <w:r>
        <w:rPr>
          <w:rFonts w:cs="Arial"/>
        </w:rPr>
        <w:t xml:space="preserve">, cadono nel </w:t>
      </w:r>
      <w:proofErr w:type="spellStart"/>
      <w:r>
        <w:rPr>
          <w:rFonts w:cs="Arial"/>
        </w:rPr>
        <w:t>range</w:t>
      </w:r>
      <w:proofErr w:type="spellEnd"/>
      <w:r>
        <w:rPr>
          <w:rFonts w:cs="Arial"/>
        </w:rPr>
        <w:t xml:space="preserve"> di accettabilità di 0.80-1.25 (80%-125%) per </w:t>
      </w:r>
      <w:proofErr w:type="spellStart"/>
      <w:r>
        <w:rPr>
          <w:rFonts w:cs="Arial"/>
        </w:rPr>
        <w:t>pioglitazone</w:t>
      </w:r>
      <w:proofErr w:type="spellEnd"/>
      <w:r>
        <w:rPr>
          <w:rFonts w:cs="Arial"/>
        </w:rPr>
        <w:t xml:space="preserve"> e </w:t>
      </w:r>
      <w:proofErr w:type="spellStart"/>
      <w:r>
        <w:rPr>
          <w:rFonts w:cs="Arial"/>
        </w:rPr>
        <w:t>metformina</w:t>
      </w:r>
      <w:proofErr w:type="spellEnd"/>
      <w:r>
        <w:rPr>
          <w:rFonts w:cs="Arial"/>
        </w:rPr>
        <w:t>.</w:t>
      </w:r>
    </w:p>
    <w:p w:rsidR="003E15EB" w:rsidRDefault="003E15EB">
      <w:pPr>
        <w:spacing w:after="0" w:line="240" w:lineRule="auto"/>
        <w:jc w:val="both"/>
        <w:rPr>
          <w:highlight w:val="yellow"/>
        </w:rPr>
      </w:pPr>
    </w:p>
    <w:p w:rsidR="003E15EB" w:rsidRDefault="00B648E7">
      <w:pPr>
        <w:pStyle w:val="Paragrafoelenco"/>
        <w:spacing w:after="0" w:line="240" w:lineRule="auto"/>
        <w:ind w:left="0"/>
        <w:jc w:val="both"/>
        <w:rPr>
          <w:u w:val="single"/>
        </w:rPr>
      </w:pPr>
      <w:r>
        <w:rPr>
          <w:u w:val="single"/>
        </w:rPr>
        <w:t>Risultati</w:t>
      </w:r>
    </w:p>
    <w:p w:rsidR="003E15EB" w:rsidRDefault="00B648E7">
      <w:pPr>
        <w:pStyle w:val="Paragrafoelenco"/>
        <w:spacing w:after="0" w:line="240" w:lineRule="auto"/>
        <w:ind w:left="0"/>
        <w:jc w:val="both"/>
        <w:rPr>
          <w:rFonts w:ascii="Calibri" w:hAnsi="Calibri" w:cs="Arial"/>
        </w:rPr>
      </w:pPr>
      <w:r>
        <w:rPr>
          <w:rFonts w:cs="Arial"/>
        </w:rPr>
        <w:t xml:space="preserve">40 volontari sani sono stati arruolati nello studio. 39 soggetti </w:t>
      </w:r>
      <w:r>
        <w:t xml:space="preserve">hanno completato la fase clinica e </w:t>
      </w:r>
      <w:r>
        <w:rPr>
          <w:rFonts w:cs="Arial"/>
        </w:rPr>
        <w:t>sono stati inclusi nell’analisi farmacocinetica.</w:t>
      </w:r>
    </w:p>
    <w:p w:rsidR="003E15EB" w:rsidRDefault="003E15EB">
      <w:pPr>
        <w:pStyle w:val="Didascalia"/>
        <w:keepNext/>
        <w:spacing w:before="0" w:after="0"/>
        <w:jc w:val="both"/>
        <w:outlineLvl w:val="0"/>
        <w:rPr>
          <w:rFonts w:ascii="Calibri" w:hAnsi="Calibri" w:cs="Arial"/>
          <w:b w:val="0"/>
          <w:i/>
          <w:sz w:val="22"/>
          <w:szCs w:val="22"/>
          <w:lang w:val="it-IT"/>
        </w:rPr>
      </w:pPr>
    </w:p>
    <w:p w:rsidR="003E15EB" w:rsidRDefault="00B648E7">
      <w:pPr>
        <w:pStyle w:val="Didascalia"/>
        <w:keepNext/>
        <w:spacing w:before="0" w:after="0"/>
        <w:jc w:val="both"/>
        <w:outlineLvl w:val="0"/>
        <w:rPr>
          <w:rFonts w:ascii="Calibri" w:hAnsi="Calibri" w:cs="Arial"/>
          <w:b w:val="0"/>
          <w:sz w:val="22"/>
          <w:szCs w:val="22"/>
          <w:lang w:val="it-IT"/>
        </w:rPr>
      </w:pPr>
      <w:r>
        <w:rPr>
          <w:rFonts w:ascii="Calibri" w:hAnsi="Calibri" w:cs="Arial"/>
          <w:b w:val="0"/>
          <w:i/>
          <w:sz w:val="22"/>
          <w:szCs w:val="22"/>
          <w:lang w:val="it-IT"/>
        </w:rPr>
        <w:t>Sicurezza</w:t>
      </w:r>
    </w:p>
    <w:p w:rsidR="003E15EB" w:rsidRDefault="00B648E7">
      <w:pPr>
        <w:jc w:val="both"/>
        <w:rPr>
          <w:rFonts w:ascii="Calibri" w:hAnsi="Calibri" w:cs="Arial"/>
        </w:rPr>
      </w:pPr>
      <w:r>
        <w:rPr>
          <w:rFonts w:cs="Arial"/>
        </w:rPr>
        <w:t xml:space="preserve">Nel corso dello studio, si sono manifestati 4  eventi avversi  correlati al trattamento, tutti di lieve entità </w:t>
      </w:r>
      <w:r>
        <w:t xml:space="preserve">. </w:t>
      </w:r>
    </w:p>
    <w:p w:rsidR="003E15EB" w:rsidRDefault="00B648E7">
      <w:pPr>
        <w:pStyle w:val="Didascalia"/>
        <w:keepNext/>
        <w:spacing w:before="0" w:after="0"/>
        <w:jc w:val="both"/>
        <w:outlineLvl w:val="0"/>
        <w:rPr>
          <w:rFonts w:asciiTheme="minorHAnsi" w:hAnsiTheme="minorHAnsi" w:cs="Arial"/>
          <w:b w:val="0"/>
          <w:sz w:val="22"/>
          <w:szCs w:val="22"/>
          <w:lang w:val="it-IT"/>
        </w:rPr>
      </w:pPr>
      <w:r>
        <w:rPr>
          <w:rFonts w:asciiTheme="minorHAnsi" w:hAnsiTheme="minorHAnsi" w:cs="Arial"/>
          <w:b w:val="0"/>
          <w:i/>
          <w:sz w:val="22"/>
          <w:szCs w:val="22"/>
          <w:lang w:val="it-IT"/>
        </w:rPr>
        <w:t>Parametri farmacocinetici</w:t>
      </w:r>
      <w:r>
        <w:rPr>
          <w:rFonts w:asciiTheme="minorHAnsi" w:hAnsiTheme="minorHAnsi" w:cs="Arial"/>
          <w:b w:val="0"/>
          <w:sz w:val="22"/>
          <w:szCs w:val="22"/>
          <w:lang w:val="it-IT"/>
        </w:rPr>
        <w:t xml:space="preserve">. </w:t>
      </w:r>
    </w:p>
    <w:p w:rsidR="003E15EB" w:rsidRDefault="00B648E7">
      <w:pPr>
        <w:pStyle w:val="Didascalia"/>
        <w:keepNext/>
        <w:spacing w:before="0" w:after="0"/>
        <w:jc w:val="both"/>
        <w:outlineLvl w:val="0"/>
        <w:rPr>
          <w:rFonts w:asciiTheme="minorHAnsi" w:hAnsiTheme="minorHAnsi" w:cs="Arial"/>
          <w:b w:val="0"/>
          <w:sz w:val="22"/>
          <w:szCs w:val="22"/>
          <w:lang w:val="it-IT"/>
        </w:rPr>
      </w:pPr>
      <w:r>
        <w:rPr>
          <w:rFonts w:asciiTheme="minorHAnsi" w:hAnsiTheme="minorHAnsi" w:cs="Arial"/>
          <w:b w:val="0"/>
          <w:sz w:val="22"/>
          <w:szCs w:val="22"/>
          <w:lang w:val="it-IT"/>
        </w:rPr>
        <w:t xml:space="preserve">La sintesi dei risultati dello studio di </w:t>
      </w:r>
      <w:proofErr w:type="spellStart"/>
      <w:r>
        <w:rPr>
          <w:rFonts w:asciiTheme="minorHAnsi" w:hAnsiTheme="minorHAnsi" w:cs="Arial"/>
          <w:b w:val="0"/>
          <w:sz w:val="22"/>
          <w:szCs w:val="22"/>
          <w:lang w:val="it-IT"/>
        </w:rPr>
        <w:t>bioequivalenza</w:t>
      </w:r>
      <w:proofErr w:type="spellEnd"/>
      <w:r>
        <w:rPr>
          <w:rFonts w:asciiTheme="minorHAnsi" w:hAnsiTheme="minorHAnsi" w:cs="Arial"/>
          <w:b w:val="0"/>
          <w:sz w:val="22"/>
          <w:szCs w:val="22"/>
          <w:lang w:val="it-IT"/>
        </w:rPr>
        <w:t xml:space="preserve"> è riportata nella tabella che segue.</w:t>
      </w:r>
    </w:p>
    <w:p w:rsidR="003E15EB" w:rsidRDefault="003E15EB">
      <w:pPr>
        <w:pStyle w:val="Paragrafoelenco"/>
        <w:spacing w:after="0" w:line="240" w:lineRule="auto"/>
        <w:ind w:left="0"/>
        <w:jc w:val="both"/>
        <w:rPr>
          <w:highlight w:val="yellow"/>
        </w:rPr>
      </w:pPr>
    </w:p>
    <w:tbl>
      <w:tblPr>
        <w:tblW w:w="5166" w:type="dxa"/>
        <w:tblInd w:w="2565" w:type="dxa"/>
        <w:tblCellMar>
          <w:top w:w="43" w:type="dxa"/>
          <w:left w:w="115" w:type="dxa"/>
          <w:right w:w="115" w:type="dxa"/>
        </w:tblCellMar>
        <w:tblLook w:val="0000"/>
      </w:tblPr>
      <w:tblGrid>
        <w:gridCol w:w="1518"/>
        <w:gridCol w:w="1538"/>
        <w:gridCol w:w="2110"/>
      </w:tblGrid>
      <w:tr w:rsidR="003E15EB">
        <w:tc>
          <w:tcPr>
            <w:tcW w:w="5166" w:type="dxa"/>
            <w:gridSpan w:val="3"/>
            <w:tcBorders>
              <w:top w:val="single" w:sz="4" w:space="0" w:color="000000"/>
              <w:left w:val="single" w:sz="4" w:space="0" w:color="000000"/>
              <w:bottom w:val="single" w:sz="4" w:space="0" w:color="000000"/>
              <w:right w:val="single" w:sz="4" w:space="0" w:color="000000"/>
            </w:tcBorders>
            <w:vAlign w:val="bottom"/>
          </w:tcPr>
          <w:p w:rsidR="003E15EB" w:rsidRDefault="00B648E7">
            <w:pPr>
              <w:spacing w:after="0" w:line="240" w:lineRule="auto"/>
              <w:jc w:val="center"/>
              <w:rPr>
                <w:b/>
                <w:sz w:val="20"/>
                <w:szCs w:val="20"/>
              </w:rPr>
            </w:pPr>
            <w:proofErr w:type="spellStart"/>
            <w:r>
              <w:rPr>
                <w:b/>
                <w:bCs/>
              </w:rPr>
              <w:t>Pioglitazone</w:t>
            </w:r>
            <w:proofErr w:type="spellEnd"/>
          </w:p>
        </w:tc>
      </w:tr>
      <w:tr w:rsidR="003E15EB">
        <w:tc>
          <w:tcPr>
            <w:tcW w:w="1518" w:type="dxa"/>
            <w:tcBorders>
              <w:top w:val="single" w:sz="4" w:space="0" w:color="000000"/>
              <w:left w:val="single" w:sz="4" w:space="0" w:color="000000"/>
              <w:bottom w:val="single" w:sz="4" w:space="0" w:color="000000"/>
            </w:tcBorders>
            <w:vAlign w:val="bottom"/>
          </w:tcPr>
          <w:p w:rsidR="003E15EB" w:rsidRDefault="00B648E7">
            <w:pPr>
              <w:spacing w:after="0" w:line="240" w:lineRule="auto"/>
              <w:jc w:val="center"/>
              <w:rPr>
                <w:b/>
                <w:sz w:val="20"/>
                <w:szCs w:val="20"/>
              </w:rPr>
            </w:pPr>
            <w:r>
              <w:rPr>
                <w:b/>
              </w:rPr>
              <w:t>Parametro</w:t>
            </w:r>
          </w:p>
        </w:tc>
        <w:tc>
          <w:tcPr>
            <w:tcW w:w="1538" w:type="dxa"/>
            <w:tcBorders>
              <w:top w:val="single" w:sz="4" w:space="0" w:color="000000"/>
              <w:bottom w:val="single" w:sz="4" w:space="0" w:color="000000"/>
            </w:tcBorders>
            <w:vAlign w:val="bottom"/>
          </w:tcPr>
          <w:p w:rsidR="003E15EB" w:rsidRDefault="00B648E7">
            <w:pPr>
              <w:spacing w:after="0" w:line="240" w:lineRule="auto"/>
              <w:jc w:val="center"/>
              <w:rPr>
                <w:b/>
                <w:sz w:val="20"/>
                <w:szCs w:val="20"/>
              </w:rPr>
            </w:pPr>
            <w:r>
              <w:rPr>
                <w:b/>
              </w:rPr>
              <w:t xml:space="preserve">T/R </w:t>
            </w:r>
            <w:proofErr w:type="spellStart"/>
            <w:r>
              <w:rPr>
                <w:b/>
              </w:rPr>
              <w:t>Ratio</w:t>
            </w:r>
            <w:proofErr w:type="spellEnd"/>
          </w:p>
        </w:tc>
        <w:tc>
          <w:tcPr>
            <w:tcW w:w="2110" w:type="dxa"/>
            <w:tcBorders>
              <w:top w:val="single" w:sz="4" w:space="0" w:color="000000"/>
              <w:bottom w:val="single" w:sz="4" w:space="0" w:color="000000"/>
              <w:right w:val="single" w:sz="4" w:space="0" w:color="000000"/>
            </w:tcBorders>
            <w:vAlign w:val="bottom"/>
          </w:tcPr>
          <w:p w:rsidR="003E15EB" w:rsidRDefault="00B648E7">
            <w:pPr>
              <w:spacing w:after="0" w:line="240" w:lineRule="auto"/>
              <w:jc w:val="center"/>
              <w:rPr>
                <w:b/>
                <w:sz w:val="20"/>
                <w:szCs w:val="20"/>
              </w:rPr>
            </w:pPr>
            <w:r>
              <w:rPr>
                <w:b/>
              </w:rPr>
              <w:t>90% C.I.</w:t>
            </w:r>
          </w:p>
        </w:tc>
      </w:tr>
      <w:tr w:rsidR="003E15EB">
        <w:tc>
          <w:tcPr>
            <w:tcW w:w="1518" w:type="dxa"/>
            <w:tcBorders>
              <w:top w:val="single" w:sz="4" w:space="0" w:color="000000"/>
              <w:left w:val="single" w:sz="4" w:space="0" w:color="000000"/>
              <w:bottom w:val="single" w:sz="4" w:space="0" w:color="000000"/>
            </w:tcBorders>
            <w:vAlign w:val="bottom"/>
          </w:tcPr>
          <w:p w:rsidR="003E15EB" w:rsidRDefault="00B648E7">
            <w:pPr>
              <w:spacing w:after="0" w:line="240" w:lineRule="auto"/>
              <w:rPr>
                <w:b/>
                <w:sz w:val="20"/>
                <w:szCs w:val="20"/>
              </w:rPr>
            </w:pPr>
            <w:r>
              <w:rPr>
                <w:b/>
              </w:rPr>
              <w:t>AUC0-t</w:t>
            </w:r>
          </w:p>
        </w:tc>
        <w:tc>
          <w:tcPr>
            <w:tcW w:w="1538" w:type="dxa"/>
            <w:tcBorders>
              <w:top w:val="single" w:sz="4" w:space="0" w:color="000000"/>
              <w:bottom w:val="single" w:sz="4" w:space="0" w:color="000000"/>
            </w:tcBorders>
            <w:vAlign w:val="bottom"/>
          </w:tcPr>
          <w:p w:rsidR="003E15EB" w:rsidRDefault="00B648E7">
            <w:pPr>
              <w:spacing w:after="0" w:line="240" w:lineRule="auto"/>
              <w:jc w:val="center"/>
              <w:rPr>
                <w:rFonts w:eastAsia="Times New Roman" w:cs="Arial"/>
              </w:rPr>
            </w:pPr>
            <w:r>
              <w:rPr>
                <w:rFonts w:eastAsia="Times New Roman" w:cs="Arial"/>
              </w:rPr>
              <w:t>103.22</w:t>
            </w:r>
          </w:p>
        </w:tc>
        <w:tc>
          <w:tcPr>
            <w:tcW w:w="2110" w:type="dxa"/>
            <w:tcBorders>
              <w:top w:val="single" w:sz="4" w:space="0" w:color="000000"/>
              <w:bottom w:val="single" w:sz="4" w:space="0" w:color="000000"/>
              <w:right w:val="single" w:sz="4" w:space="0" w:color="000000"/>
            </w:tcBorders>
            <w:vAlign w:val="bottom"/>
          </w:tcPr>
          <w:p w:rsidR="003E15EB" w:rsidRDefault="00B648E7">
            <w:pPr>
              <w:spacing w:after="0" w:line="240" w:lineRule="auto"/>
              <w:jc w:val="center"/>
              <w:rPr>
                <w:rFonts w:eastAsia="Times New Roman" w:cs="Arial"/>
              </w:rPr>
            </w:pPr>
            <w:r>
              <w:rPr>
                <w:rFonts w:eastAsia="Times New Roman" w:cs="Arial"/>
              </w:rPr>
              <w:t>(97.74 – 109.02)</w:t>
            </w:r>
          </w:p>
        </w:tc>
      </w:tr>
      <w:tr w:rsidR="003E15EB">
        <w:tc>
          <w:tcPr>
            <w:tcW w:w="1518" w:type="dxa"/>
            <w:tcBorders>
              <w:top w:val="single" w:sz="4" w:space="0" w:color="000000"/>
              <w:left w:val="single" w:sz="4" w:space="0" w:color="000000"/>
              <w:bottom w:val="single" w:sz="4" w:space="0" w:color="000000"/>
            </w:tcBorders>
            <w:vAlign w:val="bottom"/>
          </w:tcPr>
          <w:p w:rsidR="003E15EB" w:rsidRDefault="00B648E7">
            <w:pPr>
              <w:spacing w:after="0" w:line="240" w:lineRule="auto"/>
              <w:rPr>
                <w:b/>
                <w:sz w:val="20"/>
                <w:szCs w:val="20"/>
              </w:rPr>
            </w:pPr>
            <w:proofErr w:type="spellStart"/>
            <w:r>
              <w:rPr>
                <w:b/>
              </w:rPr>
              <w:t>Cmax</w:t>
            </w:r>
            <w:proofErr w:type="spellEnd"/>
          </w:p>
        </w:tc>
        <w:tc>
          <w:tcPr>
            <w:tcW w:w="1538" w:type="dxa"/>
            <w:tcBorders>
              <w:top w:val="single" w:sz="4" w:space="0" w:color="000000"/>
              <w:bottom w:val="single" w:sz="4" w:space="0" w:color="000000"/>
            </w:tcBorders>
            <w:vAlign w:val="bottom"/>
          </w:tcPr>
          <w:p w:rsidR="003E15EB" w:rsidRDefault="00B648E7">
            <w:pPr>
              <w:spacing w:after="0" w:line="240" w:lineRule="auto"/>
              <w:jc w:val="center"/>
              <w:rPr>
                <w:rFonts w:eastAsia="Times New Roman" w:cs="Arial"/>
              </w:rPr>
            </w:pPr>
            <w:r>
              <w:rPr>
                <w:rFonts w:eastAsia="Times New Roman" w:cs="Arial"/>
              </w:rPr>
              <w:t>105.46</w:t>
            </w:r>
          </w:p>
        </w:tc>
        <w:tc>
          <w:tcPr>
            <w:tcW w:w="2110" w:type="dxa"/>
            <w:tcBorders>
              <w:top w:val="single" w:sz="4" w:space="0" w:color="000000"/>
              <w:bottom w:val="single" w:sz="4" w:space="0" w:color="000000"/>
              <w:right w:val="single" w:sz="4" w:space="0" w:color="000000"/>
            </w:tcBorders>
            <w:vAlign w:val="bottom"/>
          </w:tcPr>
          <w:p w:rsidR="003E15EB" w:rsidRDefault="00B648E7">
            <w:pPr>
              <w:spacing w:after="0" w:line="240" w:lineRule="auto"/>
              <w:jc w:val="center"/>
              <w:rPr>
                <w:rFonts w:eastAsia="Times New Roman" w:cs="Arial"/>
              </w:rPr>
            </w:pPr>
            <w:r>
              <w:rPr>
                <w:rFonts w:eastAsia="Times New Roman" w:cs="Arial"/>
              </w:rPr>
              <w:t>(98.38- 113.05)</w:t>
            </w:r>
          </w:p>
        </w:tc>
      </w:tr>
    </w:tbl>
    <w:p w:rsidR="003E15EB" w:rsidRDefault="003E15EB">
      <w:pPr>
        <w:spacing w:after="0" w:line="240" w:lineRule="auto"/>
        <w:rPr>
          <w:rFonts w:cs="Arial"/>
          <w:i/>
          <w:highlight w:val="yellow"/>
        </w:rPr>
      </w:pPr>
    </w:p>
    <w:p w:rsidR="003E15EB" w:rsidRDefault="003E15EB">
      <w:pPr>
        <w:pStyle w:val="Paragrafoelenco"/>
        <w:spacing w:after="0" w:line="240" w:lineRule="auto"/>
        <w:ind w:left="0"/>
        <w:jc w:val="both"/>
        <w:rPr>
          <w:highlight w:val="yellow"/>
        </w:rPr>
      </w:pPr>
    </w:p>
    <w:tbl>
      <w:tblPr>
        <w:tblW w:w="5166" w:type="dxa"/>
        <w:tblInd w:w="2565" w:type="dxa"/>
        <w:tblCellMar>
          <w:top w:w="43" w:type="dxa"/>
          <w:left w:w="115" w:type="dxa"/>
          <w:right w:w="115" w:type="dxa"/>
        </w:tblCellMar>
        <w:tblLook w:val="0000"/>
      </w:tblPr>
      <w:tblGrid>
        <w:gridCol w:w="1518"/>
        <w:gridCol w:w="1538"/>
        <w:gridCol w:w="2110"/>
      </w:tblGrid>
      <w:tr w:rsidR="003E15EB">
        <w:tc>
          <w:tcPr>
            <w:tcW w:w="5166" w:type="dxa"/>
            <w:gridSpan w:val="3"/>
            <w:tcBorders>
              <w:top w:val="single" w:sz="4" w:space="0" w:color="000000"/>
              <w:left w:val="single" w:sz="4" w:space="0" w:color="000000"/>
              <w:bottom w:val="single" w:sz="4" w:space="0" w:color="000000"/>
              <w:right w:val="single" w:sz="4" w:space="0" w:color="000000"/>
            </w:tcBorders>
            <w:vAlign w:val="bottom"/>
          </w:tcPr>
          <w:p w:rsidR="003E15EB" w:rsidRDefault="00B648E7">
            <w:pPr>
              <w:spacing w:after="0" w:line="240" w:lineRule="auto"/>
              <w:jc w:val="center"/>
              <w:rPr>
                <w:b/>
                <w:sz w:val="20"/>
                <w:szCs w:val="20"/>
              </w:rPr>
            </w:pPr>
            <w:proofErr w:type="spellStart"/>
            <w:r>
              <w:rPr>
                <w:b/>
                <w:bCs/>
              </w:rPr>
              <w:t>Metformina</w:t>
            </w:r>
            <w:proofErr w:type="spellEnd"/>
          </w:p>
        </w:tc>
      </w:tr>
      <w:tr w:rsidR="003E15EB">
        <w:tc>
          <w:tcPr>
            <w:tcW w:w="1518" w:type="dxa"/>
            <w:tcBorders>
              <w:top w:val="single" w:sz="4" w:space="0" w:color="000000"/>
              <w:left w:val="single" w:sz="4" w:space="0" w:color="000000"/>
              <w:bottom w:val="single" w:sz="4" w:space="0" w:color="000000"/>
            </w:tcBorders>
            <w:vAlign w:val="bottom"/>
          </w:tcPr>
          <w:p w:rsidR="003E15EB" w:rsidRDefault="00B648E7">
            <w:pPr>
              <w:spacing w:after="0" w:line="240" w:lineRule="auto"/>
              <w:jc w:val="center"/>
              <w:rPr>
                <w:b/>
                <w:sz w:val="20"/>
                <w:szCs w:val="20"/>
              </w:rPr>
            </w:pPr>
            <w:r>
              <w:rPr>
                <w:b/>
              </w:rPr>
              <w:t>Parametro</w:t>
            </w:r>
          </w:p>
        </w:tc>
        <w:tc>
          <w:tcPr>
            <w:tcW w:w="1538" w:type="dxa"/>
            <w:tcBorders>
              <w:top w:val="single" w:sz="4" w:space="0" w:color="000000"/>
              <w:bottom w:val="single" w:sz="4" w:space="0" w:color="000000"/>
            </w:tcBorders>
            <w:vAlign w:val="bottom"/>
          </w:tcPr>
          <w:p w:rsidR="003E15EB" w:rsidRDefault="00B648E7">
            <w:pPr>
              <w:spacing w:after="0" w:line="240" w:lineRule="auto"/>
              <w:jc w:val="center"/>
              <w:rPr>
                <w:b/>
                <w:sz w:val="20"/>
                <w:szCs w:val="20"/>
              </w:rPr>
            </w:pPr>
            <w:r>
              <w:rPr>
                <w:b/>
              </w:rPr>
              <w:t xml:space="preserve">T/R </w:t>
            </w:r>
            <w:proofErr w:type="spellStart"/>
            <w:r>
              <w:rPr>
                <w:b/>
              </w:rPr>
              <w:t>Ratio</w:t>
            </w:r>
            <w:proofErr w:type="spellEnd"/>
          </w:p>
        </w:tc>
        <w:tc>
          <w:tcPr>
            <w:tcW w:w="2110" w:type="dxa"/>
            <w:tcBorders>
              <w:top w:val="single" w:sz="4" w:space="0" w:color="000000"/>
              <w:bottom w:val="single" w:sz="4" w:space="0" w:color="000000"/>
              <w:right w:val="single" w:sz="4" w:space="0" w:color="000000"/>
            </w:tcBorders>
            <w:vAlign w:val="bottom"/>
          </w:tcPr>
          <w:p w:rsidR="003E15EB" w:rsidRDefault="00B648E7">
            <w:pPr>
              <w:spacing w:after="0" w:line="240" w:lineRule="auto"/>
              <w:jc w:val="center"/>
              <w:rPr>
                <w:b/>
                <w:sz w:val="20"/>
                <w:szCs w:val="20"/>
              </w:rPr>
            </w:pPr>
            <w:r>
              <w:rPr>
                <w:b/>
              </w:rPr>
              <w:t>90% C.I.</w:t>
            </w:r>
          </w:p>
        </w:tc>
      </w:tr>
      <w:tr w:rsidR="003E15EB">
        <w:tc>
          <w:tcPr>
            <w:tcW w:w="1518" w:type="dxa"/>
            <w:tcBorders>
              <w:top w:val="single" w:sz="4" w:space="0" w:color="000000"/>
              <w:left w:val="single" w:sz="4" w:space="0" w:color="000000"/>
              <w:bottom w:val="single" w:sz="4" w:space="0" w:color="000000"/>
            </w:tcBorders>
            <w:vAlign w:val="bottom"/>
          </w:tcPr>
          <w:p w:rsidR="003E15EB" w:rsidRDefault="00B648E7">
            <w:pPr>
              <w:spacing w:after="0" w:line="240" w:lineRule="auto"/>
              <w:rPr>
                <w:b/>
                <w:sz w:val="20"/>
                <w:szCs w:val="20"/>
              </w:rPr>
            </w:pPr>
            <w:r>
              <w:rPr>
                <w:b/>
              </w:rPr>
              <w:t>AUC0-t</w:t>
            </w:r>
          </w:p>
        </w:tc>
        <w:tc>
          <w:tcPr>
            <w:tcW w:w="1538" w:type="dxa"/>
            <w:tcBorders>
              <w:top w:val="single" w:sz="4" w:space="0" w:color="000000"/>
              <w:bottom w:val="single" w:sz="4" w:space="0" w:color="000000"/>
            </w:tcBorders>
            <w:vAlign w:val="bottom"/>
          </w:tcPr>
          <w:p w:rsidR="003E15EB" w:rsidRDefault="00B648E7">
            <w:pPr>
              <w:spacing w:after="0" w:line="240" w:lineRule="auto"/>
              <w:jc w:val="center"/>
              <w:rPr>
                <w:rFonts w:eastAsia="Times New Roman" w:cs="Arial"/>
              </w:rPr>
            </w:pPr>
            <w:r>
              <w:rPr>
                <w:rFonts w:eastAsia="Times New Roman" w:cs="Arial"/>
              </w:rPr>
              <w:t>99.19</w:t>
            </w:r>
          </w:p>
        </w:tc>
        <w:tc>
          <w:tcPr>
            <w:tcW w:w="2110" w:type="dxa"/>
            <w:tcBorders>
              <w:top w:val="single" w:sz="4" w:space="0" w:color="000000"/>
              <w:bottom w:val="single" w:sz="4" w:space="0" w:color="000000"/>
              <w:right w:val="single" w:sz="4" w:space="0" w:color="000000"/>
            </w:tcBorders>
            <w:vAlign w:val="bottom"/>
          </w:tcPr>
          <w:p w:rsidR="003E15EB" w:rsidRDefault="00B648E7">
            <w:pPr>
              <w:spacing w:after="0" w:line="240" w:lineRule="auto"/>
              <w:jc w:val="center"/>
              <w:rPr>
                <w:rFonts w:eastAsia="Times New Roman" w:cs="Arial"/>
              </w:rPr>
            </w:pPr>
            <w:r>
              <w:rPr>
                <w:rFonts w:eastAsia="Times New Roman" w:cs="Arial"/>
              </w:rPr>
              <w:t>(95.98 – 102.51)</w:t>
            </w:r>
          </w:p>
        </w:tc>
      </w:tr>
      <w:tr w:rsidR="003E15EB">
        <w:tc>
          <w:tcPr>
            <w:tcW w:w="1518" w:type="dxa"/>
            <w:tcBorders>
              <w:top w:val="single" w:sz="4" w:space="0" w:color="000000"/>
              <w:left w:val="single" w:sz="4" w:space="0" w:color="000000"/>
              <w:bottom w:val="single" w:sz="4" w:space="0" w:color="000000"/>
            </w:tcBorders>
            <w:vAlign w:val="bottom"/>
          </w:tcPr>
          <w:p w:rsidR="003E15EB" w:rsidRDefault="00B648E7">
            <w:pPr>
              <w:spacing w:after="0" w:line="240" w:lineRule="auto"/>
              <w:rPr>
                <w:b/>
                <w:sz w:val="20"/>
                <w:szCs w:val="20"/>
              </w:rPr>
            </w:pPr>
            <w:proofErr w:type="spellStart"/>
            <w:r>
              <w:rPr>
                <w:b/>
              </w:rPr>
              <w:t>Cmax</w:t>
            </w:r>
            <w:proofErr w:type="spellEnd"/>
          </w:p>
        </w:tc>
        <w:tc>
          <w:tcPr>
            <w:tcW w:w="1538" w:type="dxa"/>
            <w:tcBorders>
              <w:top w:val="single" w:sz="4" w:space="0" w:color="000000"/>
              <w:bottom w:val="single" w:sz="4" w:space="0" w:color="000000"/>
            </w:tcBorders>
            <w:vAlign w:val="bottom"/>
          </w:tcPr>
          <w:p w:rsidR="003E15EB" w:rsidRDefault="00B648E7">
            <w:pPr>
              <w:spacing w:after="0" w:line="240" w:lineRule="auto"/>
              <w:jc w:val="center"/>
              <w:rPr>
                <w:rFonts w:eastAsia="Times New Roman" w:cs="Arial"/>
              </w:rPr>
            </w:pPr>
            <w:r>
              <w:rPr>
                <w:rFonts w:eastAsia="Times New Roman" w:cs="Arial"/>
              </w:rPr>
              <w:t>99.63</w:t>
            </w:r>
          </w:p>
        </w:tc>
        <w:tc>
          <w:tcPr>
            <w:tcW w:w="2110" w:type="dxa"/>
            <w:tcBorders>
              <w:top w:val="single" w:sz="4" w:space="0" w:color="000000"/>
              <w:bottom w:val="single" w:sz="4" w:space="0" w:color="000000"/>
              <w:right w:val="single" w:sz="4" w:space="0" w:color="000000"/>
            </w:tcBorders>
            <w:vAlign w:val="bottom"/>
          </w:tcPr>
          <w:p w:rsidR="003E15EB" w:rsidRDefault="00B648E7">
            <w:pPr>
              <w:spacing w:after="0" w:line="240" w:lineRule="auto"/>
              <w:jc w:val="center"/>
              <w:rPr>
                <w:rFonts w:eastAsia="Times New Roman" w:cs="Arial"/>
              </w:rPr>
            </w:pPr>
            <w:r>
              <w:rPr>
                <w:rFonts w:eastAsia="Times New Roman" w:cs="Arial"/>
              </w:rPr>
              <w:t>(96.05- 103.34)</w:t>
            </w:r>
          </w:p>
        </w:tc>
      </w:tr>
    </w:tbl>
    <w:p w:rsidR="003E15EB" w:rsidRDefault="003E15EB">
      <w:pPr>
        <w:spacing w:after="0" w:line="240" w:lineRule="auto"/>
        <w:rPr>
          <w:rFonts w:cs="Arial"/>
          <w:i/>
          <w:highlight w:val="yellow"/>
        </w:rPr>
      </w:pPr>
    </w:p>
    <w:p w:rsidR="003E15EB" w:rsidRDefault="00B648E7">
      <w:pPr>
        <w:spacing w:after="0" w:line="240" w:lineRule="auto"/>
        <w:rPr>
          <w:rFonts w:cs="Arial"/>
        </w:rPr>
      </w:pPr>
      <w:r>
        <w:rPr>
          <w:rFonts w:cs="Arial"/>
          <w:i/>
        </w:rPr>
        <w:t xml:space="preserve">Conclusioni sulla </w:t>
      </w:r>
      <w:proofErr w:type="spellStart"/>
      <w:r>
        <w:rPr>
          <w:rFonts w:cs="Arial"/>
          <w:i/>
        </w:rPr>
        <w:t>bioequivalenza</w:t>
      </w:r>
      <w:proofErr w:type="spellEnd"/>
      <w:r>
        <w:rPr>
          <w:rFonts w:cs="Arial"/>
        </w:rPr>
        <w:t>.</w:t>
      </w:r>
    </w:p>
    <w:p w:rsidR="003E15EB" w:rsidRDefault="00B648E7">
      <w:pPr>
        <w:spacing w:after="0" w:line="240" w:lineRule="auto"/>
        <w:jc w:val="both"/>
        <w:rPr>
          <w:rFonts w:cs="Arial"/>
        </w:rPr>
      </w:pPr>
      <w:r>
        <w:rPr>
          <w:rFonts w:cs="Arial"/>
        </w:rPr>
        <w:t xml:space="preserve">I risultati degli studi di </w:t>
      </w:r>
      <w:proofErr w:type="spellStart"/>
      <w:r>
        <w:rPr>
          <w:rFonts w:cs="Arial"/>
        </w:rPr>
        <w:t>bioequivalenza</w:t>
      </w:r>
      <w:proofErr w:type="spellEnd"/>
      <w:r>
        <w:rPr>
          <w:rFonts w:cs="Arial"/>
        </w:rPr>
        <w:t xml:space="preserve"> mostrano che gli intervalli di confidenza dei parametri farmacocinetici studiati cadono nel </w:t>
      </w:r>
      <w:proofErr w:type="spellStart"/>
      <w:r>
        <w:rPr>
          <w:rFonts w:cs="Arial"/>
        </w:rPr>
        <w:t>range</w:t>
      </w:r>
      <w:proofErr w:type="spellEnd"/>
      <w:r>
        <w:rPr>
          <w:rFonts w:cs="Arial"/>
        </w:rPr>
        <w:t xml:space="preserve"> di accettabilità di 80-125% per entrambi gli </w:t>
      </w:r>
      <w:proofErr w:type="spellStart"/>
      <w:r>
        <w:rPr>
          <w:rFonts w:cs="Arial"/>
        </w:rPr>
        <w:t>analiti</w:t>
      </w:r>
      <w:proofErr w:type="spellEnd"/>
      <w:r>
        <w:rPr>
          <w:rFonts w:cs="Arial"/>
        </w:rPr>
        <w:t>, in accordo con le linee guida correnti.</w:t>
      </w:r>
    </w:p>
    <w:p w:rsidR="003E15EB" w:rsidRDefault="003E15EB">
      <w:pPr>
        <w:keepNext/>
        <w:rPr>
          <w:rFonts w:ascii="Calibri" w:eastAsia="Calibri" w:hAnsi="Calibri" w:cs="Times New Roman"/>
        </w:rPr>
      </w:pPr>
    </w:p>
    <w:p w:rsidR="003E15EB" w:rsidRDefault="00B648E7">
      <w:pPr>
        <w:spacing w:after="0" w:line="240" w:lineRule="auto"/>
        <w:jc w:val="both"/>
        <w:rPr>
          <w:rFonts w:cs="Arial"/>
          <w:b/>
        </w:rPr>
      </w:pPr>
      <w:r>
        <w:rPr>
          <w:rFonts w:cs="Arial"/>
          <w:b/>
        </w:rPr>
        <w:t>Efficacia e sicurezza clinica</w:t>
      </w:r>
    </w:p>
    <w:p w:rsidR="003E15EB" w:rsidRDefault="00B648E7">
      <w:pPr>
        <w:spacing w:after="0" w:line="240" w:lineRule="auto"/>
        <w:jc w:val="both"/>
        <w:rPr>
          <w:rFonts w:cs="Arial"/>
        </w:rPr>
      </w:pPr>
      <w:r>
        <w:rPr>
          <w:rFonts w:cs="Arial"/>
        </w:rPr>
        <w:t>Non sono stati presentati nuovi dati di efficacia e sicurezza clinica: il profilo di sicurezza e l’efficacia del principio attivo di PIOGLITAZONE E METFORMINA EG è ben conosciuto.</w:t>
      </w:r>
    </w:p>
    <w:p w:rsidR="003E15EB" w:rsidRDefault="003E15EB">
      <w:pPr>
        <w:pStyle w:val="Paragrafoelenco"/>
        <w:spacing w:after="0" w:line="240" w:lineRule="auto"/>
        <w:ind w:left="0"/>
        <w:jc w:val="both"/>
        <w:rPr>
          <w:rFonts w:ascii="Calibri" w:hAnsi="Calibri"/>
        </w:rPr>
      </w:pPr>
    </w:p>
    <w:p w:rsidR="003E15EB" w:rsidRDefault="00B648E7">
      <w:pPr>
        <w:pStyle w:val="Paragrafoelenco"/>
        <w:spacing w:after="0" w:line="240" w:lineRule="auto"/>
        <w:ind w:left="0"/>
        <w:jc w:val="both"/>
        <w:rPr>
          <w:b/>
        </w:rPr>
      </w:pPr>
      <w:r>
        <w:rPr>
          <w:b/>
        </w:rPr>
        <w:t>Piano di Valutazione del Rischio (</w:t>
      </w:r>
      <w:proofErr w:type="spellStart"/>
      <w:r>
        <w:rPr>
          <w:b/>
          <w:i/>
        </w:rPr>
        <w:t>Risk</w:t>
      </w:r>
      <w:proofErr w:type="spellEnd"/>
      <w:r>
        <w:rPr>
          <w:b/>
          <w:i/>
        </w:rPr>
        <w:t xml:space="preserve"> Management </w:t>
      </w:r>
      <w:proofErr w:type="spellStart"/>
      <w:r>
        <w:rPr>
          <w:b/>
          <w:i/>
        </w:rPr>
        <w:t>Plan</w:t>
      </w:r>
      <w:proofErr w:type="spellEnd"/>
      <w:r>
        <w:rPr>
          <w:b/>
        </w:rPr>
        <w:t xml:space="preserve"> - RMP)</w:t>
      </w:r>
    </w:p>
    <w:p w:rsidR="003E15EB" w:rsidRDefault="00B648E7">
      <w:pPr>
        <w:pStyle w:val="Paragrafoelenco"/>
        <w:spacing w:after="0" w:line="240" w:lineRule="auto"/>
        <w:ind w:left="0"/>
        <w:jc w:val="both"/>
        <w:rPr>
          <w:rFonts w:ascii="Calibri" w:hAnsi="Calibri"/>
        </w:rPr>
      </w:pPr>
      <w:r>
        <w:lastRenderedPageBreak/>
        <w:t xml:space="preserve">È stato presentato un RMP in accordo a quanto previsto dalla Direttiva 2001/83/EU </w:t>
      </w:r>
      <w:proofErr w:type="spellStart"/>
      <w:r>
        <w:t>s.m.i.</w:t>
      </w:r>
      <w:proofErr w:type="spellEnd"/>
      <w:r>
        <w:t xml:space="preserve"> che descrive le attività di farmacovigilanza e gli interventi definiti al fine di identificare, caratterizzare, prevenire o minimizzare i rischi collegati all’uso di PIOGLITAZONE E METFORMINA EG. </w:t>
      </w:r>
    </w:p>
    <w:p w:rsidR="003E15EB" w:rsidRDefault="003E15EB">
      <w:pPr>
        <w:pStyle w:val="Paragrafoelenco"/>
        <w:spacing w:after="0" w:line="240" w:lineRule="auto"/>
        <w:ind w:left="0"/>
        <w:jc w:val="both"/>
        <w:rPr>
          <w:rFonts w:ascii="Calibri" w:hAnsi="Calibri"/>
        </w:rPr>
      </w:pPr>
    </w:p>
    <w:p w:rsidR="003E15EB" w:rsidRDefault="00B648E7">
      <w:pPr>
        <w:pStyle w:val="Paragrafoelenco"/>
        <w:spacing w:after="0" w:line="240" w:lineRule="auto"/>
        <w:ind w:left="0"/>
        <w:jc w:val="both"/>
        <w:rPr>
          <w:rFonts w:ascii="Calibri" w:hAnsi="Calibri"/>
        </w:rPr>
      </w:pPr>
      <w:r>
        <w:t xml:space="preserve">Azioni </w:t>
      </w:r>
      <w:proofErr w:type="spellStart"/>
      <w:r>
        <w:t>routinarie</w:t>
      </w:r>
      <w:proofErr w:type="spellEnd"/>
      <w:r>
        <w:t xml:space="preserve"> di farmacovigilanza e di minimizzazione del rischio sono proposte per tutte le problematiche di sicurezza. Oltre le misure previste nel Riassunto delle caratteristiche del prodotto non sono previste attività addizionali di minimizzazione del rischio.</w:t>
      </w:r>
    </w:p>
    <w:p w:rsidR="003E15EB" w:rsidRDefault="003E15EB">
      <w:pPr>
        <w:pStyle w:val="Paragrafoelenco"/>
        <w:spacing w:after="0" w:line="240" w:lineRule="auto"/>
        <w:ind w:left="0"/>
        <w:jc w:val="both"/>
        <w:rPr>
          <w:rFonts w:ascii="Calibri" w:hAnsi="Calibri"/>
        </w:rPr>
      </w:pPr>
    </w:p>
    <w:p w:rsidR="003E15EB" w:rsidRDefault="00B648E7">
      <w:pPr>
        <w:pStyle w:val="Paragrafoelenco"/>
        <w:spacing w:after="0" w:line="240" w:lineRule="auto"/>
        <w:ind w:left="0"/>
        <w:jc w:val="both"/>
        <w:rPr>
          <w:b/>
        </w:rPr>
      </w:pPr>
      <w:r>
        <w:rPr>
          <w:b/>
        </w:rPr>
        <w:t>Conclusioni</w:t>
      </w:r>
    </w:p>
    <w:p w:rsidR="003E15EB" w:rsidRDefault="00B648E7">
      <w:pPr>
        <w:pStyle w:val="Paragrafoelenco"/>
        <w:spacing w:after="0" w:line="240" w:lineRule="auto"/>
        <w:ind w:left="0"/>
        <w:jc w:val="both"/>
        <w:rPr>
          <w:rFonts w:ascii="Calibri" w:hAnsi="Calibri"/>
        </w:rPr>
      </w:pPr>
      <w:r>
        <w:t>Per la richiesta di AIC di PIOGLITAZONE E METFORMINA EG sono state presentate sufficienti informazioni cliniche.</w:t>
      </w:r>
    </w:p>
    <w:p w:rsidR="003E15EB" w:rsidRDefault="00B648E7">
      <w:pPr>
        <w:pStyle w:val="Paragrafoelenco"/>
        <w:spacing w:after="0" w:line="240" w:lineRule="auto"/>
        <w:ind w:left="0"/>
        <w:jc w:val="both"/>
        <w:rPr>
          <w:rFonts w:ascii="Calibri" w:hAnsi="Calibri"/>
        </w:rPr>
      </w:pPr>
      <w:r>
        <w:t>Il rapporto beneficio/rischio di PIOGLITAZONE E METFORMINA EG è considerato favorevole dal punto di vista clinico.</w:t>
      </w:r>
    </w:p>
    <w:p w:rsidR="003E15EB" w:rsidRDefault="003E15EB">
      <w:pPr>
        <w:pStyle w:val="Paragrafoelenco"/>
        <w:spacing w:after="0" w:line="240" w:lineRule="auto"/>
        <w:ind w:left="0"/>
        <w:jc w:val="both"/>
        <w:rPr>
          <w:rFonts w:ascii="Calibri" w:hAnsi="Calibri"/>
        </w:rPr>
      </w:pPr>
      <w:bookmarkStart w:id="8" w:name="_Hlk39842457"/>
      <w:bookmarkEnd w:id="8"/>
    </w:p>
    <w:p w:rsidR="003E15EB" w:rsidRDefault="003E15EB">
      <w:pPr>
        <w:pStyle w:val="Paragrafoelenco"/>
        <w:spacing w:after="0" w:line="240" w:lineRule="auto"/>
        <w:ind w:left="0"/>
        <w:jc w:val="both"/>
        <w:rPr>
          <w:rFonts w:ascii="Calibri" w:hAnsi="Calibri"/>
        </w:rPr>
      </w:pPr>
    </w:p>
    <w:p w:rsidR="003E15EB" w:rsidRDefault="00B648E7">
      <w:pPr>
        <w:pStyle w:val="Paragrafoelenco"/>
        <w:numPr>
          <w:ilvl w:val="0"/>
          <w:numId w:val="2"/>
        </w:numPr>
        <w:spacing w:after="0" w:line="240" w:lineRule="auto"/>
        <w:jc w:val="both"/>
        <w:rPr>
          <w:b/>
        </w:rPr>
      </w:pPr>
      <w:r>
        <w:rPr>
          <w:b/>
        </w:rPr>
        <w:t>CONSULTAZIONE SUL FOGLIO ILLUSTRATIVO</w:t>
      </w:r>
    </w:p>
    <w:p w:rsidR="003E15EB" w:rsidRDefault="00B648E7">
      <w:pPr>
        <w:spacing w:after="0" w:line="240" w:lineRule="auto"/>
        <w:jc w:val="both"/>
        <w:rPr>
          <w:rFonts w:ascii="Calibri" w:hAnsi="Calibri"/>
        </w:rPr>
      </w:pPr>
      <w:r>
        <w:t xml:space="preserve">Il foglio illustrativo è stato sottoposto al test di leggibilità in accordo ai requisiti dell’art. 59(3) e 61(1) della direttiva 2001/83/EU </w:t>
      </w:r>
      <w:proofErr w:type="spellStart"/>
      <w:r>
        <w:t>s.m.i.</w:t>
      </w:r>
      <w:proofErr w:type="spellEnd"/>
      <w:r>
        <w:t xml:space="preserve"> i risultati del test hanno dimostrato che il foglio illustrativo corrisponde ai criteri imposti dalla linea guida sulla leggibilità di etichetta e foglio illustrativo dei medicinali per uso umano.</w:t>
      </w:r>
    </w:p>
    <w:p w:rsidR="003E15EB" w:rsidRDefault="003E15EB">
      <w:pPr>
        <w:spacing w:after="0" w:line="240" w:lineRule="auto"/>
        <w:jc w:val="both"/>
        <w:rPr>
          <w:rFonts w:ascii="Calibri" w:hAnsi="Calibri"/>
        </w:rPr>
      </w:pPr>
    </w:p>
    <w:p w:rsidR="003E15EB" w:rsidRDefault="003E15EB">
      <w:pPr>
        <w:spacing w:after="0" w:line="240" w:lineRule="auto"/>
        <w:jc w:val="both"/>
        <w:rPr>
          <w:rFonts w:ascii="Calibri" w:hAnsi="Calibri"/>
        </w:rPr>
      </w:pPr>
    </w:p>
    <w:p w:rsidR="003E15EB" w:rsidRDefault="00B648E7">
      <w:pPr>
        <w:pStyle w:val="Paragrafoelenco"/>
        <w:numPr>
          <w:ilvl w:val="0"/>
          <w:numId w:val="2"/>
        </w:numPr>
        <w:spacing w:after="0" w:line="240" w:lineRule="auto"/>
        <w:jc w:val="both"/>
        <w:rPr>
          <w:b/>
        </w:rPr>
      </w:pPr>
      <w:r>
        <w:rPr>
          <w:b/>
        </w:rPr>
        <w:t>CONCLUSIONI, VALUTAZIONE DEL RAPPORTO BENEFICIO/RISCHIO E RACCOMANDAZIONI</w:t>
      </w:r>
    </w:p>
    <w:p w:rsidR="003E15EB" w:rsidRDefault="00B648E7">
      <w:pPr>
        <w:spacing w:after="0" w:line="240" w:lineRule="auto"/>
        <w:jc w:val="both"/>
        <w:rPr>
          <w:rFonts w:ascii="Calibri" w:hAnsi="Calibri"/>
        </w:rPr>
      </w:pPr>
      <w:r>
        <w:t>La qualità di PIOGLITAZONE E METFORMINA EG è accettabile e non sono state rilevate criticità da un punto di vista non clinico e clinico.</w:t>
      </w:r>
    </w:p>
    <w:p w:rsidR="003E15EB" w:rsidRDefault="00B648E7">
      <w:pPr>
        <w:spacing w:after="0" w:line="240" w:lineRule="auto"/>
        <w:jc w:val="both"/>
        <w:rPr>
          <w:rFonts w:ascii="Calibri" w:eastAsia="Calibri" w:hAnsi="Calibri" w:cs="Times New Roman"/>
        </w:rPr>
      </w:pPr>
      <w:r>
        <w:rPr>
          <w:rFonts w:eastAsia="Calibri" w:cs="Times New Roman"/>
        </w:rPr>
        <w:t xml:space="preserve">Lo studio </w:t>
      </w:r>
      <w:bookmarkStart w:id="9" w:name="_Hlk39842491"/>
      <w:r>
        <w:rPr>
          <w:rFonts w:eastAsia="Calibri" w:cs="Times New Roman"/>
        </w:rPr>
        <w:t xml:space="preserve">di </w:t>
      </w:r>
      <w:proofErr w:type="spellStart"/>
      <w:r>
        <w:rPr>
          <w:rFonts w:eastAsia="Calibri" w:cs="Times New Roman"/>
        </w:rPr>
        <w:t>bioequivalenza</w:t>
      </w:r>
      <w:proofErr w:type="spellEnd"/>
      <w:r>
        <w:rPr>
          <w:rFonts w:eastAsia="Calibri" w:cs="Times New Roman"/>
        </w:rPr>
        <w:t xml:space="preserve"> e le sue conclusioni confermano che PIOGLITAZONE E METFORMINA EG </w:t>
      </w:r>
      <w:r>
        <w:t xml:space="preserve">e il medicinale di riferimento </w:t>
      </w:r>
      <w:proofErr w:type="spellStart"/>
      <w:r>
        <w:t>Competact</w:t>
      </w:r>
      <w:proofErr w:type="spellEnd"/>
      <w:r>
        <w:t xml:space="preserve"> sono </w:t>
      </w:r>
      <w:proofErr w:type="spellStart"/>
      <w:r>
        <w:t>bioequivalenti</w:t>
      </w:r>
      <w:proofErr w:type="spellEnd"/>
      <w:r>
        <w:t>.</w:t>
      </w:r>
      <w:bookmarkEnd w:id="9"/>
    </w:p>
    <w:p w:rsidR="003E15EB" w:rsidRDefault="00B648E7">
      <w:pPr>
        <w:spacing w:after="0" w:line="240" w:lineRule="auto"/>
        <w:jc w:val="both"/>
        <w:rPr>
          <w:rFonts w:ascii="Calibri" w:hAnsi="Calibri"/>
        </w:rPr>
      </w:pPr>
      <w:r>
        <w:t>Il rapporto beneficio/rischio è considerato positivo.</w:t>
      </w:r>
    </w:p>
    <w:p w:rsidR="003E15EB" w:rsidRDefault="00B648E7">
      <w:pPr>
        <w:spacing w:after="0" w:line="240" w:lineRule="auto"/>
        <w:jc w:val="both"/>
      </w:pPr>
      <w:r>
        <w:t xml:space="preserve">Il riassunto delle caratteristiche del prodotto, il foglio illustrativo e le etichette sono in linea con le correnti linee guida. Questi documenti possono essere consultati sul sito istituzionale di AIFA </w:t>
      </w:r>
      <w:r>
        <w:rPr>
          <w:rFonts w:eastAsia="Calibri" w:cs="Calibri"/>
          <w:lang w:eastAsia="it-IT"/>
        </w:rPr>
        <w:t>(</w:t>
      </w:r>
      <w:hyperlink r:id="rId13">
        <w:r>
          <w:rPr>
            <w:color w:val="0000FF"/>
            <w:u w:val="single"/>
          </w:rPr>
          <w:t>https://farmaci.agenziafarmaco.gov.it/bancadatifarmaci/home</w:t>
        </w:r>
      </w:hyperlink>
      <w:r>
        <w:rPr>
          <w:rFonts w:eastAsia="Calibri" w:cs="Calibri"/>
          <w:lang w:eastAsia="it-IT"/>
        </w:rPr>
        <w:t>).</w:t>
      </w:r>
      <w:r>
        <w:t xml:space="preserve"> </w:t>
      </w:r>
    </w:p>
    <w:sectPr w:rsidR="003E15EB" w:rsidSect="003E15EB">
      <w:footerReference w:type="default" r:id="rId14"/>
      <w:pgSz w:w="11906" w:h="16838"/>
      <w:pgMar w:top="1418" w:right="1021" w:bottom="1573" w:left="1021" w:header="0" w:footer="1021" w:gutter="0"/>
      <w:cols w:space="720"/>
      <w:formProt w:val="0"/>
      <w:docGrid w:linePitch="360"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39A0" w:rsidRDefault="009039A0" w:rsidP="003E15EB">
      <w:pPr>
        <w:spacing w:after="0" w:line="240" w:lineRule="auto"/>
      </w:pPr>
      <w:r>
        <w:separator/>
      </w:r>
    </w:p>
  </w:endnote>
  <w:endnote w:type="continuationSeparator" w:id="0">
    <w:p w:rsidR="009039A0" w:rsidRDefault="009039A0" w:rsidP="003E15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onsolas">
    <w:panose1 w:val="020B0609020204030204"/>
    <w:charset w:val="00"/>
    <w:family w:val="modern"/>
    <w:pitch w:val="fixed"/>
    <w:sig w:usb0="E10002FF" w:usb1="4000FCFF" w:usb2="00000009" w:usb3="00000000" w:csb0="0000019F" w:csb1="00000000"/>
  </w:font>
  <w:font w:name="Liberation Sans">
    <w:altName w:val="Arial"/>
    <w:charset w:val="01"/>
    <w:family w:val="roman"/>
    <w:pitch w:val="variable"/>
    <w:sig w:usb0="00000000" w:usb1="00000000" w:usb2="00000000" w:usb3="00000000" w:csb0="00000000" w:csb1="00000000"/>
  </w:font>
  <w:font w:name="PingFang SC">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DejaVuSans">
    <w:panose1 w:val="00000000000000000000"/>
    <w:charset w:val="00"/>
    <w:family w:val="roman"/>
    <w:notTrueType/>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5EB" w:rsidRDefault="00B648E7">
    <w:pPr>
      <w:pStyle w:val="Footer"/>
    </w:pPr>
    <w:r>
      <w:rPr>
        <w:noProof/>
        <w:lang w:eastAsia="it-IT"/>
      </w:rPr>
      <w:drawing>
        <wp:anchor distT="0" distB="0" distL="0" distR="0" simplePos="0" relativeHeight="11" behindDoc="1" locked="0" layoutInCell="1" allowOverlap="1">
          <wp:simplePos x="0" y="0"/>
          <wp:positionH relativeFrom="page">
            <wp:posOffset>-3810</wp:posOffset>
          </wp:positionH>
          <wp:positionV relativeFrom="page">
            <wp:posOffset>9900285</wp:posOffset>
          </wp:positionV>
          <wp:extent cx="7560310" cy="790575"/>
          <wp:effectExtent l="0" t="0" r="0" b="0"/>
          <wp:wrapNone/>
          <wp:docPr id="4" name="Image3" descr="AIFA18_Def_Piede_No_I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 descr="AIFA18_Def_Piede_No_Ind"/>
                  <pic:cNvPicPr>
                    <a:picLocks noChangeAspect="1" noChangeArrowheads="1"/>
                  </pic:cNvPicPr>
                </pic:nvPicPr>
                <pic:blipFill>
                  <a:blip r:embed="rId1"/>
                  <a:stretch>
                    <a:fillRect/>
                  </a:stretch>
                </pic:blipFill>
                <pic:spPr bwMode="auto">
                  <a:xfrm>
                    <a:off x="0" y="0"/>
                    <a:ext cx="7560310" cy="790575"/>
                  </a:xfrm>
                  <a:prstGeom prst="rect">
                    <a:avLst/>
                  </a:prstGeom>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39A0" w:rsidRDefault="009039A0" w:rsidP="003E15EB">
      <w:pPr>
        <w:spacing w:after="0" w:line="240" w:lineRule="auto"/>
      </w:pPr>
      <w:r>
        <w:separator/>
      </w:r>
    </w:p>
  </w:footnote>
  <w:footnote w:type="continuationSeparator" w:id="0">
    <w:p w:rsidR="009039A0" w:rsidRDefault="009039A0" w:rsidP="003E15E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CF52E1"/>
    <w:multiLevelType w:val="multilevel"/>
    <w:tmpl w:val="AA3099F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4C006A59"/>
    <w:multiLevelType w:val="multilevel"/>
    <w:tmpl w:val="439897C2"/>
    <w:lvl w:ilvl="0">
      <w:start w:val="1"/>
      <w:numFmt w:val="upperRoman"/>
      <w:lvlText w:val="%1."/>
      <w:lvlJc w:val="left"/>
      <w:pPr>
        <w:ind w:left="1800" w:hanging="72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
    <w:nsid w:val="5BC862A1"/>
    <w:multiLevelType w:val="multilevel"/>
    <w:tmpl w:val="6346106E"/>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footnotePr>
    <w:footnote w:id="-1"/>
    <w:footnote w:id="0"/>
  </w:footnotePr>
  <w:endnotePr>
    <w:endnote w:id="-1"/>
    <w:endnote w:id="0"/>
  </w:endnotePr>
  <w:compat/>
  <w:rsids>
    <w:rsidRoot w:val="003E15EB"/>
    <w:rsid w:val="000E6264"/>
    <w:rsid w:val="0010620C"/>
    <w:rsid w:val="003E15EB"/>
    <w:rsid w:val="007B2A56"/>
    <w:rsid w:val="009039A0"/>
    <w:rsid w:val="00922146"/>
    <w:rsid w:val="00A50418"/>
    <w:rsid w:val="00B648E7"/>
    <w:rsid w:val="00C31BF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0"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41AC"/>
    <w:pPr>
      <w:spacing w:after="200" w:line="276" w:lineRule="auto"/>
    </w:pPr>
    <w:rPr>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Heading1">
    <w:name w:val="Heading 1"/>
    <w:basedOn w:val="Normale"/>
    <w:link w:val="Titolo1Carattere"/>
    <w:uiPriority w:val="9"/>
    <w:qFormat/>
    <w:rsid w:val="007C68D2"/>
    <w:pPr>
      <w:spacing w:beforeAutospacing="1" w:afterAutospacing="1" w:line="240" w:lineRule="auto"/>
      <w:outlineLvl w:val="0"/>
    </w:pPr>
    <w:rPr>
      <w:rFonts w:ascii="Times New Roman" w:eastAsia="Times New Roman" w:hAnsi="Times New Roman" w:cs="Times New Roman"/>
      <w:b/>
      <w:bCs/>
      <w:kern w:val="2"/>
      <w:sz w:val="48"/>
      <w:szCs w:val="48"/>
      <w:lang w:eastAsia="it-IT"/>
    </w:rPr>
  </w:style>
  <w:style w:type="character" w:customStyle="1" w:styleId="TestofumettoCarattere">
    <w:name w:val="Testo fumetto Carattere"/>
    <w:basedOn w:val="Carpredefinitoparagrafo"/>
    <w:link w:val="Testofumetto"/>
    <w:uiPriority w:val="99"/>
    <w:semiHidden/>
    <w:qFormat/>
    <w:rsid w:val="004241AC"/>
    <w:rPr>
      <w:rFonts w:ascii="Tahoma" w:hAnsi="Tahoma" w:cs="Tahoma"/>
      <w:sz w:val="16"/>
      <w:szCs w:val="16"/>
    </w:rPr>
  </w:style>
  <w:style w:type="character" w:styleId="Collegamentoipertestuale">
    <w:name w:val="Hyperlink"/>
    <w:basedOn w:val="Carpredefinitoparagrafo"/>
    <w:uiPriority w:val="99"/>
    <w:unhideWhenUsed/>
    <w:rsid w:val="00B75EA4"/>
    <w:rPr>
      <w:color w:val="0000FF" w:themeColor="hyperlink"/>
      <w:u w:val="single"/>
    </w:rPr>
  </w:style>
  <w:style w:type="character" w:customStyle="1" w:styleId="Titolo1Carattere">
    <w:name w:val="Titolo 1 Carattere"/>
    <w:basedOn w:val="Carpredefinitoparagrafo"/>
    <w:link w:val="Heading1"/>
    <w:uiPriority w:val="9"/>
    <w:qFormat/>
    <w:rsid w:val="007C68D2"/>
    <w:rPr>
      <w:rFonts w:ascii="Times New Roman" w:eastAsia="Times New Roman" w:hAnsi="Times New Roman" w:cs="Times New Roman"/>
      <w:b/>
      <w:bCs/>
      <w:kern w:val="2"/>
      <w:sz w:val="48"/>
      <w:szCs w:val="48"/>
      <w:lang w:eastAsia="it-IT"/>
    </w:rPr>
  </w:style>
  <w:style w:type="character" w:customStyle="1" w:styleId="s1">
    <w:name w:val="s1"/>
    <w:basedOn w:val="Carpredefinitoparagrafo"/>
    <w:qFormat/>
    <w:rsid w:val="007C68D2"/>
    <w:rPr>
      <w:rFonts w:ascii="Arial" w:hAnsi="Arial" w:cs="Arial"/>
    </w:rPr>
  </w:style>
  <w:style w:type="character" w:styleId="Rimandocommento">
    <w:name w:val="annotation reference"/>
    <w:basedOn w:val="Carpredefinitoparagrafo"/>
    <w:uiPriority w:val="99"/>
    <w:semiHidden/>
    <w:unhideWhenUsed/>
    <w:qFormat/>
    <w:rsid w:val="00564F57"/>
    <w:rPr>
      <w:sz w:val="16"/>
      <w:szCs w:val="16"/>
    </w:rPr>
  </w:style>
  <w:style w:type="character" w:customStyle="1" w:styleId="TestocommentoCarattere">
    <w:name w:val="Testo commento Carattere"/>
    <w:basedOn w:val="Carpredefinitoparagrafo"/>
    <w:link w:val="Testocommento"/>
    <w:uiPriority w:val="99"/>
    <w:semiHidden/>
    <w:qFormat/>
    <w:rsid w:val="00564F57"/>
    <w:rPr>
      <w:sz w:val="20"/>
      <w:szCs w:val="20"/>
    </w:rPr>
  </w:style>
  <w:style w:type="character" w:customStyle="1" w:styleId="SoggettocommentoCarattere">
    <w:name w:val="Soggetto commento Carattere"/>
    <w:basedOn w:val="TestocommentoCarattere"/>
    <w:link w:val="Soggettocommento"/>
    <w:uiPriority w:val="99"/>
    <w:semiHidden/>
    <w:qFormat/>
    <w:rsid w:val="00564F57"/>
    <w:rPr>
      <w:b/>
      <w:bCs/>
      <w:sz w:val="20"/>
      <w:szCs w:val="20"/>
    </w:rPr>
  </w:style>
  <w:style w:type="character" w:customStyle="1" w:styleId="CorpodeltestoCarattere">
    <w:name w:val="Corpo del testo Carattere"/>
    <w:basedOn w:val="Carpredefinitoparagrafo"/>
    <w:link w:val="Corpodeltesto"/>
    <w:uiPriority w:val="1"/>
    <w:qFormat/>
    <w:rsid w:val="00D8197E"/>
    <w:rPr>
      <w:rFonts w:ascii="Times New Roman" w:eastAsia="Times New Roman" w:hAnsi="Times New Roman"/>
      <w:lang w:val="en-US"/>
    </w:rPr>
  </w:style>
  <w:style w:type="character" w:customStyle="1" w:styleId="highlight">
    <w:name w:val="highlight"/>
    <w:basedOn w:val="Carpredefinitoparagrafo"/>
    <w:qFormat/>
    <w:rsid w:val="00B12DF7"/>
    <w:rPr>
      <w:shd w:val="clear" w:color="auto" w:fill="A2F0F0"/>
    </w:rPr>
  </w:style>
  <w:style w:type="character" w:customStyle="1" w:styleId="f14sb1">
    <w:name w:val="f14sb1"/>
    <w:basedOn w:val="Carpredefinitoparagrafo"/>
    <w:qFormat/>
    <w:rsid w:val="00B12DF7"/>
    <w:rPr>
      <w:rFonts w:ascii="Arial" w:hAnsi="Arial" w:cs="Arial"/>
      <w:b/>
      <w:bCs/>
      <w:sz w:val="28"/>
      <w:szCs w:val="28"/>
    </w:rPr>
  </w:style>
  <w:style w:type="character" w:customStyle="1" w:styleId="PreformattatoHTMLCarattere">
    <w:name w:val="Preformattato HTML Carattere"/>
    <w:basedOn w:val="Carpredefinitoparagrafo"/>
    <w:link w:val="PreformattatoHTML"/>
    <w:uiPriority w:val="99"/>
    <w:semiHidden/>
    <w:qFormat/>
    <w:rsid w:val="00AE7D76"/>
    <w:rPr>
      <w:rFonts w:ascii="Consolas" w:hAnsi="Consolas" w:cs="Consolas"/>
      <w:sz w:val="20"/>
      <w:szCs w:val="20"/>
    </w:rPr>
  </w:style>
  <w:style w:type="character" w:styleId="Collegamentovisitato">
    <w:name w:val="FollowedHyperlink"/>
    <w:basedOn w:val="Carpredefinitoparagrafo"/>
    <w:uiPriority w:val="99"/>
    <w:semiHidden/>
    <w:unhideWhenUsed/>
    <w:rsid w:val="0041225F"/>
    <w:rPr>
      <w:color w:val="800080" w:themeColor="followedHyperlink"/>
      <w:u w:val="single"/>
    </w:rPr>
  </w:style>
  <w:style w:type="character" w:customStyle="1" w:styleId="UnresolvedMention">
    <w:name w:val="Unresolved Mention"/>
    <w:basedOn w:val="Carpredefinitoparagrafo"/>
    <w:uiPriority w:val="99"/>
    <w:semiHidden/>
    <w:unhideWhenUsed/>
    <w:qFormat/>
    <w:rsid w:val="00915A27"/>
    <w:rPr>
      <w:color w:val="605E5C"/>
      <w:shd w:val="clear" w:color="auto" w:fill="E1DFDD"/>
    </w:rPr>
  </w:style>
  <w:style w:type="character" w:customStyle="1" w:styleId="EndnoteCharacters">
    <w:name w:val="Endnote Characters"/>
    <w:qFormat/>
    <w:rsid w:val="003E15EB"/>
  </w:style>
  <w:style w:type="character" w:customStyle="1" w:styleId="EndnoteAnchor">
    <w:name w:val="Endnote Anchor"/>
    <w:rsid w:val="003E15EB"/>
    <w:rPr>
      <w:vertAlign w:val="superscript"/>
    </w:rPr>
  </w:style>
  <w:style w:type="character" w:customStyle="1" w:styleId="FootnoteCharacters">
    <w:name w:val="Footnote Characters"/>
    <w:qFormat/>
    <w:rsid w:val="003E15EB"/>
  </w:style>
  <w:style w:type="character" w:customStyle="1" w:styleId="FootnoteAnchor">
    <w:name w:val="Footnote Anchor"/>
    <w:rsid w:val="003E15EB"/>
    <w:rPr>
      <w:vertAlign w:val="superscript"/>
    </w:rPr>
  </w:style>
  <w:style w:type="character" w:customStyle="1" w:styleId="Nessuno">
    <w:name w:val="Nessuno"/>
    <w:qFormat/>
    <w:rsid w:val="003E15EB"/>
  </w:style>
  <w:style w:type="paragraph" w:customStyle="1" w:styleId="Heading">
    <w:name w:val="Heading"/>
    <w:basedOn w:val="Normale"/>
    <w:next w:val="Corpodeltesto"/>
    <w:qFormat/>
    <w:rsid w:val="003E15EB"/>
    <w:pPr>
      <w:keepNext/>
      <w:spacing w:before="240" w:after="120"/>
    </w:pPr>
    <w:rPr>
      <w:rFonts w:ascii="Liberation Sans" w:eastAsia="PingFang SC" w:hAnsi="Liberation Sans" w:cs="Arial Unicode MS"/>
      <w:sz w:val="28"/>
      <w:szCs w:val="28"/>
    </w:rPr>
  </w:style>
  <w:style w:type="paragraph" w:styleId="Corpodeltesto">
    <w:name w:val="Body Text"/>
    <w:basedOn w:val="Normale"/>
    <w:link w:val="CorpodeltestoCarattere"/>
    <w:uiPriority w:val="1"/>
    <w:qFormat/>
    <w:rsid w:val="00D8197E"/>
    <w:pPr>
      <w:widowControl w:val="0"/>
      <w:spacing w:after="0" w:line="240" w:lineRule="auto"/>
      <w:ind w:left="400"/>
    </w:pPr>
    <w:rPr>
      <w:rFonts w:ascii="Times New Roman" w:eastAsia="Times New Roman" w:hAnsi="Times New Roman"/>
      <w:lang w:val="en-US"/>
    </w:rPr>
  </w:style>
  <w:style w:type="paragraph" w:styleId="Elenco">
    <w:name w:val="List"/>
    <w:basedOn w:val="Corpodeltesto"/>
    <w:rsid w:val="003E15EB"/>
    <w:rPr>
      <w:rFonts w:cs="Arial Unicode MS"/>
    </w:rPr>
  </w:style>
  <w:style w:type="paragraph" w:customStyle="1" w:styleId="Caption">
    <w:name w:val="Caption"/>
    <w:basedOn w:val="Normale"/>
    <w:qFormat/>
    <w:rsid w:val="003E15EB"/>
    <w:pPr>
      <w:suppressLineNumbers/>
      <w:spacing w:before="120" w:after="120"/>
    </w:pPr>
    <w:rPr>
      <w:rFonts w:cs="Arial Unicode MS"/>
      <w:i/>
      <w:iCs/>
      <w:sz w:val="24"/>
      <w:szCs w:val="24"/>
    </w:rPr>
  </w:style>
  <w:style w:type="paragraph" w:customStyle="1" w:styleId="Index">
    <w:name w:val="Index"/>
    <w:basedOn w:val="Normale"/>
    <w:qFormat/>
    <w:rsid w:val="003E15EB"/>
    <w:pPr>
      <w:suppressLineNumbers/>
    </w:pPr>
    <w:rPr>
      <w:rFonts w:cs="Arial Unicode MS"/>
    </w:rPr>
  </w:style>
  <w:style w:type="paragraph" w:styleId="Didascalia">
    <w:name w:val="caption"/>
    <w:basedOn w:val="Normale"/>
    <w:next w:val="Normale"/>
    <w:qFormat/>
    <w:rsid w:val="007C68D2"/>
    <w:pPr>
      <w:spacing w:before="120" w:after="120" w:line="240" w:lineRule="auto"/>
    </w:pPr>
    <w:rPr>
      <w:rFonts w:ascii="Times New Roman" w:eastAsia="Times New Roman" w:hAnsi="Times New Roman" w:cs="Times New Roman"/>
      <w:b/>
      <w:sz w:val="24"/>
      <w:szCs w:val="20"/>
      <w:lang w:val="en-US"/>
    </w:rPr>
  </w:style>
  <w:style w:type="paragraph" w:styleId="Testofumetto">
    <w:name w:val="Balloon Text"/>
    <w:basedOn w:val="Normale"/>
    <w:link w:val="TestofumettoCarattere"/>
    <w:uiPriority w:val="99"/>
    <w:semiHidden/>
    <w:unhideWhenUsed/>
    <w:qFormat/>
    <w:rsid w:val="004241AC"/>
    <w:pPr>
      <w:spacing w:after="0" w:line="240" w:lineRule="auto"/>
    </w:pPr>
    <w:rPr>
      <w:rFonts w:ascii="Tahoma" w:hAnsi="Tahoma" w:cs="Tahoma"/>
      <w:sz w:val="16"/>
      <w:szCs w:val="16"/>
    </w:rPr>
  </w:style>
  <w:style w:type="paragraph" w:styleId="Paragrafoelenco">
    <w:name w:val="List Paragraph"/>
    <w:basedOn w:val="Normale"/>
    <w:uiPriority w:val="34"/>
    <w:qFormat/>
    <w:rsid w:val="007C68D2"/>
    <w:pPr>
      <w:ind w:left="720"/>
      <w:contextualSpacing/>
    </w:pPr>
  </w:style>
  <w:style w:type="paragraph" w:styleId="Testocommento">
    <w:name w:val="annotation text"/>
    <w:basedOn w:val="Normale"/>
    <w:link w:val="TestocommentoCarattere"/>
    <w:uiPriority w:val="99"/>
    <w:semiHidden/>
    <w:unhideWhenUsed/>
    <w:qFormat/>
    <w:rsid w:val="00564F57"/>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564F57"/>
    <w:rPr>
      <w:b/>
      <w:bCs/>
    </w:rPr>
  </w:style>
  <w:style w:type="paragraph" w:customStyle="1" w:styleId="TabletextrowsAgency">
    <w:name w:val="Table text rows (Agency)"/>
    <w:basedOn w:val="Normale"/>
    <w:qFormat/>
    <w:rsid w:val="00F22BED"/>
    <w:pPr>
      <w:spacing w:after="0" w:line="280" w:lineRule="exact"/>
    </w:pPr>
    <w:rPr>
      <w:rFonts w:ascii="Verdana" w:eastAsia="Times New Roman" w:hAnsi="Verdana" w:cs="Verdana"/>
      <w:sz w:val="18"/>
      <w:szCs w:val="18"/>
      <w:lang w:val="en-GB" w:eastAsia="zh-CN"/>
    </w:rPr>
  </w:style>
  <w:style w:type="paragraph" w:customStyle="1" w:styleId="DoctitleAgency">
    <w:name w:val="Doc title (Agency)"/>
    <w:basedOn w:val="Normale"/>
    <w:next w:val="Normale"/>
    <w:qFormat/>
    <w:rsid w:val="00F22BED"/>
    <w:pPr>
      <w:spacing w:before="720" w:after="0" w:line="360" w:lineRule="atLeast"/>
    </w:pPr>
    <w:rPr>
      <w:rFonts w:ascii="Verdana" w:eastAsia="Verdana" w:hAnsi="Verdana" w:cs="Verdana"/>
      <w:color w:val="003399"/>
      <w:sz w:val="32"/>
      <w:szCs w:val="32"/>
      <w:lang w:val="en-GB" w:eastAsia="en-GB"/>
    </w:rPr>
  </w:style>
  <w:style w:type="paragraph" w:customStyle="1" w:styleId="Default">
    <w:name w:val="Default"/>
    <w:qFormat/>
    <w:rsid w:val="009A3BA6"/>
    <w:rPr>
      <w:rFonts w:ascii="Times New Roman" w:eastAsia="Calibri" w:hAnsi="Times New Roman" w:cs="Times New Roman"/>
      <w:color w:val="000000"/>
      <w:sz w:val="24"/>
      <w:szCs w:val="24"/>
    </w:rPr>
  </w:style>
  <w:style w:type="paragraph" w:styleId="Testodelblocco">
    <w:name w:val="Block Text"/>
    <w:basedOn w:val="Normale"/>
    <w:qFormat/>
    <w:rsid w:val="00AD4E22"/>
    <w:pPr>
      <w:spacing w:after="0" w:line="240" w:lineRule="auto"/>
      <w:ind w:left="709" w:right="-1" w:hanging="283"/>
      <w:jc w:val="both"/>
    </w:pPr>
    <w:rPr>
      <w:rFonts w:ascii="Times New Roman" w:eastAsia="Times New Roman" w:hAnsi="Times New Roman" w:cs="Times New Roman"/>
      <w:sz w:val="24"/>
      <w:szCs w:val="20"/>
      <w:lang w:eastAsia="it-IT"/>
    </w:rPr>
  </w:style>
  <w:style w:type="paragraph" w:customStyle="1" w:styleId="ZchnZchnCharZchnZchn">
    <w:name w:val="Zchn Zchn Char Zchn Zchn"/>
    <w:basedOn w:val="Normale"/>
    <w:next w:val="Normale"/>
    <w:qFormat/>
    <w:rsid w:val="0055120E"/>
    <w:pPr>
      <w:spacing w:after="160" w:line="240" w:lineRule="auto"/>
      <w:jc w:val="both"/>
    </w:pPr>
    <w:rPr>
      <w:rFonts w:ascii="Times New Roman" w:eastAsia="Times New Roman" w:hAnsi="Times New Roman" w:cs="Times New Roman"/>
      <w:sz w:val="24"/>
      <w:szCs w:val="20"/>
      <w:lang w:val="en-GB"/>
    </w:rPr>
  </w:style>
  <w:style w:type="paragraph" w:styleId="Rientronormale">
    <w:name w:val="Normal Indent"/>
    <w:basedOn w:val="Normale"/>
    <w:qFormat/>
    <w:rsid w:val="008547E9"/>
    <w:pPr>
      <w:spacing w:after="0" w:line="240" w:lineRule="auto"/>
      <w:ind w:left="1304"/>
    </w:pPr>
    <w:rPr>
      <w:rFonts w:ascii="Times New Roman" w:eastAsia="Times New Roman" w:hAnsi="Times New Roman" w:cs="Times New Roman"/>
      <w:sz w:val="24"/>
      <w:szCs w:val="20"/>
      <w:lang w:val="fi-FI" w:eastAsia="fi-FI"/>
    </w:rPr>
  </w:style>
  <w:style w:type="paragraph" w:customStyle="1" w:styleId="ZchnZchnCharZchnZchnZchnZchnChar">
    <w:name w:val="Zchn Zchn Char Zchn Zchn Zchn Zchn Char"/>
    <w:basedOn w:val="Normale"/>
    <w:next w:val="Normale"/>
    <w:qFormat/>
    <w:rsid w:val="0055120E"/>
    <w:pPr>
      <w:spacing w:after="160" w:line="240" w:lineRule="auto"/>
      <w:jc w:val="both"/>
    </w:pPr>
    <w:rPr>
      <w:rFonts w:ascii="Times New Roman" w:eastAsia="Times New Roman" w:hAnsi="Times New Roman" w:cs="Times New Roman"/>
      <w:sz w:val="24"/>
      <w:szCs w:val="20"/>
      <w:lang w:val="en-GB"/>
    </w:rPr>
  </w:style>
  <w:style w:type="paragraph" w:styleId="PreformattatoHTML">
    <w:name w:val="HTML Preformatted"/>
    <w:basedOn w:val="Normale"/>
    <w:link w:val="PreformattatoHTMLCarattere"/>
    <w:uiPriority w:val="99"/>
    <w:semiHidden/>
    <w:unhideWhenUsed/>
    <w:qFormat/>
    <w:rsid w:val="00AE7D76"/>
    <w:pPr>
      <w:spacing w:after="0" w:line="240" w:lineRule="auto"/>
    </w:pPr>
    <w:rPr>
      <w:rFonts w:ascii="Consolas" w:hAnsi="Consolas" w:cs="Consolas"/>
      <w:sz w:val="20"/>
      <w:szCs w:val="20"/>
    </w:rPr>
  </w:style>
  <w:style w:type="paragraph" w:styleId="Revisione">
    <w:name w:val="Revision"/>
    <w:uiPriority w:val="99"/>
    <w:semiHidden/>
    <w:qFormat/>
    <w:rsid w:val="007421D8"/>
    <w:rPr>
      <w:sz w:val="22"/>
    </w:rPr>
  </w:style>
  <w:style w:type="paragraph" w:customStyle="1" w:styleId="EndnoteText">
    <w:name w:val="Endnote Text"/>
    <w:basedOn w:val="Normale"/>
    <w:rsid w:val="003E15EB"/>
    <w:pPr>
      <w:suppressLineNumbers/>
      <w:ind w:left="339" w:hanging="339"/>
    </w:pPr>
    <w:rPr>
      <w:sz w:val="20"/>
      <w:szCs w:val="20"/>
    </w:rPr>
  </w:style>
  <w:style w:type="paragraph" w:customStyle="1" w:styleId="FootnoteText">
    <w:name w:val="Footnote Text"/>
    <w:basedOn w:val="Normale"/>
    <w:rsid w:val="003E15EB"/>
    <w:pPr>
      <w:suppressLineNumbers/>
      <w:ind w:left="339" w:hanging="339"/>
    </w:pPr>
    <w:rPr>
      <w:sz w:val="20"/>
      <w:szCs w:val="20"/>
    </w:rPr>
  </w:style>
  <w:style w:type="paragraph" w:customStyle="1" w:styleId="HeaderandFooter">
    <w:name w:val="Header and Footer"/>
    <w:basedOn w:val="Normale"/>
    <w:qFormat/>
    <w:rsid w:val="003E15EB"/>
    <w:pPr>
      <w:suppressLineNumbers/>
      <w:tabs>
        <w:tab w:val="center" w:pos="4932"/>
        <w:tab w:val="right" w:pos="9864"/>
      </w:tabs>
    </w:pPr>
  </w:style>
  <w:style w:type="paragraph" w:customStyle="1" w:styleId="Footer">
    <w:name w:val="Footer"/>
    <w:basedOn w:val="HeaderandFooter"/>
    <w:rsid w:val="003E15EB"/>
  </w:style>
  <w:style w:type="table" w:styleId="Grigliatabella">
    <w:name w:val="Table Grid"/>
    <w:basedOn w:val="Tabellanormale"/>
    <w:uiPriority w:val="59"/>
    <w:rsid w:val="00AE3426"/>
    <w:rPr>
      <w:rFonts w:eastAsiaTheme="minorEastAsia"/>
      <w:lang w:eastAsia="it-IT"/>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farmaci.agenziafarmaco.gov.it/bancadatifarmaci/hom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armaci.agenziafarmaco.gov.it/bancadatifarmaci/hom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armaci.agenziafarmaco.gov.it/bancadatifarmaci/hom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farmaci.agenziafarmaco.gov.it/bancadatifarmaci/home" TargetMode="External"/><Relationship Id="rId4" Type="http://schemas.openxmlformats.org/officeDocument/2006/relationships/settings" Target="settings.xml"/><Relationship Id="rId9" Type="http://schemas.openxmlformats.org/officeDocument/2006/relationships/hyperlink" Target="https://www.ema.europa.eu/en/medicines/human/EPAR/competact"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EF9CC0-183F-410A-A9F2-81E1B792D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3140</Words>
  <Characters>17898</Characters>
  <Application>Microsoft Office Word</Application>
  <DocSecurity>0</DocSecurity>
  <Lines>149</Lines>
  <Paragraphs>41</Paragraphs>
  <ScaleCrop>false</ScaleCrop>
  <Company/>
  <LinksUpToDate>false</LinksUpToDate>
  <CharactersWithSpaces>20997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AIFA</dc:creator>
  <cp:lastModifiedBy>rovazzanid</cp:lastModifiedBy>
  <cp:revision>4</cp:revision>
  <dcterms:created xsi:type="dcterms:W3CDTF">2020-09-18T13:23:00Z</dcterms:created>
  <dcterms:modified xsi:type="dcterms:W3CDTF">2020-09-18T13:37:00Z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