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Default="004241AC" w:rsidP="004241AC">
      <w:pPr>
        <w:spacing w:after="0" w:line="240" w:lineRule="auto"/>
        <w:jc w:val="center"/>
        <w:rPr>
          <w:noProof/>
          <w:lang w:eastAsia="it-IT"/>
        </w:rPr>
      </w:pPr>
    </w:p>
    <w:p w:rsidR="001247D6" w:rsidRDefault="001247D6" w:rsidP="004241AC">
      <w:pPr>
        <w:spacing w:after="0" w:line="240" w:lineRule="auto"/>
        <w:jc w:val="center"/>
        <w:rPr>
          <w:noProof/>
          <w:lang w:eastAsia="it-IT"/>
        </w:rPr>
      </w:pPr>
      <w:r>
        <w:rPr>
          <w:rFonts w:ascii="Calibri" w:hAnsi="Calibri"/>
          <w:b/>
          <w:noProof/>
          <w:color w:val="808080"/>
          <w:sz w:val="20"/>
          <w:szCs w:val="20"/>
          <w:lang w:eastAsia="it-IT"/>
        </w:rPr>
        <w:drawing>
          <wp:inline distT="0" distB="0" distL="0" distR="0">
            <wp:extent cx="2877820" cy="1070610"/>
            <wp:effectExtent l="19050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07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7D6" w:rsidRDefault="001247D6" w:rsidP="004241AC">
      <w:pPr>
        <w:spacing w:after="0" w:line="240" w:lineRule="auto"/>
        <w:jc w:val="center"/>
        <w:rPr>
          <w:noProof/>
          <w:lang w:eastAsia="it-IT"/>
        </w:rPr>
      </w:pPr>
    </w:p>
    <w:p w:rsidR="001247D6" w:rsidRDefault="001247D6" w:rsidP="004241AC">
      <w:pPr>
        <w:spacing w:after="0" w:line="240" w:lineRule="auto"/>
        <w:jc w:val="center"/>
        <w:rPr>
          <w:noProof/>
          <w:lang w:eastAsia="it-IT"/>
        </w:rPr>
      </w:pPr>
    </w:p>
    <w:p w:rsidR="001247D6" w:rsidRDefault="001247D6" w:rsidP="004241AC">
      <w:pPr>
        <w:spacing w:after="0" w:line="240" w:lineRule="auto"/>
        <w:jc w:val="center"/>
        <w:rPr>
          <w:noProof/>
          <w:lang w:eastAsia="it-IT"/>
        </w:rPr>
      </w:pPr>
    </w:p>
    <w:p w:rsidR="001247D6" w:rsidRPr="002A3F14" w:rsidRDefault="001247D6" w:rsidP="004241AC">
      <w:pPr>
        <w:spacing w:after="0" w:line="240" w:lineRule="auto"/>
        <w:jc w:val="center"/>
        <w:rPr>
          <w:lang w:val="en-US"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1247D6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QUETIAPINA </w:t>
      </w:r>
      <w:proofErr w:type="spellStart"/>
      <w:r>
        <w:rPr>
          <w:b/>
          <w:sz w:val="32"/>
        </w:rPr>
        <w:t>VI.REL</w:t>
      </w:r>
      <w:proofErr w:type="spellEnd"/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1247D6">
        <w:rPr>
          <w:snapToGrid w:val="0"/>
        </w:rPr>
        <w:t>quetiapina</w:t>
      </w:r>
      <w:proofErr w:type="spellEnd"/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1247D6" w:rsidP="004241AC">
      <w:pPr>
        <w:spacing w:after="0" w:line="240" w:lineRule="auto"/>
        <w:jc w:val="center"/>
        <w:rPr>
          <w:b/>
        </w:rPr>
      </w:pPr>
      <w:proofErr w:type="spellStart"/>
      <w:r w:rsidRPr="001247D6">
        <w:rPr>
          <w:b/>
        </w:rPr>
        <w:t>VI.REL</w:t>
      </w:r>
      <w:proofErr w:type="spellEnd"/>
      <w:r w:rsidRPr="001247D6">
        <w:rPr>
          <w:b/>
        </w:rPr>
        <w:t xml:space="preserve"> PHARMA </w:t>
      </w:r>
      <w:proofErr w:type="spellStart"/>
      <w:r w:rsidRPr="001247D6">
        <w:rPr>
          <w:b/>
        </w:rPr>
        <w:t>S.R.L.</w:t>
      </w:r>
      <w:proofErr w:type="spellEnd"/>
      <w:r w:rsidR="00BF7A42"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1247D6" w:rsidRPr="001247D6">
        <w:rPr>
          <w:rFonts w:cs="Helvetica"/>
          <w:b/>
        </w:rPr>
        <w:t>045989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1247D6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1247D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247D6" w:rsidRPr="001247D6">
        <w:rPr>
          <w:rFonts w:eastAsia="Calibri" w:cs="Calibri"/>
          <w:b/>
          <w:color w:val="000000"/>
          <w:lang w:eastAsia="it-IT"/>
        </w:rPr>
        <w:t xml:space="preserve">QUETIAPINA </w:t>
      </w:r>
      <w:proofErr w:type="spellStart"/>
      <w:r w:rsidR="001247D6" w:rsidRPr="001247D6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97416" w:rsidRDefault="003779A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quetiapina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:rsidR="00797416" w:rsidRDefault="001247D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</w:t>
      </w:r>
      <w:r w:rsidR="006721A6">
        <w:rPr>
          <w:rFonts w:eastAsia="Calibri" w:cs="Calibri"/>
          <w:color w:val="000000"/>
          <w:lang w:eastAsia="it-IT"/>
        </w:rPr>
        <w:t xml:space="preserve"> rivestite con film</w:t>
      </w:r>
      <w:r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>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 25</w:t>
      </w:r>
      <w:r w:rsidR="00797416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>, 100mg, 150 mg, 200 mg</w:t>
      </w:r>
      <w:r w:rsidR="00797416">
        <w:rPr>
          <w:rFonts w:eastAsia="Calibri" w:cs="Calibri"/>
          <w:color w:val="000000"/>
          <w:lang w:eastAsia="it-IT"/>
        </w:rPr>
        <w:t xml:space="preserve"> e </w:t>
      </w:r>
      <w:r>
        <w:rPr>
          <w:rFonts w:eastAsia="Calibri" w:cs="Calibri"/>
          <w:color w:val="000000"/>
          <w:lang w:eastAsia="it-IT"/>
        </w:rPr>
        <w:t>300</w:t>
      </w:r>
      <w:r w:rsidR="00797416"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797416">
        <w:rPr>
          <w:rFonts w:eastAsia="Calibri" w:cs="Calibri"/>
          <w:color w:val="000000"/>
          <w:lang w:eastAsia="it-IT"/>
        </w:rPr>
        <w:t>;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7416" w:rsidRDefault="003779A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797416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1247D6">
        <w:rPr>
          <w:rFonts w:eastAsia="Calibri" w:cs="Calibri"/>
          <w:color w:val="000000"/>
          <w:lang w:eastAsia="it-IT"/>
        </w:rPr>
        <w:t>Seroquel</w:t>
      </w:r>
      <w:proofErr w:type="spellEnd"/>
      <w:r w:rsidR="00300BEA">
        <w:rPr>
          <w:rFonts w:eastAsia="Calibri" w:cs="Calibri"/>
          <w:color w:val="000000"/>
          <w:lang w:eastAsia="it-IT"/>
        </w:rPr>
        <w:t xml:space="preserve"> già autorizzato in Italia con una procedura decentrata con la </w:t>
      </w:r>
      <w:r w:rsidR="001247D6">
        <w:rPr>
          <w:rFonts w:eastAsia="Calibri" w:cs="Calibri"/>
          <w:color w:val="000000"/>
          <w:lang w:eastAsia="it-IT"/>
        </w:rPr>
        <w:t>Olanda</w:t>
      </w:r>
      <w:r w:rsidR="00300BEA">
        <w:rPr>
          <w:rFonts w:eastAsia="Calibri" w:cs="Calibri"/>
          <w:color w:val="000000"/>
          <w:lang w:eastAsia="it-IT"/>
        </w:rPr>
        <w:t xml:space="preserve"> come stato di riferimento (&lt;</w:t>
      </w:r>
      <w:r w:rsidR="00300BEA" w:rsidRPr="00300BEA">
        <w:rPr>
          <w:rFonts w:eastAsia="Calibri" w:cs="Calibri"/>
          <w:color w:val="000000"/>
          <w:lang w:eastAsia="it-IT"/>
        </w:rPr>
        <w:t>http://</w:t>
      </w:r>
      <w:r w:rsidR="001247D6" w:rsidRPr="001247D6">
        <w:t xml:space="preserve"> </w:t>
      </w:r>
      <w:hyperlink r:id="rId7" w:tgtFrame="_blank" w:history="1">
        <w:r w:rsidR="001247D6" w:rsidRPr="001247D6">
          <w:rPr>
            <w:rStyle w:val="Collegamentoipertestuale"/>
            <w:rFonts w:eastAsia="Calibri" w:cs="Calibri"/>
            <w:lang w:eastAsia="it-IT"/>
          </w:rPr>
          <w:t>www.igz.nl</w:t>
        </w:r>
      </w:hyperlink>
      <w:r w:rsidR="008745E7">
        <w:rPr>
          <w:rFonts w:eastAsia="Calibri" w:cs="Calibri"/>
          <w:color w:val="000000"/>
          <w:lang w:eastAsia="it-IT"/>
        </w:rPr>
        <w:t>.</w:t>
      </w:r>
      <w:r w:rsidR="001247D6" w:rsidRPr="001247D6">
        <w:rPr>
          <w:rFonts w:eastAsia="Calibri" w:cs="Calibri"/>
          <w:color w:val="000000"/>
          <w:lang w:eastAsia="it-IT"/>
        </w:rPr>
        <w:t xml:space="preserve"> </w:t>
      </w:r>
      <w:r w:rsidR="00300BEA"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8" w:history="1">
        <w:r w:rsidR="00300BEA"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0BEA" w:rsidRPr="00D2683B">
        <w:rPr>
          <w:rFonts w:eastAsia="Calibri" w:cs="Calibri"/>
          <w:lang w:eastAsia="it-IT"/>
        </w:rPr>
        <w:t>)</w:t>
      </w:r>
      <w:r w:rsidR="00300BEA" w:rsidRPr="00D2683B">
        <w:t xml:space="preserve"> </w:t>
      </w:r>
      <w:r w:rsidR="00300BEA"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8745E7">
        <w:rPr>
          <w:rFonts w:eastAsia="Calibri" w:cs="Calibri"/>
          <w:color w:val="000000"/>
          <w:lang w:eastAsia="it-IT"/>
        </w:rPr>
        <w:t>Seroquel</w:t>
      </w:r>
      <w:proofErr w:type="spellEnd"/>
      <w:r w:rsidR="00300BEA" w:rsidRPr="00D2683B">
        <w:rPr>
          <w:rFonts w:eastAsia="Calibri" w:cs="Calibri"/>
          <w:color w:val="000000"/>
          <w:lang w:eastAsia="it-IT"/>
        </w:rPr>
        <w:t>.</w:t>
      </w:r>
    </w:p>
    <w:p w:rsidR="00BB2AF8" w:rsidRPr="000E0632" w:rsidRDefault="00BB2AF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745E7" w:rsidRPr="008745E7" w:rsidRDefault="003779AC" w:rsidP="008745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673389">
        <w:rPr>
          <w:rFonts w:eastAsia="Calibri" w:cs="Calibri"/>
          <w:color w:val="000000"/>
          <w:lang w:eastAsia="it-IT"/>
        </w:rPr>
        <w:t>si usa</w:t>
      </w:r>
      <w:r w:rsidR="008745E7" w:rsidRPr="00673389">
        <w:rPr>
          <w:rFonts w:eastAsia="Calibri" w:cs="Calibri"/>
          <w:color w:val="000000"/>
          <w:lang w:eastAsia="it-IT"/>
        </w:rPr>
        <w:t xml:space="preserve"> per trattare diverse malattie, come le seguenti:</w:t>
      </w:r>
    </w:p>
    <w:p w:rsidR="008745E7" w:rsidRPr="008745E7" w:rsidRDefault="008745E7" w:rsidP="008745E7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</w:p>
    <w:p w:rsidR="008745E7" w:rsidRPr="008745E7" w:rsidRDefault="008745E7" w:rsidP="008745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745E7">
        <w:rPr>
          <w:rFonts w:eastAsia="Calibri" w:cs="Calibri"/>
          <w:color w:val="000000"/>
          <w:lang w:eastAsia="it-IT"/>
        </w:rPr>
        <w:t>- Depressione bipolare: ci si può sentire tristi, oppure depressi, con senso di colpa, senza energia, senza appetito o con difficoltà a prendere sonno.</w:t>
      </w:r>
    </w:p>
    <w:p w:rsidR="008745E7" w:rsidRPr="008745E7" w:rsidRDefault="008745E7" w:rsidP="008745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745E7" w:rsidRPr="008745E7" w:rsidRDefault="008745E7" w:rsidP="008745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745E7">
        <w:rPr>
          <w:rFonts w:eastAsia="Calibri" w:cs="Calibri"/>
          <w:color w:val="000000"/>
          <w:lang w:eastAsia="it-IT"/>
        </w:rPr>
        <w:lastRenderedPageBreak/>
        <w:t>- Mania: ci si può sentire molto eccitati, euforici, agitati, entusiasti o iperattivi o avere poca capacità di giudizio, inclusi stati di aggressività o distruttivi.</w:t>
      </w:r>
    </w:p>
    <w:p w:rsidR="008745E7" w:rsidRPr="008745E7" w:rsidRDefault="008745E7" w:rsidP="008745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8745E7" w:rsidRDefault="008745E7" w:rsidP="008745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745E7">
        <w:rPr>
          <w:rFonts w:eastAsia="Calibri" w:cs="Calibri"/>
          <w:color w:val="000000"/>
          <w:lang w:eastAsia="it-IT"/>
        </w:rPr>
        <w:t>- Schizofrenia: si ha la sensazione di udire o sentire cose che nella realtà non sono presenti, ci si convince di cose che non corrispondono al vero o ci si sente insolitamente sospettosi, ansiosi, confusi, con senso di colpa, tesi o depressi.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 </w:t>
      </w:r>
      <w:r w:rsidR="003779AC">
        <w:rPr>
          <w:rFonts w:eastAsia="Calibri" w:cs="Calibri"/>
          <w:b/>
          <w:color w:val="000000"/>
          <w:lang w:eastAsia="it-IT"/>
        </w:rPr>
        <w:t>QUETIAPINA</w:t>
      </w:r>
      <w:r w:rsidR="001247D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300BEA" w:rsidRPr="001C15DF" w:rsidRDefault="003779AC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QUETIAPINA</w:t>
      </w:r>
      <w:r w:rsidR="001247D6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="001247D6">
        <w:rPr>
          <w:rFonts w:asciiTheme="minorHAnsi" w:eastAsia="Calibri" w:hAnsiTheme="minorHAnsi" w:cs="Calibri"/>
          <w:color w:val="000000"/>
          <w:sz w:val="22"/>
          <w:szCs w:val="22"/>
        </w:rPr>
        <w:t>VI.REL</w:t>
      </w:r>
      <w:proofErr w:type="spellEnd"/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 w:rsidR="00883263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</w:p>
    <w:p w:rsidR="001C15DF" w:rsidRPr="001C15DF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F97E22" w:rsidRPr="00F97E22" w:rsidRDefault="00F97E22" w:rsidP="00F97E22">
      <w:pPr>
        <w:tabs>
          <w:tab w:val="left" w:pos="0"/>
        </w:tabs>
        <w:spacing w:after="0" w:line="240" w:lineRule="auto"/>
        <w:jc w:val="both"/>
      </w:pPr>
      <w:r w:rsidRPr="00F97E22">
        <w:t>Il medico deciderà qual è la dose iniziale più appropriata per lei. La dose di mantenimento dipenderà dal tipo di malattia e dalle necessità individuali, ma abitualmente è compresa tra 150 mg e 800 mg.</w:t>
      </w:r>
    </w:p>
    <w:p w:rsidR="008A6FEC" w:rsidRDefault="008A6FEC" w:rsidP="00BB2AF8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:rsidR="00BB2AF8" w:rsidRDefault="00BB2AF8" w:rsidP="00BB2AF8">
      <w:pPr>
        <w:tabs>
          <w:tab w:val="left" w:pos="0"/>
        </w:tabs>
        <w:spacing w:after="0" w:line="240" w:lineRule="auto"/>
        <w:jc w:val="both"/>
      </w:pPr>
      <w:r w:rsidRPr="00B7597D">
        <w:t xml:space="preserve">Nei pazienti </w:t>
      </w:r>
      <w:r w:rsidR="000B7B13">
        <w:t>anziani</w:t>
      </w:r>
      <w:r w:rsidR="001C15DF">
        <w:t xml:space="preserve"> </w:t>
      </w:r>
      <w:r w:rsidR="000B7B13">
        <w:t xml:space="preserve"> e </w:t>
      </w:r>
      <w:r w:rsidRPr="00B7597D">
        <w:t>con problemi</w:t>
      </w:r>
      <w:r w:rsidR="000B7B13">
        <w:t xml:space="preserve"> </w:t>
      </w:r>
      <w:r w:rsidR="001C15DF">
        <w:t xml:space="preserve">al fegato, </w:t>
      </w:r>
      <w:r w:rsidRPr="00B7597D">
        <w:t>il dosaggio può essere più basso.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0B7B13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Cs/>
        </w:rPr>
      </w:pPr>
      <w:r>
        <w:rPr>
          <w:rFonts w:ascii="Calibri" w:eastAsia="Calibri" w:hAnsi="Calibri" w:cs="Times New Roman"/>
          <w:iCs/>
        </w:rPr>
        <w:t xml:space="preserve">Questo medicinale non </w:t>
      </w:r>
      <w:r w:rsidR="000B7B13">
        <w:rPr>
          <w:rFonts w:ascii="Calibri" w:eastAsia="Calibri" w:hAnsi="Calibri" w:cs="Times New Roman"/>
          <w:iCs/>
        </w:rPr>
        <w:t xml:space="preserve">deve essere </w:t>
      </w:r>
      <w:r>
        <w:rPr>
          <w:rFonts w:ascii="Calibri" w:eastAsia="Calibri" w:hAnsi="Calibri" w:cs="Times New Roman"/>
          <w:iCs/>
        </w:rPr>
        <w:t xml:space="preserve"> </w:t>
      </w:r>
      <w:r w:rsidR="000B7B13">
        <w:rPr>
          <w:rFonts w:ascii="Calibri" w:eastAsia="Calibri" w:hAnsi="Calibri" w:cs="Times New Roman"/>
          <w:iCs/>
        </w:rPr>
        <w:t xml:space="preserve">utilizzato </w:t>
      </w:r>
      <w:r>
        <w:rPr>
          <w:rFonts w:ascii="Calibri" w:eastAsia="Calibri" w:hAnsi="Calibri" w:cs="Times New Roman"/>
          <w:iCs/>
        </w:rPr>
        <w:t xml:space="preserve"> nella popolazione pediatrica</w:t>
      </w:r>
      <w:r w:rsidR="000B7B13">
        <w:rPr>
          <w:rFonts w:ascii="Calibri" w:eastAsia="Calibri" w:hAnsi="Calibri" w:cs="Times New Roman"/>
          <w:iCs/>
        </w:rPr>
        <w:t>.</w:t>
      </w:r>
    </w:p>
    <w:p w:rsidR="000B7B13" w:rsidRDefault="000B7B13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Cs/>
        </w:rPr>
      </w:pPr>
    </w:p>
    <w:p w:rsidR="00BB2AF8" w:rsidRDefault="001C15DF" w:rsidP="008A6FEC">
      <w:pPr>
        <w:tabs>
          <w:tab w:val="left" w:pos="284"/>
        </w:tabs>
        <w:spacing w:after="0" w:line="240" w:lineRule="auto"/>
        <w:jc w:val="both"/>
      </w:pPr>
      <w:r>
        <w:t>L</w:t>
      </w:r>
      <w:r w:rsidRPr="00D95D44">
        <w:t xml:space="preserve">e compresse </w:t>
      </w:r>
      <w:r w:rsidR="00A116BC">
        <w:t xml:space="preserve">rivestite con film </w:t>
      </w:r>
      <w:r w:rsidR="000B7B13">
        <w:t xml:space="preserve">devono essere assunte </w:t>
      </w:r>
      <w:r>
        <w:t>inte</w:t>
      </w:r>
      <w:r w:rsidR="000B7B13">
        <w:t>re (non frantumate o masticate)</w:t>
      </w:r>
      <w:r>
        <w:t xml:space="preserve"> con un po’</w:t>
      </w:r>
      <w:r w:rsidRPr="00D95D44">
        <w:t xml:space="preserve"> d’</w:t>
      </w:r>
      <w:r>
        <w:t xml:space="preserve">acqua o altra bevanda, </w:t>
      </w:r>
      <w:r w:rsidR="000B7B13">
        <w:t>indipendentemente dai pasti.</w:t>
      </w:r>
      <w:r w:rsidR="008A6FEC">
        <w:t xml:space="preserve"> 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3779AC">
        <w:rPr>
          <w:rFonts w:eastAsia="Calibri" w:cs="Calibri"/>
          <w:b/>
          <w:color w:val="000000"/>
          <w:lang w:eastAsia="it-IT"/>
        </w:rPr>
        <w:t>QUETIAPINA</w:t>
      </w:r>
      <w:r w:rsidR="001247D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Default="003779AC" w:rsidP="0067338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CA2EDC" w:rsidRPr="00CA2EDC">
        <w:t>N05A H04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CA2EDC">
        <w:rPr>
          <w:rFonts w:eastAsia="Calibri" w:cs="Calibri"/>
          <w:color w:val="000000"/>
          <w:lang w:eastAsia="it-IT"/>
        </w:rPr>
        <w:t>quetiapina</w:t>
      </w:r>
      <w:proofErr w:type="spellEnd"/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 xml:space="preserve">appartiene alla classe dei </w:t>
      </w:r>
      <w:r w:rsidR="00CA2EDC">
        <w:t>antipsicotici</w:t>
      </w:r>
      <w:r w:rsidR="00BB2AF8" w:rsidRPr="00EF6711">
        <w:t xml:space="preserve"> e agisce </w:t>
      </w:r>
      <w:r w:rsidR="00673389">
        <w:t>interagendo con un ampio spett</w:t>
      </w:r>
      <w:r w:rsidR="00996054">
        <w:t>r</w:t>
      </w:r>
      <w:r w:rsidR="00673389">
        <w:t xml:space="preserve">o di recettori cerebrali. </w:t>
      </w:r>
    </w:p>
    <w:p w:rsidR="00673389" w:rsidRPr="004B4170" w:rsidRDefault="00673389" w:rsidP="0067338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3779AC">
        <w:rPr>
          <w:rFonts w:eastAsia="Calibri" w:cs="Calibri"/>
          <w:b/>
          <w:color w:val="000000"/>
          <w:lang w:eastAsia="it-IT"/>
        </w:rPr>
        <w:t>QUETIAPINA</w:t>
      </w:r>
      <w:r w:rsidR="001247D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6B311C" w:rsidRPr="00673389" w:rsidRDefault="00F96473" w:rsidP="00673389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proofErr w:type="spellStart"/>
      <w:r w:rsidR="00673389">
        <w:rPr>
          <w:rFonts w:cs="Arial"/>
        </w:rPr>
        <w:t>Seroquel</w:t>
      </w:r>
      <w:proofErr w:type="spellEnd"/>
      <w:r w:rsidR="00673389">
        <w:rPr>
          <w:rFonts w:cs="Arial"/>
        </w:rPr>
        <w:t xml:space="preserve">. </w:t>
      </w:r>
      <w:r w:rsidRPr="00D85E7D">
        <w:rPr>
          <w:rFonts w:cs="Arial"/>
        </w:rPr>
        <w:t>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r w:rsidR="003779AC">
        <w:rPr>
          <w:rFonts w:eastAsia="Calibri" w:cs="Calibri"/>
          <w:b/>
          <w:color w:val="000000"/>
          <w:lang w:eastAsia="it-IT"/>
        </w:rPr>
        <w:t>QUETIAPINA</w:t>
      </w:r>
      <w:r w:rsidR="001247D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3779A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3779AC">
        <w:rPr>
          <w:rFonts w:eastAsia="Calibri" w:cs="Calibri"/>
          <w:b/>
          <w:color w:val="000000"/>
          <w:lang w:eastAsia="it-IT"/>
        </w:rPr>
        <w:t>QUETIAPINA</w:t>
      </w:r>
      <w:r w:rsidR="001247D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831A35">
        <w:rPr>
          <w:rFonts w:ascii="Calibri" w:hAnsi="Calibri" w:cs="Arial"/>
          <w:bCs/>
          <w:iCs/>
          <w:sz w:val="24"/>
          <w:szCs w:val="24"/>
        </w:rPr>
        <w:t>4, 5, 6 Dicembre 2019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831A35">
        <w:rPr>
          <w:rFonts w:cs="Arial"/>
        </w:rPr>
        <w:t>Seroque</w:t>
      </w:r>
      <w:r w:rsidR="006721A6">
        <w:rPr>
          <w:rFonts w:cs="Arial"/>
        </w:rPr>
        <w:t>l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 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="00831A35" w:rsidRPr="00A15D72">
        <w:rPr>
          <w:rFonts w:eastAsia="Calibri" w:cs="Calibri"/>
          <w:lang w:eastAsia="it-IT"/>
        </w:rPr>
        <w:t>A</w:t>
      </w:r>
      <w:r w:rsidRPr="00A15D72">
        <w:rPr>
          <w:rFonts w:eastAsia="Calibri" w:cs="Calibri"/>
          <w:lang w:eastAsia="it-IT"/>
        </w:rPr>
        <w:t>.</w:t>
      </w:r>
      <w:r w:rsidRPr="00CB3303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r w:rsidR="003779AC">
        <w:rPr>
          <w:rFonts w:eastAsia="Calibri" w:cs="Calibri"/>
          <w:b/>
          <w:color w:val="000000"/>
          <w:lang w:eastAsia="it-IT"/>
        </w:rPr>
        <w:t>QUETIAPINA</w:t>
      </w:r>
      <w:r w:rsidR="001247D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4241AC" w:rsidRPr="007170D7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3779AC">
        <w:rPr>
          <w:rFonts w:eastAsia="Calibri" w:cs="Calibri"/>
          <w:b/>
          <w:color w:val="000000"/>
          <w:lang w:eastAsia="it-IT"/>
        </w:rPr>
        <w:t>QUETIAPINA</w:t>
      </w:r>
      <w:r w:rsidR="001247D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b/>
          <w:color w:val="000000"/>
          <w:lang w:eastAsia="it-IT"/>
        </w:rPr>
        <w:t>VI.REL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A15D72">
        <w:rPr>
          <w:rFonts w:eastAsia="Calibri" w:cs="Calibri"/>
          <w:bCs/>
          <w:iCs/>
          <w:lang w:eastAsia="it-IT"/>
        </w:rPr>
        <w:t>Il</w:t>
      </w:r>
      <w:r w:rsidR="00A15D72">
        <w:rPr>
          <w:rFonts w:eastAsia="Calibri" w:cs="Calibri"/>
          <w:bCs/>
          <w:iCs/>
          <w:lang w:eastAsia="it-IT"/>
        </w:rPr>
        <w:t xml:space="preserve">  </w:t>
      </w:r>
      <w:r w:rsidR="00A15D72" w:rsidRPr="00A15D72">
        <w:rPr>
          <w:rFonts w:eastAsia="Calibri" w:cs="Calibri"/>
          <w:b/>
          <w:bCs/>
          <w:iCs/>
          <w:lang w:eastAsia="it-IT"/>
        </w:rPr>
        <w:t>06.05.2020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lastRenderedPageBreak/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996054">
        <w:rPr>
          <w:rFonts w:eastAsia="Calibri" w:cs="Calibri"/>
          <w:lang w:eastAsia="it-IT"/>
        </w:rPr>
        <w:t>20/01/2020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883263" w:rsidRDefault="00883263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46B10" w:rsidRDefault="00446B10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883263" w:rsidRPr="00B214D3">
        <w:rPr>
          <w:rFonts w:ascii="Calibri" w:hAnsi="Calibri"/>
          <w:sz w:val="24"/>
          <w:szCs w:val="24"/>
          <w:lang w:val="nl-NL"/>
        </w:rPr>
        <w:t xml:space="preserve">VI.REL PHARMA </w:t>
      </w:r>
      <w:r w:rsidR="00883263">
        <w:rPr>
          <w:rFonts w:ascii="Calibri" w:hAnsi="Calibri"/>
          <w:sz w:val="24"/>
          <w:szCs w:val="24"/>
          <w:lang w:val="nl-NL"/>
        </w:rPr>
        <w:t>S.R.L</w:t>
      </w:r>
      <w:r w:rsidR="00883263" w:rsidRPr="00EF6711">
        <w:t xml:space="preserve"> </w:t>
      </w:r>
      <w:r w:rsidRPr="00EF6711">
        <w:t xml:space="preserve">l’autorizzazione all’immissione in commercio (AIC) per il medicinale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A15D72">
        <w:rPr>
          <w:rFonts w:eastAsia="Calibri" w:cs="Calibri"/>
          <w:bCs/>
          <w:iCs/>
          <w:lang w:eastAsia="it-IT"/>
        </w:rPr>
        <w:t>il</w:t>
      </w:r>
      <w:r w:rsidR="00A15D72">
        <w:rPr>
          <w:rFonts w:eastAsia="Calibri" w:cs="Calibri"/>
          <w:bCs/>
          <w:iCs/>
          <w:lang w:eastAsia="it-IT"/>
        </w:rPr>
        <w:t xml:space="preserve"> </w:t>
      </w:r>
      <w:r w:rsidR="00A15D72" w:rsidRPr="00A15D72">
        <w:rPr>
          <w:rFonts w:eastAsia="Calibri" w:cs="Calibri"/>
          <w:b/>
          <w:bCs/>
          <w:iCs/>
          <w:lang w:eastAsia="it-IT"/>
        </w:rPr>
        <w:t>06.05.2020</w:t>
      </w:r>
      <w:r w:rsidR="00A15D72">
        <w:rPr>
          <w:rFonts w:eastAsia="Calibri" w:cs="Calibri"/>
          <w:bCs/>
          <w:iCs/>
          <w:lang w:eastAsia="it-IT"/>
        </w:rPr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3779AC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883263" w:rsidRPr="001C15DF">
        <w:rPr>
          <w:rFonts w:eastAsia="Calibri" w:cs="Calibri"/>
          <w:color w:val="000000"/>
        </w:rPr>
        <w:t>prescrizione da parte del medico (ricetta ripetibile</w:t>
      </w:r>
      <w:r w:rsidR="00883263">
        <w:rPr>
          <w:rFonts w:eastAsia="Calibri" w:cs="Calibri"/>
          <w:color w:val="000000"/>
        </w:rPr>
        <w:t>.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883263">
        <w:t>10.1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883263" w:rsidRPr="00EF6711" w:rsidRDefault="00883263" w:rsidP="00EF6711">
      <w:pPr>
        <w:spacing w:after="0" w:line="240" w:lineRule="auto"/>
        <w:jc w:val="both"/>
      </w:pPr>
    </w:p>
    <w:p w:rsidR="004E5A39" w:rsidRPr="00EF6711" w:rsidRDefault="003779AC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883263">
        <w:rPr>
          <w:rFonts w:eastAsia="Calibri" w:cs="Calibri"/>
          <w:lang w:eastAsia="it-IT"/>
        </w:rPr>
        <w:t>quetiapina</w:t>
      </w:r>
      <w:proofErr w:type="spellEnd"/>
      <w:r w:rsidR="004E5A39" w:rsidRPr="00EF6711">
        <w:rPr>
          <w:rFonts w:eastAsia="Calibri" w:cs="Calibri"/>
          <w:lang w:eastAsia="it-IT"/>
        </w:rPr>
        <w:t xml:space="preserve"> 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883263">
        <w:rPr>
          <w:rFonts w:eastAsia="Calibri" w:cs="Calibri"/>
          <w:lang w:eastAsia="it-IT"/>
        </w:rPr>
        <w:t>Seroquel</w:t>
      </w:r>
      <w:proofErr w:type="spellEnd"/>
      <w:r w:rsidR="00883263"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883263" w:rsidRPr="00883263" w:rsidRDefault="003779AC" w:rsidP="008832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883263" w:rsidRPr="00883263">
        <w:t>N05A H04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883263">
        <w:rPr>
          <w:rFonts w:eastAsia="Calibri" w:cs="Calibri"/>
          <w:lang w:eastAsia="it-IT"/>
        </w:rPr>
        <w:t>quetiapina</w:t>
      </w:r>
      <w:proofErr w:type="spellEnd"/>
      <w:r w:rsidR="00883263">
        <w:rPr>
          <w:rFonts w:eastAsia="Calibri" w:cs="Calibri"/>
          <w:lang w:eastAsia="it-IT"/>
        </w:rPr>
        <w:t xml:space="preserve">. </w:t>
      </w:r>
      <w:r w:rsidR="00883263" w:rsidRPr="00883263">
        <w:rPr>
          <w:rFonts w:eastAsia="Calibri" w:cs="Calibri"/>
          <w:lang w:eastAsia="it-IT"/>
        </w:rPr>
        <w:t xml:space="preserve">La </w:t>
      </w:r>
      <w:proofErr w:type="spellStart"/>
      <w:r w:rsidR="00883263" w:rsidRPr="00883263">
        <w:rPr>
          <w:rFonts w:eastAsia="Calibri" w:cs="Calibri"/>
          <w:lang w:eastAsia="it-IT"/>
        </w:rPr>
        <w:t>quetiapina</w:t>
      </w:r>
      <w:proofErr w:type="spellEnd"/>
      <w:r w:rsidR="00883263" w:rsidRPr="00883263">
        <w:rPr>
          <w:rFonts w:eastAsia="Calibri" w:cs="Calibri"/>
          <w:lang w:eastAsia="it-IT"/>
        </w:rPr>
        <w:t xml:space="preserve"> e il metabolita attivo presente nel plasma umano, </w:t>
      </w:r>
      <w:proofErr w:type="spellStart"/>
      <w:r w:rsidR="00883263" w:rsidRPr="00883263">
        <w:rPr>
          <w:rFonts w:eastAsia="Calibri" w:cs="Calibri"/>
          <w:lang w:eastAsia="it-IT"/>
        </w:rPr>
        <w:t>norquetiapina</w:t>
      </w:r>
      <w:proofErr w:type="spellEnd"/>
      <w:r w:rsidR="00883263" w:rsidRPr="00883263">
        <w:rPr>
          <w:rFonts w:eastAsia="Calibri" w:cs="Calibri"/>
          <w:lang w:eastAsia="it-IT"/>
        </w:rPr>
        <w:t xml:space="preserve">, interagiscono con un ampio spettro di recettori </w:t>
      </w:r>
      <w:proofErr w:type="spellStart"/>
      <w:r w:rsidR="00883263" w:rsidRPr="00883263">
        <w:rPr>
          <w:rFonts w:eastAsia="Calibri" w:cs="Calibri"/>
          <w:lang w:eastAsia="it-IT"/>
        </w:rPr>
        <w:t>neurotrasmettitoriali</w:t>
      </w:r>
      <w:proofErr w:type="spellEnd"/>
      <w:r w:rsidR="00883263" w:rsidRPr="00883263">
        <w:rPr>
          <w:rFonts w:eastAsia="Calibri" w:cs="Calibri"/>
          <w:lang w:eastAsia="it-IT"/>
        </w:rPr>
        <w:t xml:space="preserve">. La </w:t>
      </w:r>
      <w:proofErr w:type="spellStart"/>
      <w:r w:rsidR="00883263" w:rsidRPr="00883263">
        <w:rPr>
          <w:rFonts w:eastAsia="Calibri" w:cs="Calibri"/>
          <w:lang w:eastAsia="it-IT"/>
        </w:rPr>
        <w:t>quetiapina</w:t>
      </w:r>
      <w:proofErr w:type="spellEnd"/>
      <w:r w:rsidR="00883263" w:rsidRPr="00883263">
        <w:rPr>
          <w:rFonts w:eastAsia="Calibri" w:cs="Calibri"/>
          <w:lang w:eastAsia="it-IT"/>
        </w:rPr>
        <w:t xml:space="preserve"> e la </w:t>
      </w:r>
      <w:proofErr w:type="spellStart"/>
      <w:r w:rsidR="00883263" w:rsidRPr="00883263">
        <w:rPr>
          <w:rFonts w:eastAsia="Calibri" w:cs="Calibri"/>
          <w:lang w:eastAsia="it-IT"/>
        </w:rPr>
        <w:t>norquetiapina</w:t>
      </w:r>
      <w:proofErr w:type="spellEnd"/>
      <w:r w:rsidR="00883263" w:rsidRPr="00883263">
        <w:rPr>
          <w:rFonts w:eastAsia="Calibri" w:cs="Calibri"/>
          <w:lang w:eastAsia="it-IT"/>
        </w:rPr>
        <w:t xml:space="preserve"> presentano un’affinità per i recettori cerebrali </w:t>
      </w:r>
      <w:proofErr w:type="spellStart"/>
      <w:r w:rsidR="00883263" w:rsidRPr="00883263">
        <w:rPr>
          <w:rFonts w:eastAsia="Calibri" w:cs="Calibri"/>
          <w:lang w:eastAsia="it-IT"/>
        </w:rPr>
        <w:t>serotoninergici</w:t>
      </w:r>
      <w:proofErr w:type="spellEnd"/>
      <w:r w:rsidR="00883263" w:rsidRPr="00883263">
        <w:rPr>
          <w:rFonts w:eastAsia="Calibri" w:cs="Calibri"/>
          <w:lang w:eastAsia="it-IT"/>
        </w:rPr>
        <w:t xml:space="preserve"> (5HT2) e </w:t>
      </w:r>
      <w:proofErr w:type="spellStart"/>
      <w:r w:rsidR="00883263" w:rsidRPr="00883263">
        <w:rPr>
          <w:rFonts w:eastAsia="Calibri" w:cs="Calibri"/>
          <w:lang w:eastAsia="it-IT"/>
        </w:rPr>
        <w:t>dopaminergici</w:t>
      </w:r>
      <w:proofErr w:type="spellEnd"/>
      <w:r w:rsidR="00883263" w:rsidRPr="00883263">
        <w:rPr>
          <w:rFonts w:eastAsia="Calibri" w:cs="Calibri"/>
          <w:lang w:eastAsia="it-IT"/>
        </w:rPr>
        <w:t xml:space="preserve"> D1 e D2. Si ritiene che la combinazione di un antagonismo recettoriale con maggiore selettività per i recettori</w:t>
      </w:r>
    </w:p>
    <w:p w:rsidR="00A01AB1" w:rsidRPr="00883263" w:rsidRDefault="00883263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883263">
        <w:rPr>
          <w:rFonts w:eastAsia="Calibri" w:cs="Calibri"/>
          <w:lang w:eastAsia="it-IT"/>
        </w:rPr>
        <w:t xml:space="preserve">5HT2 rispetto ai recettori D2 contribuisca alle proprietà antipsicotiche cliniche e alla ridotta propensione di </w:t>
      </w:r>
      <w:proofErr w:type="spellStart"/>
      <w:r w:rsidRPr="00883263">
        <w:rPr>
          <w:rFonts w:eastAsia="Calibri" w:cs="Calibri"/>
          <w:lang w:eastAsia="it-IT"/>
        </w:rPr>
        <w:t>Quetiapina</w:t>
      </w:r>
      <w:proofErr w:type="spellEnd"/>
      <w:r w:rsidRPr="00883263">
        <w:rPr>
          <w:rFonts w:eastAsia="Calibri" w:cs="Calibri"/>
          <w:lang w:eastAsia="it-IT"/>
        </w:rPr>
        <w:t xml:space="preserve"> ad indurre effetti indesiderati di natura extrapiramidale (EPS) rispetto agli antipsicotici tipici.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883263" w:rsidRPr="00883263" w:rsidRDefault="003779AC" w:rsidP="008832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883263" w:rsidRPr="00883263">
        <w:rPr>
          <w:rFonts w:ascii="Times New Roman" w:eastAsiaTheme="minorEastAsia" w:hAnsi="Times New Roman" w:cs="Times New Roman"/>
          <w:spacing w:val="-1"/>
          <w:lang w:eastAsia="it-IT"/>
        </w:rPr>
        <w:t xml:space="preserve"> </w:t>
      </w:r>
      <w:r w:rsidR="00883263" w:rsidRPr="00883263">
        <w:t>il</w:t>
      </w:r>
      <w:r w:rsidR="00883263">
        <w:t>:</w:t>
      </w:r>
    </w:p>
    <w:p w:rsidR="00883263" w:rsidRPr="00883263" w:rsidRDefault="00883263" w:rsidP="008832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83263">
        <w:t>•</w:t>
      </w:r>
      <w:r w:rsidRPr="00883263">
        <w:tab/>
        <w:t>trattamento della schizofrenia</w:t>
      </w:r>
    </w:p>
    <w:p w:rsidR="00883263" w:rsidRPr="00883263" w:rsidRDefault="00883263" w:rsidP="008832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83263">
        <w:t>•</w:t>
      </w:r>
      <w:r w:rsidRPr="00883263">
        <w:tab/>
        <w:t>trattamento del disturbo bipolare:</w:t>
      </w:r>
    </w:p>
    <w:p w:rsidR="00883263" w:rsidRPr="00883263" w:rsidRDefault="00883263" w:rsidP="008832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</w:pPr>
      <w:r w:rsidRPr="00883263">
        <w:rPr>
          <w:rFonts w:ascii="MS Gothic" w:eastAsia="MS Gothic" w:hAnsi="MS Gothic" w:cs="MS Gothic" w:hint="eastAsia"/>
        </w:rPr>
        <w:t>➢</w:t>
      </w:r>
      <w:r w:rsidRPr="00883263">
        <w:t xml:space="preserve">  Per il trattamento degli episodi maniacali di entità da moderata a grave nel disturbo bipolare</w:t>
      </w:r>
    </w:p>
    <w:p w:rsidR="00883263" w:rsidRPr="00883263" w:rsidRDefault="00883263" w:rsidP="008832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</w:pPr>
      <w:r w:rsidRPr="00883263">
        <w:rPr>
          <w:rFonts w:ascii="MS Gothic" w:eastAsia="MS Gothic" w:hAnsi="MS Gothic" w:cs="MS Gothic" w:hint="eastAsia"/>
        </w:rPr>
        <w:t>➢</w:t>
      </w:r>
      <w:r w:rsidRPr="00883263">
        <w:t xml:space="preserve">  Per il trattamento degli episodi depressivi maggiori nel disturbo bipolare</w:t>
      </w:r>
    </w:p>
    <w:p w:rsidR="00883263" w:rsidRPr="00883263" w:rsidRDefault="00883263" w:rsidP="0088326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</w:pPr>
      <w:r w:rsidRPr="00883263">
        <w:rPr>
          <w:rFonts w:ascii="MS Gothic" w:eastAsia="MS Gothic" w:hAnsi="MS Gothic" w:cs="MS Gothic" w:hint="eastAsia"/>
        </w:rPr>
        <w:t>➢</w:t>
      </w:r>
      <w:r w:rsidRPr="00883263">
        <w:t xml:space="preserve">  Per la prevenzione delle recidive di episodi maniacali o depressivi nei pazienti affetti da</w:t>
      </w:r>
      <w:r>
        <w:t xml:space="preserve"> </w:t>
      </w:r>
      <w:r w:rsidRPr="00883263">
        <w:t xml:space="preserve">disturbo bipolare che hanno risposto in precedenza al trattamento con </w:t>
      </w:r>
      <w:proofErr w:type="spellStart"/>
      <w:r w:rsidRPr="00883263">
        <w:t>quetiapina</w:t>
      </w:r>
      <w:proofErr w:type="spellEnd"/>
      <w:r w:rsidRPr="00883263">
        <w:t>.</w:t>
      </w:r>
    </w:p>
    <w:p w:rsidR="00883263" w:rsidRDefault="00883263" w:rsidP="0042214D">
      <w:pPr>
        <w:spacing w:after="0" w:line="240" w:lineRule="auto"/>
        <w:jc w:val="both"/>
        <w:rPr>
          <w:b/>
          <w:i/>
          <w:sz w:val="20"/>
        </w:rPr>
      </w:pPr>
    </w:p>
    <w:p w:rsidR="0042214D" w:rsidRPr="00900C91" w:rsidRDefault="0042214D" w:rsidP="0042214D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00C91">
        <w:t xml:space="preserve"> e quelli del medicinale</w:t>
      </w:r>
      <w:r>
        <w:t xml:space="preserve"> di riferimento</w:t>
      </w:r>
      <w:r w:rsidRPr="00900C91">
        <w:t xml:space="preserve"> </w:t>
      </w:r>
      <w:proofErr w:type="spellStart"/>
      <w:r w:rsidR="00883263">
        <w:t>Seroquel</w:t>
      </w:r>
      <w:proofErr w:type="spellEnd"/>
      <w:r>
        <w:t xml:space="preserve"> autorizzato in Italia</w:t>
      </w:r>
      <w:r w:rsidRPr="00900C91">
        <w:t>.</w:t>
      </w:r>
    </w:p>
    <w:p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88326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83263">
        <w:rPr>
          <w:rFonts w:eastAsia="Calibri" w:cs="Calibri"/>
          <w:color w:val="000000"/>
          <w:lang w:eastAsia="it-IT"/>
        </w:rPr>
        <w:t>VI.REL</w:t>
      </w:r>
      <w:proofErr w:type="spellEnd"/>
      <w:r w:rsidR="00883263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 xml:space="preserve">ASPETTI </w:t>
      </w:r>
      <w:proofErr w:type="spellStart"/>
      <w:r w:rsidRPr="00EF6711">
        <w:rPr>
          <w:b/>
        </w:rPr>
        <w:t>DI</w:t>
      </w:r>
      <w:proofErr w:type="spellEnd"/>
      <w:r w:rsidRPr="00EF6711">
        <w:rPr>
          <w:b/>
        </w:rPr>
        <w:t xml:space="preserve"> QUALITA’</w:t>
      </w:r>
    </w:p>
    <w:p w:rsidR="00CC52A3" w:rsidRPr="00CC52A3" w:rsidRDefault="00CC52A3" w:rsidP="00EF6711">
      <w:pPr>
        <w:spacing w:after="0" w:line="240" w:lineRule="auto"/>
        <w:jc w:val="both"/>
        <w:rPr>
          <w:b/>
          <w:i/>
          <w:sz w:val="20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EC70BE">
        <w:rPr>
          <w:b/>
        </w:rPr>
        <w:t>Quetiapina</w:t>
      </w:r>
      <w:proofErr w:type="spellEnd"/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r w:rsidR="00EC70BE">
        <w:rPr>
          <w:rStyle w:val="s1"/>
          <w:sz w:val="20"/>
          <w:szCs w:val="20"/>
        </w:rPr>
        <w:t>Bis[2-[2-[4-(dibenzo[</w:t>
      </w:r>
      <w:r w:rsidR="00EC70BE">
        <w:rPr>
          <w:rStyle w:val="s1"/>
          <w:i/>
          <w:iCs/>
          <w:sz w:val="20"/>
          <w:szCs w:val="20"/>
        </w:rPr>
        <w:t>b</w:t>
      </w:r>
      <w:r w:rsidR="00EC70BE">
        <w:rPr>
          <w:rStyle w:val="s1"/>
          <w:sz w:val="20"/>
          <w:szCs w:val="20"/>
        </w:rPr>
        <w:t>,</w:t>
      </w:r>
      <w:r w:rsidR="00EC70BE">
        <w:rPr>
          <w:rStyle w:val="s1"/>
          <w:i/>
          <w:iCs/>
          <w:sz w:val="20"/>
          <w:szCs w:val="20"/>
        </w:rPr>
        <w:t>f</w:t>
      </w:r>
      <w:r w:rsidR="00EC70BE">
        <w:rPr>
          <w:rStyle w:val="s1"/>
          <w:sz w:val="20"/>
          <w:szCs w:val="20"/>
        </w:rPr>
        <w:t>][1,4]thiazepin-11-yl)piperazin-1-yl]ethoxy]ethanol] (2</w:t>
      </w:r>
      <w:r w:rsidR="00EC70BE">
        <w:rPr>
          <w:rStyle w:val="s1"/>
          <w:i/>
          <w:iCs/>
          <w:sz w:val="20"/>
          <w:szCs w:val="20"/>
        </w:rPr>
        <w:t>E</w:t>
      </w:r>
      <w:r w:rsidR="00EC70BE">
        <w:rPr>
          <w:rStyle w:val="s1"/>
          <w:sz w:val="20"/>
          <w:szCs w:val="20"/>
        </w:rPr>
        <w:t>)-but-2-enedioate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4E5A39" w:rsidRPr="00CC52A3" w:rsidRDefault="00EC70BE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rFonts w:cs="Arial"/>
          <w:b/>
          <w:i/>
          <w:noProof/>
          <w:sz w:val="20"/>
          <w:lang w:eastAsia="it-IT"/>
        </w:rPr>
        <w:lastRenderedPageBreak/>
        <w:drawing>
          <wp:inline distT="0" distB="0" distL="0" distR="0">
            <wp:extent cx="3771900" cy="1276350"/>
            <wp:effectExtent l="19050" t="0" r="0" b="0"/>
            <wp:docPr id="1" name="Immagine 0" descr="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="00EC70BE" w:rsidRPr="00EC70BE">
        <w:rPr>
          <w:sz w:val="20"/>
          <w:szCs w:val="20"/>
        </w:rPr>
        <w:t xml:space="preserve"> </w:t>
      </w:r>
      <w:r w:rsidR="00EC70BE">
        <w:rPr>
          <w:rStyle w:val="s1"/>
          <w:sz w:val="20"/>
          <w:szCs w:val="20"/>
        </w:rPr>
        <w:t>C</w:t>
      </w:r>
      <w:r w:rsidR="00EC70BE">
        <w:rPr>
          <w:rStyle w:val="s1"/>
          <w:sz w:val="16"/>
          <w:szCs w:val="16"/>
          <w:vertAlign w:val="subscript"/>
        </w:rPr>
        <w:t>46</w:t>
      </w:r>
      <w:r w:rsidR="00EC70BE">
        <w:rPr>
          <w:rStyle w:val="s1"/>
          <w:sz w:val="20"/>
          <w:szCs w:val="20"/>
        </w:rPr>
        <w:t>H</w:t>
      </w:r>
      <w:r w:rsidR="00EC70BE">
        <w:rPr>
          <w:rStyle w:val="s1"/>
          <w:sz w:val="16"/>
          <w:szCs w:val="16"/>
          <w:vertAlign w:val="subscript"/>
        </w:rPr>
        <w:t>54</w:t>
      </w:r>
      <w:r w:rsidR="00EC70BE">
        <w:rPr>
          <w:rStyle w:val="s1"/>
          <w:sz w:val="20"/>
          <w:szCs w:val="20"/>
        </w:rPr>
        <w:t>N</w:t>
      </w:r>
      <w:r w:rsidR="00EC70BE">
        <w:rPr>
          <w:rStyle w:val="s1"/>
          <w:sz w:val="16"/>
          <w:szCs w:val="16"/>
          <w:vertAlign w:val="subscript"/>
        </w:rPr>
        <w:t>6</w:t>
      </w:r>
      <w:r w:rsidR="00EC70BE">
        <w:rPr>
          <w:rStyle w:val="s1"/>
          <w:sz w:val="20"/>
          <w:szCs w:val="20"/>
        </w:rPr>
        <w:t>O</w:t>
      </w:r>
      <w:r w:rsidR="00EC70BE">
        <w:rPr>
          <w:rStyle w:val="s1"/>
          <w:sz w:val="16"/>
          <w:szCs w:val="16"/>
          <w:vertAlign w:val="subscript"/>
        </w:rPr>
        <w:t>8</w:t>
      </w:r>
      <w:r w:rsidR="00EC70BE">
        <w:rPr>
          <w:rStyle w:val="s1"/>
          <w:sz w:val="20"/>
          <w:szCs w:val="20"/>
        </w:rPr>
        <w:t>S</w:t>
      </w:r>
      <w:r w:rsidR="00EC70BE">
        <w:rPr>
          <w:rStyle w:val="s1"/>
          <w:sz w:val="16"/>
          <w:szCs w:val="16"/>
          <w:vertAlign w:val="subscript"/>
        </w:rPr>
        <w:t>2</w:t>
      </w:r>
    </w:p>
    <w:p w:rsidR="004E5A39" w:rsidRPr="007E17B4" w:rsidRDefault="004E5A39" w:rsidP="00EF6711">
      <w:pPr>
        <w:spacing w:after="0" w:line="240" w:lineRule="auto"/>
        <w:jc w:val="both"/>
        <w:rPr>
          <w:rStyle w:val="s1"/>
          <w:sz w:val="20"/>
          <w:szCs w:val="20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7E17B4" w:rsidRPr="007E17B4">
        <w:rPr>
          <w:rStyle w:val="s1"/>
          <w:sz w:val="20"/>
          <w:szCs w:val="20"/>
        </w:rPr>
        <w:t>569.48 g/mol</w:t>
      </w:r>
      <w:r w:rsidR="009A23DE" w:rsidRPr="007E17B4">
        <w:rPr>
          <w:rStyle w:val="s1"/>
          <w:sz w:val="20"/>
          <w:szCs w:val="20"/>
        </w:rPr>
        <w:t xml:space="preserve"> </w:t>
      </w:r>
      <w:r w:rsidRPr="007E17B4">
        <w:rPr>
          <w:rStyle w:val="s1"/>
          <w:sz w:val="20"/>
          <w:szCs w:val="20"/>
        </w:rPr>
        <w:t>l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EC70BE">
        <w:rPr>
          <w:rStyle w:val="s1"/>
          <w:sz w:val="20"/>
          <w:szCs w:val="20"/>
        </w:rPr>
        <w:t>111974-72-2]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EC70BE">
        <w:t>polvere bianca o quasi bianca</w:t>
      </w:r>
    </w:p>
    <w:p w:rsidR="004E5A39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Solubilità</w:t>
      </w:r>
      <w:r w:rsidRPr="00EF6711">
        <w:t xml:space="preserve">: </w:t>
      </w:r>
      <w:r w:rsidR="00EC70BE" w:rsidRPr="00EC70BE">
        <w:t>leggermente solubile in acqua, in etanolo anidro e in metanolo</w:t>
      </w:r>
    </w:p>
    <w:p w:rsidR="00EC70BE" w:rsidRPr="00EC70BE" w:rsidRDefault="00EC70BE" w:rsidP="00EF6711">
      <w:pPr>
        <w:spacing w:after="0" w:line="240" w:lineRule="auto"/>
        <w:jc w:val="both"/>
      </w:pPr>
    </w:p>
    <w:p w:rsidR="00B30431" w:rsidRDefault="00B30431" w:rsidP="00EF6711">
      <w:pPr>
        <w:spacing w:after="0" w:line="240" w:lineRule="auto"/>
        <w:jc w:val="both"/>
      </w:pPr>
    </w:p>
    <w:p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 w:rsidR="007E17B4">
        <w:t>5</w:t>
      </w:r>
      <w:r w:rsidRPr="00F93450">
        <w:t xml:space="preserve"> </w:t>
      </w:r>
      <w:r w:rsidR="007E17B4">
        <w:t>anni</w:t>
      </w:r>
      <w:r>
        <w:t>, quando confezionato in</w:t>
      </w:r>
      <w:r w:rsidR="007E17B4">
        <w:t xml:space="preserve"> doppia busta di polietilene (esterna grigia) posizionato in un tamburo in fibra</w:t>
      </w:r>
      <w:r w:rsidRPr="00F93450">
        <w:t>.</w:t>
      </w:r>
    </w:p>
    <w:p w:rsidR="00CC52A3" w:rsidRPr="00EF6711" w:rsidRDefault="00CC52A3" w:rsidP="00EF6711">
      <w:pPr>
        <w:spacing w:after="0" w:line="240" w:lineRule="auto"/>
        <w:jc w:val="both"/>
      </w:pP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Pr="00EF6711" w:rsidRDefault="003779AC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925C22" w:rsidRPr="00925C22">
        <w:rPr>
          <w:rFonts w:eastAsia="Calibri" w:cs="Calibri"/>
          <w:color w:val="000000"/>
          <w:lang w:eastAsia="it-IT"/>
        </w:rPr>
        <w:t xml:space="preserve">compresse </w:t>
      </w:r>
      <w:r w:rsidR="006721A6">
        <w:rPr>
          <w:rFonts w:eastAsia="Calibri" w:cs="Calibri"/>
          <w:color w:val="000000"/>
          <w:lang w:eastAsia="it-IT"/>
        </w:rPr>
        <w:t xml:space="preserve">rivestite con film </w:t>
      </w:r>
      <w:r w:rsidR="00925C22" w:rsidRPr="00925C22">
        <w:rPr>
          <w:rFonts w:eastAsia="Calibri" w:cs="Calibri"/>
          <w:color w:val="000000"/>
          <w:lang w:eastAsia="it-IT"/>
        </w:rPr>
        <w:t>contenenti  25mg, 100mg, 150 mg, 200 mg e 300 mg di principio attivo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:rsidR="00B30431" w:rsidRDefault="004E5A39" w:rsidP="00EF6711">
      <w:pPr>
        <w:spacing w:after="0" w:line="240" w:lineRule="auto"/>
        <w:jc w:val="both"/>
      </w:pPr>
      <w:r w:rsidRPr="00EF6711">
        <w:t>Gli eccipienti son</w:t>
      </w:r>
      <w:r w:rsidR="00925C22">
        <w:t>o per</w:t>
      </w:r>
    </w:p>
    <w:p w:rsidR="00925C22" w:rsidRDefault="00925C22" w:rsidP="00EF6711">
      <w:pPr>
        <w:spacing w:after="0" w:line="240" w:lineRule="auto"/>
        <w:jc w:val="both"/>
      </w:pPr>
      <w:r>
        <w:t xml:space="preserve">Nucleo: </w:t>
      </w:r>
      <w:proofErr w:type="spellStart"/>
      <w:r>
        <w:t>povidone</w:t>
      </w:r>
      <w:proofErr w:type="spellEnd"/>
      <w:r>
        <w:t xml:space="preserve">, calcio idrogeno fosfato </w:t>
      </w:r>
      <w:proofErr w:type="spellStart"/>
      <w:r>
        <w:t>diidrato</w:t>
      </w:r>
      <w:proofErr w:type="spellEnd"/>
      <w:r>
        <w:t>, cellulosa microcristallina, sodio amido glicolato, silice colloidale anidra, magnesio stearato</w:t>
      </w:r>
    </w:p>
    <w:p w:rsidR="00925C22" w:rsidRPr="00EF6711" w:rsidRDefault="00925C22" w:rsidP="00EF6711">
      <w:pPr>
        <w:spacing w:after="0" w:line="240" w:lineRule="auto"/>
        <w:jc w:val="both"/>
        <w:rPr>
          <w:b/>
          <w:bCs/>
        </w:rPr>
      </w:pPr>
      <w:r>
        <w:t xml:space="preserve">Rivestimento: </w:t>
      </w:r>
      <w:proofErr w:type="spellStart"/>
      <w:r>
        <w:t>ipromellosa</w:t>
      </w:r>
      <w:proofErr w:type="spellEnd"/>
      <w:r>
        <w:t xml:space="preserve">, macrogol, titanio diossido, lattosio monoidrato, </w:t>
      </w:r>
      <w:proofErr w:type="spellStart"/>
      <w:r>
        <w:t>triacetin</w:t>
      </w:r>
      <w:proofErr w:type="spellEnd"/>
      <w:r>
        <w:t>, ossido di ferro giallo (E172) (compresse da 25mg, 100 mg, 150 mg) ossido di ferro rosso (E172) (compresse da 25 mg)</w:t>
      </w:r>
    </w:p>
    <w:p w:rsidR="000B7AC8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r w:rsidR="00DE4C0B">
        <w:t>ossido di ferro giallo</w:t>
      </w:r>
      <w:r>
        <w:t xml:space="preserve"> </w:t>
      </w:r>
      <w:r w:rsidR="00DE4C0B">
        <w:t>e ossido di ferro</w:t>
      </w:r>
      <w:r w:rsidR="00CE12E6">
        <w:t xml:space="preserve"> </w:t>
      </w:r>
      <w:r w:rsidR="00DE4C0B">
        <w:t xml:space="preserve">rosso  </w:t>
      </w:r>
      <w:r>
        <w:t>per i quali i</w:t>
      </w:r>
      <w:r w:rsidR="00DE4C0B">
        <w:t>l</w:t>
      </w:r>
      <w:r>
        <w:t xml:space="preserve"> produttore ha proposto specifiche di controllo accettabili</w:t>
      </w:r>
      <w:r w:rsidR="00DE4C0B">
        <w:t xml:space="preserve"> </w:t>
      </w:r>
      <w:r w:rsidR="000808A3">
        <w:t>conformi alla monografia della Farmacopea Americana – USP</w:t>
      </w:r>
    </w:p>
    <w:p w:rsidR="000808A3" w:rsidRDefault="000808A3" w:rsidP="00EF6711">
      <w:pPr>
        <w:spacing w:after="0" w:line="240" w:lineRule="auto"/>
        <w:ind w:right="13"/>
        <w:jc w:val="both"/>
      </w:pPr>
    </w:p>
    <w:p w:rsidR="000808A3" w:rsidRPr="00FE7080" w:rsidRDefault="000808A3" w:rsidP="000808A3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0808A3" w:rsidRPr="00EF6711" w:rsidRDefault="000808A3" w:rsidP="00EF6711">
      <w:pPr>
        <w:spacing w:after="0" w:line="240" w:lineRule="auto"/>
        <w:ind w:right="13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proofErr w:type="spellStart"/>
      <w:r w:rsidR="00CE12E6">
        <w:rPr>
          <w:rFonts w:eastAsia="Calibri" w:cs="Calibri"/>
          <w:color w:val="000000"/>
          <w:lang w:eastAsia="it-IT"/>
        </w:rPr>
        <w:t>Seroquel</w:t>
      </w:r>
      <w:proofErr w:type="spellEnd"/>
      <w:r w:rsidRPr="00EF6711">
        <w:t>.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</w:t>
      </w:r>
      <w:r w:rsidR="000808A3">
        <w:t>per i diversi dosaggi del prodotti finito)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3779AC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è confezionato in</w:t>
      </w:r>
      <w:r w:rsidR="00CE12E6">
        <w:t xml:space="preserve"> </w:t>
      </w:r>
      <w:r w:rsidR="000808A3">
        <w:t xml:space="preserve">blister di </w:t>
      </w:r>
      <w:r w:rsidR="002309E9">
        <w:t>Al/PVC blister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3779AC" w:rsidRPr="003779AC" w:rsidRDefault="004E5A39" w:rsidP="003779AC">
      <w:pPr>
        <w:spacing w:after="0" w:line="240" w:lineRule="auto"/>
        <w:jc w:val="both"/>
        <w:rPr>
          <w:b/>
          <w:bCs/>
        </w:rPr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4E096A">
        <w:t>3</w:t>
      </w:r>
      <w:r w:rsidR="00265B61">
        <w:t xml:space="preserve"> anni</w:t>
      </w:r>
      <w:r w:rsidR="003779AC">
        <w:t xml:space="preserve">. </w:t>
      </w:r>
      <w:r w:rsidRPr="00EF6711">
        <w:t xml:space="preserve"> </w:t>
      </w:r>
      <w:r w:rsidR="003779AC" w:rsidRPr="003779AC">
        <w:t>Questo medicinale non richiede alcuna condizione particolare di conservazione.</w:t>
      </w:r>
    </w:p>
    <w:p w:rsidR="004E5A39" w:rsidRDefault="004E5A39" w:rsidP="00EF6711">
      <w:pPr>
        <w:spacing w:after="0" w:line="240" w:lineRule="auto"/>
        <w:jc w:val="both"/>
      </w:pPr>
    </w:p>
    <w:p w:rsidR="004E096A" w:rsidRPr="00EF6711" w:rsidRDefault="004E096A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4E096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E096A">
        <w:rPr>
          <w:rFonts w:eastAsia="Calibri" w:cs="Calibri"/>
          <w:color w:val="000000"/>
          <w:lang w:eastAsia="it-IT"/>
        </w:rPr>
        <w:t>VI.REL</w:t>
      </w:r>
      <w:proofErr w:type="spellEnd"/>
      <w:r w:rsidR="00265B61" w:rsidRPr="00EF6711"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883263">
        <w:rPr>
          <w:rFonts w:eastAsia="Calibri" w:cs="Calibri"/>
          <w:lang w:eastAsia="it-IT"/>
        </w:rPr>
        <w:t>Seroquel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 w:rsidR="00883263">
        <w:t>quetiapina</w:t>
      </w:r>
      <w:proofErr w:type="spellEnd"/>
      <w:r>
        <w:t xml:space="preserve"> 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 w:rsidR="00883263">
        <w:t>quetiapina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7A25B2" w:rsidRPr="00883263" w:rsidRDefault="003779AC" w:rsidP="007A25B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per </w:t>
      </w:r>
      <w:r w:rsidR="007A25B2" w:rsidRPr="00883263">
        <w:t>il</w:t>
      </w:r>
      <w:r w:rsidR="007A25B2">
        <w:t>:</w:t>
      </w:r>
    </w:p>
    <w:p w:rsidR="007A25B2" w:rsidRPr="00883263" w:rsidRDefault="007A25B2" w:rsidP="007A25B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83263">
        <w:t>•</w:t>
      </w:r>
      <w:r w:rsidRPr="00883263">
        <w:tab/>
        <w:t>trattamento della schizofrenia</w:t>
      </w:r>
    </w:p>
    <w:p w:rsidR="007A25B2" w:rsidRPr="00883263" w:rsidRDefault="007A25B2" w:rsidP="007A25B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83263">
        <w:t>•</w:t>
      </w:r>
      <w:r w:rsidRPr="00883263">
        <w:tab/>
        <w:t>trattamento del disturbo bipolare:</w:t>
      </w:r>
    </w:p>
    <w:p w:rsidR="007A25B2" w:rsidRPr="00883263" w:rsidRDefault="007A25B2" w:rsidP="007A25B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</w:pPr>
      <w:r w:rsidRPr="00883263">
        <w:rPr>
          <w:rFonts w:ascii="MS Gothic" w:eastAsia="MS Gothic" w:hAnsi="MS Gothic" w:cs="MS Gothic" w:hint="eastAsia"/>
        </w:rPr>
        <w:t>➢</w:t>
      </w:r>
      <w:r w:rsidRPr="00883263">
        <w:t xml:space="preserve">  Per il trattamento degli episodi maniacali di entità da moderata a grave nel disturbo bipolare</w:t>
      </w:r>
    </w:p>
    <w:p w:rsidR="007A25B2" w:rsidRPr="00883263" w:rsidRDefault="007A25B2" w:rsidP="007A25B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</w:pPr>
      <w:r w:rsidRPr="00883263">
        <w:rPr>
          <w:rFonts w:ascii="MS Gothic" w:eastAsia="MS Gothic" w:hAnsi="MS Gothic" w:cs="MS Gothic" w:hint="eastAsia"/>
        </w:rPr>
        <w:t>➢</w:t>
      </w:r>
      <w:r w:rsidRPr="00883263">
        <w:t xml:space="preserve">  Per il trattamento degli episodi depressivi maggiori nel disturbo bipolare</w:t>
      </w:r>
    </w:p>
    <w:p w:rsidR="007A25B2" w:rsidRPr="00883263" w:rsidRDefault="007A25B2" w:rsidP="007A25B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</w:pPr>
      <w:r w:rsidRPr="00883263">
        <w:rPr>
          <w:rFonts w:ascii="MS Gothic" w:eastAsia="MS Gothic" w:hAnsi="MS Gothic" w:cs="MS Gothic" w:hint="eastAsia"/>
        </w:rPr>
        <w:t>➢</w:t>
      </w:r>
      <w:r w:rsidRPr="00883263">
        <w:t xml:space="preserve">  Per la prevenzione delle recidive di episodi maniacali o depressivi nei pazienti affetti da</w:t>
      </w:r>
      <w:r>
        <w:t xml:space="preserve"> </w:t>
      </w:r>
      <w:r w:rsidRPr="00883263">
        <w:t xml:space="preserve">disturbo bipolare che hanno risposto in precedenza al trattamento con </w:t>
      </w:r>
      <w:proofErr w:type="spellStart"/>
      <w:r w:rsidRPr="00883263">
        <w:t>quetiapina</w:t>
      </w:r>
      <w:proofErr w:type="spellEnd"/>
      <w:r w:rsidRPr="00883263">
        <w:t>.</w:t>
      </w:r>
    </w:p>
    <w:p w:rsidR="00265B61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7A25B2">
        <w:t>quetiapina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7A25B2" w:rsidRDefault="007A25B2" w:rsidP="00EF6711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lastRenderedPageBreak/>
        <w:t xml:space="preserve">La farmacologia clinica di </w:t>
      </w:r>
      <w:proofErr w:type="spellStart"/>
      <w:r w:rsidR="007A25B2">
        <w:t>quetiapina</w:t>
      </w:r>
      <w:proofErr w:type="spellEnd"/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0808A3" w:rsidRPr="006727BD">
        <w:rPr>
          <w:rFonts w:eastAsia="Calibri" w:cs="Calibri"/>
          <w:color w:val="000000"/>
          <w:lang w:eastAsia="it-IT"/>
        </w:rPr>
        <w:t xml:space="preserve"> </w:t>
      </w:r>
      <w:r w:rsidRPr="006727BD">
        <w:t xml:space="preserve">contiene </w:t>
      </w:r>
      <w:r w:rsidR="00BA0ACD" w:rsidRPr="006727BD">
        <w:t>un</w:t>
      </w:r>
      <w:r w:rsidRPr="006727BD">
        <w:t xml:space="preserve"> principi</w:t>
      </w:r>
      <w:r w:rsidR="00BA0ACD" w:rsidRPr="006727BD">
        <w:t>o</w:t>
      </w:r>
      <w:r w:rsidRPr="006727BD">
        <w:t xml:space="preserve"> attiv</w:t>
      </w:r>
      <w:r w:rsidR="00BA0ACD" w:rsidRPr="006727BD">
        <w:t>o</w:t>
      </w:r>
      <w:r w:rsidRPr="006727BD">
        <w:t xml:space="preserve"> not</w:t>
      </w:r>
      <w:r w:rsidR="00BA0ACD" w:rsidRPr="006727BD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proofErr w:type="spellStart"/>
      <w:r w:rsidR="007A25B2">
        <w:t>Seroquel</w:t>
      </w:r>
      <w:proofErr w:type="spellEnd"/>
      <w:r w:rsidRPr="006727BD">
        <w:t xml:space="preserve"> 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BE7CDB" w:rsidRPr="006727BD">
        <w:t xml:space="preserve">contiene un principio attivo noto e presente nel medicinale </w:t>
      </w:r>
      <w:r w:rsidR="006727BD">
        <w:t xml:space="preserve">di riferimento </w:t>
      </w:r>
      <w:proofErr w:type="spellStart"/>
      <w:r w:rsidR="007A25B2">
        <w:t>Seroquel</w:t>
      </w:r>
      <w:proofErr w:type="spellEnd"/>
      <w:r w:rsidR="00BE7CDB" w:rsidRPr="006727BD">
        <w:t xml:space="preserve"> autorizzato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Pr="006727BD">
        <w:rPr>
          <w:rFonts w:eastAsia="Calibri" w:cs="Calibri"/>
          <w:color w:val="000000"/>
          <w:lang w:eastAsia="it-IT"/>
        </w:rPr>
        <w:t xml:space="preserve"> </w:t>
      </w:r>
      <w:r w:rsidRPr="009F5FC7">
        <w:t xml:space="preserve">e quelli del medicinale </w:t>
      </w:r>
      <w:r>
        <w:t xml:space="preserve">di riferimento </w:t>
      </w:r>
      <w:proofErr w:type="spellStart"/>
      <w:r w:rsidR="007A25B2">
        <w:t>Seroquel</w:t>
      </w:r>
      <w:proofErr w:type="spellEnd"/>
      <w:r w:rsidRPr="009F5FC7">
        <w:t>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7A25B2">
        <w:t>inferiore da</w:t>
      </w:r>
      <w:r w:rsidRPr="00333936">
        <w:t xml:space="preserve"> </w:t>
      </w:r>
      <w:r w:rsidR="007A25B2">
        <w:t>25</w:t>
      </w:r>
      <w:r w:rsidRPr="00333936">
        <w:t xml:space="preserve"> mg per lo studio di bioequivalenza è st</w:t>
      </w:r>
      <w:r w:rsidR="007A25B2">
        <w:t>ato opportunamente giustificato</w:t>
      </w:r>
      <w: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7469AE">
        <w:rPr>
          <w:rFonts w:ascii="Calibri" w:hAnsi="Calibri"/>
        </w:rPr>
        <w:t xml:space="preserve">Lo studio di bioequivalenza è </w:t>
      </w:r>
      <w:r>
        <w:rPr>
          <w:rFonts w:ascii="Calibri" w:hAnsi="Calibri"/>
        </w:rPr>
        <w:t xml:space="preserve"> uno studio </w:t>
      </w:r>
      <w:r w:rsidRPr="005D5D07">
        <w:rPr>
          <w:rFonts w:ascii="Calibri" w:hAnsi="Calibri"/>
        </w:rPr>
        <w:t xml:space="preserve">comparativo, randomizzato, a dose singola, 2-periodi, </w:t>
      </w:r>
      <w:r w:rsidRPr="00F36FEA">
        <w:rPr>
          <w:rFonts w:ascii="Calibri" w:hAnsi="Calibri"/>
        </w:rPr>
        <w:t xml:space="preserve">crossover condotto in </w:t>
      </w:r>
      <w:r>
        <w:rPr>
          <w:rFonts w:ascii="Calibri" w:hAnsi="Calibri"/>
        </w:rPr>
        <w:t>3</w:t>
      </w:r>
      <w:r w:rsidR="007A25B2">
        <w:rPr>
          <w:rFonts w:ascii="Calibri" w:hAnsi="Calibri"/>
        </w:rPr>
        <w:t>8</w:t>
      </w:r>
      <w:r w:rsidRPr="00F36FEA">
        <w:rPr>
          <w:rFonts w:ascii="Calibri" w:hAnsi="Calibri"/>
        </w:rPr>
        <w:t xml:space="preserve"> volontari sani di </w:t>
      </w:r>
      <w:r w:rsidR="007A25B2">
        <w:rPr>
          <w:rFonts w:ascii="Calibri" w:hAnsi="Calibri"/>
        </w:rPr>
        <w:t xml:space="preserve">entrambi i </w:t>
      </w:r>
      <w:r w:rsidRPr="00F36FEA">
        <w:rPr>
          <w:rFonts w:ascii="Calibri" w:hAnsi="Calibri"/>
        </w:rPr>
        <w:t>sess</w:t>
      </w:r>
      <w:r w:rsidR="007A25B2">
        <w:rPr>
          <w:rFonts w:ascii="Calibri" w:hAnsi="Calibri"/>
        </w:rPr>
        <w:t>i</w:t>
      </w:r>
      <w:r>
        <w:rPr>
          <w:rFonts w:ascii="Calibri" w:hAnsi="Calibri"/>
        </w:rPr>
        <w:t xml:space="preserve"> </w:t>
      </w:r>
      <w:r w:rsidRPr="00F36FEA">
        <w:rPr>
          <w:rFonts w:ascii="Calibri" w:hAnsi="Calibri"/>
        </w:rPr>
        <w:t xml:space="preserve">con somministrazione a digiuno. </w:t>
      </w:r>
      <w:r w:rsidRPr="00F36FEA">
        <w:rPr>
          <w:rFonts w:ascii="Calibri" w:hAnsi="Calibri" w:cs="Arial"/>
        </w:rPr>
        <w:t xml:space="preserve">Dopo una notte di digiuno, il medicinale è stato somministrato con acqua. </w:t>
      </w:r>
      <w:r w:rsidRPr="00F36FEA">
        <w:rPr>
          <w:rFonts w:ascii="Calibri" w:hAnsi="Calibri"/>
        </w:rPr>
        <w:t xml:space="preserve">Un soddisfacente periodo di wash-out di </w:t>
      </w:r>
      <w:r w:rsidR="007A25B2">
        <w:rPr>
          <w:rFonts w:ascii="Calibri" w:hAnsi="Calibri" w:cs="Arial"/>
        </w:rPr>
        <w:t>7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>Campioni di sangue sono stati prelevati al tempo zero (</w:t>
      </w:r>
      <w:proofErr w:type="spellStart"/>
      <w:r w:rsidRPr="009F5FC7">
        <w:rPr>
          <w:rFonts w:ascii="Calibri" w:hAnsi="Calibri" w:cs="Arial"/>
        </w:rPr>
        <w:t>pre-dose</w:t>
      </w:r>
      <w:proofErr w:type="spellEnd"/>
      <w:r w:rsidRPr="009F5FC7">
        <w:rPr>
          <w:rFonts w:ascii="Calibri" w:hAnsi="Calibri" w:cs="Arial"/>
        </w:rPr>
        <w:t xml:space="preserve">) e a specificati tempi fino a </w:t>
      </w:r>
      <w:r w:rsidR="007A25B2">
        <w:rPr>
          <w:rFonts w:ascii="Calibri" w:hAnsi="Calibri" w:cs="Arial"/>
        </w:rPr>
        <w:t>24</w:t>
      </w:r>
      <w:r w:rsidRPr="009F5FC7">
        <w:rPr>
          <w:rFonts w:ascii="Calibri" w:hAnsi="Calibri" w:cs="Arial"/>
        </w:rPr>
        <w:t xml:space="preserve"> ore dopo la somministrazione. I livelli plasmatici di </w:t>
      </w:r>
      <w:proofErr w:type="spellStart"/>
      <w:r w:rsidR="007A25B2">
        <w:rPr>
          <w:rFonts w:ascii="Calibri" w:hAnsi="Calibri" w:cs="Arial"/>
        </w:rPr>
        <w:t>quetiapina</w:t>
      </w:r>
      <w:proofErr w:type="spellEnd"/>
      <w:r w:rsidRPr="009F5FC7">
        <w:rPr>
          <w:rFonts w:ascii="Calibri" w:hAnsi="Calibri" w:cs="Arial"/>
        </w:rPr>
        <w:t xml:space="preserve"> sono stati determinati mediante un metodo analitico </w:t>
      </w:r>
      <w:r w:rsidR="00580DAF">
        <w:rPr>
          <w:rFonts w:ascii="Calibri" w:hAnsi="Calibri" w:cs="Arial"/>
        </w:rPr>
        <w:t>HPLC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 w:rsidR="00580DAF">
        <w:t>quetiapina</w:t>
      </w:r>
      <w:proofErr w:type="spellEnd"/>
      <w:r w:rsidRPr="009F5FC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sono state definite le seguenti </w:t>
      </w:r>
      <w:r w:rsidRPr="009F5FC7">
        <w:rPr>
          <w:rFonts w:ascii="Calibri" w:hAnsi="Calibri" w:cs="Arial"/>
        </w:rPr>
        <w:t xml:space="preserve">variabili farmacocinetiche: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t½</w:t>
      </w:r>
      <w:proofErr w:type="spellEnd"/>
      <w:r w:rsidRPr="009F5FC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 xml:space="preserve">,,  cadono nel </w:t>
      </w:r>
      <w:proofErr w:type="spellStart"/>
      <w:r w:rsidRPr="009F5FC7">
        <w:rPr>
          <w:rFonts w:ascii="Calibri" w:hAnsi="Calibri" w:cs="Arial"/>
        </w:rPr>
        <w:t>range</w:t>
      </w:r>
      <w:proofErr w:type="spellEnd"/>
      <w:r w:rsidRPr="009F5FC7">
        <w:rPr>
          <w:rFonts w:ascii="Calibri" w:hAnsi="Calibri" w:cs="Arial"/>
        </w:rPr>
        <w:t xml:space="preserve"> di accettabilità di 0.80-1.25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580DAF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38 </w:t>
      </w:r>
      <w:r w:rsidR="005049A1" w:rsidRPr="009F5FC7">
        <w:rPr>
          <w:rFonts w:ascii="Calibri" w:hAnsi="Calibri" w:cs="Arial"/>
        </w:rPr>
        <w:t>volontari sani sono stati arruolati nello studio</w:t>
      </w:r>
      <w:r>
        <w:rPr>
          <w:rFonts w:ascii="Calibri" w:hAnsi="Calibri" w:cs="Arial"/>
        </w:rPr>
        <w:t xml:space="preserve">,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>
        <w:rPr>
          <w:rFonts w:ascii="Calibri" w:hAnsi="Calibri" w:cs="Arial"/>
        </w:rPr>
        <w:t xml:space="preserve">si sono (o non si sono) manifestati </w:t>
      </w:r>
      <w:r w:rsidR="00580DAF">
        <w:t xml:space="preserve">18 </w:t>
      </w:r>
      <w:r>
        <w:t>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C40610">
        <w:rPr>
          <w:rFonts w:ascii="Calibri" w:hAnsi="Calibri" w:cs="Arial"/>
        </w:rPr>
        <w:t xml:space="preserve">14 </w:t>
      </w:r>
      <w:r>
        <w:rPr>
          <w:rFonts w:ascii="Calibri" w:hAnsi="Calibri" w:cs="Arial"/>
        </w:rPr>
        <w:t>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>
        <w:rPr>
          <w:rFonts w:ascii="Calibri" w:hAnsi="Calibri" w:cs="Arial"/>
        </w:rPr>
        <w:t xml:space="preserve"> è</w:t>
      </w:r>
      <w:r w:rsidRPr="009F5FC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stata </w:t>
      </w:r>
      <w:r w:rsidRPr="009F5FC7">
        <w:rPr>
          <w:rFonts w:ascii="Calibri" w:hAnsi="Calibri" w:cs="Arial"/>
        </w:rPr>
        <w:t>riscontrat</w:t>
      </w:r>
      <w:r>
        <w:rPr>
          <w:rFonts w:ascii="Calibri" w:hAnsi="Calibri" w:cs="Arial"/>
        </w:rPr>
        <w:t>a</w:t>
      </w:r>
      <w:r w:rsidRPr="009F5FC7">
        <w:rPr>
          <w:rFonts w:ascii="Calibri" w:hAnsi="Calibri" w:cs="Arial"/>
        </w:rPr>
        <w:t xml:space="preserve"> </w:t>
      </w:r>
      <w:r w:rsidR="00580DAF">
        <w:t xml:space="preserve"> sensazione di freddo alle estremità, </w:t>
      </w:r>
      <w:r w:rsidR="00304751">
        <w:t xml:space="preserve"> diminuzione della pressione, disartria, mal di testa, </w:t>
      </w:r>
      <w:proofErr w:type="spellStart"/>
      <w:r w:rsidR="00304751">
        <w:t>ipoestesia</w:t>
      </w:r>
      <w:proofErr w:type="spellEnd"/>
      <w:r w:rsidR="00304751">
        <w:t xml:space="preserve">, sonnolenza,  </w:t>
      </w:r>
      <w:r>
        <w:t xml:space="preserve"> </w:t>
      </w:r>
      <w:r w:rsidR="00304751">
        <w:t>aumento dell’</w:t>
      </w:r>
      <w:proofErr w:type="spellStart"/>
      <w:r w:rsidR="00304751">
        <w:t>alanina</w:t>
      </w:r>
      <w:proofErr w:type="spellEnd"/>
      <w:r w:rsidR="00304751">
        <w:t xml:space="preserve"> amino transferasi  e capogiro. </w:t>
      </w:r>
      <w:r w:rsidRPr="009F5FC7">
        <w:rPr>
          <w:rFonts w:ascii="Calibri" w:hAnsi="Calibri" w:cs="Arial"/>
        </w:rPr>
        <w:t>Non sono stati rilevati eventi avversi gravi.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422"/>
        <w:gridCol w:w="1290"/>
        <w:gridCol w:w="1411"/>
        <w:gridCol w:w="2052"/>
        <w:gridCol w:w="1949"/>
        <w:gridCol w:w="1970"/>
      </w:tblGrid>
      <w:tr w:rsidR="00C40610" w:rsidRPr="002A09E0" w:rsidTr="00C40610">
        <w:tc>
          <w:tcPr>
            <w:tcW w:w="10094" w:type="dxa"/>
            <w:gridSpan w:val="6"/>
            <w:shd w:val="clear" w:color="auto" w:fill="E6E6E6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5B72FC">
              <w:rPr>
                <w:b/>
                <w:bCs/>
              </w:rPr>
              <w:t>Quetiapina</w:t>
            </w:r>
            <w:proofErr w:type="spellEnd"/>
            <w:r w:rsidRPr="005B72FC">
              <w:rPr>
                <w:b/>
                <w:bCs/>
              </w:rPr>
              <w:t xml:space="preserve"> </w:t>
            </w:r>
          </w:p>
        </w:tc>
      </w:tr>
      <w:tr w:rsidR="00C40610" w:rsidRPr="00D16556" w:rsidTr="00C40610">
        <w:tc>
          <w:tcPr>
            <w:tcW w:w="1422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rPr>
                <w:b/>
              </w:rPr>
            </w:pPr>
            <w:r w:rsidRPr="005B72FC">
              <w:rPr>
                <w:b/>
              </w:rPr>
              <w:t>Parametro</w:t>
            </w:r>
          </w:p>
        </w:tc>
        <w:tc>
          <w:tcPr>
            <w:tcW w:w="1290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CV%</w:t>
            </w:r>
            <w:proofErr w:type="spellEnd"/>
          </w:p>
        </w:tc>
        <w:tc>
          <w:tcPr>
            <w:tcW w:w="1411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  <w:rPr>
                <w:b/>
              </w:rPr>
            </w:pPr>
            <w:r w:rsidRPr="005B72FC">
              <w:rPr>
                <w:b/>
              </w:rPr>
              <w:t>Test</w:t>
            </w:r>
          </w:p>
        </w:tc>
        <w:tc>
          <w:tcPr>
            <w:tcW w:w="2052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5B72FC">
              <w:rPr>
                <w:b/>
              </w:rPr>
              <w:t>Reference</w:t>
            </w:r>
            <w:proofErr w:type="spellEnd"/>
          </w:p>
        </w:tc>
        <w:tc>
          <w:tcPr>
            <w:tcW w:w="1949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  <w:rPr>
                <w:b/>
              </w:rPr>
            </w:pPr>
            <w:r w:rsidRPr="005B72FC">
              <w:rPr>
                <w:b/>
              </w:rPr>
              <w:t xml:space="preserve">T/R </w:t>
            </w:r>
            <w:proofErr w:type="spellStart"/>
            <w:r w:rsidRPr="005B72FC">
              <w:rPr>
                <w:b/>
              </w:rPr>
              <w:t>Ratio</w:t>
            </w:r>
            <w:proofErr w:type="spellEnd"/>
          </w:p>
        </w:tc>
        <w:tc>
          <w:tcPr>
            <w:tcW w:w="1970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  <w:rPr>
                <w:b/>
              </w:rPr>
            </w:pPr>
            <w:r w:rsidRPr="005B72FC">
              <w:rPr>
                <w:b/>
              </w:rPr>
              <w:t>90% C.I.</w:t>
            </w:r>
          </w:p>
        </w:tc>
      </w:tr>
      <w:tr w:rsidR="00C40610" w:rsidRPr="001C6526" w:rsidTr="00C40610">
        <w:tc>
          <w:tcPr>
            <w:tcW w:w="1422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rPr>
                <w:b/>
              </w:rPr>
            </w:pPr>
            <w:r w:rsidRPr="005B72FC">
              <w:rPr>
                <w:b/>
              </w:rPr>
              <w:t>AUC0-t</w:t>
            </w:r>
          </w:p>
        </w:tc>
        <w:tc>
          <w:tcPr>
            <w:tcW w:w="1290" w:type="dxa"/>
            <w:vAlign w:val="bottom"/>
          </w:tcPr>
          <w:p w:rsidR="00C40610" w:rsidRPr="002D02FF" w:rsidRDefault="00C40610" w:rsidP="00C40610">
            <w:pPr>
              <w:spacing w:after="0" w:line="240" w:lineRule="auto"/>
            </w:pPr>
            <w:r w:rsidRPr="002D02FF">
              <w:t xml:space="preserve">21.80 </w:t>
            </w:r>
          </w:p>
        </w:tc>
        <w:tc>
          <w:tcPr>
            <w:tcW w:w="1411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</w:pPr>
            <w:r w:rsidRPr="00FA15AF">
              <w:t>165.69</w:t>
            </w:r>
          </w:p>
        </w:tc>
        <w:tc>
          <w:tcPr>
            <w:tcW w:w="2052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</w:pPr>
            <w:r w:rsidRPr="00FA15AF">
              <w:t>170.87</w:t>
            </w:r>
          </w:p>
        </w:tc>
        <w:tc>
          <w:tcPr>
            <w:tcW w:w="1949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</w:pPr>
            <w:r w:rsidRPr="005B72FC">
              <w:t>96.9</w:t>
            </w:r>
            <w:r>
              <w:t>7</w:t>
            </w:r>
          </w:p>
        </w:tc>
        <w:tc>
          <w:tcPr>
            <w:tcW w:w="1970" w:type="dxa"/>
            <w:vAlign w:val="bottom"/>
          </w:tcPr>
          <w:p w:rsidR="00C40610" w:rsidRPr="005B72FC" w:rsidRDefault="00C40610" w:rsidP="00C40610">
            <w:pPr>
              <w:spacing w:after="0" w:line="240" w:lineRule="auto"/>
              <w:jc w:val="center"/>
            </w:pPr>
            <w:r w:rsidRPr="005B72FC">
              <w:t xml:space="preserve">89.20 - 105.41 </w:t>
            </w:r>
          </w:p>
        </w:tc>
      </w:tr>
      <w:tr w:rsidR="00C40610" w:rsidRPr="001C6526" w:rsidTr="00C40610">
        <w:tc>
          <w:tcPr>
            <w:tcW w:w="1422" w:type="dxa"/>
            <w:vAlign w:val="bottom"/>
          </w:tcPr>
          <w:p w:rsidR="00C40610" w:rsidRPr="002D02FF" w:rsidRDefault="00C40610" w:rsidP="00C40610">
            <w:pPr>
              <w:spacing w:after="0" w:line="240" w:lineRule="auto"/>
              <w:rPr>
                <w:b/>
              </w:rPr>
            </w:pPr>
            <w:r w:rsidRPr="002D02FF">
              <w:rPr>
                <w:b/>
              </w:rPr>
              <w:t>AUC0-∞</w:t>
            </w:r>
          </w:p>
        </w:tc>
        <w:tc>
          <w:tcPr>
            <w:tcW w:w="1290" w:type="dxa"/>
            <w:vAlign w:val="bottom"/>
          </w:tcPr>
          <w:p w:rsidR="00C40610" w:rsidRPr="002D02FF" w:rsidRDefault="00C40610" w:rsidP="00C40610">
            <w:pPr>
              <w:spacing w:after="0" w:line="240" w:lineRule="auto"/>
            </w:pPr>
            <w:r w:rsidRPr="002D02FF">
              <w:t xml:space="preserve">21.14 </w:t>
            </w:r>
          </w:p>
        </w:tc>
        <w:tc>
          <w:tcPr>
            <w:tcW w:w="1411" w:type="dxa"/>
            <w:vAlign w:val="bottom"/>
          </w:tcPr>
          <w:p w:rsidR="00C40610" w:rsidRPr="00FA15AF" w:rsidRDefault="00C40610" w:rsidP="00C40610">
            <w:pPr>
              <w:spacing w:after="0" w:line="240" w:lineRule="auto"/>
              <w:jc w:val="center"/>
            </w:pPr>
            <w:r w:rsidRPr="00FA15AF">
              <w:t>171.75</w:t>
            </w:r>
          </w:p>
        </w:tc>
        <w:tc>
          <w:tcPr>
            <w:tcW w:w="2052" w:type="dxa"/>
            <w:vAlign w:val="bottom"/>
          </w:tcPr>
          <w:p w:rsidR="00C40610" w:rsidRPr="00FA15AF" w:rsidRDefault="00C40610" w:rsidP="00C40610">
            <w:pPr>
              <w:spacing w:after="0" w:line="240" w:lineRule="auto"/>
              <w:jc w:val="center"/>
            </w:pPr>
            <w:r w:rsidRPr="00FA15AF">
              <w:t>176.86</w:t>
            </w:r>
          </w:p>
        </w:tc>
        <w:tc>
          <w:tcPr>
            <w:tcW w:w="1949" w:type="dxa"/>
            <w:vAlign w:val="bottom"/>
          </w:tcPr>
          <w:p w:rsidR="00C40610" w:rsidRPr="001334CB" w:rsidRDefault="00C40610" w:rsidP="00C40610">
            <w:pPr>
              <w:spacing w:after="0" w:line="240" w:lineRule="auto"/>
              <w:jc w:val="center"/>
              <w:rPr>
                <w:highlight w:val="yellow"/>
              </w:rPr>
            </w:pPr>
            <w:r w:rsidRPr="002D02FF">
              <w:t>97.12</w:t>
            </w:r>
          </w:p>
        </w:tc>
        <w:tc>
          <w:tcPr>
            <w:tcW w:w="1970" w:type="dxa"/>
            <w:vAlign w:val="bottom"/>
          </w:tcPr>
          <w:p w:rsidR="00C40610" w:rsidRPr="001334CB" w:rsidRDefault="00C40610" w:rsidP="00C40610">
            <w:pPr>
              <w:spacing w:after="0" w:line="240" w:lineRule="auto"/>
              <w:jc w:val="center"/>
              <w:rPr>
                <w:highlight w:val="yellow"/>
              </w:rPr>
            </w:pPr>
            <w:r w:rsidRPr="002D02FF">
              <w:t xml:space="preserve">89.56 -  105.31 </w:t>
            </w:r>
          </w:p>
        </w:tc>
      </w:tr>
      <w:tr w:rsidR="00C40610" w:rsidRPr="001C6526" w:rsidTr="00C40610">
        <w:tc>
          <w:tcPr>
            <w:tcW w:w="1422" w:type="dxa"/>
            <w:vAlign w:val="bottom"/>
          </w:tcPr>
          <w:p w:rsidR="00C40610" w:rsidRPr="001334CB" w:rsidRDefault="00C40610" w:rsidP="00C40610">
            <w:pPr>
              <w:spacing w:after="0" w:line="240" w:lineRule="auto"/>
              <w:rPr>
                <w:b/>
                <w:highlight w:val="yellow"/>
              </w:rPr>
            </w:pPr>
            <w:proofErr w:type="spellStart"/>
            <w:r w:rsidRPr="005B72FC">
              <w:rPr>
                <w:b/>
              </w:rPr>
              <w:t>Cmax</w:t>
            </w:r>
            <w:proofErr w:type="spellEnd"/>
          </w:p>
        </w:tc>
        <w:tc>
          <w:tcPr>
            <w:tcW w:w="1290" w:type="dxa"/>
            <w:vAlign w:val="bottom"/>
          </w:tcPr>
          <w:p w:rsidR="00C40610" w:rsidRPr="002D02FF" w:rsidRDefault="00C40610" w:rsidP="00C40610">
            <w:pPr>
              <w:spacing w:after="0" w:line="240" w:lineRule="auto"/>
              <w:rPr>
                <w:highlight w:val="yellow"/>
              </w:rPr>
            </w:pPr>
            <w:r w:rsidRPr="002D02FF">
              <w:t xml:space="preserve">31.98 </w:t>
            </w:r>
          </w:p>
        </w:tc>
        <w:tc>
          <w:tcPr>
            <w:tcW w:w="1411" w:type="dxa"/>
            <w:vAlign w:val="bottom"/>
          </w:tcPr>
          <w:p w:rsidR="00C40610" w:rsidRPr="001334CB" w:rsidRDefault="00C40610" w:rsidP="00C40610">
            <w:pPr>
              <w:spacing w:after="0" w:line="240" w:lineRule="auto"/>
              <w:jc w:val="center"/>
              <w:rPr>
                <w:highlight w:val="yellow"/>
              </w:rPr>
            </w:pPr>
            <w:r w:rsidRPr="00FA15AF">
              <w:t>42.46</w:t>
            </w:r>
          </w:p>
        </w:tc>
        <w:tc>
          <w:tcPr>
            <w:tcW w:w="2052" w:type="dxa"/>
            <w:vAlign w:val="bottom"/>
          </w:tcPr>
          <w:p w:rsidR="00C40610" w:rsidRPr="001334CB" w:rsidRDefault="00C40610" w:rsidP="00C40610">
            <w:pPr>
              <w:spacing w:after="0" w:line="240" w:lineRule="auto"/>
              <w:jc w:val="center"/>
              <w:rPr>
                <w:highlight w:val="yellow"/>
              </w:rPr>
            </w:pPr>
            <w:r w:rsidRPr="00FA15AF">
              <w:t>44.30</w:t>
            </w:r>
          </w:p>
        </w:tc>
        <w:tc>
          <w:tcPr>
            <w:tcW w:w="1949" w:type="dxa"/>
            <w:vAlign w:val="bottom"/>
          </w:tcPr>
          <w:p w:rsidR="00C40610" w:rsidRPr="001334CB" w:rsidRDefault="00C40610" w:rsidP="00C40610">
            <w:pPr>
              <w:spacing w:after="0" w:line="240" w:lineRule="auto"/>
              <w:jc w:val="center"/>
              <w:rPr>
                <w:highlight w:val="yellow"/>
              </w:rPr>
            </w:pPr>
            <w:r w:rsidRPr="005B72FC">
              <w:t>95.83</w:t>
            </w:r>
          </w:p>
        </w:tc>
        <w:tc>
          <w:tcPr>
            <w:tcW w:w="1970" w:type="dxa"/>
            <w:vAlign w:val="bottom"/>
          </w:tcPr>
          <w:p w:rsidR="00C40610" w:rsidRPr="001334CB" w:rsidRDefault="00C40610" w:rsidP="00C40610">
            <w:pPr>
              <w:spacing w:after="0" w:line="240" w:lineRule="auto"/>
              <w:jc w:val="center"/>
              <w:rPr>
                <w:highlight w:val="yellow"/>
              </w:rPr>
            </w:pPr>
            <w:r w:rsidRPr="005B72FC">
              <w:t>84.92 - 108.14</w:t>
            </w:r>
          </w:p>
        </w:tc>
      </w:tr>
    </w:tbl>
    <w:p w:rsidR="005049A1" w:rsidRDefault="005049A1" w:rsidP="005049A1">
      <w:pPr>
        <w:spacing w:after="0" w:line="240" w:lineRule="auto"/>
        <w:rPr>
          <w:rFonts w:cs="Arial"/>
          <w:i/>
        </w:rPr>
      </w:pPr>
    </w:p>
    <w:p w:rsidR="005049A1" w:rsidRDefault="005049A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Pr="006727BD">
        <w:rPr>
          <w:rFonts w:eastAsia="Calibri" w:cs="Calibri"/>
          <w:color w:val="000000"/>
          <w:lang w:eastAsia="it-IT"/>
        </w:rPr>
        <w:t xml:space="preserve"> </w:t>
      </w:r>
      <w:r w:rsidRPr="009F5FC7">
        <w:rPr>
          <w:rFonts w:cs="Arial"/>
        </w:rPr>
        <w:t xml:space="preserve"> è ben conosciuto.</w:t>
      </w:r>
      <w:r>
        <w:rPr>
          <w:rFonts w:cs="Arial"/>
        </w:rPr>
        <w:t xml:space="preserve"> </w:t>
      </w: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</w:t>
      </w:r>
      <w:proofErr w:type="spellStart"/>
      <w:r w:rsidRPr="00EF6711">
        <w:rPr>
          <w:b/>
          <w:i/>
        </w:rPr>
        <w:t>Plan</w:t>
      </w:r>
      <w:proofErr w:type="spellEnd"/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04603E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603E" w:rsidRPr="006721A6" w:rsidRDefault="0004603E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6721A6">
              <w:t>Rischi importanti identificati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4603E" w:rsidRPr="0035412C" w:rsidRDefault="0004603E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35412C">
              <w:t>Sintomi extrapiramidali</w:t>
            </w:r>
          </w:p>
          <w:p w:rsidR="0004603E" w:rsidRPr="0035412C" w:rsidRDefault="0004603E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35412C">
              <w:t>Sonnolenza</w:t>
            </w:r>
          </w:p>
          <w:p w:rsidR="0004603E" w:rsidRPr="0035412C" w:rsidRDefault="0004603E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 xml:space="preserve">Incremento di </w:t>
            </w:r>
            <w:r w:rsidRPr="0035412C">
              <w:t xml:space="preserve"> peso</w:t>
            </w:r>
          </w:p>
          <w:p w:rsidR="0004603E" w:rsidRPr="0035412C" w:rsidRDefault="0004603E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35412C">
              <w:t>Modifiche dei livelli</w:t>
            </w:r>
            <w:r>
              <w:t xml:space="preserve"> </w:t>
            </w:r>
            <w:proofErr w:type="spellStart"/>
            <w:r>
              <w:t>sierici</w:t>
            </w:r>
            <w:proofErr w:type="spellEnd"/>
            <w:r>
              <w:t xml:space="preserve"> di</w:t>
            </w:r>
            <w:r w:rsidRPr="0035412C">
              <w:t xml:space="preserve"> lipidi </w:t>
            </w:r>
          </w:p>
          <w:p w:rsidR="0004603E" w:rsidRDefault="0004603E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35412C">
              <w:t xml:space="preserve">Iperglicemia e diabete mellito </w:t>
            </w:r>
          </w:p>
          <w:p w:rsidR="0004603E" w:rsidRPr="000B3EFE" w:rsidRDefault="0004603E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0B3EFE">
              <w:t>F</w:t>
            </w:r>
            <w:r>
              <w:t>attori rischio metabolico</w:t>
            </w:r>
          </w:p>
          <w:p w:rsidR="0004603E" w:rsidRPr="006721A6" w:rsidRDefault="003779AC" w:rsidP="003779AC">
            <w:r w:rsidRPr="003779AC">
              <w:t xml:space="preserve">Suicidio/ideazione </w:t>
            </w:r>
            <w:proofErr w:type="spellStart"/>
            <w:r w:rsidRPr="003779AC">
              <w:t>suicidaria</w:t>
            </w:r>
            <w:proofErr w:type="spellEnd"/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6721A6" w:rsidRDefault="00265B61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6721A6"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68E6" w:rsidRDefault="003468E6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>Effetti avversi cerebrovascolari in pazienti anziani</w:t>
            </w:r>
          </w:p>
          <w:p w:rsidR="003468E6" w:rsidRDefault="003468E6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>Effetti avversi cerebrovascolari in pazienti non anziani</w:t>
            </w:r>
          </w:p>
          <w:p w:rsidR="003468E6" w:rsidRDefault="003468E6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>T</w:t>
            </w:r>
            <w:r w:rsidRPr="006C38CA">
              <w:t>orsioni di punta</w:t>
            </w:r>
          </w:p>
          <w:p w:rsidR="003468E6" w:rsidRDefault="003468E6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>Malattie cardiache ischemiche</w:t>
            </w:r>
          </w:p>
          <w:p w:rsidR="003468E6" w:rsidRDefault="003468E6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>Abuso e uso improprio</w:t>
            </w:r>
          </w:p>
          <w:p w:rsidR="003468E6" w:rsidRPr="006C38CA" w:rsidRDefault="003468E6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6C38CA">
              <w:t xml:space="preserve">Potenziale per uso off </w:t>
            </w:r>
            <w:proofErr w:type="spellStart"/>
            <w:r w:rsidRPr="006C38CA">
              <w:t>label</w:t>
            </w:r>
            <w:proofErr w:type="spellEnd"/>
            <w:r>
              <w:t xml:space="preserve"> e dose errata</w:t>
            </w:r>
          </w:p>
          <w:p w:rsidR="00265B61" w:rsidRPr="006721A6" w:rsidRDefault="00265B61" w:rsidP="006721A6">
            <w:pPr>
              <w:pStyle w:val="Paragrafoelenco"/>
              <w:spacing w:after="0" w:line="240" w:lineRule="auto"/>
              <w:ind w:left="0"/>
              <w:jc w:val="both"/>
            </w:pP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6721A6" w:rsidRDefault="00265B61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6721A6"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7C9" w:rsidRPr="001C3378" w:rsidRDefault="00C177C9" w:rsidP="006721A6">
            <w:pPr>
              <w:pStyle w:val="Paragrafoelenco"/>
              <w:spacing w:after="0" w:line="240" w:lineRule="auto"/>
              <w:ind w:left="0"/>
              <w:jc w:val="both"/>
            </w:pPr>
            <w:r w:rsidRPr="001C3378">
              <w:t>Uso in gravidanza</w:t>
            </w:r>
            <w:r w:rsidR="003779AC">
              <w:t xml:space="preserve"> e  </w:t>
            </w:r>
            <w:r w:rsidRPr="001C3378">
              <w:t>durante allattamento</w:t>
            </w:r>
          </w:p>
          <w:p w:rsidR="00C177C9" w:rsidRDefault="003779AC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 xml:space="preserve">Uso </w:t>
            </w:r>
            <w:r w:rsidR="00C177C9">
              <w:t>in pazienti in concomitante trattamento con  farmaci per patologie cardiovascolari</w:t>
            </w:r>
          </w:p>
          <w:p w:rsidR="00C177C9" w:rsidRPr="001C3378" w:rsidRDefault="00C177C9" w:rsidP="006721A6">
            <w:pPr>
              <w:pStyle w:val="Paragrafoelenco"/>
              <w:spacing w:after="0" w:line="240" w:lineRule="auto"/>
              <w:ind w:left="0"/>
              <w:jc w:val="both"/>
            </w:pPr>
            <w:r>
              <w:t xml:space="preserve">Sicurezza in pazienti in concomitante trattamento con acido </w:t>
            </w:r>
            <w:proofErr w:type="spellStart"/>
            <w:r>
              <w:t>valp</w:t>
            </w:r>
            <w:r w:rsidR="00862AE4">
              <w:t>r</w:t>
            </w:r>
            <w:r>
              <w:t>oico</w:t>
            </w:r>
            <w:proofErr w:type="spellEnd"/>
          </w:p>
          <w:p w:rsidR="00265B61" w:rsidRPr="006721A6" w:rsidRDefault="00265B61" w:rsidP="006721A6">
            <w:pPr>
              <w:pStyle w:val="Paragrafoelenco"/>
              <w:spacing w:after="0" w:line="240" w:lineRule="auto"/>
              <w:ind w:left="0"/>
              <w:jc w:val="both"/>
            </w:pP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Azioni </w:t>
      </w:r>
      <w:proofErr w:type="spellStart"/>
      <w:r w:rsidRPr="00EF6711">
        <w:t>routinarie</w:t>
      </w:r>
      <w:proofErr w:type="spellEnd"/>
      <w:r w:rsidRPr="00EF6711">
        <w:t xml:space="preserve">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BE7CDB" w:rsidRDefault="00BE7CDB" w:rsidP="00BE7CDB">
      <w:pPr>
        <w:spacing w:after="0" w:line="240" w:lineRule="auto"/>
        <w:jc w:val="both"/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e le sue conclusioni confermano che </w:t>
      </w:r>
      <w:r w:rsidR="003779AC">
        <w:rPr>
          <w:rFonts w:eastAsia="Calibri" w:cs="Calibri"/>
          <w:color w:val="000000"/>
          <w:lang w:eastAsia="it-IT"/>
        </w:rPr>
        <w:t>QUETIAPINA</w:t>
      </w:r>
      <w:r w:rsidR="001247D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247D6"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>
        <w:t xml:space="preserve">e il medicinale di riferimento </w:t>
      </w:r>
      <w:proofErr w:type="spellStart"/>
      <w:r w:rsidR="00C40610">
        <w:t>Seroquel</w:t>
      </w:r>
      <w:proofErr w:type="spellEnd"/>
      <w:r w:rsidR="00C40610">
        <w:t xml:space="preserve"> sono </w:t>
      </w:r>
      <w:proofErr w:type="spellStart"/>
      <w:r w:rsidR="00C40610">
        <w:t>bioequivalenti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lastRenderedPageBreak/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22511"/>
    <w:rsid w:val="00023CEA"/>
    <w:rsid w:val="0004603E"/>
    <w:rsid w:val="00062636"/>
    <w:rsid w:val="000808A3"/>
    <w:rsid w:val="000A4BA1"/>
    <w:rsid w:val="000B3EFE"/>
    <w:rsid w:val="000B7AC8"/>
    <w:rsid w:val="000B7B13"/>
    <w:rsid w:val="000E1F86"/>
    <w:rsid w:val="000E4494"/>
    <w:rsid w:val="000F658F"/>
    <w:rsid w:val="00111E9E"/>
    <w:rsid w:val="001247D6"/>
    <w:rsid w:val="001460CA"/>
    <w:rsid w:val="001C15DF"/>
    <w:rsid w:val="002309E9"/>
    <w:rsid w:val="00240CF3"/>
    <w:rsid w:val="00265B61"/>
    <w:rsid w:val="00277A0E"/>
    <w:rsid w:val="00281EAE"/>
    <w:rsid w:val="002B0E6B"/>
    <w:rsid w:val="002F2543"/>
    <w:rsid w:val="002F4000"/>
    <w:rsid w:val="00300BEA"/>
    <w:rsid w:val="00304751"/>
    <w:rsid w:val="003061E0"/>
    <w:rsid w:val="003468E6"/>
    <w:rsid w:val="0035412C"/>
    <w:rsid w:val="00367CE0"/>
    <w:rsid w:val="003779AC"/>
    <w:rsid w:val="003A7F15"/>
    <w:rsid w:val="0042214D"/>
    <w:rsid w:val="00423A97"/>
    <w:rsid w:val="004241AC"/>
    <w:rsid w:val="00446B10"/>
    <w:rsid w:val="004609F8"/>
    <w:rsid w:val="004629F6"/>
    <w:rsid w:val="004B20A8"/>
    <w:rsid w:val="004C5090"/>
    <w:rsid w:val="004E096A"/>
    <w:rsid w:val="004E5A39"/>
    <w:rsid w:val="00500ACA"/>
    <w:rsid w:val="005049A1"/>
    <w:rsid w:val="00504FC1"/>
    <w:rsid w:val="00560AD8"/>
    <w:rsid w:val="0056372C"/>
    <w:rsid w:val="00567615"/>
    <w:rsid w:val="00580DAF"/>
    <w:rsid w:val="005950D6"/>
    <w:rsid w:val="005C1458"/>
    <w:rsid w:val="00621AE2"/>
    <w:rsid w:val="00642D6A"/>
    <w:rsid w:val="0064646C"/>
    <w:rsid w:val="00654D9E"/>
    <w:rsid w:val="00664931"/>
    <w:rsid w:val="006721A6"/>
    <w:rsid w:val="006727BD"/>
    <w:rsid w:val="00673389"/>
    <w:rsid w:val="006B311C"/>
    <w:rsid w:val="006B3E12"/>
    <w:rsid w:val="006D7B8C"/>
    <w:rsid w:val="00716DF5"/>
    <w:rsid w:val="007170D7"/>
    <w:rsid w:val="007221B6"/>
    <w:rsid w:val="007237FC"/>
    <w:rsid w:val="00766E26"/>
    <w:rsid w:val="00776B26"/>
    <w:rsid w:val="007836CF"/>
    <w:rsid w:val="00797416"/>
    <w:rsid w:val="007A25B2"/>
    <w:rsid w:val="007C1E6B"/>
    <w:rsid w:val="007E17B4"/>
    <w:rsid w:val="00823F4C"/>
    <w:rsid w:val="00831A35"/>
    <w:rsid w:val="008547B3"/>
    <w:rsid w:val="00862AE4"/>
    <w:rsid w:val="00862DC1"/>
    <w:rsid w:val="008745E7"/>
    <w:rsid w:val="008819D4"/>
    <w:rsid w:val="0088216F"/>
    <w:rsid w:val="00883263"/>
    <w:rsid w:val="008A6FEC"/>
    <w:rsid w:val="008B60D7"/>
    <w:rsid w:val="008C3D30"/>
    <w:rsid w:val="008D1529"/>
    <w:rsid w:val="00925C22"/>
    <w:rsid w:val="00943785"/>
    <w:rsid w:val="00957832"/>
    <w:rsid w:val="00996054"/>
    <w:rsid w:val="009A23DE"/>
    <w:rsid w:val="009A260F"/>
    <w:rsid w:val="009B03DB"/>
    <w:rsid w:val="009D3446"/>
    <w:rsid w:val="009E0140"/>
    <w:rsid w:val="009E2BC0"/>
    <w:rsid w:val="009F3867"/>
    <w:rsid w:val="00A01AB1"/>
    <w:rsid w:val="00A116BC"/>
    <w:rsid w:val="00A15D72"/>
    <w:rsid w:val="00A40FF3"/>
    <w:rsid w:val="00A62D55"/>
    <w:rsid w:val="00A908B9"/>
    <w:rsid w:val="00A966D1"/>
    <w:rsid w:val="00AB6948"/>
    <w:rsid w:val="00AE630D"/>
    <w:rsid w:val="00B023E9"/>
    <w:rsid w:val="00B1186F"/>
    <w:rsid w:val="00B30431"/>
    <w:rsid w:val="00BA0ACD"/>
    <w:rsid w:val="00BB2AF8"/>
    <w:rsid w:val="00BB7B54"/>
    <w:rsid w:val="00BC74C2"/>
    <w:rsid w:val="00BE7CDB"/>
    <w:rsid w:val="00BF55B9"/>
    <w:rsid w:val="00BF7A42"/>
    <w:rsid w:val="00C177C9"/>
    <w:rsid w:val="00C2565A"/>
    <w:rsid w:val="00C40610"/>
    <w:rsid w:val="00C42AAC"/>
    <w:rsid w:val="00C66597"/>
    <w:rsid w:val="00CA2EDC"/>
    <w:rsid w:val="00CC52A3"/>
    <w:rsid w:val="00CC7AFF"/>
    <w:rsid w:val="00CE12E6"/>
    <w:rsid w:val="00CE62A1"/>
    <w:rsid w:val="00D20170"/>
    <w:rsid w:val="00D212AA"/>
    <w:rsid w:val="00D352E2"/>
    <w:rsid w:val="00D60600"/>
    <w:rsid w:val="00D90C0E"/>
    <w:rsid w:val="00DB359A"/>
    <w:rsid w:val="00DE4C0B"/>
    <w:rsid w:val="00E10D6C"/>
    <w:rsid w:val="00E43089"/>
    <w:rsid w:val="00E75247"/>
    <w:rsid w:val="00E83F8D"/>
    <w:rsid w:val="00EC3589"/>
    <w:rsid w:val="00EC70BE"/>
    <w:rsid w:val="00EF062E"/>
    <w:rsid w:val="00EF6711"/>
    <w:rsid w:val="00F162BD"/>
    <w:rsid w:val="00F66767"/>
    <w:rsid w:val="00F85989"/>
    <w:rsid w:val="00F96473"/>
    <w:rsid w:val="00F97E22"/>
    <w:rsid w:val="00FA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odytextAgency">
    <w:name w:val="Body text (Agency)"/>
    <w:basedOn w:val="Normale"/>
    <w:link w:val="BodytextAgencyChar"/>
    <w:qFormat/>
    <w:rsid w:val="00560AD8"/>
    <w:pPr>
      <w:spacing w:after="140" w:line="280" w:lineRule="atLeast"/>
    </w:pPr>
    <w:rPr>
      <w:rFonts w:ascii="Verdana" w:eastAsia="Verdana" w:hAnsi="Verdana" w:cs="Times New Roman"/>
      <w:sz w:val="18"/>
      <w:szCs w:val="18"/>
    </w:rPr>
  </w:style>
  <w:style w:type="character" w:customStyle="1" w:styleId="BodytextAgencyChar">
    <w:name w:val="Body text (Agency) Char"/>
    <w:link w:val="BodytextAgency"/>
    <w:rsid w:val="00560AD8"/>
    <w:rPr>
      <w:rFonts w:ascii="Verdana" w:eastAsia="Verdana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gz.nl/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22B36-82C8-4968-A91D-E55386F7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2991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17</cp:revision>
  <dcterms:created xsi:type="dcterms:W3CDTF">2020-01-15T11:05:00Z</dcterms:created>
  <dcterms:modified xsi:type="dcterms:W3CDTF">2020-06-03T10:08:00Z</dcterms:modified>
</cp:coreProperties>
</file>