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</w:p>
    <w:p w:rsidR="004241AC" w:rsidRDefault="008172E2" w:rsidP="004241AC">
      <w:pPr>
        <w:spacing w:after="0" w:line="240" w:lineRule="auto"/>
        <w:jc w:val="center"/>
        <w:rPr>
          <w:b/>
        </w:rPr>
      </w:pPr>
      <w:r>
        <w:rPr>
          <w:noProof/>
          <w:lang w:eastAsia="it-IT"/>
        </w:rPr>
        <w:drawing>
          <wp:inline distT="0" distB="0" distL="0" distR="0">
            <wp:extent cx="3091682" cy="1119963"/>
            <wp:effectExtent l="19050" t="0" r="0" b="0"/>
            <wp:docPr id="7" name="Immagine 7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51" cy="112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2E2" w:rsidRDefault="008172E2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Pr="00A32BD3" w:rsidRDefault="0077674A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rFonts w:ascii="Calibri" w:eastAsia="Calibri" w:hAnsi="Calibri" w:cs="Times New Roman"/>
          <w:b/>
          <w:sz w:val="32"/>
        </w:rPr>
        <w:t>RIVAROXABAN VI.REL PHARMA</w:t>
      </w:r>
    </w:p>
    <w:p w:rsidR="004241AC" w:rsidRPr="00A32BD3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32BD3">
        <w:rPr>
          <w:snapToGrid w:val="0"/>
        </w:rPr>
        <w:t xml:space="preserve"> (</w:t>
      </w:r>
      <w:r w:rsidR="00E01B7D" w:rsidRPr="00A32BD3">
        <w:rPr>
          <w:snapToGrid w:val="0"/>
        </w:rPr>
        <w:t>Rivaroxaban</w:t>
      </w:r>
      <w:r w:rsidRPr="00A32BD3">
        <w:rPr>
          <w:snapToGrid w:val="0"/>
        </w:rPr>
        <w:t>)</w:t>
      </w:r>
    </w:p>
    <w:p w:rsidR="004241AC" w:rsidRPr="00A32BD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32BD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01B7D" w:rsidRPr="00E01B7D" w:rsidRDefault="00797416" w:rsidP="00E01B7D">
      <w:pPr>
        <w:spacing w:after="0" w:line="240" w:lineRule="auto"/>
        <w:jc w:val="center"/>
        <w:rPr>
          <w:b/>
        </w:rPr>
      </w:pPr>
      <w:r>
        <w:rPr>
          <w:b/>
        </w:rPr>
        <w:t xml:space="preserve">Ditta </w:t>
      </w:r>
    </w:p>
    <w:p w:rsidR="00E01B7D" w:rsidRPr="00E01B7D" w:rsidRDefault="00600869" w:rsidP="00E01B7D">
      <w:pPr>
        <w:spacing w:after="0" w:line="240" w:lineRule="auto"/>
        <w:jc w:val="center"/>
        <w:rPr>
          <w:b/>
          <w:lang w:val="es-ES"/>
        </w:rPr>
      </w:pPr>
      <w:r>
        <w:rPr>
          <w:b/>
          <w:lang w:val="es-ES"/>
        </w:rPr>
        <w:t>VI.REL PHARMA</w:t>
      </w:r>
      <w:r w:rsidR="00E01B7D" w:rsidRPr="00E01B7D">
        <w:rPr>
          <w:b/>
          <w:lang w:val="es-ES"/>
        </w:rPr>
        <w:t xml:space="preserve"> </w:t>
      </w:r>
      <w:r w:rsidR="00E01B7D">
        <w:rPr>
          <w:b/>
          <w:lang w:val="es-ES"/>
        </w:rPr>
        <w:t>S</w:t>
      </w:r>
      <w:r w:rsidR="00B45421">
        <w:rPr>
          <w:b/>
          <w:lang w:val="es-ES"/>
        </w:rPr>
        <w:t>.</w:t>
      </w:r>
      <w:r w:rsidR="00E01B7D" w:rsidRPr="00E01B7D">
        <w:rPr>
          <w:b/>
          <w:lang w:val="es-ES"/>
        </w:rPr>
        <w:t>r</w:t>
      </w:r>
      <w:r w:rsidR="00B45421">
        <w:rPr>
          <w:b/>
          <w:lang w:val="es-ES"/>
        </w:rPr>
        <w:t>.</w:t>
      </w:r>
      <w:r w:rsidR="00E01B7D" w:rsidRPr="00E01B7D">
        <w:rPr>
          <w:b/>
          <w:lang w:val="es-ES"/>
        </w:rPr>
        <w:t>l</w:t>
      </w:r>
      <w:r w:rsidR="00B45421">
        <w:rPr>
          <w:b/>
          <w:lang w:val="es-ES"/>
        </w:rPr>
        <w:t>.</w:t>
      </w:r>
    </w:p>
    <w:p w:rsidR="00797416" w:rsidRDefault="00797416" w:rsidP="004241AC">
      <w:pPr>
        <w:spacing w:after="0" w:line="240" w:lineRule="auto"/>
        <w:jc w:val="center"/>
        <w:rPr>
          <w:b/>
        </w:rPr>
      </w:pPr>
    </w:p>
    <w:p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B45421" w:rsidRPr="00B45421">
        <w:rPr>
          <w:rFonts w:cs="Helvetica"/>
          <w:b/>
        </w:rPr>
        <w:t>045234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77674A">
        <w:rPr>
          <w:rFonts w:eastAsia="Calibri" w:cs="Calibri"/>
          <w:color w:val="000000"/>
          <w:lang w:eastAsia="it-IT"/>
        </w:rPr>
        <w:t>RIVAROXABAN VI.REL PHARMA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77674A">
        <w:rPr>
          <w:rFonts w:eastAsia="Calibri" w:cs="Calibri"/>
          <w:color w:val="000000"/>
          <w:lang w:eastAsia="it-IT"/>
        </w:rPr>
        <w:t>RIVAROXABAN</w:t>
      </w:r>
      <w:r w:rsidR="001A5AC5">
        <w:rPr>
          <w:rFonts w:eastAsia="Calibri" w:cs="Calibri"/>
          <w:color w:val="000000"/>
          <w:lang w:eastAsia="it-IT"/>
        </w:rPr>
        <w:t xml:space="preserve">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77674A">
        <w:rPr>
          <w:rFonts w:eastAsia="Calibri" w:cs="Calibri"/>
          <w:b/>
          <w:color w:val="000000"/>
          <w:lang w:eastAsia="it-IT"/>
        </w:rPr>
        <w:t xml:space="preserve">RIVAROXABAN </w:t>
      </w:r>
      <w:r w:rsidR="00600869">
        <w:rPr>
          <w:rFonts w:eastAsia="Calibri" w:cs="Calibri"/>
          <w:b/>
          <w:color w:val="000000"/>
          <w:lang w:eastAsia="it-IT"/>
        </w:rPr>
        <w:t>VI.REL PHARMA</w:t>
      </w:r>
      <w:r w:rsidR="00B45421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6B311C" w:rsidRDefault="0077674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45421">
        <w:rPr>
          <w:rFonts w:eastAsia="Calibri" w:cs="Calibri"/>
          <w:color w:val="000000"/>
          <w:lang w:eastAsia="it-IT"/>
        </w:rPr>
        <w:t>rivaroxaban</w:t>
      </w:r>
      <w:proofErr w:type="spellEnd"/>
      <w:r w:rsidR="00B45421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 xml:space="preserve">è disponibile </w:t>
      </w:r>
      <w:r w:rsidR="001A5AC5">
        <w:rPr>
          <w:rFonts w:eastAsia="Calibri" w:cs="Calibri"/>
          <w:color w:val="000000"/>
          <w:lang w:eastAsia="it-IT"/>
        </w:rPr>
        <w:t xml:space="preserve">in </w:t>
      </w:r>
      <w:r w:rsidR="00422AF1">
        <w:rPr>
          <w:rFonts w:eastAsia="Calibri" w:cs="Calibri"/>
          <w:color w:val="000000"/>
          <w:lang w:eastAsia="it-IT"/>
        </w:rPr>
        <w:t xml:space="preserve">compresse rivestite con film </w:t>
      </w:r>
      <w:r w:rsidR="00BB2AF8">
        <w:rPr>
          <w:rFonts w:eastAsia="Calibri" w:cs="Calibri"/>
          <w:color w:val="000000"/>
          <w:lang w:eastAsia="it-IT"/>
        </w:rPr>
        <w:t>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 w:rsidR="00422AF1">
        <w:rPr>
          <w:rFonts w:eastAsia="Calibri" w:cs="Calibri"/>
          <w:color w:val="000000"/>
          <w:lang w:eastAsia="it-IT"/>
        </w:rPr>
        <w:t>2,5 mg, 10</w:t>
      </w:r>
      <w:r w:rsidR="00797416">
        <w:rPr>
          <w:rFonts w:eastAsia="Calibri" w:cs="Calibri"/>
          <w:color w:val="000000"/>
          <w:lang w:eastAsia="it-IT"/>
        </w:rPr>
        <w:t xml:space="preserve"> mg</w:t>
      </w:r>
      <w:r w:rsidR="00422AF1">
        <w:rPr>
          <w:rFonts w:eastAsia="Calibri" w:cs="Calibri"/>
          <w:color w:val="000000"/>
          <w:lang w:eastAsia="it-IT"/>
        </w:rPr>
        <w:t>, 15 mg</w:t>
      </w:r>
      <w:r w:rsidR="001A5AC5">
        <w:rPr>
          <w:rFonts w:eastAsia="Calibri" w:cs="Calibri"/>
          <w:color w:val="000000"/>
          <w:lang w:eastAsia="it-IT"/>
        </w:rPr>
        <w:t xml:space="preserve"> e</w:t>
      </w:r>
      <w:r w:rsidR="00422AF1">
        <w:rPr>
          <w:rFonts w:eastAsia="Calibri" w:cs="Calibri"/>
          <w:color w:val="000000"/>
          <w:lang w:eastAsia="it-IT"/>
        </w:rPr>
        <w:t xml:space="preserve"> 20 mg</w:t>
      </w:r>
      <w:r w:rsidR="00797416">
        <w:rPr>
          <w:rFonts w:eastAsia="Calibri" w:cs="Calibri"/>
          <w:color w:val="000000"/>
          <w:lang w:eastAsia="it-IT"/>
        </w:rPr>
        <w:t xml:space="preserve">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422AF1">
        <w:rPr>
          <w:rFonts w:eastAsia="Calibri" w:cs="Calibri"/>
          <w:color w:val="000000"/>
          <w:lang w:eastAsia="it-IT"/>
        </w:rPr>
        <w:t>.</w:t>
      </w:r>
    </w:p>
    <w:p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77674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797416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9519D8">
        <w:rPr>
          <w:rFonts w:eastAsia="Calibri" w:cs="Calibri"/>
          <w:color w:val="000000"/>
          <w:lang w:eastAsia="it-IT"/>
        </w:rPr>
        <w:t>Xarelto</w:t>
      </w:r>
      <w:proofErr w:type="spellEnd"/>
      <w:r w:rsidR="009519D8">
        <w:rPr>
          <w:rFonts w:eastAsia="Calibri" w:cs="Calibri"/>
          <w:color w:val="000000"/>
          <w:lang w:eastAsia="it-IT"/>
        </w:rPr>
        <w:t xml:space="preserve"> </w:t>
      </w:r>
      <w:r w:rsidR="00300BEA">
        <w:rPr>
          <w:rFonts w:eastAsia="Calibri" w:cs="Calibri"/>
          <w:color w:val="000000"/>
          <w:lang w:eastAsia="it-IT"/>
        </w:rPr>
        <w:t xml:space="preserve">già autorizzato in Italia con una procedura </w:t>
      </w:r>
      <w:r w:rsidR="00BB2AF8">
        <w:rPr>
          <w:rFonts w:eastAsia="Calibri" w:cs="Calibri"/>
          <w:color w:val="000000"/>
          <w:lang w:eastAsia="it-IT"/>
        </w:rPr>
        <w:t>centralizzata</w:t>
      </w:r>
      <w:r w:rsidR="00BB2AF8" w:rsidRPr="00E83F8D">
        <w:rPr>
          <w:rFonts w:eastAsia="Calibri" w:cs="Calibri"/>
          <w:color w:val="000000"/>
          <w:lang w:eastAsia="it-IT"/>
        </w:rPr>
        <w:t>.</w:t>
      </w:r>
      <w:r w:rsidR="00BB2AF8">
        <w:rPr>
          <w:rFonts w:eastAsia="Calibri" w:cs="Calibri"/>
          <w:color w:val="000000"/>
          <w:lang w:eastAsia="it-IT"/>
        </w:rPr>
        <w:t xml:space="preserve"> L’</w:t>
      </w:r>
      <w:proofErr w:type="spellStart"/>
      <w:r w:rsidR="00BB2AF8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BB2AF8">
        <w:rPr>
          <w:rFonts w:eastAsia="Calibri" w:cs="Calibri"/>
          <w:color w:val="000000"/>
          <w:lang w:eastAsia="it-IT"/>
        </w:rPr>
        <w:t xml:space="preserve"> </w:t>
      </w:r>
      <w:r w:rsidR="00BB2AF8"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BB2AF8"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BB2AF8"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="00BB2AF8" w:rsidRPr="009F1B70">
        <w:rPr>
          <w:rFonts w:eastAsia="Calibri" w:cs="Calibri"/>
          <w:color w:val="000000"/>
          <w:lang w:eastAsia="it-IT"/>
        </w:rPr>
        <w:t xml:space="preserve"> (</w:t>
      </w:r>
      <w:r w:rsidR="00BB2AF8">
        <w:rPr>
          <w:rFonts w:eastAsia="Calibri" w:cs="Calibri"/>
          <w:color w:val="000000"/>
          <w:lang w:eastAsia="it-IT"/>
        </w:rPr>
        <w:t>E</w:t>
      </w:r>
      <w:r w:rsidR="00BB2AF8" w:rsidRPr="009F1B70">
        <w:rPr>
          <w:rFonts w:eastAsia="Calibri" w:cs="Calibri"/>
          <w:color w:val="000000"/>
          <w:lang w:eastAsia="it-IT"/>
        </w:rPr>
        <w:t>PAR)</w:t>
      </w:r>
      <w:r w:rsidR="00BB2AF8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9519D8">
        <w:rPr>
          <w:rFonts w:eastAsia="Calibri" w:cs="Calibri"/>
          <w:color w:val="000000"/>
          <w:lang w:eastAsia="it-IT"/>
        </w:rPr>
        <w:t>Xarelto</w:t>
      </w:r>
      <w:proofErr w:type="spellEnd"/>
      <w:r w:rsidR="009519D8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>può essere consultato sul sito dell’Agenzia Europea dei medicinali (</w:t>
      </w:r>
      <w:proofErr w:type="spellStart"/>
      <w:r w:rsidR="00BB2AF8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BB2AF8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BB2AF8" w:rsidRPr="00DD581F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BB2AF8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BB2AF8" w:rsidRPr="00DD581F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BB2AF8">
        <w:rPr>
          <w:rFonts w:eastAsia="Calibri" w:cs="Calibri"/>
          <w:color w:val="000000"/>
          <w:lang w:eastAsia="it-IT"/>
        </w:rPr>
        <w:t xml:space="preserve"> – EMA) (</w:t>
      </w:r>
      <w:hyperlink r:id="rId7" w:history="1">
        <w:r w:rsidR="00BB2AF8" w:rsidRPr="00DD581F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="00BB2AF8">
        <w:rPr>
          <w:rFonts w:eastAsia="Calibri" w:cs="Calibri"/>
          <w:bCs/>
          <w:color w:val="000000"/>
          <w:lang w:eastAsia="it-IT"/>
        </w:rPr>
        <w:t>).</w:t>
      </w:r>
    </w:p>
    <w:p w:rsidR="00464C54" w:rsidRDefault="00464C54" w:rsidP="009519D8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highlight w:val="green"/>
        </w:rPr>
      </w:pPr>
    </w:p>
    <w:p w:rsidR="009519D8" w:rsidRPr="009519D8" w:rsidRDefault="0077674A" w:rsidP="009519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997176">
        <w:rPr>
          <w:rFonts w:eastAsia="Calibri" w:cs="Calibri"/>
          <w:bCs/>
          <w:color w:val="000000"/>
          <w:szCs w:val="24"/>
          <w:u w:val="single"/>
          <w:lang w:eastAsia="it-IT"/>
        </w:rPr>
        <w:t xml:space="preserve">RIVAROXABAN </w:t>
      </w:r>
      <w:r w:rsidR="00600869">
        <w:rPr>
          <w:rFonts w:eastAsia="Calibri" w:cs="Calibri"/>
          <w:bCs/>
          <w:color w:val="000000"/>
          <w:szCs w:val="24"/>
          <w:u w:val="single"/>
          <w:lang w:eastAsia="it-IT"/>
        </w:rPr>
        <w:t>VI.REL PHARMA</w:t>
      </w:r>
      <w:r w:rsidR="009519D8" w:rsidRPr="00997176">
        <w:rPr>
          <w:rFonts w:eastAsia="Calibri" w:cs="Calibri"/>
          <w:bCs/>
          <w:color w:val="000000"/>
          <w:szCs w:val="24"/>
          <w:u w:val="single"/>
          <w:lang w:eastAsia="it-IT"/>
        </w:rPr>
        <w:t xml:space="preserve"> 2,5 mg</w:t>
      </w:r>
      <w:r w:rsidR="007E47AC" w:rsidRPr="00997176">
        <w:rPr>
          <w:rFonts w:eastAsia="Calibri" w:cs="Calibri"/>
          <w:bCs/>
          <w:color w:val="000000"/>
          <w:szCs w:val="24"/>
          <w:u w:val="single"/>
          <w:lang w:eastAsia="it-IT"/>
        </w:rPr>
        <w:t xml:space="preserve"> compresse rivestite con film si usa</w:t>
      </w:r>
      <w:r w:rsidR="009519D8" w:rsidRPr="00997176">
        <w:rPr>
          <w:rFonts w:eastAsia="Calibri" w:cs="Calibri"/>
          <w:bCs/>
          <w:color w:val="000000"/>
          <w:szCs w:val="24"/>
          <w:u w:val="single"/>
          <w:lang w:eastAsia="it-IT"/>
        </w:rPr>
        <w:t xml:space="preserve"> perché</w:t>
      </w:r>
      <w:r w:rsidR="007E47AC" w:rsidRPr="00464C54">
        <w:rPr>
          <w:rFonts w:eastAsia="Calibri" w:cs="Calibri"/>
          <w:bCs/>
          <w:color w:val="000000"/>
          <w:szCs w:val="24"/>
          <w:lang w:eastAsia="it-IT"/>
        </w:rPr>
        <w:t>:</w:t>
      </w:r>
    </w:p>
    <w:p w:rsidR="001A5B18" w:rsidRPr="001A5B18" w:rsidRDefault="001A5B18" w:rsidP="001A5B1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1A5B18">
        <w:rPr>
          <w:rFonts w:eastAsia="Calibri" w:cs="Calibri"/>
          <w:bCs/>
          <w:color w:val="000000"/>
          <w:szCs w:val="24"/>
          <w:lang w:eastAsia="it-IT"/>
        </w:rPr>
        <w:t>le è stata diagnosticata una sindrome coronarica acuta (un insieme di condizioni che include attacco di cuore e angina instabile, una forma grave di dolore toracico) ed è stato riscontrato un aumento di alcuni marcatori cardiaci negli esami del sangue.</w:t>
      </w:r>
    </w:p>
    <w:p w:rsidR="001A5B18" w:rsidRPr="001A5B18" w:rsidRDefault="001A5B18" w:rsidP="001A5B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1A5B18">
        <w:rPr>
          <w:rFonts w:eastAsia="Calibri" w:cs="Calibri"/>
          <w:bCs/>
          <w:color w:val="000000"/>
          <w:szCs w:val="24"/>
          <w:lang w:eastAsia="it-IT"/>
        </w:rPr>
        <w:t xml:space="preserve">Negli adulti, </w:t>
      </w:r>
      <w:r w:rsidR="0077674A">
        <w:rPr>
          <w:rFonts w:eastAsia="Calibri" w:cs="Calibri"/>
          <w:bCs/>
          <w:color w:val="000000"/>
          <w:szCs w:val="24"/>
          <w:lang w:eastAsia="it-IT"/>
        </w:rPr>
        <w:t xml:space="preserve">RIVAROXABAN </w:t>
      </w:r>
      <w:r w:rsidR="00600869">
        <w:rPr>
          <w:rFonts w:eastAsia="Calibri" w:cs="Calibri"/>
          <w:bCs/>
          <w:color w:val="000000"/>
          <w:szCs w:val="24"/>
          <w:lang w:eastAsia="it-IT"/>
        </w:rPr>
        <w:t>VI.REL PHARMA</w:t>
      </w:r>
      <w:r w:rsidRPr="001A5B18">
        <w:rPr>
          <w:rFonts w:eastAsia="Calibri" w:cs="Calibri"/>
          <w:bCs/>
          <w:color w:val="000000"/>
          <w:szCs w:val="24"/>
          <w:lang w:eastAsia="it-IT"/>
        </w:rPr>
        <w:t xml:space="preserve"> riduce il rischio di un altro attacco di cuore o il rischio di morire a causa di una malattia correlata al cuore o ai vasi sanguigni.</w:t>
      </w:r>
    </w:p>
    <w:p w:rsidR="001A5B18" w:rsidRPr="001A5B18" w:rsidRDefault="0077674A" w:rsidP="001A5B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bCs/>
          <w:color w:val="000000"/>
          <w:szCs w:val="24"/>
          <w:lang w:eastAsia="it-IT"/>
        </w:rPr>
        <w:t xml:space="preserve">RIVAROXABAN </w:t>
      </w:r>
      <w:r w:rsidR="00600869">
        <w:rPr>
          <w:rFonts w:eastAsia="Calibri" w:cs="Calibri"/>
          <w:bCs/>
          <w:color w:val="000000"/>
          <w:szCs w:val="24"/>
          <w:lang w:eastAsia="it-IT"/>
        </w:rPr>
        <w:t>VI.REL PHARMA</w:t>
      </w:r>
      <w:r w:rsidR="001A5B18" w:rsidRPr="001A5B18">
        <w:rPr>
          <w:rFonts w:eastAsia="Calibri" w:cs="Calibri"/>
          <w:bCs/>
          <w:color w:val="000000"/>
          <w:szCs w:val="24"/>
          <w:lang w:eastAsia="it-IT"/>
        </w:rPr>
        <w:t xml:space="preserve"> non le verrà somministrato da solo. Il medico le prescriverà anche:</w:t>
      </w:r>
    </w:p>
    <w:p w:rsidR="001A5B18" w:rsidRPr="001A5B18" w:rsidRDefault="001A5B18" w:rsidP="001A5B18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1A5B18">
        <w:rPr>
          <w:rFonts w:eastAsia="Calibri" w:cs="Calibri"/>
          <w:bCs/>
          <w:color w:val="000000"/>
          <w:szCs w:val="24"/>
          <w:lang w:eastAsia="it-IT"/>
        </w:rPr>
        <w:t>acido acetilsalicilico (anche noto come aspirina) oppure</w:t>
      </w:r>
    </w:p>
    <w:p w:rsidR="001A5B18" w:rsidRPr="001A5B18" w:rsidRDefault="001A5B18" w:rsidP="001A5B18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1A5B18">
        <w:rPr>
          <w:rFonts w:eastAsia="Calibri" w:cs="Calibri"/>
          <w:bCs/>
          <w:color w:val="000000"/>
          <w:szCs w:val="24"/>
          <w:lang w:eastAsia="it-IT"/>
        </w:rPr>
        <w:t xml:space="preserve">acido acetilsalicilico più </w:t>
      </w:r>
      <w:proofErr w:type="spellStart"/>
      <w:r w:rsidRPr="001A5B18">
        <w:rPr>
          <w:rFonts w:eastAsia="Calibri" w:cs="Calibri"/>
          <w:bCs/>
          <w:color w:val="000000"/>
          <w:szCs w:val="24"/>
          <w:lang w:eastAsia="it-IT"/>
        </w:rPr>
        <w:t>clopidogrel</w:t>
      </w:r>
      <w:proofErr w:type="spellEnd"/>
      <w:r w:rsidRPr="001A5B18">
        <w:rPr>
          <w:rFonts w:eastAsia="Calibri" w:cs="Calibri"/>
          <w:bCs/>
          <w:color w:val="000000"/>
          <w:szCs w:val="24"/>
          <w:lang w:eastAsia="it-IT"/>
        </w:rPr>
        <w:t xml:space="preserve"> o </w:t>
      </w:r>
      <w:proofErr w:type="spellStart"/>
      <w:r w:rsidRPr="001A5B18">
        <w:rPr>
          <w:rFonts w:eastAsia="Calibri" w:cs="Calibri"/>
          <w:bCs/>
          <w:color w:val="000000"/>
          <w:szCs w:val="24"/>
          <w:lang w:eastAsia="it-IT"/>
        </w:rPr>
        <w:t>ticlopidina</w:t>
      </w:r>
      <w:proofErr w:type="spellEnd"/>
      <w:r w:rsidRPr="001A5B18">
        <w:rPr>
          <w:rFonts w:eastAsia="Calibri" w:cs="Calibri"/>
          <w:bCs/>
          <w:color w:val="000000"/>
          <w:szCs w:val="24"/>
          <w:lang w:eastAsia="it-IT"/>
        </w:rPr>
        <w:t>.</w:t>
      </w:r>
    </w:p>
    <w:p w:rsidR="001A5B18" w:rsidRPr="001A5B18" w:rsidRDefault="001A5B18" w:rsidP="001A5B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</w:p>
    <w:p w:rsidR="001A5B18" w:rsidRPr="001A5B18" w:rsidRDefault="001A5B18" w:rsidP="001A5B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1A5B18">
        <w:rPr>
          <w:rFonts w:eastAsia="Calibri" w:cs="Calibri"/>
          <w:bCs/>
          <w:color w:val="000000"/>
          <w:szCs w:val="24"/>
          <w:lang w:eastAsia="it-IT"/>
        </w:rPr>
        <w:t>oppure</w:t>
      </w:r>
    </w:p>
    <w:p w:rsidR="001A5B18" w:rsidRPr="001A5B18" w:rsidRDefault="001A5B18" w:rsidP="001A5B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</w:p>
    <w:p w:rsidR="001A5B18" w:rsidRPr="001A5B18" w:rsidRDefault="001A5B18" w:rsidP="001A5B1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1A5B18">
        <w:rPr>
          <w:rFonts w:eastAsia="Calibri" w:cs="Calibri"/>
          <w:bCs/>
          <w:color w:val="000000"/>
          <w:szCs w:val="24"/>
          <w:lang w:eastAsia="it-IT"/>
        </w:rPr>
        <w:t>le è stato diagnosticato un rischio elevato di formazione di coaguli di sangue a causa di una</w:t>
      </w:r>
    </w:p>
    <w:p w:rsidR="001A5B18" w:rsidRPr="001A5B18" w:rsidRDefault="001A5B18" w:rsidP="001A5B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1A5B18">
        <w:rPr>
          <w:rFonts w:eastAsia="Calibri" w:cs="Calibri"/>
          <w:bCs/>
          <w:color w:val="000000"/>
          <w:szCs w:val="24"/>
          <w:lang w:eastAsia="it-IT"/>
        </w:rPr>
        <w:t>malattia delle arterie coronariche o di una malattia delle arterie periferiche che causa dei</w:t>
      </w:r>
    </w:p>
    <w:p w:rsidR="001A5B18" w:rsidRPr="001A5B18" w:rsidRDefault="001A5B18" w:rsidP="001A5B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1A5B18">
        <w:rPr>
          <w:rFonts w:eastAsia="Calibri" w:cs="Calibri"/>
          <w:bCs/>
          <w:color w:val="000000"/>
          <w:szCs w:val="24"/>
          <w:lang w:eastAsia="it-IT"/>
        </w:rPr>
        <w:t>sintomi.</w:t>
      </w:r>
    </w:p>
    <w:p w:rsidR="001A5B18" w:rsidRPr="001A5B18" w:rsidRDefault="0077674A" w:rsidP="001A5B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bCs/>
          <w:color w:val="000000"/>
          <w:szCs w:val="24"/>
          <w:lang w:eastAsia="it-IT"/>
        </w:rPr>
        <w:t xml:space="preserve">RIVAROXABAN </w:t>
      </w:r>
      <w:r w:rsidR="00600869">
        <w:rPr>
          <w:rFonts w:eastAsia="Calibri" w:cs="Calibri"/>
          <w:bCs/>
          <w:color w:val="000000"/>
          <w:szCs w:val="24"/>
          <w:lang w:eastAsia="it-IT"/>
        </w:rPr>
        <w:t>VI.REL PHARMA</w:t>
      </w:r>
      <w:r w:rsidR="001A5B18" w:rsidRPr="001A5B18">
        <w:rPr>
          <w:rFonts w:eastAsia="Calibri" w:cs="Calibri"/>
          <w:bCs/>
          <w:color w:val="000000"/>
          <w:szCs w:val="24"/>
          <w:lang w:eastAsia="it-IT"/>
        </w:rPr>
        <w:t xml:space="preserve"> riduce negli adulti il rischio che si formino coaguli (eventi aterotrombotici).</w:t>
      </w:r>
    </w:p>
    <w:p w:rsidR="001A5B18" w:rsidRPr="001A5B18" w:rsidRDefault="0077674A" w:rsidP="001A5B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bCs/>
          <w:color w:val="000000"/>
          <w:szCs w:val="24"/>
          <w:lang w:eastAsia="it-IT"/>
        </w:rPr>
        <w:t xml:space="preserve">RIVAROXABAN </w:t>
      </w:r>
      <w:r w:rsidR="00600869">
        <w:rPr>
          <w:rFonts w:eastAsia="Calibri" w:cs="Calibri"/>
          <w:bCs/>
          <w:color w:val="000000"/>
          <w:szCs w:val="24"/>
          <w:lang w:eastAsia="it-IT"/>
        </w:rPr>
        <w:t>VI.REL PHARMA</w:t>
      </w:r>
      <w:r w:rsidR="001A5B18" w:rsidRPr="001A5B18">
        <w:rPr>
          <w:rFonts w:eastAsia="Calibri" w:cs="Calibri"/>
          <w:bCs/>
          <w:color w:val="000000"/>
          <w:szCs w:val="24"/>
          <w:lang w:eastAsia="it-IT"/>
        </w:rPr>
        <w:t xml:space="preserve"> non le verrà somministrato da solo. Il medico le prescriverà anche acido acetilsalicilico.</w:t>
      </w:r>
    </w:p>
    <w:p w:rsidR="001A5B18" w:rsidRPr="001A5B18" w:rsidRDefault="001A5B18" w:rsidP="001A5B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</w:p>
    <w:p w:rsidR="00B963DB" w:rsidRPr="00B963DB" w:rsidRDefault="0077674A" w:rsidP="00B963DB">
      <w:pPr>
        <w:adjustRightInd w:val="0"/>
        <w:spacing w:after="0"/>
        <w:rPr>
          <w:rFonts w:eastAsia="Calibri" w:cs="Calibri"/>
          <w:bCs/>
          <w:color w:val="000000"/>
          <w:szCs w:val="24"/>
          <w:lang w:eastAsia="it-IT"/>
        </w:rPr>
      </w:pPr>
      <w:r w:rsidRPr="007B0892">
        <w:rPr>
          <w:rFonts w:eastAsia="Calibri" w:cs="Calibri"/>
          <w:bCs/>
          <w:color w:val="000000"/>
          <w:szCs w:val="24"/>
          <w:u w:val="single"/>
          <w:lang w:eastAsia="it-IT"/>
        </w:rPr>
        <w:t xml:space="preserve">RIVAROXABAN </w:t>
      </w:r>
      <w:r w:rsidR="00600869">
        <w:rPr>
          <w:rFonts w:eastAsia="Calibri" w:cs="Calibri"/>
          <w:bCs/>
          <w:color w:val="000000"/>
          <w:szCs w:val="24"/>
          <w:u w:val="single"/>
          <w:lang w:eastAsia="it-IT"/>
        </w:rPr>
        <w:t>VI.REL PHARMA</w:t>
      </w:r>
      <w:r w:rsidR="007E47AC" w:rsidRPr="007B0892">
        <w:rPr>
          <w:rFonts w:eastAsia="Calibri" w:cs="Calibri"/>
          <w:bCs/>
          <w:color w:val="000000"/>
          <w:szCs w:val="24"/>
          <w:u w:val="single"/>
          <w:lang w:eastAsia="it-IT"/>
        </w:rPr>
        <w:t xml:space="preserve"> 10 mg compresse rivestite con film </w:t>
      </w:r>
      <w:r w:rsidR="00B963DB" w:rsidRPr="007B0892">
        <w:rPr>
          <w:rFonts w:eastAsia="Calibri" w:cs="Calibri"/>
          <w:bCs/>
          <w:color w:val="000000"/>
          <w:szCs w:val="24"/>
          <w:u w:val="single"/>
          <w:lang w:eastAsia="it-IT"/>
        </w:rPr>
        <w:t>è usato negli adulti per</w:t>
      </w:r>
      <w:r w:rsidR="00B963DB" w:rsidRPr="00B963DB">
        <w:rPr>
          <w:rFonts w:eastAsia="Calibri" w:cs="Calibri"/>
          <w:bCs/>
          <w:color w:val="000000"/>
          <w:szCs w:val="24"/>
          <w:lang w:eastAsia="it-IT"/>
        </w:rPr>
        <w:t>:</w:t>
      </w:r>
    </w:p>
    <w:p w:rsidR="00B963DB" w:rsidRPr="00B963DB" w:rsidRDefault="00B963DB" w:rsidP="00B963D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B963DB">
        <w:rPr>
          <w:rFonts w:eastAsia="Calibri" w:cs="Calibri"/>
          <w:bCs/>
          <w:color w:val="000000"/>
          <w:szCs w:val="24"/>
          <w:lang w:eastAsia="it-IT"/>
        </w:rPr>
        <w:t>prevenire la formazione di coaguli nelle vene dopo un intervento di sostituzione di anca o di ginocchio. Il medico le ha prescritto questo medicinale perché, dopo un intervento chirurgico, aumenta il rischio che nel sangue si formino coaguli.</w:t>
      </w:r>
    </w:p>
    <w:p w:rsidR="00B963DB" w:rsidRPr="00B963DB" w:rsidRDefault="00B963DB" w:rsidP="00B963D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B963DB">
        <w:rPr>
          <w:rFonts w:eastAsia="Calibri" w:cs="Calibri"/>
          <w:bCs/>
          <w:color w:val="000000"/>
          <w:szCs w:val="24"/>
          <w:lang w:eastAsia="it-IT"/>
        </w:rPr>
        <w:t>trattare i coaguli di sangue nelle vene delle gambe (trombosi venosa profonda) e nei vasi sanguigni dei polmoni (embolia polmonare), e prevenire la ricomparsa di coaguli di sangue nei vasi sanguigni delle gambe e/o dei polmoni.</w:t>
      </w:r>
    </w:p>
    <w:p w:rsidR="007E47AC" w:rsidRPr="007E47AC" w:rsidRDefault="007E47AC" w:rsidP="00B963D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B963DB" w:rsidRPr="00B963DB" w:rsidRDefault="0077674A" w:rsidP="00B963DB">
      <w:pPr>
        <w:adjustRightInd w:val="0"/>
        <w:spacing w:after="0"/>
        <w:rPr>
          <w:rFonts w:eastAsia="Calibri" w:cs="Calibri"/>
          <w:bCs/>
          <w:color w:val="000000"/>
          <w:szCs w:val="24"/>
          <w:lang w:eastAsia="it-IT"/>
        </w:rPr>
      </w:pPr>
      <w:r w:rsidRPr="007B0892">
        <w:rPr>
          <w:rFonts w:eastAsia="Calibri" w:cs="Calibri"/>
          <w:bCs/>
          <w:color w:val="000000"/>
          <w:szCs w:val="24"/>
          <w:u w:val="single"/>
          <w:lang w:eastAsia="it-IT"/>
        </w:rPr>
        <w:t xml:space="preserve">RIVAROXABAN </w:t>
      </w:r>
      <w:r w:rsidR="00600869">
        <w:rPr>
          <w:rFonts w:eastAsia="Calibri" w:cs="Calibri"/>
          <w:bCs/>
          <w:color w:val="000000"/>
          <w:szCs w:val="24"/>
          <w:u w:val="single"/>
          <w:lang w:eastAsia="it-IT"/>
        </w:rPr>
        <w:t>VI.REL PHARMA</w:t>
      </w:r>
      <w:r w:rsidR="001A5B18" w:rsidRPr="007B0892">
        <w:rPr>
          <w:rFonts w:eastAsia="Calibri" w:cs="Calibri"/>
          <w:bCs/>
          <w:color w:val="000000"/>
          <w:szCs w:val="24"/>
          <w:u w:val="single"/>
          <w:lang w:eastAsia="it-IT"/>
        </w:rPr>
        <w:t xml:space="preserve"> 15 mg e 20 mg compresse rivestite con film si usano </w:t>
      </w:r>
      <w:r w:rsidR="00B963DB" w:rsidRPr="007B0892">
        <w:rPr>
          <w:rFonts w:eastAsia="Calibri" w:cs="Calibri"/>
          <w:bCs/>
          <w:color w:val="000000"/>
          <w:szCs w:val="24"/>
          <w:u w:val="single"/>
          <w:lang w:eastAsia="it-IT"/>
        </w:rPr>
        <w:t>negli adulti per</w:t>
      </w:r>
      <w:r w:rsidR="00B963DB" w:rsidRPr="00B963DB">
        <w:rPr>
          <w:rFonts w:eastAsia="Calibri" w:cs="Calibri"/>
          <w:bCs/>
          <w:color w:val="000000"/>
          <w:szCs w:val="24"/>
          <w:lang w:eastAsia="it-IT"/>
        </w:rPr>
        <w:t>:</w:t>
      </w:r>
    </w:p>
    <w:p w:rsidR="00B963DB" w:rsidRPr="00B963DB" w:rsidRDefault="00B963DB" w:rsidP="00B963D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B963DB">
        <w:rPr>
          <w:rFonts w:eastAsia="Calibri" w:cs="Calibri"/>
          <w:bCs/>
          <w:color w:val="000000"/>
          <w:szCs w:val="24"/>
          <w:lang w:eastAsia="it-IT"/>
        </w:rPr>
        <w:t xml:space="preserve">prevenire la formazione di coaguli nel cervello (ictus) e in altri vasi sanguigni dell’organismo se ha </w:t>
      </w:r>
      <w:r w:rsidRPr="00B963DB">
        <w:rPr>
          <w:rFonts w:eastAsia="Calibri" w:cs="Calibri"/>
          <w:bCs/>
          <w:color w:val="000000"/>
          <w:szCs w:val="24"/>
          <w:lang w:eastAsia="it-IT"/>
        </w:rPr>
        <w:tab/>
        <w:t>un tipo di ritmo cardiaco irregolare denominato fibrillazione atriale non valvolare.</w:t>
      </w:r>
    </w:p>
    <w:p w:rsidR="00B963DB" w:rsidRPr="00B963DB" w:rsidRDefault="00B963DB" w:rsidP="00B963D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B963DB">
        <w:rPr>
          <w:rFonts w:eastAsia="Calibri" w:cs="Calibri"/>
          <w:bCs/>
          <w:color w:val="000000"/>
          <w:szCs w:val="24"/>
          <w:lang w:eastAsia="it-IT"/>
        </w:rPr>
        <w:t xml:space="preserve">trattare i coaguli di sangue nelle vene delle gambe (trombosi venosa profonda) e nei vasi sanguigni </w:t>
      </w:r>
      <w:r w:rsidRPr="00B963DB">
        <w:rPr>
          <w:rFonts w:eastAsia="Calibri" w:cs="Calibri"/>
          <w:bCs/>
          <w:color w:val="000000"/>
          <w:szCs w:val="24"/>
          <w:lang w:eastAsia="it-IT"/>
        </w:rPr>
        <w:tab/>
        <w:t xml:space="preserve">dei polmoni (embolia polmonare), e prevenire la ricomparsa di coaguli di sangue nei vasi sanguigni </w:t>
      </w:r>
      <w:r w:rsidRPr="00B963DB">
        <w:rPr>
          <w:rFonts w:eastAsia="Calibri" w:cs="Calibri"/>
          <w:bCs/>
          <w:color w:val="000000"/>
          <w:szCs w:val="24"/>
          <w:lang w:eastAsia="it-IT"/>
        </w:rPr>
        <w:tab/>
        <w:t>delle gambe e/o dei polmoni.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77674A">
        <w:rPr>
          <w:rFonts w:eastAsia="Calibri" w:cs="Calibri"/>
          <w:b/>
          <w:color w:val="000000"/>
          <w:lang w:eastAsia="it-IT"/>
        </w:rPr>
        <w:t xml:space="preserve">RIVAROXABAN </w:t>
      </w:r>
      <w:r w:rsidR="00600869">
        <w:rPr>
          <w:rFonts w:eastAsia="Calibri" w:cs="Calibri"/>
          <w:b/>
          <w:color w:val="000000"/>
          <w:lang w:eastAsia="it-IT"/>
        </w:rPr>
        <w:t>VI.REL PHARMA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Default="0077674A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RIVAROXABAN </w:t>
      </w:r>
      <w:r w:rsidR="00600869">
        <w:rPr>
          <w:rFonts w:asciiTheme="minorHAnsi" w:eastAsia="Calibri" w:hAnsiTheme="minorHAnsi" w:cs="Calibri"/>
          <w:color w:val="000000"/>
          <w:sz w:val="22"/>
          <w:szCs w:val="22"/>
        </w:rPr>
        <w:t>VI.REL PHARMA</w:t>
      </w:r>
      <w:r w:rsid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 2,5 mg compresse rivestite con film</w:t>
      </w:r>
      <w:r w:rsidR="00B45421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di centri ospedalieri o di specialisti</w:t>
      </w:r>
      <w:r w:rsid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963DB" w:rsidRPr="00B963DB">
        <w:rPr>
          <w:rFonts w:asciiTheme="minorHAnsi" w:eastAsia="Calibri" w:hAnsiTheme="minorHAnsi" w:cs="Calibri"/>
          <w:color w:val="000000"/>
          <w:sz w:val="22"/>
          <w:szCs w:val="22"/>
        </w:rPr>
        <w:t>- cardiologo, angiologo, chirurgo vascolare e cardiochirurgo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con</w:t>
      </w:r>
      <w:r w:rsid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 ricetta limitativa ripetibile.</w:t>
      </w:r>
    </w:p>
    <w:p w:rsidR="00B963DB" w:rsidRDefault="00B963DB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B963DB" w:rsidRDefault="0077674A" w:rsidP="00B963D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RIVAROXABAN </w:t>
      </w:r>
      <w:r w:rsidR="00600869">
        <w:rPr>
          <w:rFonts w:asciiTheme="minorHAnsi" w:eastAsia="Calibri" w:hAnsiTheme="minorHAnsi" w:cs="Calibri"/>
          <w:color w:val="000000"/>
          <w:sz w:val="22"/>
          <w:szCs w:val="22"/>
        </w:rPr>
        <w:t>VI.REL PHARMA</w:t>
      </w:r>
      <w:r w:rsid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 10 mg compresse rivestite con film </w:t>
      </w:r>
      <w:r w:rsidR="00B963DB" w:rsidRPr="001C15DF">
        <w:rPr>
          <w:rFonts w:asciiTheme="minorHAnsi" w:eastAsia="Calibri" w:hAnsiTheme="minorHAnsi" w:cs="Calibri"/>
          <w:color w:val="000000"/>
          <w:sz w:val="22"/>
          <w:szCs w:val="22"/>
        </w:rPr>
        <w:t>può essere ottenuto solo su prescrizione da parte di centri ospedalieri o di specialisti</w:t>
      </w:r>
      <w:r w:rsid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963DB" w:rsidRPr="00B963DB">
        <w:rPr>
          <w:rFonts w:asciiTheme="minorHAnsi" w:eastAsia="Calibri" w:hAnsiTheme="minorHAnsi" w:cs="Calibri"/>
          <w:color w:val="000000"/>
          <w:sz w:val="22"/>
          <w:szCs w:val="22"/>
        </w:rPr>
        <w:t>- ortopedico, fisiatra, cardiologo, internista, geriatra, chirurgo vascolare, cardiochirurgo, pneumologo, ematologo che lavora in centri di trombosi ed emostasi</w:t>
      </w:r>
      <w:r w:rsid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963DB" w:rsidRPr="001C15DF">
        <w:rPr>
          <w:rFonts w:asciiTheme="minorHAnsi" w:eastAsia="Calibri" w:hAnsiTheme="minorHAnsi" w:cs="Calibri"/>
          <w:color w:val="000000"/>
          <w:sz w:val="22"/>
          <w:szCs w:val="22"/>
        </w:rPr>
        <w:t>con</w:t>
      </w:r>
      <w:r w:rsid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 ricetta limitativa ripetibile</w:t>
      </w:r>
      <w:r w:rsidR="00B963DB" w:rsidRPr="00B963DB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:rsidR="00B963DB" w:rsidRPr="00B963DB" w:rsidRDefault="00B963DB" w:rsidP="00B963D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B963DB" w:rsidRDefault="0077674A" w:rsidP="00B963D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RIVAROXABAN </w:t>
      </w:r>
      <w:r w:rsidR="00600869">
        <w:rPr>
          <w:rFonts w:asciiTheme="minorHAnsi" w:eastAsia="Calibri" w:hAnsiTheme="minorHAnsi" w:cs="Calibri"/>
          <w:color w:val="000000"/>
          <w:sz w:val="22"/>
          <w:szCs w:val="22"/>
        </w:rPr>
        <w:t>VI.REL PHARMA</w:t>
      </w:r>
      <w:r w:rsid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 15 mg compresse rivestite con film </w:t>
      </w:r>
      <w:r w:rsidR="00340667">
        <w:rPr>
          <w:rFonts w:asciiTheme="minorHAnsi" w:eastAsia="Calibri" w:hAnsiTheme="minorHAnsi" w:cs="Calibri"/>
          <w:color w:val="000000"/>
          <w:sz w:val="22"/>
          <w:szCs w:val="22"/>
        </w:rPr>
        <w:t>può essere ottenuto</w:t>
      </w:r>
      <w:r w:rsidR="00B963DB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solo su prescrizione da parte di centri ospedalieri o di specialisti</w:t>
      </w:r>
      <w:r w:rsid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963DB" w:rsidRP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- neurologo, cardiologo, internista, geriatra, chirurgo vascolare, cardiochirurgo, pneumologo, ematologo che lavora in centri di trombosi ed emostasi </w:t>
      </w:r>
      <w:r w:rsidR="00B963DB" w:rsidRPr="001C15DF">
        <w:rPr>
          <w:rFonts w:asciiTheme="minorHAnsi" w:eastAsia="Calibri" w:hAnsiTheme="minorHAnsi" w:cs="Calibri"/>
          <w:color w:val="000000"/>
          <w:sz w:val="22"/>
          <w:szCs w:val="22"/>
        </w:rPr>
        <w:t>con</w:t>
      </w:r>
      <w:r w:rsid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 ricetta limitativa ripetibile</w:t>
      </w:r>
      <w:r w:rsidR="00B963DB" w:rsidRPr="00B963DB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:rsidR="00340667" w:rsidRPr="00B963DB" w:rsidRDefault="00340667" w:rsidP="00B963D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340667" w:rsidRPr="00B963DB" w:rsidRDefault="0077674A" w:rsidP="00340667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RIVAROXABAN </w:t>
      </w:r>
      <w:r w:rsidR="00600869">
        <w:rPr>
          <w:rFonts w:asciiTheme="minorHAnsi" w:eastAsia="Calibri" w:hAnsiTheme="minorHAnsi" w:cs="Calibri"/>
          <w:color w:val="000000"/>
          <w:sz w:val="22"/>
          <w:szCs w:val="22"/>
        </w:rPr>
        <w:t>VI.REL PHARMA</w:t>
      </w:r>
      <w:r w:rsidR="00340667">
        <w:rPr>
          <w:rFonts w:asciiTheme="minorHAnsi" w:eastAsia="Calibri" w:hAnsiTheme="minorHAnsi" w:cs="Calibri"/>
          <w:color w:val="000000"/>
          <w:sz w:val="22"/>
          <w:szCs w:val="22"/>
        </w:rPr>
        <w:t xml:space="preserve"> 20 mg compresse rivestite con film può essere ottenuto</w:t>
      </w:r>
      <w:r w:rsidR="00340667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solo su prescrizione da parte di centri ospedalieri o di specialisti</w:t>
      </w:r>
      <w:r w:rsidR="00340667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340667" w:rsidRP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- neurologo, cardiologo, internista, geriatra, chirurgo vascolare, cardiochirurgo, pneumologo, ematologo che lavora in centri di trombosi ed emostasi </w:t>
      </w:r>
      <w:r w:rsidR="00340667" w:rsidRPr="001C15DF">
        <w:rPr>
          <w:rFonts w:asciiTheme="minorHAnsi" w:eastAsia="Calibri" w:hAnsiTheme="minorHAnsi" w:cs="Calibri"/>
          <w:color w:val="000000"/>
          <w:sz w:val="22"/>
          <w:szCs w:val="22"/>
        </w:rPr>
        <w:t>con</w:t>
      </w:r>
      <w:r w:rsidR="00340667">
        <w:rPr>
          <w:rFonts w:asciiTheme="minorHAnsi" w:eastAsia="Calibri" w:hAnsiTheme="minorHAnsi" w:cs="Calibri"/>
          <w:color w:val="000000"/>
          <w:sz w:val="22"/>
          <w:szCs w:val="22"/>
        </w:rPr>
        <w:t xml:space="preserve"> ricetta limitativa ripetibile</w:t>
      </w:r>
      <w:r w:rsidR="00340667" w:rsidRPr="00B963DB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F21388" w:rsidRPr="005A17C2" w:rsidRDefault="00F21388" w:rsidP="00F21388">
      <w:pPr>
        <w:tabs>
          <w:tab w:val="left" w:pos="0"/>
        </w:tabs>
        <w:spacing w:after="0" w:line="240" w:lineRule="auto"/>
        <w:jc w:val="both"/>
      </w:pPr>
      <w:r w:rsidRPr="005A17C2">
        <w:t xml:space="preserve">La quantità di medicinale da utilizzare è stabilita dal medico in relazione al tipo di indicazione e allo stato del paziente. </w:t>
      </w:r>
    </w:p>
    <w:p w:rsidR="005B4DDC" w:rsidRPr="005A17C2" w:rsidRDefault="00F21388" w:rsidP="00F21388">
      <w:pPr>
        <w:tabs>
          <w:tab w:val="left" w:pos="0"/>
        </w:tabs>
        <w:spacing w:after="0" w:line="240" w:lineRule="auto"/>
      </w:pPr>
      <w:r w:rsidRPr="005A17C2">
        <w:t xml:space="preserve">La </w:t>
      </w:r>
      <w:r w:rsidR="005B4DDC" w:rsidRPr="005A17C2">
        <w:t xml:space="preserve">dose raccomandata è una compressa di </w:t>
      </w:r>
      <w:r w:rsidR="0077674A" w:rsidRPr="005A17C2">
        <w:t xml:space="preserve">RIVAROXABAN </w:t>
      </w:r>
      <w:r w:rsidR="00600869">
        <w:t>VI.REL PHARMA</w:t>
      </w:r>
      <w:r w:rsidR="005B4DDC" w:rsidRPr="005A17C2">
        <w:t xml:space="preserve"> da 2,5 mg due volte al giorno, somministrata sempre alla stessa ora del giorno</w:t>
      </w:r>
      <w:r w:rsidR="00BB2AF8" w:rsidRPr="005A17C2">
        <w:t>.</w:t>
      </w:r>
      <w:r w:rsidR="008A6FEC" w:rsidRPr="005A17C2">
        <w:t xml:space="preserve"> </w:t>
      </w:r>
    </w:p>
    <w:p w:rsidR="005B4DDC" w:rsidRPr="005A17C2" w:rsidRDefault="005B4DDC" w:rsidP="00F21388">
      <w:pPr>
        <w:tabs>
          <w:tab w:val="left" w:pos="0"/>
        </w:tabs>
        <w:spacing w:after="0" w:line="240" w:lineRule="auto"/>
        <w:jc w:val="both"/>
      </w:pPr>
      <w:r w:rsidRPr="005A17C2">
        <w:t xml:space="preserve">La dose raccomandata è una compressa di </w:t>
      </w:r>
      <w:r w:rsidR="0077674A" w:rsidRPr="005A17C2">
        <w:t xml:space="preserve">RIVAROXABAN </w:t>
      </w:r>
      <w:r w:rsidR="00600869">
        <w:t>VI.REL PHARMA</w:t>
      </w:r>
      <w:r w:rsidRPr="005A17C2">
        <w:t xml:space="preserve"> da 10 mg una volta al giorno.</w:t>
      </w:r>
    </w:p>
    <w:p w:rsidR="002E6C42" w:rsidRPr="005A17C2" w:rsidRDefault="002E6C42" w:rsidP="00F21388">
      <w:pPr>
        <w:tabs>
          <w:tab w:val="left" w:pos="0"/>
        </w:tabs>
        <w:spacing w:after="0" w:line="240" w:lineRule="auto"/>
        <w:jc w:val="both"/>
      </w:pPr>
      <w:r w:rsidRPr="005A17C2">
        <w:t xml:space="preserve">La dose raccomandata è una compressa di </w:t>
      </w:r>
      <w:r w:rsidR="0077674A" w:rsidRPr="005A17C2">
        <w:t xml:space="preserve">RIVAROXABAN </w:t>
      </w:r>
      <w:r w:rsidR="00600869">
        <w:t>VI.REL PHARMA</w:t>
      </w:r>
      <w:r w:rsidRPr="005A17C2">
        <w:t xml:space="preserve"> da 15 mg </w:t>
      </w:r>
      <w:r w:rsidR="00F21388" w:rsidRPr="005A17C2">
        <w:t xml:space="preserve">una o </w:t>
      </w:r>
      <w:r w:rsidRPr="005A17C2">
        <w:t>due volte al giorno</w:t>
      </w:r>
      <w:r w:rsidR="009716CB" w:rsidRPr="005A17C2">
        <w:t>.</w:t>
      </w:r>
    </w:p>
    <w:p w:rsidR="002E6C42" w:rsidRPr="005B4DDC" w:rsidRDefault="002E6C42" w:rsidP="00F21388">
      <w:pPr>
        <w:tabs>
          <w:tab w:val="left" w:pos="0"/>
        </w:tabs>
        <w:spacing w:after="0" w:line="240" w:lineRule="auto"/>
        <w:jc w:val="both"/>
      </w:pPr>
      <w:r w:rsidRPr="005A17C2">
        <w:t xml:space="preserve">La dose raccomandata è una compressa di </w:t>
      </w:r>
      <w:r w:rsidR="0077674A" w:rsidRPr="005A17C2">
        <w:t xml:space="preserve">RIVAROXABAN </w:t>
      </w:r>
      <w:r w:rsidR="00600869">
        <w:t>VI.REL PHARMA</w:t>
      </w:r>
      <w:r w:rsidRPr="005A17C2">
        <w:t xml:space="preserve"> da 20 mg una volta al giorno.</w:t>
      </w:r>
    </w:p>
    <w:p w:rsidR="005B4DDC" w:rsidRPr="00B7597D" w:rsidRDefault="005B4DDC" w:rsidP="001C15DF">
      <w:pPr>
        <w:tabs>
          <w:tab w:val="left" w:pos="0"/>
        </w:tabs>
        <w:spacing w:after="0" w:line="240" w:lineRule="auto"/>
        <w:jc w:val="both"/>
      </w:pPr>
    </w:p>
    <w:p w:rsidR="00BB2AF8" w:rsidRDefault="00BB2AF8" w:rsidP="00BB2AF8">
      <w:pPr>
        <w:tabs>
          <w:tab w:val="left" w:pos="0"/>
        </w:tabs>
        <w:spacing w:after="0" w:line="240" w:lineRule="auto"/>
        <w:jc w:val="both"/>
      </w:pPr>
      <w:r w:rsidRPr="00B7597D">
        <w:lastRenderedPageBreak/>
        <w:t>Nei pazienti con problemi</w:t>
      </w:r>
      <w:r w:rsidR="0060663F">
        <w:t xml:space="preserve"> </w:t>
      </w:r>
      <w:r w:rsidRPr="00B7597D">
        <w:t>al rene</w:t>
      </w:r>
      <w:r w:rsidR="009716CB">
        <w:t xml:space="preserve"> </w:t>
      </w:r>
      <w:r w:rsidRPr="00B7597D">
        <w:t>il dosaggio può essere più basso.</w:t>
      </w:r>
    </w:p>
    <w:p w:rsidR="009716CB" w:rsidRDefault="009716CB" w:rsidP="00BB2AF8">
      <w:pPr>
        <w:tabs>
          <w:tab w:val="left" w:pos="0"/>
        </w:tabs>
        <w:spacing w:after="0" w:line="240" w:lineRule="auto"/>
        <w:jc w:val="both"/>
      </w:pP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>Questo medicinale non è raccomandato nella popolazione pediatrica in quanto non sono disponibili dati sull’uso in questa fascia di età.</w:t>
      </w: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A32BD3" w:rsidRPr="00A32BD3" w:rsidRDefault="00A32BD3" w:rsidP="00A32BD3">
      <w:pPr>
        <w:tabs>
          <w:tab w:val="left" w:pos="284"/>
        </w:tabs>
        <w:spacing w:after="0" w:line="240" w:lineRule="auto"/>
        <w:jc w:val="both"/>
      </w:pPr>
      <w:r>
        <w:t>La</w:t>
      </w:r>
      <w:r w:rsidR="007B5ADD">
        <w:t xml:space="preserve"> compressa</w:t>
      </w:r>
      <w:r>
        <w:t xml:space="preserve"> </w:t>
      </w:r>
      <w:r w:rsidR="007B5ADD">
        <w:t>deve essere ingerita</w:t>
      </w:r>
      <w:r>
        <w:t xml:space="preserve"> </w:t>
      </w:r>
      <w:r w:rsidR="007B5ADD">
        <w:t xml:space="preserve">intera </w:t>
      </w:r>
      <w:r w:rsidRPr="00A32BD3">
        <w:t>preferibilmente con un po’ d’acqua</w:t>
      </w:r>
      <w:r>
        <w:t xml:space="preserve"> </w:t>
      </w:r>
      <w:r w:rsidRPr="00A32BD3">
        <w:t>indipendentemente dai pasti.</w:t>
      </w:r>
    </w:p>
    <w:p w:rsidR="00A32BD3" w:rsidRPr="00A32BD3" w:rsidRDefault="00A32BD3" w:rsidP="00A32BD3">
      <w:pPr>
        <w:tabs>
          <w:tab w:val="left" w:pos="284"/>
        </w:tabs>
        <w:spacing w:after="0" w:line="240" w:lineRule="auto"/>
        <w:jc w:val="both"/>
      </w:pPr>
      <w:r w:rsidRPr="00A32BD3">
        <w:t xml:space="preserve">Se </w:t>
      </w:r>
      <w:r>
        <w:t xml:space="preserve">si </w:t>
      </w:r>
      <w:r w:rsidRPr="00A32BD3">
        <w:t>ha difficoltà a</w:t>
      </w:r>
      <w:r>
        <w:t xml:space="preserve"> deglutire</w:t>
      </w:r>
      <w:r w:rsidR="007B5ADD">
        <w:t xml:space="preserve"> la compressa intera, le </w:t>
      </w:r>
      <w:r>
        <w:t>comp</w:t>
      </w:r>
      <w:r w:rsidR="007B5ADD">
        <w:t xml:space="preserve">resse </w:t>
      </w:r>
      <w:r>
        <w:t>possono essere frantumate e mescolate</w:t>
      </w:r>
      <w:r w:rsidRPr="00A32BD3">
        <w:t xml:space="preserve"> con un po’ d’acqua o come purea</w:t>
      </w:r>
      <w:r>
        <w:t xml:space="preserve"> di mele immediatamente prima dell’assunzione</w:t>
      </w:r>
      <w:r w:rsidRPr="00A32BD3">
        <w:t>.</w:t>
      </w:r>
    </w:p>
    <w:p w:rsidR="00A32BD3" w:rsidRPr="00A32BD3" w:rsidRDefault="00A32BD3" w:rsidP="00A32BD3">
      <w:pPr>
        <w:tabs>
          <w:tab w:val="left" w:pos="284"/>
        </w:tabs>
        <w:spacing w:after="0" w:line="240" w:lineRule="auto"/>
        <w:jc w:val="both"/>
      </w:pPr>
      <w:r w:rsidRPr="00A32BD3">
        <w:t>Se necessar</w:t>
      </w:r>
      <w:r>
        <w:t>io, il medico può somministrare</w:t>
      </w:r>
      <w:r w:rsidRPr="00A32BD3">
        <w:t xml:space="preserve"> la compressa frantumata attraverso un tubo inserito nello stomaco.</w:t>
      </w:r>
    </w:p>
    <w:p w:rsidR="00A32BD3" w:rsidRDefault="00A32BD3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77674A">
        <w:rPr>
          <w:rFonts w:eastAsia="Calibri" w:cs="Calibri"/>
          <w:b/>
          <w:color w:val="000000"/>
          <w:lang w:eastAsia="it-IT"/>
        </w:rPr>
        <w:t xml:space="preserve">RIVAROXABAN </w:t>
      </w:r>
      <w:r w:rsidR="00600869">
        <w:rPr>
          <w:rFonts w:eastAsia="Calibri" w:cs="Calibri"/>
          <w:b/>
          <w:color w:val="000000"/>
          <w:lang w:eastAsia="it-IT"/>
        </w:rPr>
        <w:t>VI.REL PHARMA</w:t>
      </w:r>
      <w:r w:rsidR="00B45421">
        <w:rPr>
          <w:rFonts w:eastAsia="Calibri" w:cs="Calibri"/>
          <w:b/>
          <w:color w:val="000000"/>
          <w:lang w:eastAsia="it-IT"/>
        </w:rPr>
        <w:t xml:space="preserve"> 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7B5ADD" w:rsidRPr="00B963DB" w:rsidRDefault="0077674A" w:rsidP="007B5AD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B45421">
        <w:t>B01AF01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B45421">
        <w:rPr>
          <w:rFonts w:eastAsia="Calibri" w:cs="Calibri"/>
          <w:color w:val="000000"/>
          <w:lang w:eastAsia="it-IT"/>
        </w:rPr>
        <w:t>rivaroxaban</w:t>
      </w:r>
      <w:proofErr w:type="spellEnd"/>
      <w:r w:rsidR="00B45421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 xml:space="preserve">appartiene </w:t>
      </w:r>
      <w:r w:rsidR="007B5ADD" w:rsidRPr="00B963DB">
        <w:rPr>
          <w:rFonts w:eastAsia="Calibri" w:cs="Calibri"/>
          <w:bCs/>
          <w:color w:val="000000"/>
          <w:szCs w:val="24"/>
          <w:lang w:eastAsia="it-IT"/>
        </w:rPr>
        <w:t>al gruppo di medicinali chiamati agenti antitrombotici</w:t>
      </w:r>
      <w:r w:rsidR="007B5ADD" w:rsidRPr="00B963DB">
        <w:rPr>
          <w:rFonts w:eastAsia="Calibri" w:cs="Calibri"/>
          <w:bCs/>
          <w:i/>
          <w:color w:val="000000"/>
          <w:szCs w:val="24"/>
          <w:lang w:eastAsia="it-IT"/>
        </w:rPr>
        <w:t xml:space="preserve">. </w:t>
      </w:r>
      <w:r w:rsidR="007B5ADD" w:rsidRPr="00B963DB">
        <w:rPr>
          <w:rFonts w:eastAsia="Calibri" w:cs="Calibri"/>
          <w:bCs/>
          <w:color w:val="000000"/>
          <w:szCs w:val="24"/>
          <w:lang w:eastAsia="it-IT"/>
        </w:rPr>
        <w:t xml:space="preserve">La sua azione è dovuta al blocco del fattore della coagulazione (Fattore </w:t>
      </w:r>
      <w:proofErr w:type="spellStart"/>
      <w:r w:rsidR="007B5ADD" w:rsidRPr="00B963DB">
        <w:rPr>
          <w:rFonts w:eastAsia="Calibri" w:cs="Calibri"/>
          <w:bCs/>
          <w:color w:val="000000"/>
          <w:szCs w:val="24"/>
          <w:lang w:eastAsia="it-IT"/>
        </w:rPr>
        <w:t>Xa</w:t>
      </w:r>
      <w:proofErr w:type="spellEnd"/>
      <w:r w:rsidR="007B5ADD" w:rsidRPr="00B963DB">
        <w:rPr>
          <w:rFonts w:eastAsia="Calibri" w:cs="Calibri"/>
          <w:bCs/>
          <w:color w:val="000000"/>
          <w:szCs w:val="24"/>
          <w:lang w:eastAsia="it-IT"/>
        </w:rPr>
        <w:t>) e quindi alla riduzione della tendenza del sangue a formare coaguli.</w:t>
      </w:r>
    </w:p>
    <w:p w:rsidR="007B5ADD" w:rsidRDefault="007B5ADD" w:rsidP="00BB2AF8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77674A">
        <w:rPr>
          <w:rFonts w:eastAsia="Calibri" w:cs="Calibri"/>
          <w:b/>
          <w:color w:val="000000"/>
          <w:lang w:eastAsia="it-IT"/>
        </w:rPr>
        <w:t xml:space="preserve">RIVAROXABAN </w:t>
      </w:r>
      <w:r w:rsidR="00600869">
        <w:rPr>
          <w:rFonts w:eastAsia="Calibri" w:cs="Calibri"/>
          <w:b/>
          <w:color w:val="000000"/>
          <w:lang w:eastAsia="it-IT"/>
        </w:rPr>
        <w:t>VI.REL PHARMA</w:t>
      </w:r>
      <w:r w:rsidR="00B45421">
        <w:rPr>
          <w:rFonts w:eastAsia="Calibri" w:cs="Calibri"/>
          <w:b/>
          <w:color w:val="000000"/>
          <w:lang w:eastAsia="it-IT"/>
        </w:rPr>
        <w:t xml:space="preserve"> 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F96473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>
        <w:rPr>
          <w:rFonts w:eastAsia="Calibri" w:cs="Calibri"/>
          <w:color w:val="000000"/>
          <w:lang w:eastAsia="it-IT"/>
        </w:rPr>
        <w:t xml:space="preserve"> </w:t>
      </w:r>
      <w:r w:rsidRPr="00D85E7D">
        <w:rPr>
          <w:rFonts w:cs="Arial"/>
        </w:rPr>
        <w:t>è un medicinale generico,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 xml:space="preserve">la bioequivalenza rispetto al medicinale di riferimento </w:t>
      </w:r>
      <w:proofErr w:type="spellStart"/>
      <w:r w:rsidR="00BA6CDD">
        <w:rPr>
          <w:rFonts w:cs="Arial"/>
        </w:rPr>
        <w:t>Xarelto</w:t>
      </w:r>
      <w:proofErr w:type="spellEnd"/>
      <w:r w:rsidR="00BA6CDD">
        <w:rPr>
          <w:rFonts w:cs="Arial"/>
        </w:rPr>
        <w:t>.</w:t>
      </w:r>
      <w:r w:rsidRPr="00D85E7D">
        <w:rPr>
          <w:rFonts w:cs="Arial"/>
        </w:rPr>
        <w:t xml:space="preserve"> Due medicinali sono</w:t>
      </w:r>
      <w:r>
        <w:rPr>
          <w:rFonts w:ascii="Calibri" w:hAnsi="Calibri" w:cs="Arial"/>
        </w:rPr>
        <w:t xml:space="preserve"> bioequivalenti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77674A">
        <w:rPr>
          <w:rFonts w:eastAsia="Calibri" w:cs="Calibri"/>
          <w:b/>
          <w:color w:val="000000"/>
          <w:lang w:eastAsia="it-IT"/>
        </w:rPr>
        <w:t xml:space="preserve">RIVAROXABAN </w:t>
      </w:r>
      <w:r w:rsidR="00600869">
        <w:rPr>
          <w:rFonts w:eastAsia="Calibri" w:cs="Calibri"/>
          <w:b/>
          <w:color w:val="000000"/>
          <w:lang w:eastAsia="it-IT"/>
        </w:rPr>
        <w:t>VI.REL PHARMA</w:t>
      </w:r>
      <w:r w:rsidR="00B45421">
        <w:rPr>
          <w:rFonts w:eastAsia="Calibri" w:cs="Calibri"/>
          <w:b/>
          <w:color w:val="000000"/>
          <w:lang w:eastAsia="it-IT"/>
        </w:rPr>
        <w:t xml:space="preserve"> 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BB2AF8" w:rsidRPr="002A3F14" w:rsidRDefault="0077674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77674A">
        <w:rPr>
          <w:rFonts w:eastAsia="Calibri" w:cs="Calibri"/>
          <w:b/>
          <w:color w:val="000000"/>
          <w:lang w:eastAsia="it-IT"/>
        </w:rPr>
        <w:t xml:space="preserve">RIVAROXABAN </w:t>
      </w:r>
      <w:r w:rsidR="00600869">
        <w:rPr>
          <w:rFonts w:eastAsia="Calibri" w:cs="Calibri"/>
          <w:b/>
          <w:color w:val="000000"/>
          <w:lang w:eastAsia="it-IT"/>
        </w:rPr>
        <w:t>VI.REL PHARMA</w:t>
      </w:r>
      <w:r w:rsidR="00B45421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103F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 w:rsidR="00BA6CDD">
        <w:rPr>
          <w:rFonts w:eastAsia="Calibri" w:cs="Calibri"/>
          <w:lang w:eastAsia="it-IT"/>
        </w:rPr>
        <w:t xml:space="preserve"> nella riunione del</w:t>
      </w:r>
      <w:r w:rsidR="00BA6CDD" w:rsidRPr="00BA6CDD">
        <w:rPr>
          <w:rFonts w:eastAsia="Calibri" w:cs="Calibri"/>
          <w:b/>
          <w:bCs/>
          <w:i/>
          <w:iCs/>
          <w:lang w:eastAsia="it-IT"/>
        </w:rPr>
        <w:t xml:space="preserve"> </w:t>
      </w:r>
      <w:r w:rsidR="00BA6CDD" w:rsidRPr="00103F85">
        <w:rPr>
          <w:rFonts w:eastAsia="Calibri" w:cs="Calibri"/>
          <w:bCs/>
          <w:i/>
          <w:iCs/>
          <w:lang w:eastAsia="it-IT"/>
        </w:rPr>
        <w:t>14, 15, e 16 Gennaio 2019</w:t>
      </w:r>
      <w:r w:rsidR="00103F85" w:rsidRPr="00103F85">
        <w:rPr>
          <w:rFonts w:eastAsia="Calibri" w:cs="Calibri"/>
          <w:bCs/>
          <w:i/>
          <w:iCs/>
          <w:lang w:eastAsia="it-IT"/>
        </w:rPr>
        <w:t xml:space="preserve"> (Verbale CTS n</w:t>
      </w:r>
      <w:r w:rsidR="00103F85" w:rsidRPr="00103F85">
        <w:rPr>
          <w:rFonts w:eastAsia="Calibri" w:cs="Calibri"/>
          <w:bCs/>
          <w:iCs/>
          <w:lang w:eastAsia="it-IT"/>
        </w:rPr>
        <w:t>. 5)</w:t>
      </w:r>
      <w:r w:rsidRPr="00103F85">
        <w:rPr>
          <w:rFonts w:eastAsia="Calibri" w:cs="Calibri"/>
          <w:lang w:eastAsia="it-IT"/>
        </w:rPr>
        <w:t xml:space="preserve">, ha concluso che, conformemente ai requisiti della normativa vigente, come nel caso del medicinale di riferimento </w:t>
      </w:r>
      <w:proofErr w:type="spellStart"/>
      <w:r w:rsidR="00103F85" w:rsidRPr="00103F85">
        <w:rPr>
          <w:rFonts w:eastAsia="Calibri" w:cs="Calibri"/>
          <w:lang w:eastAsia="it-IT"/>
        </w:rPr>
        <w:t>Xarelto</w:t>
      </w:r>
      <w:proofErr w:type="spellEnd"/>
      <w:r w:rsidRPr="00103F85">
        <w:rPr>
          <w:rFonts w:eastAsia="Calibri" w:cs="Calibri"/>
          <w:lang w:eastAsia="it-IT"/>
        </w:rPr>
        <w:t xml:space="preserve">, i benefici di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 w:rsidRPr="00103F85">
        <w:rPr>
          <w:rFonts w:eastAsia="Calibri" w:cs="Calibri"/>
          <w:color w:val="000000"/>
          <w:lang w:eastAsia="it-IT"/>
        </w:rPr>
        <w:t xml:space="preserve"> </w:t>
      </w:r>
      <w:r w:rsidR="00103F85">
        <w:rPr>
          <w:rFonts w:eastAsia="Calibri" w:cs="Calibri"/>
          <w:lang w:eastAsia="it-IT"/>
        </w:rPr>
        <w:t>fosser</w:t>
      </w:r>
      <w:r w:rsidRPr="00103F85">
        <w:rPr>
          <w:rFonts w:eastAsia="Calibri" w:cs="Calibri"/>
          <w:lang w:eastAsia="it-IT"/>
        </w:rPr>
        <w:t xml:space="preserve">o superiori ai rischi individuati. La CTS </w:t>
      </w:r>
      <w:r w:rsidR="00103F85" w:rsidRPr="00103F85">
        <w:rPr>
          <w:rFonts w:eastAsia="Calibri" w:cs="Calibri"/>
          <w:lang w:eastAsia="it-IT"/>
        </w:rPr>
        <w:t>nella riunione del</w:t>
      </w:r>
      <w:r w:rsidR="00103F85" w:rsidRPr="00103F85">
        <w:rPr>
          <w:rFonts w:eastAsia="Calibri" w:cs="Calibri"/>
          <w:bCs/>
          <w:iCs/>
          <w:lang w:eastAsia="it-IT"/>
        </w:rPr>
        <w:t xml:space="preserve"> </w:t>
      </w:r>
      <w:r w:rsidR="00103F85" w:rsidRPr="00103F85">
        <w:rPr>
          <w:rFonts w:eastAsia="Calibri" w:cs="Calibri"/>
          <w:bCs/>
          <w:i/>
          <w:iCs/>
          <w:lang w:eastAsia="it-IT"/>
        </w:rPr>
        <w:t>09, 10, 11, 12 giugno 2020 (Verbale CTS n. 25</w:t>
      </w:r>
      <w:r w:rsidR="00103F85" w:rsidRPr="00103F85">
        <w:rPr>
          <w:rFonts w:eastAsia="Calibri" w:cs="Calibri"/>
          <w:bCs/>
          <w:iCs/>
          <w:lang w:eastAsia="it-IT"/>
        </w:rPr>
        <w:t xml:space="preserve">) </w:t>
      </w:r>
      <w:r w:rsidRPr="00103F85">
        <w:rPr>
          <w:rFonts w:eastAsia="Calibri" w:cs="Calibri"/>
          <w:lang w:eastAsia="it-IT"/>
        </w:rPr>
        <w:t>ha, inoltre</w:t>
      </w:r>
      <w:r w:rsidRPr="00666CCE">
        <w:rPr>
          <w:rFonts w:eastAsia="Calibri" w:cs="Calibri"/>
          <w:lang w:eastAsia="it-IT"/>
        </w:rPr>
        <w:t>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7170D7">
        <w:rPr>
          <w:rFonts w:eastAsia="Calibri" w:cs="Calibri"/>
          <w:lang w:eastAsia="it-IT"/>
        </w:rPr>
        <w:t xml:space="preserve">classificazione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77674A">
        <w:rPr>
          <w:rFonts w:eastAsia="Calibri" w:cs="Calibri"/>
          <w:b/>
          <w:color w:val="000000"/>
          <w:lang w:eastAsia="it-IT"/>
        </w:rPr>
        <w:t xml:space="preserve">RIVAROXABAN </w:t>
      </w:r>
      <w:r w:rsidR="00600869">
        <w:rPr>
          <w:rFonts w:eastAsia="Calibri" w:cs="Calibri"/>
          <w:b/>
          <w:color w:val="000000"/>
          <w:lang w:eastAsia="it-IT"/>
        </w:rPr>
        <w:t>VI.REL PHARMA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4241AC" w:rsidRPr="007170D7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77674A">
        <w:rPr>
          <w:rFonts w:eastAsia="Calibri" w:cs="Calibri"/>
          <w:b/>
          <w:color w:val="000000"/>
          <w:lang w:eastAsia="it-IT"/>
        </w:rPr>
        <w:t xml:space="preserve">RIVAROXABAN </w:t>
      </w:r>
      <w:r w:rsidR="00600869">
        <w:rPr>
          <w:rFonts w:eastAsia="Calibri" w:cs="Calibri"/>
          <w:b/>
          <w:color w:val="000000"/>
          <w:lang w:eastAsia="it-IT"/>
        </w:rPr>
        <w:t>VI.REL PHARMA</w:t>
      </w:r>
      <w:r w:rsidR="00B45421">
        <w:rPr>
          <w:rFonts w:eastAsia="Calibri" w:cs="Calibri"/>
          <w:b/>
          <w:color w:val="000000"/>
          <w:lang w:eastAsia="it-IT"/>
        </w:rPr>
        <w:t xml:space="preserve"> </w:t>
      </w:r>
    </w:p>
    <w:p w:rsidR="004241AC" w:rsidRPr="00CA3A1E" w:rsidRDefault="0077674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Pr="00D33359">
        <w:rPr>
          <w:rFonts w:eastAsia="Calibri" w:cs="Calibri"/>
          <w:b/>
          <w:bCs/>
          <w:iCs/>
          <w:lang w:eastAsia="it-IT"/>
        </w:rPr>
        <w:t>28/09/2020</w:t>
      </w:r>
      <w:r w:rsidR="004241AC"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4241AC" w:rsidRPr="007170D7">
        <w:rPr>
          <w:rFonts w:eastAsia="Calibri" w:cs="Calibri"/>
          <w:bCs/>
          <w:lang w:eastAsia="it-IT"/>
        </w:rPr>
        <w:t>.</w:t>
      </w:r>
      <w:r w:rsidR="004241AC"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8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A17C2" w:rsidRPr="00734A38" w:rsidRDefault="004241AC" w:rsidP="00734A38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</w:t>
      </w:r>
      <w:r w:rsidRPr="005A17C2">
        <w:rPr>
          <w:rFonts w:eastAsia="Calibri" w:cs="Calibri"/>
          <w:lang w:eastAsia="it-IT"/>
        </w:rPr>
        <w:t xml:space="preserve">in </w:t>
      </w:r>
      <w:r w:rsidR="00B1186F" w:rsidRPr="005A17C2">
        <w:rPr>
          <w:rFonts w:eastAsia="Calibri" w:cs="Calibri"/>
          <w:lang w:eastAsia="it-IT"/>
        </w:rPr>
        <w:t>data</w:t>
      </w:r>
      <w:r w:rsidR="00FA220B" w:rsidRPr="005A17C2">
        <w:rPr>
          <w:rFonts w:eastAsia="Calibri" w:cs="Calibri"/>
          <w:lang w:eastAsia="it-IT"/>
        </w:rPr>
        <w:t xml:space="preserve"> </w:t>
      </w:r>
      <w:r w:rsidR="005A17C2" w:rsidRPr="005A17C2">
        <w:rPr>
          <w:rFonts w:eastAsia="Calibri" w:cs="Calibri"/>
          <w:lang w:eastAsia="it-IT"/>
        </w:rPr>
        <w:t>0</w:t>
      </w:r>
      <w:r w:rsidR="00734A38">
        <w:rPr>
          <w:rFonts w:eastAsia="Calibri" w:cs="Calibri"/>
          <w:lang w:eastAsia="it-IT"/>
        </w:rPr>
        <w:t>9</w:t>
      </w:r>
      <w:r w:rsidR="00FA220B" w:rsidRPr="005A17C2">
        <w:rPr>
          <w:rFonts w:eastAsia="Calibri" w:cs="Calibri"/>
          <w:lang w:eastAsia="it-IT"/>
        </w:rPr>
        <w:t>/12/2020</w:t>
      </w:r>
      <w:r w:rsidRPr="005A17C2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112378" w:rsidRDefault="00112378" w:rsidP="004E5A39">
      <w:pPr>
        <w:spacing w:after="0" w:line="240" w:lineRule="auto"/>
        <w:jc w:val="center"/>
        <w:rPr>
          <w:b/>
          <w:sz w:val="28"/>
        </w:rPr>
      </w:pPr>
    </w:p>
    <w:p w:rsidR="00112378" w:rsidRDefault="00112378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600869">
        <w:t>VI.REL PHARMA</w:t>
      </w:r>
      <w:r w:rsidR="00FA220B">
        <w:t xml:space="preserve"> S.r.l.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5A17C2">
        <w:rPr>
          <w:rFonts w:eastAsia="Calibri" w:cs="Calibri"/>
          <w:bCs/>
          <w:iCs/>
          <w:lang w:eastAsia="it-IT"/>
        </w:rPr>
        <w:t xml:space="preserve">il </w:t>
      </w:r>
      <w:r w:rsidR="00FA220B" w:rsidRPr="00D33359">
        <w:rPr>
          <w:rFonts w:eastAsia="Calibri" w:cs="Calibri"/>
          <w:b/>
          <w:bCs/>
          <w:iCs/>
          <w:lang w:eastAsia="it-IT"/>
        </w:rPr>
        <w:t>28/09/2020.</w:t>
      </w:r>
      <w:r w:rsidRPr="00EF6711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FA220B" w:rsidRDefault="00FA220B" w:rsidP="00FA220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RIVAROXABAN </w:t>
      </w:r>
      <w:r w:rsidR="00600869">
        <w:rPr>
          <w:rFonts w:asciiTheme="minorHAnsi" w:eastAsia="Calibri" w:hAnsiTheme="minorHAnsi" w:cs="Calibri"/>
          <w:color w:val="000000"/>
          <w:sz w:val="22"/>
          <w:szCs w:val="22"/>
        </w:rPr>
        <w:t>VI.REL PHARMA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2,5 mg compresse rivestite con film 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>può essere ottenuto solo su prescrizione da parte di centri ospedalieri o di specialisti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B963DB">
        <w:rPr>
          <w:rFonts w:asciiTheme="minorHAnsi" w:eastAsia="Calibri" w:hAnsiTheme="minorHAnsi" w:cs="Calibri"/>
          <w:color w:val="000000"/>
          <w:sz w:val="22"/>
          <w:szCs w:val="22"/>
        </w:rPr>
        <w:t>- cardiologo, angiologo, chirurgo vascolare e cardiochirurgo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con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ricetta limitativa ripetibile.</w:t>
      </w:r>
    </w:p>
    <w:p w:rsidR="00FA220B" w:rsidRDefault="00FA220B" w:rsidP="00FA220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FA220B" w:rsidRDefault="00FA220B" w:rsidP="00FA220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RIVAROXABAN </w:t>
      </w:r>
      <w:r w:rsidR="00600869">
        <w:rPr>
          <w:rFonts w:asciiTheme="minorHAnsi" w:eastAsia="Calibri" w:hAnsiTheme="minorHAnsi" w:cs="Calibri"/>
          <w:color w:val="000000"/>
          <w:sz w:val="22"/>
          <w:szCs w:val="22"/>
        </w:rPr>
        <w:t>VI.REL PHARMA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10 mg compresse rivestite con film 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>può essere ottenuto solo su prescrizione da parte di centri ospedalieri o di specialisti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B963DB">
        <w:rPr>
          <w:rFonts w:asciiTheme="minorHAnsi" w:eastAsia="Calibri" w:hAnsiTheme="minorHAnsi" w:cs="Calibri"/>
          <w:color w:val="000000"/>
          <w:sz w:val="22"/>
          <w:szCs w:val="22"/>
        </w:rPr>
        <w:t>- ortopedico, fisiatra, cardiologo, internista, geriatra, chirurgo vascolare, cardiochirurgo, pneumologo, ematologo che lavora in centri di trombosi ed emostasi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>con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ricetta limitativa ripetibile</w:t>
      </w:r>
      <w:r w:rsidRPr="00B963DB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:rsidR="00FA220B" w:rsidRPr="00B963DB" w:rsidRDefault="00FA220B" w:rsidP="00FA220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FA220B" w:rsidRDefault="00FA220B" w:rsidP="00FA220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RIVAROXABAN </w:t>
      </w:r>
      <w:r w:rsidR="00600869">
        <w:rPr>
          <w:rFonts w:asciiTheme="minorHAnsi" w:eastAsia="Calibri" w:hAnsiTheme="minorHAnsi" w:cs="Calibri"/>
          <w:color w:val="000000"/>
          <w:sz w:val="22"/>
          <w:szCs w:val="22"/>
        </w:rPr>
        <w:t>VI.REL PHARMA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15 mg compresse rivestite con film può essere ottenuto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solo su prescrizione da parte di centri ospedalieri o di specialisti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- neurologo, cardiologo, internista, geriatra, chirurgo vascolare, cardiochirurgo, pneumologo, ematologo che lavora in centri di trombosi ed emostasi 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>con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ricetta limitativa ripetibile</w:t>
      </w:r>
      <w:r w:rsidRPr="00B963DB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:rsidR="00FA220B" w:rsidRPr="00B963DB" w:rsidRDefault="00FA220B" w:rsidP="00FA220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FA220B" w:rsidRPr="00B963DB" w:rsidRDefault="00FA220B" w:rsidP="00FA220B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RIVAROXABAN </w:t>
      </w:r>
      <w:r w:rsidR="00600869">
        <w:rPr>
          <w:rFonts w:asciiTheme="minorHAnsi" w:eastAsia="Calibri" w:hAnsiTheme="minorHAnsi" w:cs="Calibri"/>
          <w:color w:val="000000"/>
          <w:sz w:val="22"/>
          <w:szCs w:val="22"/>
        </w:rPr>
        <w:t>VI.REL PHARMA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20 mg compresse rivestite con film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può essere ottenuto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solo su prescrizione da parte di centri ospedalieri o di specialisti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B963DB">
        <w:rPr>
          <w:rFonts w:asciiTheme="minorHAnsi" w:eastAsia="Calibri" w:hAnsiTheme="minorHAnsi" w:cs="Calibri"/>
          <w:color w:val="000000"/>
          <w:sz w:val="22"/>
          <w:szCs w:val="22"/>
        </w:rPr>
        <w:t xml:space="preserve">- neurologo, cardiologo, internista, geriatra, chirurgo vascolare, cardiochirurgo, pneumologo, ematologo che lavora in centri di trombosi ed emostasi 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>con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ricetta limitativa ripetibile</w:t>
      </w:r>
      <w:r w:rsidRPr="00B963DB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FA220B">
        <w:t>10.1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77674A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 w:rsidR="00FA220B">
        <w:rPr>
          <w:rFonts w:eastAsia="Calibri" w:cs="Calibri"/>
          <w:lang w:eastAsia="it-IT"/>
        </w:rPr>
        <w:t>rivaroxaban</w:t>
      </w:r>
      <w:proofErr w:type="spellEnd"/>
      <w:r w:rsidR="004E5A39" w:rsidRPr="00EF6711">
        <w:rPr>
          <w:rFonts w:eastAsia="Calibri" w:cs="Calibri"/>
          <w:lang w:eastAsia="it-IT"/>
        </w:rPr>
        <w:t xml:space="preserve"> noto</w:t>
      </w:r>
      <w:r w:rsidR="0042214D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 w:rsidR="00FA220B">
        <w:rPr>
          <w:rFonts w:eastAsia="Calibri" w:cs="Calibri"/>
          <w:lang w:eastAsia="it-IT"/>
        </w:rPr>
        <w:t>Xarelto</w:t>
      </w:r>
      <w:proofErr w:type="spellEnd"/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D75D45" w:rsidRPr="009C7CCC" w:rsidRDefault="0077674A" w:rsidP="00D75D45">
      <w:pPr>
        <w:spacing w:after="0"/>
        <w:jc w:val="both"/>
      </w:pP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="00D75D45">
        <w:t>B01AF01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="00D75D45">
        <w:rPr>
          <w:rFonts w:eastAsia="Calibri" w:cs="Calibri"/>
          <w:lang w:eastAsia="it-IT"/>
        </w:rPr>
        <w:t>rivaroxaban</w:t>
      </w:r>
      <w:proofErr w:type="spellEnd"/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D75D45" w:rsidRPr="009C7CCC">
        <w:t>un inibitore diretto e alt</w:t>
      </w:r>
      <w:r w:rsidR="00D75D45">
        <w:t xml:space="preserve">amente selettivo del fattore </w:t>
      </w:r>
      <w:proofErr w:type="spellStart"/>
      <w:r w:rsidR="00D75D45">
        <w:t>Xa</w:t>
      </w:r>
      <w:proofErr w:type="spellEnd"/>
      <w:r w:rsidR="00D75D45" w:rsidRPr="009C7CCC">
        <w:t xml:space="preserve"> con biodisponibilità orale.</w:t>
      </w:r>
    </w:p>
    <w:p w:rsidR="00D75D45" w:rsidRPr="009C7CCC" w:rsidRDefault="00D75D45" w:rsidP="00D75D45">
      <w:pPr>
        <w:spacing w:after="0"/>
        <w:jc w:val="both"/>
      </w:pPr>
      <w:r w:rsidRPr="009C7CCC">
        <w:t xml:space="preserve">L’inibizione del fattore </w:t>
      </w:r>
      <w:proofErr w:type="spellStart"/>
      <w:r w:rsidRPr="009C7CCC">
        <w:t>Xa</w:t>
      </w:r>
      <w:proofErr w:type="spellEnd"/>
      <w:r w:rsidRPr="009C7CCC">
        <w:t xml:space="preserve"> interrompe le vie intrinseca ed estrinseca della cascata della coagulazione e inibisce sia la formazione di trombina, sia lo sviluppo di trombi. Rivaroxaban non inibisce la trombina (fattore II attivato) e non ne è stato dimostrato alcun effetto sulle piastrine.</w:t>
      </w:r>
    </w:p>
    <w:p w:rsidR="00D75D45" w:rsidRPr="009C7CCC" w:rsidRDefault="00D75D45" w:rsidP="00D75D45">
      <w:pPr>
        <w:spacing w:after="0"/>
        <w:ind w:left="113"/>
        <w:jc w:val="both"/>
      </w:pPr>
    </w:p>
    <w:p w:rsidR="00265B61" w:rsidRDefault="00D75D45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bookmarkStart w:id="1" w:name="_Hlk57975533"/>
      <w:r>
        <w:rPr>
          <w:rFonts w:eastAsia="Calibri" w:cs="Calibri"/>
          <w:color w:val="000000"/>
          <w:lang w:eastAsia="it-IT"/>
        </w:rPr>
        <w:t xml:space="preserve">Di seguito le indicazioni terapeutiche di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>
        <w:t>suddivise per dosaggio.</w:t>
      </w:r>
    </w:p>
    <w:p w:rsidR="00D75D45" w:rsidRDefault="00D75D45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bookmarkStart w:id="2" w:name="_Hlk57975484"/>
      <w:bookmarkEnd w:id="1"/>
      <w:r w:rsidRPr="00D75D45">
        <w:rPr>
          <w:u w:val="single"/>
        </w:rPr>
        <w:t xml:space="preserve">Rivaroxaban </w:t>
      </w:r>
      <w:r w:rsidR="00600869">
        <w:rPr>
          <w:u w:val="single"/>
        </w:rPr>
        <w:t>VI.REL PHARMA</w:t>
      </w:r>
      <w:r w:rsidRPr="00D75D45">
        <w:rPr>
          <w:u w:val="single"/>
        </w:rPr>
        <w:t xml:space="preserve"> 2,5 Mg compresse rivestite con film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bookmarkStart w:id="3" w:name="_Hlk13136653"/>
      <w:r w:rsidRPr="00D75D45">
        <w:t xml:space="preserve">Rivaroxaban </w:t>
      </w:r>
      <w:r w:rsidR="00600869">
        <w:t>VI.REL PHARMA</w:t>
      </w:r>
      <w:bookmarkEnd w:id="3"/>
      <w:r w:rsidRPr="00D75D45">
        <w:t>, somministrato insieme con il solo acido acetilsalicilico (</w:t>
      </w:r>
      <w:proofErr w:type="spellStart"/>
      <w:r w:rsidRPr="00D75D45">
        <w:rPr>
          <w:i/>
        </w:rPr>
        <w:t>acetylsalicylic</w:t>
      </w:r>
      <w:proofErr w:type="spellEnd"/>
      <w:r w:rsidRPr="00D75D45">
        <w:rPr>
          <w:i/>
        </w:rPr>
        <w:t xml:space="preserve"> acid</w:t>
      </w:r>
      <w:r w:rsidRPr="00D75D45">
        <w:t xml:space="preserve">, ASA) o con ASA e </w:t>
      </w:r>
      <w:proofErr w:type="spellStart"/>
      <w:r w:rsidRPr="00D75D45">
        <w:t>clopidogrel</w:t>
      </w:r>
      <w:proofErr w:type="spellEnd"/>
      <w:r w:rsidRPr="00D75D45">
        <w:t xml:space="preserve"> o </w:t>
      </w:r>
      <w:proofErr w:type="spellStart"/>
      <w:r w:rsidRPr="00D75D45">
        <w:t>ticlopidina</w:t>
      </w:r>
      <w:proofErr w:type="spellEnd"/>
      <w:r w:rsidRPr="00D75D45">
        <w:t>, è indicato per la prevenzione di eventi aterotrombotici in pazienti adulti dopo una sindrome coronarica acuta (SCA) con biomarcatori cardiaci elevati (vedere paragrafi 4.3, 4.4 e 5.1</w:t>
      </w:r>
      <w:r w:rsidR="007F2858">
        <w:t xml:space="preserve"> RCP</w:t>
      </w:r>
      <w:r w:rsidRPr="00D75D45">
        <w:t>).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 xml:space="preserve">Rivaroxaban </w:t>
      </w:r>
      <w:r w:rsidR="00600869">
        <w:t>VI.REL PHARMA</w:t>
      </w:r>
      <w:r w:rsidRPr="00D75D45">
        <w:t xml:space="preserve"> somministrato insieme con acido acetilsalicilico (ASA), è indicato per la prevenzione di eventi aterotrombotici in pazienti adulti, ad alto rischio di eventi ischemici, che presentano coronaropatia (</w:t>
      </w:r>
      <w:proofErr w:type="spellStart"/>
      <w:r w:rsidRPr="00D75D45">
        <w:rPr>
          <w:i/>
          <w:iCs/>
        </w:rPr>
        <w:t>coronary</w:t>
      </w:r>
      <w:proofErr w:type="spellEnd"/>
      <w:r w:rsidRPr="00D75D45">
        <w:rPr>
          <w:i/>
          <w:iCs/>
        </w:rPr>
        <w:t xml:space="preserve"> </w:t>
      </w:r>
      <w:proofErr w:type="spellStart"/>
      <w:r w:rsidRPr="00D75D45">
        <w:rPr>
          <w:i/>
          <w:iCs/>
        </w:rPr>
        <w:t>artery</w:t>
      </w:r>
      <w:proofErr w:type="spellEnd"/>
      <w:r w:rsidRPr="00D75D45">
        <w:rPr>
          <w:i/>
          <w:iCs/>
        </w:rPr>
        <w:t xml:space="preserve"> </w:t>
      </w:r>
      <w:proofErr w:type="spellStart"/>
      <w:r w:rsidRPr="00D75D45">
        <w:rPr>
          <w:i/>
          <w:iCs/>
        </w:rPr>
        <w:t>disease</w:t>
      </w:r>
      <w:proofErr w:type="spellEnd"/>
      <w:r w:rsidRPr="00D75D45">
        <w:t>, CAD) o arteriopatia periferica (</w:t>
      </w:r>
      <w:proofErr w:type="spellStart"/>
      <w:r w:rsidRPr="00D75D45">
        <w:rPr>
          <w:i/>
          <w:iCs/>
        </w:rPr>
        <w:t>peripheral</w:t>
      </w:r>
      <w:proofErr w:type="spellEnd"/>
      <w:r w:rsidRPr="00D75D45">
        <w:rPr>
          <w:i/>
          <w:iCs/>
        </w:rPr>
        <w:t xml:space="preserve"> </w:t>
      </w:r>
      <w:proofErr w:type="spellStart"/>
      <w:r w:rsidRPr="00D75D45">
        <w:rPr>
          <w:i/>
          <w:iCs/>
        </w:rPr>
        <w:t>artery</w:t>
      </w:r>
      <w:proofErr w:type="spellEnd"/>
      <w:r w:rsidRPr="00D75D45">
        <w:rPr>
          <w:i/>
          <w:iCs/>
        </w:rPr>
        <w:t xml:space="preserve"> </w:t>
      </w:r>
      <w:proofErr w:type="spellStart"/>
      <w:r w:rsidRPr="00D75D45">
        <w:rPr>
          <w:i/>
          <w:iCs/>
        </w:rPr>
        <w:t>disease</w:t>
      </w:r>
      <w:proofErr w:type="spellEnd"/>
      <w:r w:rsidRPr="00D75D45">
        <w:t>, PAD) sintomatica.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r w:rsidRPr="00D75D45">
        <w:rPr>
          <w:u w:val="single"/>
        </w:rPr>
        <w:t xml:space="preserve">Rivaroxaban </w:t>
      </w:r>
      <w:r w:rsidR="00600869">
        <w:rPr>
          <w:u w:val="single"/>
        </w:rPr>
        <w:t>VI.REL PHARMA</w:t>
      </w:r>
      <w:r w:rsidRPr="00D75D45">
        <w:rPr>
          <w:u w:val="single"/>
        </w:rPr>
        <w:t xml:space="preserve"> 10 mg compresse rivestite con film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lastRenderedPageBreak/>
        <w:t>Prevenzione del tromboembolismo venoso (TEV) nei pazienti adulti sottoposti a interventi di sostituzione elettiva di anca o di ginocchio.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 xml:space="preserve">Trattamento della trombosi venosa profonda (TVP) e dell’embolia polmonare (EP) e prevenzione delle recidive di TVP ed EP nell’adulto. (Vedere paragrafo 4.4 </w:t>
      </w:r>
      <w:r w:rsidR="007F2858">
        <w:t xml:space="preserve">RCP </w:t>
      </w:r>
      <w:r w:rsidRPr="00D75D45">
        <w:t>per pazienti EP emodinamicamente instabili.)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rPr>
          <w:u w:val="single"/>
        </w:rPr>
        <w:t xml:space="preserve">Rivaroxaban </w:t>
      </w:r>
      <w:r w:rsidR="00600869">
        <w:rPr>
          <w:u w:val="single"/>
        </w:rPr>
        <w:t>VI.REL PHARMA</w:t>
      </w:r>
      <w:r w:rsidRPr="00D75D45">
        <w:rPr>
          <w:u w:val="single"/>
        </w:rPr>
        <w:t xml:space="preserve"> 15 mg compresse rivestite con film 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>Prevenzione dell’ictus e dell’embolia sistemica nei pazienti adulti affetti da fibrillazione atriale non valvolare con uno o più fattori di rischio, come insufficienza cardiaca congestizia, ipertensione, età ≥ 75 anni, diabete mellito, pregresso ictus o attacco ischemico transitorio.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 xml:space="preserve">Trattamento della trombosi venosa profonda (TVP) e dell’embolia polmonare (EP) e prevenzione delle recidive di TVP ed EP nell’adulto. (Vedere paragrafo 4.4 </w:t>
      </w:r>
      <w:r w:rsidR="007F2858">
        <w:t xml:space="preserve">RCP </w:t>
      </w:r>
      <w:r w:rsidRPr="00D75D45">
        <w:t>per pazienti EP emodinamicamente instabili)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r w:rsidRPr="00D75D45">
        <w:rPr>
          <w:u w:val="single"/>
        </w:rPr>
        <w:t xml:space="preserve">Rivaroxaban </w:t>
      </w:r>
      <w:r w:rsidR="00600869">
        <w:rPr>
          <w:u w:val="single"/>
        </w:rPr>
        <w:t>VI.REL PHARMA</w:t>
      </w:r>
      <w:r w:rsidRPr="00D75D45">
        <w:rPr>
          <w:u w:val="single"/>
        </w:rPr>
        <w:t xml:space="preserve"> 20 mg compresse rivestite con film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>Prevenzione dell’ictus e dell’embolia sistemica nei pazienti adulti affetti da fibrillazione atriale non valvolare con uno o più fattori di rischio, come insufficienza cardiaca congestizia, ipertensione, età ≥ 75 anni, diabete mellito, pregresso ictus o attacco ischemico transitorio.</w:t>
      </w: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75D45" w:rsidRPr="00D75D45" w:rsidRDefault="00D75D45" w:rsidP="00D75D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>Trattamento della trombosi venosa profonda (TVP) e dell’embolia polmonare (EP) e prevenzione delle recidive di TVP ed EP nell’adulto. (Vedere paragrafo 4.4</w:t>
      </w:r>
      <w:r w:rsidR="007F2858">
        <w:t xml:space="preserve"> RCP</w:t>
      </w:r>
      <w:r w:rsidRPr="00D75D45">
        <w:t xml:space="preserve"> per pazienti EP emodinamicamente instabili).</w:t>
      </w:r>
    </w:p>
    <w:bookmarkEnd w:id="2"/>
    <w:p w:rsidR="00D75D45" w:rsidRDefault="00D75D45" w:rsidP="0042214D">
      <w:pPr>
        <w:spacing w:after="0" w:line="240" w:lineRule="auto"/>
        <w:jc w:val="both"/>
      </w:pPr>
    </w:p>
    <w:p w:rsidR="00C824E7" w:rsidRPr="00C824E7" w:rsidRDefault="0042214D" w:rsidP="00C824E7">
      <w:pPr>
        <w:spacing w:after="0" w:line="240" w:lineRule="auto"/>
        <w:jc w:val="both"/>
      </w:pPr>
      <w:r w:rsidRPr="007461B9">
        <w:t xml:space="preserve">La richiesta di AIC è supportata da </w:t>
      </w:r>
      <w:r w:rsidR="00D53457">
        <w:t>tre studi</w:t>
      </w:r>
      <w:r w:rsidRPr="007461B9">
        <w:t xml:space="preserve"> di </w:t>
      </w:r>
      <w:proofErr w:type="spellStart"/>
      <w:r w:rsidRPr="007461B9">
        <w:t>bioequivalenza</w:t>
      </w:r>
      <w:proofErr w:type="spellEnd"/>
      <w:r w:rsidR="00C824E7">
        <w:t xml:space="preserve"> </w:t>
      </w:r>
      <w:r w:rsidRPr="007461B9">
        <w:t>che ha</w:t>
      </w:r>
      <w:r w:rsidR="00D53457">
        <w:t>nno</w:t>
      </w:r>
      <w:r w:rsidRPr="007461B9">
        <w:t xml:space="preserve"> confrontato i profili farmacocinetici</w:t>
      </w:r>
      <w:r w:rsidRPr="00900C91">
        <w:t xml:space="preserve"> del medicinale test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D53457">
        <w:rPr>
          <w:rFonts w:eastAsia="Calibri" w:cs="Calibri"/>
          <w:color w:val="000000"/>
          <w:lang w:eastAsia="it-IT"/>
        </w:rPr>
        <w:t xml:space="preserve"> </w:t>
      </w:r>
      <w:r w:rsidRPr="00900C91">
        <w:t>e quelli del medicinale</w:t>
      </w:r>
      <w:r>
        <w:t xml:space="preserve"> di riferimento</w:t>
      </w:r>
      <w:r w:rsidRPr="00900C91">
        <w:t xml:space="preserve"> </w:t>
      </w:r>
      <w:proofErr w:type="spellStart"/>
      <w:r w:rsidR="00D75D45">
        <w:t>Xarelto</w:t>
      </w:r>
      <w:proofErr w:type="spellEnd"/>
      <w:r>
        <w:t xml:space="preserve"> autorizzato in Italia</w:t>
      </w:r>
      <w:r w:rsidR="00C824E7" w:rsidRPr="00C824E7">
        <w:t xml:space="preserve">. </w:t>
      </w:r>
      <w:r w:rsidR="00C824E7" w:rsidRPr="005A17C2">
        <w:t xml:space="preserve">La </w:t>
      </w:r>
      <w:proofErr w:type="spellStart"/>
      <w:r w:rsidR="00C824E7" w:rsidRPr="005A17C2">
        <w:t>bioequivalenza</w:t>
      </w:r>
      <w:proofErr w:type="spellEnd"/>
      <w:r w:rsidR="00C824E7" w:rsidRPr="005A17C2">
        <w:t xml:space="preserve"> è stata valutata con i dosaggi da 2.5mg</w:t>
      </w:r>
      <w:r w:rsidR="007F2858">
        <w:t xml:space="preserve"> </w:t>
      </w:r>
      <w:r w:rsidR="00C824E7" w:rsidRPr="005A17C2">
        <w:t>, 10 mg, 20 mg</w:t>
      </w:r>
      <w:r w:rsidR="00393F74" w:rsidRPr="005A17C2">
        <w:t xml:space="preserve"> ed</w:t>
      </w:r>
      <w:r w:rsidR="00C824E7" w:rsidRPr="005A17C2">
        <w:t xml:space="preserve"> è stato accettato un </w:t>
      </w:r>
      <w:r w:rsidR="005A17C2">
        <w:t>approccio di estrapolazione (</w:t>
      </w:r>
      <w:proofErr w:type="spellStart"/>
      <w:r w:rsidR="00C824E7" w:rsidRPr="005A17C2">
        <w:t>biowaiver</w:t>
      </w:r>
      <w:proofErr w:type="spellEnd"/>
      <w:r w:rsidR="005A17C2">
        <w:t>)</w:t>
      </w:r>
      <w:r w:rsidR="00C824E7" w:rsidRPr="005A17C2">
        <w:t xml:space="preserve"> per il dosaggio da 15 mg.</w:t>
      </w:r>
    </w:p>
    <w:p w:rsidR="0042214D" w:rsidRPr="00900C91" w:rsidRDefault="0042214D" w:rsidP="0042214D">
      <w:pPr>
        <w:spacing w:after="0" w:line="240" w:lineRule="auto"/>
        <w:jc w:val="both"/>
      </w:pPr>
    </w:p>
    <w:p w:rsidR="0042214D" w:rsidRDefault="00D53457" w:rsidP="0042214D">
      <w:pPr>
        <w:spacing w:after="0" w:line="240" w:lineRule="auto"/>
        <w:jc w:val="both"/>
      </w:pPr>
      <w:r>
        <w:t xml:space="preserve">Gli studi di </w:t>
      </w:r>
      <w:proofErr w:type="spellStart"/>
      <w:r>
        <w:t>bioequivalenza</w:t>
      </w:r>
      <w:proofErr w:type="spellEnd"/>
      <w:r>
        <w:t xml:space="preserve"> sono stati condotti</w:t>
      </w:r>
      <w:r w:rsidR="0042214D" w:rsidRPr="00900C91">
        <w:t xml:space="preserve"> in conformità alle linee guida di Buona Pratica Clinica (</w:t>
      </w:r>
      <w:proofErr w:type="spellStart"/>
      <w:r w:rsidR="0042214D" w:rsidRPr="00900C91">
        <w:rPr>
          <w:i/>
        </w:rPr>
        <w:t>Good</w:t>
      </w:r>
      <w:proofErr w:type="spellEnd"/>
      <w:r w:rsidR="0042214D" w:rsidRPr="00900C91">
        <w:rPr>
          <w:i/>
        </w:rPr>
        <w:t xml:space="preserve"> </w:t>
      </w:r>
      <w:proofErr w:type="spellStart"/>
      <w:r w:rsidR="0042214D" w:rsidRPr="00900C91">
        <w:rPr>
          <w:i/>
        </w:rPr>
        <w:t>Clinical</w:t>
      </w:r>
      <w:proofErr w:type="spellEnd"/>
      <w:r w:rsidR="0042214D" w:rsidRPr="00900C91">
        <w:rPr>
          <w:i/>
        </w:rPr>
        <w:t xml:space="preserve"> </w:t>
      </w:r>
      <w:proofErr w:type="spellStart"/>
      <w:r w:rsidR="0042214D" w:rsidRPr="00900C91">
        <w:rPr>
          <w:i/>
        </w:rPr>
        <w:t>Practice</w:t>
      </w:r>
      <w:proofErr w:type="spellEnd"/>
      <w:r w:rsidR="0042214D" w:rsidRPr="00900C91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</w:t>
      </w:r>
      <w:r w:rsidR="007F2858">
        <w:t>i</w:t>
      </w:r>
      <w:r w:rsidRPr="00EF6711">
        <w:t>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7F2858">
        <w:t>È</w:t>
      </w:r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D53457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D53457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4E5A39" w:rsidRPr="008249E0" w:rsidRDefault="004E5A39" w:rsidP="00EF6711">
      <w:pPr>
        <w:spacing w:after="0" w:line="240" w:lineRule="auto"/>
        <w:jc w:val="both"/>
        <w:rPr>
          <w:i/>
        </w:rPr>
      </w:pPr>
      <w:r w:rsidRPr="00EF6711">
        <w:rPr>
          <w:b/>
        </w:rPr>
        <w:t xml:space="preserve">II.1 PRINCIPIO ATTIVO </w:t>
      </w:r>
      <w:r w:rsidR="00DD74C0">
        <w:rPr>
          <w:b/>
        </w:rPr>
        <w:t>RIVAROXABAN</w:t>
      </w:r>
    </w:p>
    <w:p w:rsidR="008249E0" w:rsidRPr="008249E0" w:rsidRDefault="008249E0" w:rsidP="00EF6711">
      <w:pPr>
        <w:spacing w:after="0" w:line="240" w:lineRule="auto"/>
        <w:jc w:val="both"/>
        <w:rPr>
          <w:b/>
        </w:rPr>
      </w:pPr>
      <w:r w:rsidRPr="008249E0">
        <w:rPr>
          <w:i/>
        </w:rPr>
        <w:t>Il principio attivo è prodotto da due differenti produttori</w:t>
      </w:r>
    </w:p>
    <w:p w:rsidR="008249E0" w:rsidRPr="00EF6711" w:rsidRDefault="008249E0" w:rsidP="00EF6711">
      <w:pPr>
        <w:spacing w:after="0" w:line="240" w:lineRule="auto"/>
        <w:jc w:val="both"/>
      </w:pPr>
    </w:p>
    <w:p w:rsidR="006F0865" w:rsidRDefault="004E5A39" w:rsidP="006F0865">
      <w:pPr>
        <w:spacing w:after="0" w:line="240" w:lineRule="auto"/>
        <w:jc w:val="both"/>
        <w:rPr>
          <w:u w:val="single"/>
        </w:rPr>
      </w:pPr>
      <w:r w:rsidRPr="00EF6711">
        <w:rPr>
          <w:u w:val="single"/>
        </w:rPr>
        <w:t>Nome chimico</w:t>
      </w:r>
      <w:r w:rsidR="006B0FE6">
        <w:rPr>
          <w:u w:val="single"/>
        </w:rPr>
        <w:t>:</w:t>
      </w:r>
      <w:r w:rsidR="000E4494" w:rsidRPr="00EF6711">
        <w:rPr>
          <w:i/>
          <w:iCs/>
        </w:rPr>
        <w:t xml:space="preserve"> </w:t>
      </w:r>
      <w:r w:rsidR="006B0FE6" w:rsidRPr="006B0FE6">
        <w:rPr>
          <w:rFonts w:cs="Calibri"/>
        </w:rPr>
        <w:t>5-cloro-N-{[</w:t>
      </w:r>
      <w:r w:rsidR="006B0FE6">
        <w:rPr>
          <w:rFonts w:cs="Calibri"/>
        </w:rPr>
        <w:t>(5</w:t>
      </w:r>
      <w:r w:rsidR="006B0FE6" w:rsidRPr="006B0FE6">
        <w:rPr>
          <w:rFonts w:cs="Calibri"/>
        </w:rPr>
        <w:t xml:space="preserve"> S)-</w:t>
      </w:r>
      <w:r w:rsidR="006B0FE6">
        <w:rPr>
          <w:rFonts w:cs="Calibri"/>
        </w:rPr>
        <w:t xml:space="preserve">2-oxo-3-[4-(3-oxomorpholin-4-yl) </w:t>
      </w:r>
      <w:proofErr w:type="spellStart"/>
      <w:r w:rsidR="006B0FE6">
        <w:rPr>
          <w:rFonts w:cs="Calibri"/>
        </w:rPr>
        <w:t>pheny</w:t>
      </w:r>
      <w:r w:rsidR="006B0FE6" w:rsidRPr="006B0FE6">
        <w:rPr>
          <w:rFonts w:cs="Calibri"/>
        </w:rPr>
        <w:t>l</w:t>
      </w:r>
      <w:proofErr w:type="spellEnd"/>
      <w:r w:rsidR="006B0FE6" w:rsidRPr="006B0FE6">
        <w:rPr>
          <w:rFonts w:cs="Calibri"/>
        </w:rPr>
        <w:t>]</w:t>
      </w:r>
      <w:r w:rsidR="006B0FE6">
        <w:rPr>
          <w:rFonts w:cs="Calibri"/>
        </w:rPr>
        <w:t>1,3 - oxazolidin-5-yl]</w:t>
      </w:r>
      <w:proofErr w:type="spellStart"/>
      <w:r w:rsidR="006B0FE6">
        <w:rPr>
          <w:rFonts w:cs="Calibri"/>
        </w:rPr>
        <w:t>methy</w:t>
      </w:r>
      <w:r w:rsidR="006B0FE6" w:rsidRPr="006B0FE6">
        <w:rPr>
          <w:rFonts w:cs="Calibri"/>
        </w:rPr>
        <w:t>l</w:t>
      </w:r>
      <w:proofErr w:type="spellEnd"/>
      <w:r w:rsidR="006B0FE6" w:rsidRPr="006B0FE6">
        <w:rPr>
          <w:rFonts w:cs="Calibri"/>
        </w:rPr>
        <w:t>} t</w:t>
      </w:r>
      <w:r w:rsidR="006F0865" w:rsidRPr="006F0865">
        <w:rPr>
          <w:u w:val="single"/>
        </w:rPr>
        <w:t xml:space="preserve"> </w:t>
      </w:r>
    </w:p>
    <w:p w:rsidR="004E5A39" w:rsidRPr="00CC52A3" w:rsidRDefault="006B0FE6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6B0FE6">
        <w:rPr>
          <w:rFonts w:cs="Calibri"/>
        </w:rPr>
        <w:t>hi</w:t>
      </w:r>
      <w:r>
        <w:rPr>
          <w:rFonts w:cs="Calibri"/>
        </w:rPr>
        <w:t>ophene-2-carbox</w:t>
      </w:r>
      <w:r w:rsidRPr="006B0FE6">
        <w:rPr>
          <w:rFonts w:cs="Calibri"/>
        </w:rPr>
        <w:t>amide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4E5A39" w:rsidRPr="00EF6711" w:rsidRDefault="00561715" w:rsidP="00EF6711">
      <w:pPr>
        <w:spacing w:after="0" w:line="240" w:lineRule="auto"/>
        <w:jc w:val="center"/>
        <w:rPr>
          <w:highlight w:val="yellow"/>
        </w:rPr>
      </w:pPr>
      <w:r>
        <w:rPr>
          <w:rFonts w:cs="Arial"/>
          <w:b/>
          <w:i/>
          <w:noProof/>
          <w:sz w:val="20"/>
          <w:lang w:eastAsia="it-IT"/>
        </w:rPr>
        <w:lastRenderedPageBreak/>
        <w:drawing>
          <wp:inline distT="0" distB="0" distL="0" distR="0">
            <wp:extent cx="2100373" cy="997578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567" cy="99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561715">
        <w:rPr>
          <w:rFonts w:cs="Calibri"/>
        </w:rPr>
        <w:t>C</w:t>
      </w:r>
      <w:r w:rsidR="00561715" w:rsidRPr="00561715">
        <w:rPr>
          <w:rFonts w:cs="Calibri"/>
          <w:vertAlign w:val="subscript"/>
        </w:rPr>
        <w:t>19</w:t>
      </w:r>
      <w:r w:rsidR="00561715">
        <w:rPr>
          <w:rFonts w:cs="Calibri"/>
        </w:rPr>
        <w:t>H</w:t>
      </w:r>
      <w:r w:rsidR="00561715" w:rsidRPr="00561715">
        <w:rPr>
          <w:rFonts w:cs="Calibri"/>
          <w:vertAlign w:val="subscript"/>
        </w:rPr>
        <w:t>18</w:t>
      </w:r>
      <w:r w:rsidR="00561715">
        <w:rPr>
          <w:rFonts w:cs="Calibri"/>
        </w:rPr>
        <w:t>ClN</w:t>
      </w:r>
      <w:r w:rsidR="00561715" w:rsidRPr="00196B6D">
        <w:rPr>
          <w:rFonts w:cs="Calibri"/>
          <w:vertAlign w:val="subscript"/>
        </w:rPr>
        <w:t>3</w:t>
      </w:r>
      <w:r w:rsidR="00561715">
        <w:rPr>
          <w:rFonts w:cs="Calibri"/>
        </w:rPr>
        <w:t>O</w:t>
      </w:r>
      <w:r w:rsidR="00561715" w:rsidRPr="00561715">
        <w:rPr>
          <w:rFonts w:cs="Calibri"/>
          <w:vertAlign w:val="subscript"/>
        </w:rPr>
        <w:t>5</w:t>
      </w:r>
      <w:r w:rsidR="00561715">
        <w:rPr>
          <w:rFonts w:cs="Calibri"/>
        </w:rPr>
        <w:t>S</w:t>
      </w:r>
      <w:r w:rsidR="00561715" w:rsidRPr="00561715">
        <w:rPr>
          <w:rFonts w:cs="Calibri"/>
          <w:vertAlign w:val="subscript"/>
        </w:rPr>
        <w:t>2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561715">
        <w:rPr>
          <w:rFonts w:cs="Calibri"/>
        </w:rPr>
        <w:t>435.89</w:t>
      </w:r>
      <w:r w:rsidR="009A23DE"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g/mol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61AC5">
        <w:t>[366789-02-8</w:t>
      </w:r>
      <w:r w:rsidR="00CC52A3">
        <w:t>]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8249E0" w:rsidRDefault="004E5A39" w:rsidP="00EF6711">
      <w:pPr>
        <w:spacing w:after="0" w:line="240" w:lineRule="auto"/>
        <w:jc w:val="both"/>
      </w:pPr>
    </w:p>
    <w:p w:rsidR="006F0865" w:rsidRPr="008249E0" w:rsidRDefault="006F0865" w:rsidP="006F0865">
      <w:pPr>
        <w:spacing w:after="0" w:line="240" w:lineRule="auto"/>
        <w:jc w:val="both"/>
      </w:pPr>
      <w:r w:rsidRPr="008249E0">
        <w:rPr>
          <w:u w:val="single"/>
        </w:rPr>
        <w:t>Aspetto</w:t>
      </w:r>
      <w:r w:rsidRPr="008249E0">
        <w:t xml:space="preserve">: polvere </w:t>
      </w:r>
      <w:r w:rsidR="008249E0" w:rsidRPr="008249E0">
        <w:t xml:space="preserve">di colore </w:t>
      </w:r>
      <w:r w:rsidRPr="008249E0">
        <w:t>bianc</w:t>
      </w:r>
      <w:r w:rsidR="008249E0" w:rsidRPr="008249E0">
        <w:t>o</w:t>
      </w:r>
      <w:r w:rsidRPr="008249E0">
        <w:t xml:space="preserve"> </w:t>
      </w:r>
      <w:r w:rsidR="008249E0" w:rsidRPr="008249E0">
        <w:t>o giallognolo</w:t>
      </w:r>
    </w:p>
    <w:p w:rsidR="006F0865" w:rsidRPr="008249E0" w:rsidRDefault="006F0865" w:rsidP="006F0865">
      <w:pPr>
        <w:spacing w:after="0" w:line="240" w:lineRule="auto"/>
        <w:jc w:val="both"/>
      </w:pPr>
      <w:r w:rsidRPr="008249E0">
        <w:rPr>
          <w:u w:val="single"/>
        </w:rPr>
        <w:t>Solubilità</w:t>
      </w:r>
      <w:r w:rsidRPr="008249E0">
        <w:t>: insolubile in acetone, praticamente insolubile in metanolo</w:t>
      </w:r>
      <w:r w:rsidR="008249E0" w:rsidRPr="008249E0">
        <w:t xml:space="preserve"> e in acqua</w:t>
      </w:r>
      <w:r w:rsidRPr="008249E0">
        <w:t xml:space="preserve">, molto poco solubile in </w:t>
      </w:r>
      <w:proofErr w:type="spellStart"/>
      <w:r w:rsidRPr="008249E0">
        <w:t>tetraidrofurano</w:t>
      </w:r>
      <w:proofErr w:type="spellEnd"/>
      <w:r w:rsidRPr="008249E0">
        <w:t xml:space="preserve">, poco solubile in acetonitrile e acido acetico glaciale, solubile in </w:t>
      </w:r>
      <w:r w:rsidR="008249E0" w:rsidRPr="008249E0">
        <w:t>N,</w:t>
      </w:r>
      <w:proofErr w:type="spellStart"/>
      <w:r w:rsidR="008249E0" w:rsidRPr="008249E0">
        <w:t>N-</w:t>
      </w:r>
      <w:r w:rsidRPr="008249E0">
        <w:t>dimetilformammide</w:t>
      </w:r>
      <w:proofErr w:type="spellEnd"/>
      <w:r w:rsidRPr="008249E0">
        <w:t xml:space="preserve"> e </w:t>
      </w:r>
      <w:proofErr w:type="spellStart"/>
      <w:r w:rsidRPr="008249E0">
        <w:t>dimetilsolfossido</w:t>
      </w:r>
      <w:proofErr w:type="spellEnd"/>
      <w:r w:rsidR="008249E0" w:rsidRPr="008249E0">
        <w:t>.</w:t>
      </w:r>
    </w:p>
    <w:p w:rsidR="008249E0" w:rsidRPr="006F0865" w:rsidRDefault="008249E0" w:rsidP="00EF6711">
      <w:pPr>
        <w:spacing w:after="0" w:line="240" w:lineRule="auto"/>
        <w:jc w:val="both"/>
        <w:rPr>
          <w:highlight w:val="yellow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>Il principio attivo non è</w:t>
      </w:r>
      <w:r w:rsidR="006F0865">
        <w:t xml:space="preserve"> </w:t>
      </w:r>
      <w:r w:rsidRPr="00400F57">
        <w:t>pr</w:t>
      </w:r>
      <w:r w:rsidR="000C6F21">
        <w:t xml:space="preserve">esente in Farmacopea Europea; </w:t>
      </w:r>
      <w:bookmarkStart w:id="4" w:name="_Hlk57972736"/>
      <w:r w:rsidR="000C6F21">
        <w:t>i due produttori</w:t>
      </w:r>
      <w:r w:rsidRPr="00400F57">
        <w:t xml:space="preserve"> ha</w:t>
      </w:r>
      <w:r w:rsidR="000C6F21">
        <w:t>nno</w:t>
      </w:r>
      <w:r w:rsidRPr="00400F57">
        <w:t xml:space="preserve"> presentato un ASMF. </w:t>
      </w:r>
      <w:bookmarkEnd w:id="4"/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265B61" w:rsidRPr="008249E0" w:rsidRDefault="00265B61" w:rsidP="003637F0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Il confezionamento primario </w:t>
      </w:r>
      <w:r w:rsidR="00362849" w:rsidRPr="00362849">
        <w:t>propost</w:t>
      </w:r>
      <w:r w:rsidR="00362849">
        <w:t>o</w:t>
      </w:r>
      <w:r w:rsidR="00362849" w:rsidRPr="00362849">
        <w:t xml:space="preserve"> per il commercio dai due produttori </w:t>
      </w:r>
      <w:r>
        <w:t xml:space="preserve">è costituito </w:t>
      </w:r>
      <w:r w:rsidR="008249E0" w:rsidRPr="008249E0">
        <w:t xml:space="preserve">da materiale di sufficiente qualità: </w:t>
      </w:r>
      <w:r w:rsidR="000C6F21" w:rsidRPr="008249E0">
        <w:t xml:space="preserve">sacchi doppi in polietilene contenuti in fusti in polietilene </w:t>
      </w:r>
      <w:r w:rsidR="008249E0" w:rsidRPr="008249E0">
        <w:t>o</w:t>
      </w:r>
      <w:r w:rsidR="003637F0" w:rsidRPr="008249E0">
        <w:t xml:space="preserve"> da un sacco trasparente di polietilene a bassa densità, legato con uno strip</w:t>
      </w:r>
      <w:r w:rsidR="00713F84" w:rsidRPr="008249E0">
        <w:t xml:space="preserve"> (</w:t>
      </w:r>
      <w:r w:rsidR="003637F0" w:rsidRPr="008249E0">
        <w:t>questo sacco è posto all'interno di una busta di polietilene a bassa densità di colore nero legata con uno strip</w:t>
      </w:r>
      <w:r w:rsidR="00713F84" w:rsidRPr="008249E0">
        <w:t xml:space="preserve">; </w:t>
      </w:r>
      <w:r w:rsidR="003637F0" w:rsidRPr="008249E0">
        <w:t>questa doppia busta in polietilene è inserita all'interno di una tripla busta laminata e sigillata</w:t>
      </w:r>
      <w:r w:rsidR="00713F84" w:rsidRPr="008249E0">
        <w:t xml:space="preserve">; </w:t>
      </w:r>
      <w:r w:rsidR="003637F0" w:rsidRPr="008249E0">
        <w:t>la sacca tripla laminata è posta all'interno di un contenitore in HDPE</w:t>
      </w:r>
      <w:r w:rsidR="008249E0">
        <w:t>)</w:t>
      </w:r>
      <w:r w:rsidR="00713F84" w:rsidRPr="008249E0">
        <w:t>.</w:t>
      </w:r>
    </w:p>
    <w:p w:rsidR="00265B61" w:rsidRDefault="00265B61" w:rsidP="00265B61">
      <w:pPr>
        <w:spacing w:after="0" w:line="240" w:lineRule="auto"/>
        <w:jc w:val="both"/>
      </w:pPr>
      <w:r>
        <w:t>Sono stati forniti adeguati studi di stabilità per il principio attivo conservato ne</w:t>
      </w:r>
      <w:r w:rsidR="007F2858">
        <w:t>i</w:t>
      </w:r>
      <w:r>
        <w:t xml:space="preserve"> confezionament</w:t>
      </w:r>
      <w:r w:rsidR="007F2858">
        <w:t>i</w:t>
      </w:r>
      <w:r>
        <w:t xml:space="preserve"> propost</w:t>
      </w:r>
      <w:r w:rsidR="007F2858">
        <w:t>i</w:t>
      </w:r>
      <w:r>
        <w:t xml:space="preserve"> per il commercio</w:t>
      </w:r>
      <w:r w:rsidR="007F2858">
        <w:t xml:space="preserve"> dai due produttori</w:t>
      </w:r>
      <w:r>
        <w:t xml:space="preserve">. Sulla base di questi dati </w:t>
      </w:r>
      <w:r w:rsidR="00362849">
        <w:t>sono</w:t>
      </w:r>
      <w:r>
        <w:t xml:space="preserve"> stat</w:t>
      </w:r>
      <w:r w:rsidR="00362849">
        <w:t>i</w:t>
      </w:r>
      <w:r>
        <w:t xml:space="preserve"> approvat</w:t>
      </w:r>
      <w:r w:rsidR="00362849">
        <w:t>i</w:t>
      </w:r>
      <w:r>
        <w:t xml:space="preserve"> </w:t>
      </w:r>
      <w:r w:rsidR="00713F84" w:rsidRPr="00D41ABF">
        <w:t xml:space="preserve">per </w:t>
      </w:r>
      <w:r w:rsidR="00362849">
        <w:t xml:space="preserve">il principio attivo </w:t>
      </w:r>
      <w:proofErr w:type="spellStart"/>
      <w:r w:rsidR="007F2858">
        <w:t>r</w:t>
      </w:r>
      <w:r w:rsidR="00713F84" w:rsidRPr="00D41ABF">
        <w:t>ivaroxaban</w:t>
      </w:r>
      <w:proofErr w:type="spellEnd"/>
      <w:r w:rsidR="00713F84" w:rsidRPr="00D41ABF">
        <w:t xml:space="preserve"> </w:t>
      </w:r>
      <w:bookmarkStart w:id="5" w:name="_Hlk57974811"/>
      <w:r w:rsidR="00D41ABF" w:rsidRPr="00D41ABF">
        <w:t>prodotto d</w:t>
      </w:r>
      <w:r w:rsidR="00362849">
        <w:t>al I</w:t>
      </w:r>
      <w:r w:rsidR="00D41ABF">
        <w:t xml:space="preserve"> produttore</w:t>
      </w:r>
      <w:r w:rsidR="00713F84">
        <w:t xml:space="preserve"> </w:t>
      </w:r>
      <w:bookmarkEnd w:id="5"/>
      <w:r w:rsidR="00713F84">
        <w:t xml:space="preserve">un periodo di </w:t>
      </w:r>
      <w:proofErr w:type="spellStart"/>
      <w:r w:rsidR="00713F84">
        <w:t>retest</w:t>
      </w:r>
      <w:proofErr w:type="spellEnd"/>
      <w:r w:rsidR="00713F84">
        <w:t xml:space="preserve"> di 36 mesi e per </w:t>
      </w:r>
      <w:proofErr w:type="spellStart"/>
      <w:r w:rsidR="00362849">
        <w:t>r</w:t>
      </w:r>
      <w:r w:rsidR="00713F84" w:rsidRPr="00D41ABF">
        <w:t>ivaroxaban</w:t>
      </w:r>
      <w:proofErr w:type="spellEnd"/>
      <w:r w:rsidR="00713F84" w:rsidRPr="00D41ABF">
        <w:t xml:space="preserve"> </w:t>
      </w:r>
      <w:r w:rsidR="00D41ABF" w:rsidRPr="00D41ABF">
        <w:t xml:space="preserve">prodotto dal II produttore </w:t>
      </w:r>
      <w:r>
        <w:t xml:space="preserve">un periodo di </w:t>
      </w:r>
      <w:proofErr w:type="spellStart"/>
      <w:r>
        <w:t>retest</w:t>
      </w:r>
      <w:proofErr w:type="spellEnd"/>
      <w:r>
        <w:t xml:space="preserve"> di </w:t>
      </w:r>
      <w:r w:rsidR="000C6F21">
        <w:t>60</w:t>
      </w:r>
      <w:r>
        <w:t xml:space="preserve"> mesi</w:t>
      </w:r>
      <w:r w:rsidR="00713F84">
        <w:t xml:space="preserve"> senza alcuna particolare condizione di conservazione.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7F189D" w:rsidRDefault="0077674A" w:rsidP="007F189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 w:rsidR="000B7AC8">
        <w:rPr>
          <w:rFonts w:eastAsia="Calibri" w:cs="Calibri"/>
          <w:color w:val="000000"/>
          <w:lang w:eastAsia="it-IT"/>
        </w:rPr>
        <w:t xml:space="preserve">è disponibile in </w:t>
      </w:r>
      <w:r w:rsidR="007F189D">
        <w:rPr>
          <w:rFonts w:eastAsia="Calibri" w:cs="Calibri"/>
          <w:color w:val="000000"/>
          <w:lang w:eastAsia="it-IT"/>
        </w:rPr>
        <w:t>compresse rivestite con film contenenti 2,5 mg, 10 mg, 15 mg, 20 mg di principio attivo.</w:t>
      </w:r>
    </w:p>
    <w:p w:rsidR="007F189D" w:rsidRDefault="007F189D" w:rsidP="007F189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F189D" w:rsidRDefault="004E5A39" w:rsidP="007F189D">
      <w:pPr>
        <w:widowControl w:val="0"/>
        <w:spacing w:after="0" w:line="240" w:lineRule="auto"/>
        <w:jc w:val="both"/>
      </w:pPr>
      <w:r w:rsidRPr="00EF6711">
        <w:t xml:space="preserve">Gli eccipienti </w:t>
      </w:r>
      <w:r w:rsidR="007F189D">
        <w:t xml:space="preserve">di </w:t>
      </w:r>
      <w:r w:rsidR="007F189D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7F189D">
        <w:rPr>
          <w:rFonts w:eastAsia="Calibri" w:cs="Calibri"/>
          <w:color w:val="000000"/>
          <w:lang w:eastAsia="it-IT"/>
        </w:rPr>
        <w:t xml:space="preserve">  2,5 mg in compresse rivestite con film</w:t>
      </w:r>
      <w:r w:rsidR="007F189D" w:rsidRPr="00EF6711">
        <w:t xml:space="preserve"> </w:t>
      </w:r>
      <w:r w:rsidRPr="00EF6711">
        <w:t>sono</w:t>
      </w:r>
      <w:r w:rsidR="007F189D">
        <w:t>:</w:t>
      </w:r>
    </w:p>
    <w:p w:rsidR="007F189D" w:rsidRPr="007F189D" w:rsidRDefault="007F189D" w:rsidP="007F189D">
      <w:pPr>
        <w:widowControl w:val="0"/>
        <w:spacing w:after="0" w:line="240" w:lineRule="auto"/>
        <w:jc w:val="both"/>
        <w:rPr>
          <w:u w:val="single"/>
        </w:rPr>
      </w:pPr>
      <w:r w:rsidRPr="007F189D">
        <w:rPr>
          <w:u w:val="single"/>
        </w:rPr>
        <w:t xml:space="preserve">Nucleo della compressa </w:t>
      </w:r>
    </w:p>
    <w:p w:rsidR="007F189D" w:rsidRPr="007F189D" w:rsidRDefault="007F189D" w:rsidP="007F189D">
      <w:pPr>
        <w:widowControl w:val="0"/>
        <w:spacing w:after="0" w:line="240" w:lineRule="auto"/>
        <w:jc w:val="both"/>
      </w:pPr>
      <w:r w:rsidRPr="007F189D">
        <w:t xml:space="preserve">Cellulosa microcristallina </w:t>
      </w:r>
    </w:p>
    <w:p w:rsidR="007F189D" w:rsidRPr="007F189D" w:rsidRDefault="007F189D" w:rsidP="007F189D">
      <w:pPr>
        <w:widowControl w:val="0"/>
        <w:spacing w:after="0" w:line="240" w:lineRule="auto"/>
        <w:jc w:val="both"/>
      </w:pPr>
      <w:proofErr w:type="spellStart"/>
      <w:r w:rsidRPr="007F189D">
        <w:t>Croscarmellosa</w:t>
      </w:r>
      <w:proofErr w:type="spellEnd"/>
      <w:r w:rsidRPr="007F189D">
        <w:t xml:space="preserve"> sodica</w:t>
      </w:r>
    </w:p>
    <w:p w:rsidR="007F189D" w:rsidRPr="007F189D" w:rsidRDefault="007F189D" w:rsidP="007F189D">
      <w:pPr>
        <w:widowControl w:val="0"/>
        <w:spacing w:after="0" w:line="240" w:lineRule="auto"/>
        <w:jc w:val="both"/>
      </w:pPr>
      <w:r w:rsidRPr="007F189D">
        <w:t>Lattosio monoidrato</w:t>
      </w:r>
    </w:p>
    <w:p w:rsidR="007F189D" w:rsidRPr="007F189D" w:rsidRDefault="007F189D" w:rsidP="007F189D">
      <w:pPr>
        <w:widowControl w:val="0"/>
        <w:spacing w:after="0" w:line="240" w:lineRule="auto"/>
        <w:jc w:val="both"/>
      </w:pPr>
      <w:r w:rsidRPr="007F189D">
        <w:t xml:space="preserve">Sodio </w:t>
      </w:r>
      <w:proofErr w:type="spellStart"/>
      <w:r w:rsidRPr="007F189D">
        <w:t>laurilsolfato</w:t>
      </w:r>
      <w:proofErr w:type="spellEnd"/>
    </w:p>
    <w:p w:rsidR="007F189D" w:rsidRPr="007F189D" w:rsidRDefault="007F189D" w:rsidP="007F189D">
      <w:pPr>
        <w:widowControl w:val="0"/>
        <w:spacing w:after="0" w:line="240" w:lineRule="auto"/>
        <w:jc w:val="both"/>
      </w:pPr>
      <w:r w:rsidRPr="007F189D">
        <w:t>Magnesio stearato</w:t>
      </w:r>
    </w:p>
    <w:p w:rsidR="007F189D" w:rsidRPr="007F189D" w:rsidRDefault="007F189D" w:rsidP="007F189D">
      <w:pPr>
        <w:widowControl w:val="0"/>
        <w:spacing w:after="0" w:line="240" w:lineRule="auto"/>
        <w:jc w:val="both"/>
      </w:pPr>
      <w:proofErr w:type="spellStart"/>
      <w:r w:rsidRPr="007F189D">
        <w:t>Idrossipropilmetil</w:t>
      </w:r>
      <w:proofErr w:type="spellEnd"/>
      <w:r w:rsidRPr="007F189D">
        <w:t xml:space="preserve"> cellulosa </w:t>
      </w:r>
    </w:p>
    <w:p w:rsidR="007F189D" w:rsidRPr="007F189D" w:rsidRDefault="007F189D" w:rsidP="007F189D">
      <w:pPr>
        <w:widowControl w:val="0"/>
        <w:spacing w:after="0" w:line="240" w:lineRule="auto"/>
        <w:jc w:val="both"/>
      </w:pPr>
    </w:p>
    <w:p w:rsidR="007F189D" w:rsidRPr="007F189D" w:rsidRDefault="007F189D" w:rsidP="007F189D">
      <w:pPr>
        <w:widowControl w:val="0"/>
        <w:spacing w:after="0" w:line="240" w:lineRule="auto"/>
        <w:jc w:val="both"/>
        <w:rPr>
          <w:u w:val="single"/>
        </w:rPr>
      </w:pPr>
      <w:r w:rsidRPr="007F189D">
        <w:rPr>
          <w:u w:val="single"/>
        </w:rPr>
        <w:t xml:space="preserve">Pellicola di rivestimento </w:t>
      </w:r>
    </w:p>
    <w:p w:rsidR="007F189D" w:rsidRPr="007F189D" w:rsidRDefault="007F189D" w:rsidP="007F189D">
      <w:pPr>
        <w:widowControl w:val="0"/>
        <w:spacing w:after="0" w:line="240" w:lineRule="auto"/>
        <w:jc w:val="both"/>
      </w:pPr>
      <w:r w:rsidRPr="007F189D">
        <w:t xml:space="preserve">Macrogol 3350 </w:t>
      </w:r>
    </w:p>
    <w:p w:rsidR="007F189D" w:rsidRPr="007F189D" w:rsidRDefault="007F189D" w:rsidP="007F189D">
      <w:pPr>
        <w:widowControl w:val="0"/>
        <w:spacing w:after="0" w:line="240" w:lineRule="auto"/>
        <w:jc w:val="both"/>
      </w:pPr>
      <w:proofErr w:type="spellStart"/>
      <w:r w:rsidRPr="007F189D">
        <w:lastRenderedPageBreak/>
        <w:t>Ipromellosa</w:t>
      </w:r>
      <w:proofErr w:type="spellEnd"/>
    </w:p>
    <w:p w:rsidR="007F189D" w:rsidRPr="007F189D" w:rsidRDefault="007F189D" w:rsidP="007F189D">
      <w:pPr>
        <w:widowControl w:val="0"/>
        <w:spacing w:after="0" w:line="240" w:lineRule="auto"/>
        <w:jc w:val="both"/>
      </w:pPr>
      <w:r w:rsidRPr="007F189D">
        <w:t>Titanio diossido (E 171)</w:t>
      </w:r>
    </w:p>
    <w:p w:rsidR="007F189D" w:rsidRDefault="007F189D" w:rsidP="007F189D">
      <w:pPr>
        <w:widowControl w:val="0"/>
        <w:spacing w:after="0" w:line="240" w:lineRule="auto"/>
        <w:jc w:val="both"/>
      </w:pPr>
      <w:r w:rsidRPr="007F189D">
        <w:t xml:space="preserve"> Ossido di ferro giallo (E 172)</w:t>
      </w:r>
    </w:p>
    <w:p w:rsidR="007F189D" w:rsidRDefault="007F189D" w:rsidP="007F189D">
      <w:pPr>
        <w:widowControl w:val="0"/>
        <w:spacing w:after="0" w:line="240" w:lineRule="auto"/>
        <w:jc w:val="both"/>
      </w:pPr>
    </w:p>
    <w:p w:rsidR="007F189D" w:rsidRDefault="007F189D" w:rsidP="007F189D">
      <w:pPr>
        <w:widowControl w:val="0"/>
        <w:spacing w:after="0" w:line="240" w:lineRule="auto"/>
        <w:jc w:val="both"/>
      </w:pPr>
      <w:r w:rsidRPr="00EF6711">
        <w:t xml:space="preserve">Gli eccipienti </w:t>
      </w:r>
      <w:r>
        <w:t xml:space="preserve">di </w:t>
      </w: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>
        <w:rPr>
          <w:rFonts w:eastAsia="Calibri" w:cs="Calibri"/>
          <w:color w:val="000000"/>
          <w:lang w:eastAsia="it-IT"/>
        </w:rPr>
        <w:t xml:space="preserve"> 10 mg in compresse rivestite con film</w:t>
      </w:r>
      <w:r w:rsidRPr="00EF6711">
        <w:t xml:space="preserve"> sono</w:t>
      </w:r>
      <w:r>
        <w:t>:</w:t>
      </w:r>
    </w:p>
    <w:p w:rsidR="00DF52F9" w:rsidRPr="00DF52F9" w:rsidRDefault="00DF52F9" w:rsidP="00DF52F9">
      <w:pPr>
        <w:widowControl w:val="0"/>
        <w:spacing w:after="0" w:line="240" w:lineRule="auto"/>
        <w:jc w:val="both"/>
        <w:rPr>
          <w:u w:val="single"/>
        </w:rPr>
      </w:pPr>
      <w:r w:rsidRPr="00DF52F9">
        <w:rPr>
          <w:u w:val="single"/>
        </w:rPr>
        <w:t xml:space="preserve">Nucleo della compressa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Cellulosa microcristallina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proofErr w:type="spellStart"/>
      <w:r w:rsidRPr="00DF52F9">
        <w:t>Croscarmellosa</w:t>
      </w:r>
      <w:proofErr w:type="spellEnd"/>
      <w:r w:rsidRPr="00DF52F9">
        <w:t xml:space="preserve"> sodica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Lattosio monoidrato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Sodio </w:t>
      </w:r>
      <w:proofErr w:type="spellStart"/>
      <w:r w:rsidRPr="00DF52F9">
        <w:t>laurilsolfato</w:t>
      </w:r>
      <w:proofErr w:type="spellEnd"/>
      <w:r w:rsidRPr="00DF52F9">
        <w:t xml:space="preserve">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>Magnesio stearato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proofErr w:type="spellStart"/>
      <w:r w:rsidRPr="00DF52F9">
        <w:t>Idrossipropilmetil</w:t>
      </w:r>
      <w:proofErr w:type="spellEnd"/>
      <w:r w:rsidRPr="00DF52F9">
        <w:t xml:space="preserve"> cellulosa </w:t>
      </w:r>
    </w:p>
    <w:p w:rsidR="00DF52F9" w:rsidRPr="00DF52F9" w:rsidRDefault="00DF52F9" w:rsidP="00DF52F9">
      <w:pPr>
        <w:widowControl w:val="0"/>
        <w:spacing w:after="0" w:line="240" w:lineRule="auto"/>
        <w:jc w:val="both"/>
        <w:rPr>
          <w:u w:val="single"/>
        </w:rPr>
      </w:pPr>
    </w:p>
    <w:p w:rsidR="00DF52F9" w:rsidRPr="00DF52F9" w:rsidRDefault="00DF52F9" w:rsidP="00DF52F9">
      <w:pPr>
        <w:widowControl w:val="0"/>
        <w:spacing w:after="0" w:line="240" w:lineRule="auto"/>
        <w:jc w:val="both"/>
        <w:rPr>
          <w:u w:val="single"/>
        </w:rPr>
      </w:pPr>
      <w:r w:rsidRPr="00DF52F9">
        <w:rPr>
          <w:u w:val="single"/>
        </w:rPr>
        <w:t xml:space="preserve">Pellicola di rivestimento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Macrogol 3350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proofErr w:type="spellStart"/>
      <w:r w:rsidRPr="00DF52F9">
        <w:t>Ipromellosa</w:t>
      </w:r>
      <w:proofErr w:type="spellEnd"/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Titanio diossido (E171)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>Ossido di ferro rosso (E172)</w:t>
      </w:r>
    </w:p>
    <w:p w:rsidR="00DF52F9" w:rsidRDefault="00DF52F9" w:rsidP="00DF52F9">
      <w:pPr>
        <w:widowControl w:val="0"/>
        <w:spacing w:after="0" w:line="240" w:lineRule="auto"/>
        <w:jc w:val="both"/>
      </w:pPr>
    </w:p>
    <w:p w:rsidR="00DF52F9" w:rsidRDefault="00DF52F9" w:rsidP="00DF52F9">
      <w:pPr>
        <w:widowControl w:val="0"/>
        <w:spacing w:after="0" w:line="240" w:lineRule="auto"/>
        <w:jc w:val="both"/>
      </w:pPr>
      <w:r w:rsidRPr="00EF6711">
        <w:t xml:space="preserve">Gli eccipienti </w:t>
      </w:r>
      <w:r>
        <w:t xml:space="preserve">di </w:t>
      </w: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>
        <w:rPr>
          <w:rFonts w:eastAsia="Calibri" w:cs="Calibri"/>
          <w:color w:val="000000"/>
          <w:lang w:eastAsia="it-IT"/>
        </w:rPr>
        <w:t xml:space="preserve"> 15 mg in compresse rivestite con film</w:t>
      </w:r>
      <w:r w:rsidRPr="00EF6711">
        <w:t xml:space="preserve"> sono</w:t>
      </w:r>
      <w:r>
        <w:t>:</w:t>
      </w:r>
    </w:p>
    <w:p w:rsidR="00DF52F9" w:rsidRPr="00DF52F9" w:rsidRDefault="00DF52F9" w:rsidP="00DF52F9">
      <w:pPr>
        <w:widowControl w:val="0"/>
        <w:spacing w:after="0" w:line="240" w:lineRule="auto"/>
        <w:jc w:val="both"/>
        <w:rPr>
          <w:u w:val="single"/>
        </w:rPr>
      </w:pPr>
      <w:r w:rsidRPr="00DF52F9">
        <w:rPr>
          <w:u w:val="single"/>
        </w:rPr>
        <w:t xml:space="preserve">Nucleo della compressa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Cellulosa microcristallina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proofErr w:type="spellStart"/>
      <w:r w:rsidRPr="00DF52F9">
        <w:t>Croscarmellosa</w:t>
      </w:r>
      <w:proofErr w:type="spellEnd"/>
      <w:r w:rsidRPr="00DF52F9">
        <w:t xml:space="preserve"> sodica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Lattosio monoidrato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Sodio </w:t>
      </w:r>
      <w:proofErr w:type="spellStart"/>
      <w:r w:rsidRPr="00DF52F9">
        <w:t>laurilsolfato</w:t>
      </w:r>
      <w:proofErr w:type="spellEnd"/>
      <w:r w:rsidRPr="00DF52F9">
        <w:t xml:space="preserve">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>Magnesio stearato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proofErr w:type="spellStart"/>
      <w:r w:rsidRPr="00DF52F9">
        <w:t>Idrossipropilmetil</w:t>
      </w:r>
      <w:proofErr w:type="spellEnd"/>
      <w:r w:rsidRPr="00DF52F9">
        <w:t xml:space="preserve"> cellulosa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</w:p>
    <w:p w:rsidR="00DF52F9" w:rsidRPr="00DF52F9" w:rsidRDefault="00DF52F9" w:rsidP="00DF52F9">
      <w:pPr>
        <w:widowControl w:val="0"/>
        <w:spacing w:after="0" w:line="240" w:lineRule="auto"/>
        <w:jc w:val="both"/>
        <w:rPr>
          <w:u w:val="single"/>
        </w:rPr>
      </w:pPr>
      <w:r w:rsidRPr="00DF52F9">
        <w:rPr>
          <w:u w:val="single"/>
        </w:rPr>
        <w:t xml:space="preserve">Pellicola di rivestimento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Macrogol 3350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proofErr w:type="spellStart"/>
      <w:r w:rsidRPr="00DF52F9">
        <w:t>Ipromellosa</w:t>
      </w:r>
      <w:proofErr w:type="spellEnd"/>
      <w:r w:rsidRPr="00DF52F9">
        <w:t xml:space="preserve">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Titanio diossido (E171)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>Ossido di ferro rosso (E172)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EF6711">
        <w:t xml:space="preserve">Gli eccipienti </w:t>
      </w:r>
      <w:r>
        <w:t xml:space="preserve">di </w:t>
      </w:r>
      <w:r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>
        <w:rPr>
          <w:rFonts w:eastAsia="Calibri" w:cs="Calibri"/>
          <w:color w:val="000000"/>
          <w:lang w:eastAsia="it-IT"/>
        </w:rPr>
        <w:t xml:space="preserve"> 20 mg in compresse rivestite con film</w:t>
      </w:r>
      <w:r w:rsidRPr="00EF6711">
        <w:t xml:space="preserve"> sono</w:t>
      </w:r>
      <w:r>
        <w:t>:</w:t>
      </w:r>
    </w:p>
    <w:p w:rsidR="00DF52F9" w:rsidRPr="00DF52F9" w:rsidRDefault="00DF52F9" w:rsidP="00DF52F9">
      <w:pPr>
        <w:widowControl w:val="0"/>
        <w:spacing w:after="0" w:line="240" w:lineRule="auto"/>
        <w:jc w:val="both"/>
        <w:rPr>
          <w:u w:val="single"/>
        </w:rPr>
      </w:pPr>
      <w:r w:rsidRPr="00DF52F9">
        <w:rPr>
          <w:u w:val="single"/>
        </w:rPr>
        <w:t xml:space="preserve">Nucleo della compressa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Cellulosa microcristallina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proofErr w:type="spellStart"/>
      <w:r w:rsidRPr="00DF52F9">
        <w:t>Croscarmellosa</w:t>
      </w:r>
      <w:proofErr w:type="spellEnd"/>
      <w:r w:rsidRPr="00DF52F9">
        <w:t xml:space="preserve"> sodica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Lattosio monoidrato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proofErr w:type="spellStart"/>
      <w:r w:rsidRPr="00DF52F9">
        <w:t>Idrossipropilmetil</w:t>
      </w:r>
      <w:proofErr w:type="spellEnd"/>
      <w:r w:rsidRPr="00DF52F9">
        <w:t xml:space="preserve"> cellulosa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Sodio </w:t>
      </w:r>
      <w:proofErr w:type="spellStart"/>
      <w:r w:rsidRPr="00DF52F9">
        <w:t>laurilsolfato</w:t>
      </w:r>
      <w:proofErr w:type="spellEnd"/>
      <w:r w:rsidRPr="00DF52F9">
        <w:t xml:space="preserve">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>Magnesio stearato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</w:p>
    <w:p w:rsidR="00DF52F9" w:rsidRPr="00DF52F9" w:rsidRDefault="00DF52F9" w:rsidP="00DF52F9">
      <w:pPr>
        <w:widowControl w:val="0"/>
        <w:spacing w:after="0" w:line="240" w:lineRule="auto"/>
        <w:jc w:val="both"/>
        <w:rPr>
          <w:u w:val="single"/>
        </w:rPr>
      </w:pPr>
      <w:r w:rsidRPr="00DF52F9">
        <w:rPr>
          <w:u w:val="single"/>
        </w:rPr>
        <w:t xml:space="preserve">Pellicola di rivestimento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proofErr w:type="spellStart"/>
      <w:r w:rsidRPr="00DF52F9">
        <w:t>Polivinil</w:t>
      </w:r>
      <w:proofErr w:type="spellEnd"/>
      <w:r w:rsidRPr="00DF52F9">
        <w:t xml:space="preserve"> alcool parzialmente idrolizzato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Macrogol 3350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 xml:space="preserve">Titanio diossido (E 171) </w:t>
      </w:r>
    </w:p>
    <w:p w:rsidR="00DF52F9" w:rsidRPr="00DF52F9" w:rsidRDefault="00DF52F9" w:rsidP="00DF52F9">
      <w:pPr>
        <w:widowControl w:val="0"/>
        <w:spacing w:after="0" w:line="240" w:lineRule="auto"/>
        <w:jc w:val="both"/>
      </w:pPr>
      <w:r w:rsidRPr="00DF52F9">
        <w:t>Ossido di ferro rosso (E 172)</w:t>
      </w:r>
    </w:p>
    <w:p w:rsidR="00DF52F9" w:rsidRDefault="00DF52F9" w:rsidP="00DF52F9">
      <w:pPr>
        <w:widowControl w:val="0"/>
        <w:spacing w:after="0" w:line="240" w:lineRule="auto"/>
        <w:jc w:val="both"/>
      </w:pPr>
      <w:r w:rsidRPr="00DF52F9">
        <w:t>Talco</w:t>
      </w:r>
    </w:p>
    <w:p w:rsidR="001A02B2" w:rsidRPr="00DF52F9" w:rsidRDefault="001A02B2" w:rsidP="00DF52F9">
      <w:pPr>
        <w:widowControl w:val="0"/>
        <w:spacing w:after="0" w:line="240" w:lineRule="auto"/>
        <w:jc w:val="both"/>
      </w:pPr>
    </w:p>
    <w:p w:rsidR="000808A3" w:rsidRDefault="000B7AC8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>
        <w:t>, ad eccezione d</w:t>
      </w:r>
      <w:r w:rsidR="00485421">
        <w:t>ella</w:t>
      </w:r>
      <w:r>
        <w:t xml:space="preserve"> </w:t>
      </w:r>
      <w:r w:rsidR="00485421">
        <w:t>miscela colorante (</w:t>
      </w:r>
      <w:proofErr w:type="spellStart"/>
      <w:r w:rsidR="009F4975">
        <w:t>Opadry</w:t>
      </w:r>
      <w:proofErr w:type="spellEnd"/>
      <w:r w:rsidR="00485421">
        <w:t xml:space="preserve">) </w:t>
      </w:r>
      <w:r>
        <w:t xml:space="preserve">per </w:t>
      </w:r>
      <w:r w:rsidR="00485421">
        <w:t>la quale</w:t>
      </w:r>
      <w:r>
        <w:t xml:space="preserve"> i produtt</w:t>
      </w:r>
      <w:r w:rsidR="001A02B2">
        <w:t>ori</w:t>
      </w:r>
      <w:r>
        <w:t xml:space="preserve"> ha</w:t>
      </w:r>
      <w:r w:rsidR="001A02B2">
        <w:t>nno</w:t>
      </w:r>
      <w:r>
        <w:t xml:space="preserve"> proposto specifiche di controllo accettabili</w:t>
      </w:r>
      <w:r w:rsidR="001A02B2">
        <w:t>.</w:t>
      </w:r>
    </w:p>
    <w:p w:rsidR="001A02B2" w:rsidRDefault="001A02B2" w:rsidP="000808A3">
      <w:pPr>
        <w:spacing w:after="0" w:line="240" w:lineRule="auto"/>
        <w:jc w:val="both"/>
      </w:pPr>
    </w:p>
    <w:p w:rsidR="000808A3" w:rsidRPr="00FE7080" w:rsidRDefault="000808A3" w:rsidP="000808A3">
      <w:pPr>
        <w:spacing w:after="0" w:line="240" w:lineRule="auto"/>
        <w:jc w:val="both"/>
      </w:pPr>
      <w:r w:rsidRPr="00FE7080">
        <w:lastRenderedPageBreak/>
        <w:t>Il solo eccipiente di originale animale è il lattosio; è stata fornita una dichiarazione che nella sua produzione sono utilizzati animali sani della stessa qualità utilizzata per il consumo umano.</w:t>
      </w:r>
    </w:p>
    <w:p w:rsidR="000808A3" w:rsidRPr="00EF6711" w:rsidRDefault="000808A3" w:rsidP="00EF6711">
      <w:pPr>
        <w:spacing w:after="0" w:line="240" w:lineRule="auto"/>
        <w:ind w:right="13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1A02B2" w:rsidRDefault="004E5A39" w:rsidP="00EF6711">
      <w:pPr>
        <w:spacing w:after="0" w:line="240" w:lineRule="auto"/>
        <w:jc w:val="both"/>
      </w:pPr>
      <w:r w:rsidRPr="00EF6711">
        <w:t>Sono stati forniti dati comparativi relativi al profilo di impurezze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r w:rsidR="001A02B2">
        <w:rPr>
          <w:rFonts w:eastAsia="Calibri" w:cs="Calibri"/>
          <w:lang w:eastAsia="it-IT"/>
        </w:rPr>
        <w:t>Xarelto.</w:t>
      </w:r>
      <w:r w:rsidRPr="00EF6711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B27B3E">
        <w:t>o</w:t>
      </w:r>
      <w:r w:rsidR="000808A3">
        <w:t xml:space="preserve">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5A17C2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EF6711">
        <w:rPr>
          <w:b/>
        </w:rPr>
        <w:t>Contenitore</w:t>
      </w:r>
    </w:p>
    <w:p w:rsidR="00D41ABF" w:rsidRPr="005A17C2" w:rsidRDefault="0077674A" w:rsidP="00EF6711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A17C2">
        <w:rPr>
          <w:rFonts w:ascii="Calibri" w:eastAsia="Calibri" w:hAnsi="Calibri" w:cs="Calibri"/>
          <w:color w:val="000000"/>
          <w:lang w:eastAsia="it-IT"/>
        </w:rPr>
        <w:t xml:space="preserve">RIVAROXABAN </w:t>
      </w:r>
      <w:r w:rsidR="00600869">
        <w:rPr>
          <w:rFonts w:ascii="Calibri" w:eastAsia="Calibri" w:hAnsi="Calibri" w:cs="Calibri"/>
          <w:color w:val="000000"/>
          <w:lang w:eastAsia="it-IT"/>
        </w:rPr>
        <w:t>VI.REL PHARMA</w:t>
      </w:r>
      <w:r w:rsidR="00B45421" w:rsidRPr="005A17C2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4E5A39" w:rsidRPr="005A17C2">
        <w:rPr>
          <w:rFonts w:ascii="Calibri" w:hAnsi="Calibri"/>
        </w:rPr>
        <w:t xml:space="preserve">è confezionato in </w:t>
      </w:r>
      <w:r w:rsidR="000808A3" w:rsidRPr="005A17C2">
        <w:rPr>
          <w:rFonts w:ascii="Calibri" w:hAnsi="Calibri"/>
        </w:rPr>
        <w:t xml:space="preserve">blister di </w:t>
      </w:r>
      <w:r w:rsidR="00D41ABF" w:rsidRPr="005A17C2">
        <w:rPr>
          <w:rFonts w:ascii="Calibri" w:eastAsia="Times New Roman" w:hAnsi="Calibri" w:cs="Times New Roman"/>
        </w:rPr>
        <w:t>PVC-PVDC/Al.</w:t>
      </w:r>
    </w:p>
    <w:p w:rsidR="00BA0ACD" w:rsidRPr="00D41ABF" w:rsidRDefault="004E5A39" w:rsidP="00EF671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6711">
        <w:t>Sono state fornite specifiche e certificati analitici per tutti i componenti del confezionamento primario, che è adeguato per</w:t>
      </w:r>
      <w:r w:rsidR="00E971F4">
        <w:t xml:space="preserve"> </w:t>
      </w:r>
      <w:r w:rsidRPr="00EF6711">
        <w:t>il medicinale.</w:t>
      </w:r>
    </w:p>
    <w:p w:rsidR="00D41ABF" w:rsidRDefault="00D41ABF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4E5A39" w:rsidRDefault="004E5A39" w:rsidP="00E971F4">
      <w:pPr>
        <w:shd w:val="clear" w:color="auto" w:fill="FFFFFF"/>
        <w:spacing w:after="0"/>
        <w:jc w:val="both"/>
        <w:rPr>
          <w:rFonts w:ascii="Calibri" w:eastAsia="Times New Roman" w:hAnsi="Calibri" w:cs="Calibri"/>
          <w:lang w:eastAsia="zh-CN"/>
        </w:rPr>
      </w:pPr>
      <w:r w:rsidRPr="00EF6711">
        <w:t>Studi di stabilità sul prodotto finito sono stati condotti in accordo alle correnti linee guida e</w:t>
      </w:r>
      <w:r w:rsidR="00E971F4">
        <w:t>d</w:t>
      </w:r>
      <w:r w:rsidRPr="00EF6711">
        <w:t xml:space="preserve"> i risultati sono entro i limiti delle specifiche autorizzate. Sulla base di questi risultati, è stato autorizzato un periodo di validità di </w:t>
      </w:r>
      <w:r w:rsidR="00D41ABF" w:rsidRPr="00D41ABF">
        <w:rPr>
          <w:rFonts w:ascii="Calibri" w:eastAsia="Times New Roman" w:hAnsi="Calibri" w:cs="Calibri"/>
          <w:lang w:eastAsia="zh-CN"/>
        </w:rPr>
        <w:t xml:space="preserve">18 mesi </w:t>
      </w:r>
      <w:r w:rsidR="00D41ABF">
        <w:rPr>
          <w:rFonts w:ascii="Calibri" w:eastAsia="Times New Roman" w:hAnsi="Calibri" w:cs="Calibri"/>
          <w:lang w:eastAsia="zh-CN"/>
        </w:rPr>
        <w:t>per il d</w:t>
      </w:r>
      <w:r w:rsidR="00D41ABF" w:rsidRPr="00D41ABF">
        <w:rPr>
          <w:rFonts w:ascii="Calibri" w:eastAsia="Times New Roman" w:hAnsi="Calibri" w:cs="Calibri"/>
          <w:lang w:eastAsia="zh-CN"/>
        </w:rPr>
        <w:t>osaggio da 2,5 mg</w:t>
      </w:r>
      <w:r w:rsidR="00D41ABF">
        <w:rPr>
          <w:rFonts w:ascii="Calibri" w:eastAsia="Times New Roman" w:hAnsi="Calibri" w:cs="Calibri"/>
          <w:lang w:eastAsia="zh-CN"/>
        </w:rPr>
        <w:t xml:space="preserve"> e di 2 anni per i d</w:t>
      </w:r>
      <w:r w:rsidR="00D41ABF" w:rsidRPr="00D41ABF">
        <w:rPr>
          <w:rFonts w:ascii="Calibri" w:eastAsia="Times New Roman" w:hAnsi="Calibri" w:cs="Calibri"/>
          <w:lang w:eastAsia="zh-CN"/>
        </w:rPr>
        <w:t>osaggi da 10 mg, 15 mg, 20 mg</w:t>
      </w:r>
      <w:r w:rsidR="00D41ABF">
        <w:rPr>
          <w:rFonts w:ascii="Calibri" w:eastAsia="Times New Roman" w:hAnsi="Calibri" w:cs="Calibri"/>
          <w:lang w:eastAsia="zh-CN"/>
        </w:rPr>
        <w:t xml:space="preserve"> </w:t>
      </w:r>
      <w:r w:rsidRPr="00EF6711">
        <w:t>senza nessuna condizione particolare di conservazione</w:t>
      </w:r>
      <w:r w:rsidR="00E971F4">
        <w:t>.</w:t>
      </w:r>
    </w:p>
    <w:p w:rsidR="00D41ABF" w:rsidRPr="00D41ABF" w:rsidRDefault="00D41ABF" w:rsidP="00E971F4">
      <w:pPr>
        <w:shd w:val="clear" w:color="auto" w:fill="FFFFFF"/>
        <w:spacing w:after="0"/>
        <w:jc w:val="both"/>
        <w:rPr>
          <w:rFonts w:ascii="Calibri" w:eastAsia="Times New Roman" w:hAnsi="Calibri" w:cs="Calibri"/>
          <w:lang w:eastAsia="zh-CN"/>
        </w:rPr>
      </w:pPr>
    </w:p>
    <w:p w:rsidR="004E5A39" w:rsidRPr="00EF6711" w:rsidRDefault="004E5A39" w:rsidP="00E971F4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bookmarkStart w:id="6" w:name="_Hlk57975288"/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bookmarkEnd w:id="6"/>
      <w:r w:rsidR="00B45421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D41ABF" w:rsidRPr="00D41ABF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D41ABF" w:rsidRPr="00D41ABF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276334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276334">
        <w:rPr>
          <w:rFonts w:eastAsia="Calibri" w:cs="Calibri"/>
          <w:lang w:eastAsia="it-IT"/>
        </w:rPr>
        <w:t>Xarelto</w:t>
      </w:r>
      <w:proofErr w:type="spellEnd"/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proofErr w:type="spellStart"/>
      <w:r w:rsidR="00276334">
        <w:t>rivaroxaban</w:t>
      </w:r>
      <w:proofErr w:type="spellEnd"/>
      <w:r w:rsidR="00604C8D">
        <w:t xml:space="preserve"> </w:t>
      </w:r>
      <w:r>
        <w:t xml:space="preserve">sono ben conosciute;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 w:rsidR="00604C8D">
        <w:t>rivaroxaban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611D79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 xml:space="preserve">Di seguito le indicazioni terapeutiche di 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>
        <w:rPr>
          <w:rFonts w:eastAsia="Calibri" w:cs="Calibri"/>
          <w:color w:val="000000"/>
          <w:lang w:eastAsia="it-IT"/>
        </w:rPr>
        <w:t xml:space="preserve"> </w:t>
      </w:r>
      <w:r>
        <w:t>suddivise per dosaggio.</w:t>
      </w:r>
    </w:p>
    <w:p w:rsidR="00611D79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r w:rsidRPr="00D75D45">
        <w:rPr>
          <w:u w:val="single"/>
        </w:rPr>
        <w:t xml:space="preserve">Rivaroxaban </w:t>
      </w:r>
      <w:r w:rsidR="00600869">
        <w:rPr>
          <w:u w:val="single"/>
        </w:rPr>
        <w:t>VI.REL PHARMA</w:t>
      </w:r>
      <w:r w:rsidRPr="00D75D45">
        <w:rPr>
          <w:u w:val="single"/>
        </w:rPr>
        <w:t xml:space="preserve"> 2,5 Mg compresse rivestite con film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 xml:space="preserve">Rivaroxaban </w:t>
      </w:r>
      <w:r w:rsidR="00600869">
        <w:t>VI.REL PHARMA</w:t>
      </w:r>
      <w:r w:rsidRPr="00D75D45">
        <w:t>, somministrato insieme con il solo acido acetilsalicilico (</w:t>
      </w:r>
      <w:proofErr w:type="spellStart"/>
      <w:r w:rsidRPr="00D75D45">
        <w:rPr>
          <w:i/>
        </w:rPr>
        <w:t>acetylsalicylic</w:t>
      </w:r>
      <w:proofErr w:type="spellEnd"/>
      <w:r w:rsidRPr="00D75D45">
        <w:rPr>
          <w:i/>
        </w:rPr>
        <w:t xml:space="preserve"> acid</w:t>
      </w:r>
      <w:r w:rsidRPr="00D75D45">
        <w:t xml:space="preserve">, ASA) o con ASA e </w:t>
      </w:r>
      <w:proofErr w:type="spellStart"/>
      <w:r w:rsidRPr="00D75D45">
        <w:t>clopidogrel</w:t>
      </w:r>
      <w:proofErr w:type="spellEnd"/>
      <w:r w:rsidRPr="00D75D45">
        <w:t xml:space="preserve"> o </w:t>
      </w:r>
      <w:proofErr w:type="spellStart"/>
      <w:r w:rsidRPr="00D75D45">
        <w:t>ticlopidina</w:t>
      </w:r>
      <w:proofErr w:type="spellEnd"/>
      <w:r w:rsidRPr="00D75D45">
        <w:t>, è indicato per la prevenzione di eventi aterotrombotici in pazienti adulti dopo una sindrome coronarica acuta (SCA) con biomarcatori cardiaci elevati (vedere paragrafi 4.3, 4.4 e 5.1</w:t>
      </w:r>
      <w:r w:rsidR="00E971F4">
        <w:t xml:space="preserve"> RCP</w:t>
      </w:r>
      <w:r w:rsidRPr="00D75D45">
        <w:t>).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 xml:space="preserve">Rivaroxaban </w:t>
      </w:r>
      <w:r w:rsidR="00600869">
        <w:t>VI.REL PHARMA</w:t>
      </w:r>
      <w:r w:rsidRPr="00D75D45">
        <w:t xml:space="preserve"> somministrato insieme con acido acetilsalicilico (ASA), è indicato per la prevenzione di eventi aterotrombotici in pazienti adulti, ad alto rischio di eventi ischemici, che presentano coronaropatia (</w:t>
      </w:r>
      <w:proofErr w:type="spellStart"/>
      <w:r w:rsidRPr="00D75D45">
        <w:rPr>
          <w:i/>
          <w:iCs/>
        </w:rPr>
        <w:t>coronary</w:t>
      </w:r>
      <w:proofErr w:type="spellEnd"/>
      <w:r w:rsidRPr="00D75D45">
        <w:rPr>
          <w:i/>
          <w:iCs/>
        </w:rPr>
        <w:t xml:space="preserve"> </w:t>
      </w:r>
      <w:proofErr w:type="spellStart"/>
      <w:r w:rsidRPr="00D75D45">
        <w:rPr>
          <w:i/>
          <w:iCs/>
        </w:rPr>
        <w:t>artery</w:t>
      </w:r>
      <w:proofErr w:type="spellEnd"/>
      <w:r w:rsidRPr="00D75D45">
        <w:rPr>
          <w:i/>
          <w:iCs/>
        </w:rPr>
        <w:t xml:space="preserve"> </w:t>
      </w:r>
      <w:proofErr w:type="spellStart"/>
      <w:r w:rsidRPr="00D75D45">
        <w:rPr>
          <w:i/>
          <w:iCs/>
        </w:rPr>
        <w:t>disease</w:t>
      </w:r>
      <w:proofErr w:type="spellEnd"/>
      <w:r w:rsidRPr="00D75D45">
        <w:t>, CAD) o arteriopatia periferica (</w:t>
      </w:r>
      <w:proofErr w:type="spellStart"/>
      <w:r w:rsidRPr="00D75D45">
        <w:rPr>
          <w:i/>
          <w:iCs/>
        </w:rPr>
        <w:t>peripheral</w:t>
      </w:r>
      <w:proofErr w:type="spellEnd"/>
      <w:r w:rsidRPr="00D75D45">
        <w:rPr>
          <w:i/>
          <w:iCs/>
        </w:rPr>
        <w:t xml:space="preserve"> </w:t>
      </w:r>
      <w:proofErr w:type="spellStart"/>
      <w:r w:rsidRPr="00D75D45">
        <w:rPr>
          <w:i/>
          <w:iCs/>
        </w:rPr>
        <w:t>artery</w:t>
      </w:r>
      <w:proofErr w:type="spellEnd"/>
      <w:r w:rsidRPr="00D75D45">
        <w:rPr>
          <w:i/>
          <w:iCs/>
        </w:rPr>
        <w:t xml:space="preserve"> </w:t>
      </w:r>
      <w:proofErr w:type="spellStart"/>
      <w:r w:rsidRPr="00D75D45">
        <w:rPr>
          <w:i/>
          <w:iCs/>
        </w:rPr>
        <w:t>disease</w:t>
      </w:r>
      <w:proofErr w:type="spellEnd"/>
      <w:r w:rsidRPr="00D75D45">
        <w:t>, PAD) sintomatica.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r w:rsidRPr="00D75D45">
        <w:rPr>
          <w:u w:val="single"/>
        </w:rPr>
        <w:t xml:space="preserve">Rivaroxaban </w:t>
      </w:r>
      <w:r w:rsidR="00600869">
        <w:rPr>
          <w:u w:val="single"/>
        </w:rPr>
        <w:t>VI.REL PHARMA</w:t>
      </w:r>
      <w:r w:rsidRPr="00D75D45">
        <w:rPr>
          <w:u w:val="single"/>
        </w:rPr>
        <w:t xml:space="preserve"> 10 mg compresse rivestite con film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>Prevenzione del tromboembolismo venoso (TEV) nei pazienti adulti sottoposti a interventi di sostituzione elettiva di anca o di ginocchio.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 xml:space="preserve">Trattamento della trombosi venosa profonda (TVP) e dell’embolia polmonare (EP) e prevenzione delle recidive di TVP ed EP nell’adulto. (Vedere paragrafo 4.4 </w:t>
      </w:r>
      <w:r w:rsidR="00E971F4">
        <w:t xml:space="preserve">RCP </w:t>
      </w:r>
      <w:r w:rsidRPr="00D75D45">
        <w:t>per pazienti EP emodinamicamente instabili.)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rPr>
          <w:u w:val="single"/>
        </w:rPr>
        <w:t xml:space="preserve">Rivaroxaban </w:t>
      </w:r>
      <w:r w:rsidR="00600869">
        <w:rPr>
          <w:u w:val="single"/>
        </w:rPr>
        <w:t>VI.REL PHARMA</w:t>
      </w:r>
      <w:r w:rsidRPr="00D75D45">
        <w:rPr>
          <w:u w:val="single"/>
        </w:rPr>
        <w:t xml:space="preserve"> 15 mg compresse rivestite con film 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>Prevenzione dell’ictus e dell’embolia sistemica nei pazienti adulti affetti da fibrillazione atriale non valvolare con uno o più fattori di rischio, come insufficienza cardiaca congestizia, ipertensione, età ≥ 75 anni, diabete mellito, pregresso ictus o attacco ischemico transitorio.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 xml:space="preserve">Trattamento della trombosi venosa profonda (TVP) e dell’embolia polmonare (EP) e prevenzione delle recidive di TVP ed EP nell’adulto. (Vedere paragrafo 4.4 </w:t>
      </w:r>
      <w:r w:rsidR="00E971F4">
        <w:t xml:space="preserve">RCP </w:t>
      </w:r>
      <w:r w:rsidRPr="00D75D45">
        <w:t>per pazienti EP emodinamicamente instabili)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u w:val="single"/>
        </w:rPr>
      </w:pPr>
      <w:r w:rsidRPr="00D75D45">
        <w:rPr>
          <w:u w:val="single"/>
        </w:rPr>
        <w:t xml:space="preserve">Rivaroxaban </w:t>
      </w:r>
      <w:r w:rsidR="00600869">
        <w:rPr>
          <w:u w:val="single"/>
        </w:rPr>
        <w:t>VI.REL PHARMA</w:t>
      </w:r>
      <w:r w:rsidRPr="00D75D45">
        <w:rPr>
          <w:u w:val="single"/>
        </w:rPr>
        <w:t xml:space="preserve"> 20 mg compresse rivestite con film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>Prevenzione dell’ictus e dell’embolia sistemica nei pazienti adulti affetti da fibrillazione atriale non valvolare con uno o più fattori di rischio, come insufficienza cardiaca congestizia, ipertensione, età ≥ 75 anni, diabete mellito, pregresso ictus o attacco ischemico transitorio.</w:t>
      </w: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611D79" w:rsidRPr="00D75D45" w:rsidRDefault="00611D79" w:rsidP="00611D7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75D45">
        <w:t xml:space="preserve">Trattamento della trombosi venosa profonda (TVP) e dell’embolia polmonare (EP) e prevenzione delle recidive di TVP ed EP nell’adulto. (Vedere paragrafo 4.4 </w:t>
      </w:r>
      <w:r w:rsidR="00E971F4">
        <w:t xml:space="preserve">RCP </w:t>
      </w:r>
      <w:r w:rsidRPr="00D75D45">
        <w:t>per pazienti EP emodinamicamente instabili).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</w:t>
      </w:r>
      <w:r w:rsidR="00E971F4">
        <w:t xml:space="preserve"> (RCP)</w:t>
      </w:r>
      <w:r w:rsidRPr="00EF6711">
        <w:t xml:space="preserve">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611D79">
        <w:t>rivaroxaban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proofErr w:type="spellStart"/>
      <w:r w:rsidR="00611D79">
        <w:t>rivaroxaban</w:t>
      </w:r>
      <w:proofErr w:type="spellEnd"/>
      <w:r w:rsidR="000808A3" w:rsidRPr="006727BD">
        <w:t xml:space="preserve"> </w:t>
      </w:r>
      <w:r w:rsidRPr="006727BD">
        <w:rPr>
          <w:rFonts w:eastAsia="Calibri" w:cs="Calibri"/>
          <w:lang w:eastAsia="it-IT"/>
        </w:rPr>
        <w:t>è ben conosciuta.</w:t>
      </w:r>
      <w:r w:rsidRPr="006727BD">
        <w:t xml:space="preserve">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 w:rsidRPr="006727BD">
        <w:t xml:space="preserve">contiene </w:t>
      </w:r>
      <w:r w:rsidR="00BA0ACD" w:rsidRPr="006727BD">
        <w:t>un</w:t>
      </w:r>
      <w:r w:rsidRPr="006727BD">
        <w:t xml:space="preserve"> principi</w:t>
      </w:r>
      <w:r w:rsidR="00BA0ACD" w:rsidRPr="006727BD">
        <w:t>o</w:t>
      </w:r>
      <w:r w:rsidRPr="006727BD">
        <w:t xml:space="preserve"> attiv</w:t>
      </w:r>
      <w:r w:rsidR="00BA0ACD" w:rsidRPr="006727BD">
        <w:t>o</w:t>
      </w:r>
      <w:r w:rsidRPr="006727BD">
        <w:t xml:space="preserve"> not</w:t>
      </w:r>
      <w:r w:rsidR="00BA0ACD" w:rsidRPr="006727BD">
        <w:t>o</w:t>
      </w:r>
      <w:r w:rsidRPr="006727BD">
        <w:t xml:space="preserve"> present</w:t>
      </w:r>
      <w:r w:rsidR="00BA0ACD" w:rsidRPr="006727BD">
        <w:t>e</w:t>
      </w:r>
      <w:r w:rsidRPr="006727BD">
        <w:t xml:space="preserve"> nel medicinale </w:t>
      </w:r>
      <w:r w:rsidR="00BA0ACD" w:rsidRPr="006727BD">
        <w:t xml:space="preserve">di riferimento </w:t>
      </w:r>
      <w:proofErr w:type="spellStart"/>
      <w:r w:rsidR="00611D79">
        <w:t>Xarelto</w:t>
      </w:r>
      <w:proofErr w:type="spellEnd"/>
      <w:r w:rsidR="00611D79">
        <w:t xml:space="preserve"> </w:t>
      </w:r>
      <w:r w:rsidRPr="006727BD">
        <w:t>autorizzato in Italia da più di 10 anni.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6727BD" w:rsidRPr="006727BD">
        <w:rPr>
          <w:rFonts w:eastAsia="Calibri" w:cs="Calibri"/>
          <w:color w:val="000000"/>
          <w:lang w:eastAsia="it-IT"/>
        </w:rPr>
        <w:t xml:space="preserve"> </w:t>
      </w:r>
      <w:r w:rsidR="00BE7CDB" w:rsidRPr="006727BD">
        <w:t xml:space="preserve">contiene un principio attivo noto e presente nel medicinale </w:t>
      </w:r>
      <w:r w:rsidR="006727BD">
        <w:t>di riferimento</w:t>
      </w:r>
      <w:r w:rsidR="00E11585">
        <w:t xml:space="preserve"> </w:t>
      </w:r>
      <w:proofErr w:type="spellStart"/>
      <w:r w:rsidR="00E11585">
        <w:t>Xarelto</w:t>
      </w:r>
      <w:proofErr w:type="spellEnd"/>
      <w:r w:rsidR="00BE7CDB" w:rsidRPr="006727BD">
        <w:t xml:space="preserve"> autorizzato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BF2436" w:rsidP="006727BD">
      <w:pPr>
        <w:spacing w:after="0" w:line="240" w:lineRule="auto"/>
        <w:jc w:val="both"/>
        <w:rPr>
          <w:b/>
        </w:rPr>
      </w:pPr>
      <w:r>
        <w:rPr>
          <w:b/>
        </w:rPr>
        <w:t>Studi</w:t>
      </w:r>
      <w:r w:rsidR="006727BD" w:rsidRPr="006727BD">
        <w:rPr>
          <w:b/>
        </w:rPr>
        <w:t xml:space="preserve"> di </w:t>
      </w:r>
      <w:proofErr w:type="spellStart"/>
      <w:r w:rsidR="006727BD" w:rsidRPr="006727BD">
        <w:rPr>
          <w:b/>
        </w:rPr>
        <w:t>bioequivalenza</w:t>
      </w:r>
      <w:proofErr w:type="spellEnd"/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</w:t>
      </w:r>
      <w:r w:rsidR="00E11585">
        <w:t>tre</w:t>
      </w:r>
      <w:r w:rsidRPr="009F5FC7">
        <w:t xml:space="preserve"> studi di </w:t>
      </w:r>
      <w:proofErr w:type="spellStart"/>
      <w:r w:rsidRPr="009F5FC7">
        <w:t>bioequivalenza</w:t>
      </w:r>
      <w:proofErr w:type="spellEnd"/>
      <w:r w:rsidR="00E971F4">
        <w:t>,</w:t>
      </w:r>
      <w:r w:rsidRPr="009F5FC7">
        <w:t xml:space="preserve"> </w:t>
      </w:r>
      <w:r w:rsidR="00E11585">
        <w:t xml:space="preserve">condotti con </w:t>
      </w:r>
      <w:bookmarkStart w:id="7" w:name="_Hlk57976690"/>
      <w:r w:rsidR="00E11585">
        <w:t>i dosaggi da 2,5 mg, 10</w:t>
      </w:r>
      <w:r w:rsidR="00E971F4">
        <w:t xml:space="preserve"> </w:t>
      </w:r>
      <w:r w:rsidR="00E11585">
        <w:t>mg e 20 mg</w:t>
      </w:r>
      <w:r w:rsidR="00E971F4">
        <w:t>,</w:t>
      </w:r>
      <w:r w:rsidR="00E11585">
        <w:t xml:space="preserve"> </w:t>
      </w:r>
      <w:bookmarkEnd w:id="7"/>
      <w:r w:rsidRPr="009F5FC7">
        <w:t>che ha</w:t>
      </w:r>
      <w:r w:rsidR="00E11585">
        <w:t>nno</w:t>
      </w:r>
      <w:r w:rsidRPr="009F5FC7">
        <w:t xml:space="preserve"> confrontato i profili farmacocinetici di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 w:rsidRPr="009F5FC7">
        <w:t xml:space="preserve">e quelli del medicinale </w:t>
      </w:r>
      <w:r>
        <w:t>di riferimento</w:t>
      </w:r>
      <w:r w:rsidR="00E11585">
        <w:t xml:space="preserve"> </w:t>
      </w:r>
      <w:proofErr w:type="spellStart"/>
      <w:r w:rsidR="00E11585">
        <w:t>Xarelto</w:t>
      </w:r>
      <w:proofErr w:type="spellEnd"/>
      <w:r w:rsidR="00E971F4">
        <w:t>; è stato accettato</w:t>
      </w:r>
      <w:r w:rsidR="00483113">
        <w:t xml:space="preserve"> </w:t>
      </w:r>
      <w:bookmarkStart w:id="8" w:name="_Hlk57976887"/>
      <w:r w:rsidR="00483113">
        <w:t>un approccio di estrapolazione (</w:t>
      </w:r>
      <w:proofErr w:type="spellStart"/>
      <w:r w:rsidR="00483113">
        <w:t>biowaiver</w:t>
      </w:r>
      <w:proofErr w:type="spellEnd"/>
      <w:r w:rsidR="00483113">
        <w:t>) per il dosaggio da 15 mg</w:t>
      </w:r>
      <w:r w:rsidRPr="009F5FC7">
        <w:t>.</w:t>
      </w:r>
    </w:p>
    <w:bookmarkEnd w:id="8"/>
    <w:p w:rsidR="005049A1" w:rsidRPr="009F5FC7" w:rsidRDefault="00E11585" w:rsidP="005049A1">
      <w:pPr>
        <w:pStyle w:val="Paragrafoelenco"/>
        <w:spacing w:after="0" w:line="240" w:lineRule="auto"/>
        <w:ind w:left="0"/>
        <w:jc w:val="both"/>
      </w:pPr>
      <w:r>
        <w:t xml:space="preserve">Gli </w:t>
      </w:r>
      <w:r w:rsidR="005049A1" w:rsidRPr="009F5FC7">
        <w:t>studi</w:t>
      </w:r>
      <w:r w:rsidR="00E971F4">
        <w:t>,</w:t>
      </w:r>
      <w:r w:rsidR="005049A1" w:rsidRPr="009F5FC7">
        <w:t xml:space="preserve"> caratterizzat</w:t>
      </w:r>
      <w:r>
        <w:t>i</w:t>
      </w:r>
      <w:r w:rsidR="005049A1" w:rsidRPr="009F5FC7">
        <w:t xml:space="preserve"> da un appropriato disegno</w:t>
      </w:r>
      <w:r w:rsidR="00E971F4">
        <w:t>,</w:t>
      </w:r>
      <w:r w:rsidR="005049A1" w:rsidRPr="009F5FC7">
        <w:t xml:space="preserve"> </w:t>
      </w:r>
      <w:r>
        <w:t>sono</w:t>
      </w:r>
      <w:r w:rsidR="005049A1" w:rsidRPr="009F5FC7">
        <w:t xml:space="preserve"> stato condott</w:t>
      </w:r>
      <w:r>
        <w:t>i</w:t>
      </w:r>
      <w:r w:rsidR="005049A1" w:rsidRPr="009F5FC7">
        <w:t xml:space="preserve">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:rsidR="00E11585" w:rsidRDefault="00E11585" w:rsidP="005049A1">
      <w:pPr>
        <w:spacing w:after="0" w:line="240" w:lineRule="auto"/>
        <w:jc w:val="both"/>
        <w:rPr>
          <w:rFonts w:ascii="Calibri" w:hAnsi="Calibri"/>
          <w:b/>
          <w:i/>
          <w:sz w:val="20"/>
          <w:highlight w:val="green"/>
        </w:rPr>
      </w:pPr>
    </w:p>
    <w:p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>L’utilizzo de</w:t>
      </w:r>
      <w:r w:rsidR="000310F4">
        <w:rPr>
          <w:rFonts w:ascii="Calibri" w:hAnsi="Calibri"/>
        </w:rPr>
        <w:t>i dosaggi</w:t>
      </w:r>
      <w:r w:rsidR="00E971F4">
        <w:rPr>
          <w:rFonts w:ascii="Calibri" w:hAnsi="Calibri"/>
        </w:rPr>
        <w:t xml:space="preserve"> </w:t>
      </w:r>
      <w:r w:rsidR="000310F4" w:rsidRPr="000310F4">
        <w:rPr>
          <w:rFonts w:ascii="Calibri" w:hAnsi="Calibri"/>
        </w:rPr>
        <w:t>da 2,5 mg, 10</w:t>
      </w:r>
      <w:r w:rsidR="00E971F4">
        <w:rPr>
          <w:rFonts w:ascii="Calibri" w:hAnsi="Calibri"/>
        </w:rPr>
        <w:t xml:space="preserve"> </w:t>
      </w:r>
      <w:r w:rsidR="000310F4" w:rsidRPr="000310F4">
        <w:rPr>
          <w:rFonts w:ascii="Calibri" w:hAnsi="Calibri"/>
        </w:rPr>
        <w:t xml:space="preserve">mg e 20 mg </w:t>
      </w:r>
      <w:r w:rsidRPr="00333936">
        <w:t>per</w:t>
      </w:r>
      <w:r w:rsidR="00483113">
        <w:t xml:space="preserve"> </w:t>
      </w:r>
      <w:r w:rsidR="000310F4">
        <w:t>gli</w:t>
      </w:r>
      <w:r w:rsidRPr="00333936">
        <w:t xml:space="preserve"> stud</w:t>
      </w:r>
      <w:r w:rsidR="00483113">
        <w:t>i</w:t>
      </w:r>
      <w:r w:rsidRPr="00333936">
        <w:t xml:space="preserve"> di </w:t>
      </w:r>
      <w:proofErr w:type="spellStart"/>
      <w:r w:rsidRPr="00333936">
        <w:t>bioequivalenza</w:t>
      </w:r>
      <w:proofErr w:type="spellEnd"/>
      <w:r w:rsidR="000310F4">
        <w:t xml:space="preserve"> </w:t>
      </w:r>
      <w:r w:rsidRPr="00333936">
        <w:t>è st</w:t>
      </w:r>
      <w:r>
        <w:t>ato opportunamente giustificato.</w:t>
      </w:r>
      <w:r w:rsidR="00E971F4">
        <w:t xml:space="preserve"> Di seguito i tre studi di </w:t>
      </w:r>
      <w:proofErr w:type="spellStart"/>
      <w:r w:rsidR="00E971F4">
        <w:t>bioequivalenza</w:t>
      </w:r>
      <w:proofErr w:type="spellEnd"/>
      <w:r w:rsidR="00E971F4">
        <w:t>:</w:t>
      </w:r>
    </w:p>
    <w:p w:rsidR="000310F4" w:rsidRDefault="000310F4" w:rsidP="005049A1">
      <w:pPr>
        <w:spacing w:after="0" w:line="240" w:lineRule="auto"/>
        <w:jc w:val="both"/>
      </w:pPr>
    </w:p>
    <w:p w:rsidR="000310F4" w:rsidRPr="00600869" w:rsidRDefault="00777B81" w:rsidP="000310F4">
      <w:pPr>
        <w:spacing w:after="0" w:line="240" w:lineRule="auto"/>
        <w:jc w:val="both"/>
        <w:rPr>
          <w:rFonts w:ascii="Calibri" w:hAnsi="Calibri"/>
        </w:rPr>
      </w:pPr>
      <w:r w:rsidRPr="00600869">
        <w:rPr>
          <w:rFonts w:ascii="Calibri" w:hAnsi="Calibri"/>
        </w:rPr>
        <w:t>1)</w:t>
      </w:r>
      <w:r w:rsidR="000310F4" w:rsidRPr="00600869">
        <w:rPr>
          <w:rFonts w:ascii="Calibri" w:hAnsi="Calibri"/>
        </w:rPr>
        <w:tab/>
      </w:r>
      <w:proofErr w:type="spellStart"/>
      <w:r w:rsidR="000310F4" w:rsidRPr="00600869">
        <w:rPr>
          <w:rFonts w:ascii="Calibri" w:hAnsi="Calibri"/>
        </w:rPr>
        <w:t>Protocol</w:t>
      </w:r>
      <w:proofErr w:type="spellEnd"/>
      <w:r w:rsidR="000310F4" w:rsidRPr="00600869">
        <w:rPr>
          <w:rFonts w:ascii="Calibri" w:hAnsi="Calibri"/>
        </w:rPr>
        <w:t xml:space="preserve"> CLCD-079-14/</w:t>
      </w:r>
      <w:proofErr w:type="spellStart"/>
      <w:r w:rsidR="000310F4" w:rsidRPr="00600869">
        <w:rPr>
          <w:rFonts w:ascii="Calibri" w:hAnsi="Calibri"/>
        </w:rPr>
        <w:t>Study</w:t>
      </w:r>
      <w:proofErr w:type="spellEnd"/>
      <w:r w:rsidR="000310F4" w:rsidRPr="00600869">
        <w:rPr>
          <w:rFonts w:ascii="Calibri" w:hAnsi="Calibri"/>
        </w:rPr>
        <w:t xml:space="preserve"> </w:t>
      </w:r>
      <w:proofErr w:type="spellStart"/>
      <w:r w:rsidR="000310F4" w:rsidRPr="00600869">
        <w:rPr>
          <w:rFonts w:ascii="Calibri" w:hAnsi="Calibri"/>
        </w:rPr>
        <w:t>nr</w:t>
      </w:r>
      <w:proofErr w:type="spellEnd"/>
      <w:r w:rsidR="000310F4" w:rsidRPr="00600869">
        <w:rPr>
          <w:rFonts w:ascii="Calibri" w:hAnsi="Calibri"/>
        </w:rPr>
        <w:t xml:space="preserve">. </w:t>
      </w:r>
      <w:proofErr w:type="spellStart"/>
      <w:r w:rsidR="000310F4" w:rsidRPr="00600869">
        <w:rPr>
          <w:rFonts w:ascii="Calibri" w:hAnsi="Calibri"/>
        </w:rPr>
        <w:t>Rp</w:t>
      </w:r>
      <w:proofErr w:type="spellEnd"/>
      <w:r w:rsidR="0024622C" w:rsidRPr="00600869">
        <w:rPr>
          <w:rFonts w:ascii="Calibri" w:hAnsi="Calibri"/>
        </w:rPr>
        <w:t>.14</w:t>
      </w:r>
      <w:r w:rsidR="000310F4" w:rsidRPr="00600869">
        <w:rPr>
          <w:rFonts w:ascii="Calibri" w:hAnsi="Calibri"/>
        </w:rPr>
        <w:t>.1613 (</w:t>
      </w:r>
      <w:proofErr w:type="spellStart"/>
      <w:r w:rsidR="000310F4" w:rsidRPr="00600869">
        <w:rPr>
          <w:rFonts w:ascii="Calibri" w:hAnsi="Calibri"/>
        </w:rPr>
        <w:t>Pivotal</w:t>
      </w:r>
      <w:proofErr w:type="spellEnd"/>
      <w:r w:rsidR="000310F4" w:rsidRPr="00600869">
        <w:rPr>
          <w:rFonts w:ascii="Calibri" w:hAnsi="Calibri"/>
        </w:rPr>
        <w:t xml:space="preserve">, </w:t>
      </w:r>
      <w:proofErr w:type="spellStart"/>
      <w:r w:rsidR="000310F4" w:rsidRPr="00600869">
        <w:rPr>
          <w:rFonts w:ascii="Calibri" w:hAnsi="Calibri"/>
        </w:rPr>
        <w:t>fed</w:t>
      </w:r>
      <w:proofErr w:type="spellEnd"/>
      <w:r w:rsidR="000310F4" w:rsidRPr="00600869">
        <w:rPr>
          <w:rFonts w:ascii="Calibri" w:hAnsi="Calibri"/>
        </w:rPr>
        <w:t>, 20 mg)</w:t>
      </w:r>
    </w:p>
    <w:p w:rsidR="000310F4" w:rsidRPr="0024622C" w:rsidRDefault="00777B81" w:rsidP="000310F4">
      <w:pPr>
        <w:spacing w:after="0" w:line="240" w:lineRule="auto"/>
        <w:jc w:val="both"/>
        <w:rPr>
          <w:rFonts w:ascii="Calibri" w:hAnsi="Calibri"/>
          <w:lang w:val="en-GB"/>
        </w:rPr>
      </w:pPr>
      <w:bookmarkStart w:id="9" w:name="_Hlk57977567"/>
      <w:r>
        <w:rPr>
          <w:rFonts w:ascii="Calibri" w:hAnsi="Calibri"/>
          <w:lang w:val="en-GB"/>
        </w:rPr>
        <w:t>2)</w:t>
      </w:r>
      <w:r w:rsidR="000310F4" w:rsidRPr="0024622C">
        <w:rPr>
          <w:rFonts w:ascii="Calibri" w:hAnsi="Calibri"/>
          <w:lang w:val="en-GB"/>
        </w:rPr>
        <w:tab/>
      </w:r>
      <w:bookmarkEnd w:id="9"/>
      <w:r w:rsidR="000310F4" w:rsidRPr="0024622C">
        <w:rPr>
          <w:rFonts w:ascii="Calibri" w:hAnsi="Calibri"/>
          <w:lang w:val="en-GB"/>
        </w:rPr>
        <w:t>Protocol CLCD-080-14/Study nr. Rp.14.1612 (Pivotal, fasting, 10 mg)</w:t>
      </w:r>
    </w:p>
    <w:p w:rsidR="000310F4" w:rsidRPr="0024622C" w:rsidRDefault="00777B81" w:rsidP="000310F4">
      <w:pPr>
        <w:spacing w:after="0" w:line="240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3)</w:t>
      </w:r>
      <w:r w:rsidR="000310F4" w:rsidRPr="0024622C">
        <w:rPr>
          <w:rFonts w:ascii="Calibri" w:hAnsi="Calibri"/>
          <w:lang w:val="en-GB"/>
        </w:rPr>
        <w:tab/>
        <w:t>Protocol CLCD-081-15/Study nr. Rp.15.0709 (Pivotal, fasting, 2.5 mg)</w:t>
      </w:r>
    </w:p>
    <w:p w:rsidR="000310F4" w:rsidRPr="0024622C" w:rsidRDefault="000310F4" w:rsidP="000310F4">
      <w:pPr>
        <w:spacing w:after="0" w:line="240" w:lineRule="auto"/>
        <w:jc w:val="both"/>
        <w:rPr>
          <w:rFonts w:ascii="Calibri" w:hAnsi="Calibri"/>
          <w:lang w:val="en-GB"/>
        </w:rPr>
      </w:pPr>
    </w:p>
    <w:p w:rsidR="000443CE" w:rsidRPr="000443CE" w:rsidRDefault="00777B81" w:rsidP="000443CE">
      <w:pPr>
        <w:spacing w:after="0" w:line="240" w:lineRule="auto"/>
        <w:jc w:val="both"/>
        <w:rPr>
          <w:rFonts w:ascii="Calibri" w:hAnsi="Calibri"/>
        </w:rPr>
      </w:pPr>
      <w:r w:rsidRPr="00777B81">
        <w:t xml:space="preserve">1) Studio di </w:t>
      </w:r>
      <w:proofErr w:type="spellStart"/>
      <w:r w:rsidRPr="00777B81">
        <w:t>bioequivalenza</w:t>
      </w:r>
      <w:proofErr w:type="spellEnd"/>
      <w:r w:rsidRPr="00777B81">
        <w:t xml:space="preserve">: </w:t>
      </w:r>
      <w:proofErr w:type="spellStart"/>
      <w:r w:rsidR="00BF2436" w:rsidRPr="00BF2436">
        <w:rPr>
          <w:rFonts w:ascii="Calibri" w:hAnsi="Calibri"/>
        </w:rPr>
        <w:t>Protocol</w:t>
      </w:r>
      <w:proofErr w:type="spellEnd"/>
      <w:r w:rsidR="00BF2436" w:rsidRPr="0024622C">
        <w:t xml:space="preserve"> </w:t>
      </w:r>
      <w:r w:rsidR="00B3585F" w:rsidRPr="0024622C">
        <w:t xml:space="preserve">CLCD-079-14/ </w:t>
      </w:r>
      <w:proofErr w:type="spellStart"/>
      <w:r w:rsidR="000443CE" w:rsidRPr="000443CE">
        <w:rPr>
          <w:rFonts w:ascii="Calibri" w:hAnsi="Calibri"/>
        </w:rPr>
        <w:t>Study</w:t>
      </w:r>
      <w:proofErr w:type="spellEnd"/>
      <w:r w:rsidR="000443CE" w:rsidRPr="000443CE">
        <w:rPr>
          <w:rFonts w:ascii="Calibri" w:hAnsi="Calibri"/>
        </w:rPr>
        <w:t xml:space="preserve"> nr. </w:t>
      </w:r>
      <w:proofErr w:type="spellStart"/>
      <w:r w:rsidR="000443CE" w:rsidRPr="000443CE">
        <w:rPr>
          <w:rFonts w:ascii="Calibri" w:hAnsi="Calibri"/>
        </w:rPr>
        <w:t>Rp</w:t>
      </w:r>
      <w:proofErr w:type="spellEnd"/>
      <w:r w:rsidR="000443CE" w:rsidRPr="000443CE">
        <w:rPr>
          <w:rFonts w:ascii="Calibri" w:hAnsi="Calibri"/>
        </w:rPr>
        <w:t>.14.1613 (</w:t>
      </w:r>
      <w:proofErr w:type="spellStart"/>
      <w:r w:rsidR="000443CE" w:rsidRPr="000443CE">
        <w:rPr>
          <w:rFonts w:ascii="Calibri" w:hAnsi="Calibri"/>
        </w:rPr>
        <w:t>Pivotal</w:t>
      </w:r>
      <w:proofErr w:type="spellEnd"/>
      <w:r w:rsidR="000443CE" w:rsidRPr="000443CE">
        <w:rPr>
          <w:rFonts w:ascii="Calibri" w:hAnsi="Calibri"/>
        </w:rPr>
        <w:t xml:space="preserve">, </w:t>
      </w:r>
      <w:proofErr w:type="spellStart"/>
      <w:r w:rsidR="000443CE" w:rsidRPr="000443CE">
        <w:rPr>
          <w:rFonts w:ascii="Calibri" w:hAnsi="Calibri"/>
        </w:rPr>
        <w:t>fed</w:t>
      </w:r>
      <w:proofErr w:type="spellEnd"/>
      <w:r w:rsidR="000443CE" w:rsidRPr="000443CE">
        <w:rPr>
          <w:rFonts w:ascii="Calibri" w:hAnsi="Calibri"/>
        </w:rPr>
        <w:t>, 20 mg)</w:t>
      </w:r>
    </w:p>
    <w:p w:rsidR="000310F4" w:rsidRDefault="000310F4" w:rsidP="005049A1">
      <w:pPr>
        <w:spacing w:after="0" w:line="240" w:lineRule="auto"/>
        <w:jc w:val="both"/>
      </w:pPr>
    </w:p>
    <w:p w:rsidR="005049A1" w:rsidRPr="00777B81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966BB9">
        <w:rPr>
          <w:rFonts w:ascii="Calibri" w:hAnsi="Calibri"/>
        </w:rPr>
        <w:t xml:space="preserve">Lo studio di </w:t>
      </w:r>
      <w:proofErr w:type="spellStart"/>
      <w:r w:rsidRPr="00966BB9">
        <w:rPr>
          <w:rFonts w:ascii="Calibri" w:hAnsi="Calibri"/>
        </w:rPr>
        <w:t>bioequivalenza</w:t>
      </w:r>
      <w:proofErr w:type="spellEnd"/>
      <w:r w:rsidRPr="00966BB9">
        <w:rPr>
          <w:rFonts w:ascii="Calibri" w:hAnsi="Calibri"/>
        </w:rPr>
        <w:t xml:space="preserve"> è uno studio comparativo, randomizzato, a dose singola, </w:t>
      </w:r>
      <w:r w:rsidR="00BF2436">
        <w:rPr>
          <w:rFonts w:ascii="Calibri" w:hAnsi="Calibri"/>
        </w:rPr>
        <w:t>in aperto</w:t>
      </w:r>
      <w:r w:rsidR="00AE64AB">
        <w:rPr>
          <w:rFonts w:ascii="Calibri" w:hAnsi="Calibri"/>
        </w:rPr>
        <w:t xml:space="preserve">, </w:t>
      </w:r>
      <w:r w:rsidRPr="00966BB9">
        <w:rPr>
          <w:rFonts w:ascii="Calibri" w:hAnsi="Calibri"/>
        </w:rPr>
        <w:t>2-p</w:t>
      </w:r>
      <w:r w:rsidR="00966BB9" w:rsidRPr="00966BB9">
        <w:rPr>
          <w:rFonts w:ascii="Calibri" w:hAnsi="Calibri"/>
        </w:rPr>
        <w:t xml:space="preserve">eriodi, crossover condotto in </w:t>
      </w:r>
      <w:r w:rsidR="00966BB9" w:rsidRPr="00AE64AB">
        <w:rPr>
          <w:rFonts w:ascii="Calibri" w:hAnsi="Calibri"/>
        </w:rPr>
        <w:t>28</w:t>
      </w:r>
      <w:r w:rsidRPr="00AE64AB">
        <w:rPr>
          <w:rFonts w:ascii="Calibri" w:hAnsi="Calibri"/>
        </w:rPr>
        <w:t xml:space="preserve"> volontari </w:t>
      </w:r>
      <w:r w:rsidR="00AE64AB" w:rsidRPr="00AE64AB">
        <w:rPr>
          <w:rFonts w:ascii="Calibri" w:hAnsi="Calibri"/>
        </w:rPr>
        <w:t xml:space="preserve">adulti </w:t>
      </w:r>
      <w:r w:rsidRPr="00AE64AB">
        <w:rPr>
          <w:rFonts w:ascii="Calibri" w:hAnsi="Calibri"/>
        </w:rPr>
        <w:t>sani di sesso</w:t>
      </w:r>
      <w:r w:rsidRPr="00966BB9">
        <w:rPr>
          <w:rFonts w:ascii="Calibri" w:hAnsi="Calibri"/>
        </w:rPr>
        <w:t xml:space="preserve"> </w:t>
      </w:r>
      <w:r w:rsidR="00AE64AB">
        <w:rPr>
          <w:rFonts w:ascii="Calibri" w:hAnsi="Calibri"/>
        </w:rPr>
        <w:t xml:space="preserve">femminile e </w:t>
      </w:r>
      <w:r w:rsidRPr="00966BB9">
        <w:rPr>
          <w:rFonts w:ascii="Calibri" w:hAnsi="Calibri"/>
        </w:rPr>
        <w:t xml:space="preserve">maschile con somministrazione a </w:t>
      </w:r>
      <w:r w:rsidR="00966BB9" w:rsidRPr="00966BB9">
        <w:rPr>
          <w:rFonts w:ascii="Calibri" w:hAnsi="Calibri"/>
        </w:rPr>
        <w:t xml:space="preserve">stomaco </w:t>
      </w:r>
      <w:r w:rsidR="00966BB9" w:rsidRPr="00777B81">
        <w:rPr>
          <w:rFonts w:ascii="Calibri" w:hAnsi="Calibri"/>
        </w:rPr>
        <w:t>pieno</w:t>
      </w:r>
      <w:r w:rsidR="00777B81" w:rsidRPr="00777B81">
        <w:rPr>
          <w:rFonts w:ascii="Calibri" w:hAnsi="Calibri"/>
        </w:rPr>
        <w:t xml:space="preserve">. </w:t>
      </w:r>
      <w:r w:rsidRPr="00777B81">
        <w:rPr>
          <w:rFonts w:ascii="Calibri" w:hAnsi="Calibri"/>
        </w:rPr>
        <w:t>Un soddi</w:t>
      </w:r>
      <w:r w:rsidR="00777B81" w:rsidRPr="00777B81">
        <w:rPr>
          <w:rFonts w:ascii="Calibri" w:hAnsi="Calibri"/>
        </w:rPr>
        <w:t>sfacente periodo di wash-out di 7</w:t>
      </w:r>
      <w:r w:rsidRPr="00777B81">
        <w:rPr>
          <w:rFonts w:ascii="Calibri" w:hAnsi="Calibri" w:cs="Arial"/>
        </w:rPr>
        <w:t xml:space="preserve"> giorni è stato previsto tra le somministrazioni in ogni gruppo.</w:t>
      </w:r>
    </w:p>
    <w:p w:rsidR="005049A1" w:rsidRPr="00777B81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777B81">
        <w:rPr>
          <w:rFonts w:ascii="Calibri" w:hAnsi="Calibri" w:cs="Arial"/>
        </w:rPr>
        <w:t>Campioni di sangue sono stati prelevati al tempo zero (</w:t>
      </w:r>
      <w:proofErr w:type="spellStart"/>
      <w:r w:rsidRPr="00777B81">
        <w:rPr>
          <w:rFonts w:ascii="Calibri" w:hAnsi="Calibri" w:cs="Arial"/>
        </w:rPr>
        <w:t>pre-dose</w:t>
      </w:r>
      <w:proofErr w:type="spellEnd"/>
      <w:r w:rsidRPr="00777B81">
        <w:rPr>
          <w:rFonts w:ascii="Calibri" w:hAnsi="Calibri" w:cs="Arial"/>
        </w:rPr>
        <w:t xml:space="preserve">) </w:t>
      </w:r>
      <w:r w:rsidR="00777B81" w:rsidRPr="00777B81">
        <w:rPr>
          <w:rFonts w:ascii="Calibri" w:hAnsi="Calibri" w:cs="Arial"/>
        </w:rPr>
        <w:t>e a specificati tempi fino a 48</w:t>
      </w:r>
      <w:r w:rsidRPr="00777B81">
        <w:rPr>
          <w:rFonts w:ascii="Calibri" w:hAnsi="Calibri" w:cs="Arial"/>
        </w:rPr>
        <w:t xml:space="preserve"> ore dopo la somministrazione. I livelli plasmatici di </w:t>
      </w:r>
      <w:proofErr w:type="spellStart"/>
      <w:r w:rsidR="00B45421" w:rsidRPr="00777B81">
        <w:rPr>
          <w:rFonts w:ascii="Calibri" w:hAnsi="Calibri" w:cs="Arial"/>
        </w:rPr>
        <w:t>rivaroxaban</w:t>
      </w:r>
      <w:proofErr w:type="spellEnd"/>
      <w:r w:rsidR="00B45421" w:rsidRPr="00777B81">
        <w:rPr>
          <w:rFonts w:ascii="Calibri" w:hAnsi="Calibri" w:cs="Arial"/>
        </w:rPr>
        <w:t xml:space="preserve"> </w:t>
      </w:r>
      <w:r w:rsidRPr="00777B81">
        <w:rPr>
          <w:rFonts w:ascii="Calibri" w:hAnsi="Calibri" w:cs="Arial"/>
        </w:rPr>
        <w:t xml:space="preserve">sono stati determinati mediante un metodo analitico </w:t>
      </w:r>
      <w:r w:rsidR="00777B81" w:rsidRPr="00777B81">
        <w:rPr>
          <w:rFonts w:ascii="Calibri" w:hAnsi="Calibri" w:cs="Arial"/>
        </w:rPr>
        <w:t>LC-MS/MS</w:t>
      </w:r>
      <w:r w:rsidRPr="00777B81">
        <w:rPr>
          <w:rFonts w:ascii="Calibri" w:hAnsi="Calibri" w:cs="Arial"/>
        </w:rPr>
        <w:t xml:space="preserve"> opportunamente convalidato.</w:t>
      </w:r>
    </w:p>
    <w:p w:rsidR="005049A1" w:rsidRPr="00AE64AB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AE64AB">
        <w:rPr>
          <w:rFonts w:ascii="Calibri" w:hAnsi="Calibri" w:cs="Arial"/>
        </w:rPr>
        <w:t xml:space="preserve">Per </w:t>
      </w:r>
      <w:proofErr w:type="spellStart"/>
      <w:r w:rsidR="00B45421" w:rsidRPr="00AE64AB">
        <w:rPr>
          <w:rFonts w:ascii="Calibri" w:hAnsi="Calibri" w:cs="Arial"/>
        </w:rPr>
        <w:t>rivaroxaban</w:t>
      </w:r>
      <w:proofErr w:type="spellEnd"/>
      <w:r w:rsidRPr="00AE64AB">
        <w:rPr>
          <w:rFonts w:ascii="Calibri" w:hAnsi="Calibri" w:cs="Arial"/>
        </w:rPr>
        <w:t xml:space="preserve"> sono state definite le seguenti variabili farmacocinetiche: C</w:t>
      </w:r>
      <w:r w:rsidRPr="00AE64AB">
        <w:rPr>
          <w:rFonts w:ascii="Calibri" w:hAnsi="Calibri" w:cs="Arial"/>
          <w:vertAlign w:val="subscript"/>
        </w:rPr>
        <w:t>max</w:t>
      </w:r>
      <w:r w:rsidRPr="00AE64AB">
        <w:rPr>
          <w:rFonts w:ascii="Calibri" w:hAnsi="Calibri" w:cs="Arial"/>
        </w:rPr>
        <w:t>, AUC</w:t>
      </w:r>
      <w:r w:rsidRPr="00AE64AB">
        <w:rPr>
          <w:rFonts w:ascii="Calibri" w:hAnsi="Calibri" w:cs="Arial"/>
          <w:vertAlign w:val="subscript"/>
        </w:rPr>
        <w:t>0-t</w:t>
      </w:r>
      <w:r w:rsidRPr="00AE64AB">
        <w:rPr>
          <w:rFonts w:ascii="Calibri" w:hAnsi="Calibri" w:cs="Arial"/>
        </w:rPr>
        <w:t>, AUC</w:t>
      </w:r>
      <w:r w:rsidRPr="00AE64AB">
        <w:rPr>
          <w:rFonts w:ascii="Calibri" w:hAnsi="Calibri" w:cs="Arial"/>
          <w:vertAlign w:val="subscript"/>
        </w:rPr>
        <w:t>0-</w:t>
      </w:r>
      <w:r w:rsidRPr="00AE64AB">
        <w:rPr>
          <w:rFonts w:ascii="Calibri" w:hAnsi="Calibri" w:cs="Arial"/>
          <w:vertAlign w:val="subscript"/>
          <w:lang w:val="en-GB"/>
        </w:rPr>
        <w:sym w:font="Symbol" w:char="00A5"/>
      </w:r>
      <w:r w:rsidRPr="00AE64AB">
        <w:rPr>
          <w:rFonts w:ascii="Calibri" w:hAnsi="Calibri" w:cs="Arial"/>
        </w:rPr>
        <w:t xml:space="preserve">, </w:t>
      </w:r>
      <w:proofErr w:type="spellStart"/>
      <w:r w:rsidRPr="00AE64AB">
        <w:rPr>
          <w:rFonts w:ascii="Calibri" w:hAnsi="Calibri" w:cs="Arial"/>
        </w:rPr>
        <w:t>t</w:t>
      </w:r>
      <w:r w:rsidRPr="00AE64AB">
        <w:rPr>
          <w:rFonts w:ascii="Calibri" w:hAnsi="Calibri" w:cs="Arial"/>
          <w:vertAlign w:val="subscript"/>
        </w:rPr>
        <w:t>max</w:t>
      </w:r>
      <w:proofErr w:type="spellEnd"/>
      <w:r w:rsidRPr="00AE64AB">
        <w:rPr>
          <w:rFonts w:ascii="Calibri" w:hAnsi="Calibri" w:cs="Arial"/>
        </w:rPr>
        <w:t xml:space="preserve">, </w:t>
      </w:r>
      <w:proofErr w:type="spellStart"/>
      <w:r w:rsidRPr="00AE64AB">
        <w:rPr>
          <w:rFonts w:ascii="Calibri" w:hAnsi="Calibri" w:cs="Arial"/>
        </w:rPr>
        <w:t>t½</w:t>
      </w:r>
      <w:proofErr w:type="spellEnd"/>
      <w:r w:rsidRPr="00AE64AB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C</w:t>
      </w:r>
      <w:r w:rsidRPr="00AE64AB">
        <w:rPr>
          <w:rFonts w:ascii="Calibri" w:hAnsi="Calibri" w:cs="Arial"/>
          <w:vertAlign w:val="subscript"/>
        </w:rPr>
        <w:t>max</w:t>
      </w:r>
      <w:r w:rsidRPr="00AE64AB">
        <w:rPr>
          <w:rFonts w:ascii="Calibri" w:hAnsi="Calibri" w:cs="Arial"/>
        </w:rPr>
        <w:t xml:space="preserve"> e AUC</w:t>
      </w:r>
      <w:r w:rsidRPr="00AE64AB">
        <w:rPr>
          <w:rFonts w:ascii="Calibri" w:hAnsi="Calibri" w:cs="Arial"/>
          <w:vertAlign w:val="subscript"/>
        </w:rPr>
        <w:t>0-t</w:t>
      </w:r>
      <w:r w:rsidRPr="00AE64AB">
        <w:rPr>
          <w:rFonts w:ascii="Calibri" w:hAnsi="Calibri" w:cs="Arial"/>
        </w:rPr>
        <w:t>, cadono nel range di accettabilità di 0.80-1.25 (80%-125%).</w:t>
      </w:r>
    </w:p>
    <w:p w:rsidR="005049A1" w:rsidRPr="00A417BE" w:rsidRDefault="005049A1" w:rsidP="005049A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5049A1" w:rsidRPr="00BE4B23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BE4B23">
        <w:rPr>
          <w:u w:val="single"/>
        </w:rPr>
        <w:t>Risultati</w:t>
      </w:r>
    </w:p>
    <w:p w:rsidR="005049A1" w:rsidRPr="00BE4B23" w:rsidRDefault="00777B8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BE4B23">
        <w:rPr>
          <w:rFonts w:ascii="Calibri" w:hAnsi="Calibri" w:cs="Arial"/>
        </w:rPr>
        <w:t>28</w:t>
      </w:r>
      <w:r w:rsidR="005049A1" w:rsidRPr="00BE4B23">
        <w:rPr>
          <w:rFonts w:ascii="Calibri" w:hAnsi="Calibri" w:cs="Arial"/>
        </w:rPr>
        <w:t xml:space="preserve"> volontari sani sono s</w:t>
      </w:r>
      <w:r w:rsidR="00BE4B23" w:rsidRPr="00BE4B23">
        <w:rPr>
          <w:rFonts w:ascii="Calibri" w:hAnsi="Calibri" w:cs="Arial"/>
        </w:rPr>
        <w:t>tati arruolati nello studio. 26</w:t>
      </w:r>
      <w:r w:rsidR="005049A1" w:rsidRPr="00BE4B23">
        <w:rPr>
          <w:rFonts w:ascii="Calibri" w:hAnsi="Calibri" w:cs="Arial"/>
        </w:rPr>
        <w:t xml:space="preserve"> soggetti </w:t>
      </w:r>
      <w:r w:rsidR="005049A1" w:rsidRPr="00BE4B23">
        <w:t xml:space="preserve">hanno completato la fase clinica e </w:t>
      </w:r>
      <w:r w:rsidR="005049A1" w:rsidRPr="00BE4B23">
        <w:rPr>
          <w:rFonts w:ascii="Calibri" w:hAnsi="Calibri" w:cs="Arial"/>
        </w:rPr>
        <w:t>sono stati inclusi nell’analisi farmacocinetica.</w:t>
      </w:r>
    </w:p>
    <w:p w:rsidR="005049A1" w:rsidRPr="00BE4B23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BE4B23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BE4B23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5049A1" w:rsidRPr="00BE4B23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BE4B23">
        <w:rPr>
          <w:rFonts w:ascii="Calibri" w:hAnsi="Calibri" w:cs="Arial"/>
        </w:rPr>
        <w:t>Nel corso dello studio</w:t>
      </w:r>
      <w:r w:rsidR="00BE4B23" w:rsidRPr="00BE4B23">
        <w:rPr>
          <w:rFonts w:ascii="Calibri" w:hAnsi="Calibri" w:cs="Arial"/>
        </w:rPr>
        <w:t xml:space="preserve"> non si sono </w:t>
      </w:r>
      <w:r w:rsidRPr="00BE4B23">
        <w:rPr>
          <w:rFonts w:ascii="Calibri" w:hAnsi="Calibri" w:cs="Arial"/>
        </w:rPr>
        <w:t>manifestati</w:t>
      </w:r>
      <w:r w:rsidR="00BE4B23" w:rsidRPr="00BE4B23">
        <w:rPr>
          <w:rFonts w:ascii="Calibri" w:hAnsi="Calibri" w:cs="Arial"/>
        </w:rPr>
        <w:t xml:space="preserve"> </w:t>
      </w:r>
      <w:r w:rsidRPr="00BE4B23">
        <w:t xml:space="preserve">eventi avversi </w:t>
      </w:r>
      <w:r w:rsidRPr="00BE4B23">
        <w:rPr>
          <w:rFonts w:ascii="Calibri" w:hAnsi="Calibri" w:cs="Arial"/>
        </w:rPr>
        <w:t>correlati al trattamento</w:t>
      </w:r>
      <w:r w:rsidR="00BE4B23" w:rsidRPr="00BE4B23">
        <w:rPr>
          <w:rFonts w:ascii="Calibri" w:hAnsi="Calibri" w:cs="Arial"/>
        </w:rPr>
        <w:t>.</w:t>
      </w:r>
    </w:p>
    <w:p w:rsidR="005049A1" w:rsidRPr="00A417BE" w:rsidRDefault="005049A1" w:rsidP="005049A1">
      <w:pPr>
        <w:spacing w:after="0" w:line="240" w:lineRule="auto"/>
        <w:rPr>
          <w:highlight w:val="yellow"/>
        </w:rPr>
      </w:pPr>
    </w:p>
    <w:p w:rsidR="005049A1" w:rsidRPr="00BE4B23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BE4B23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BE4B23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BE4B23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BE4B23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5049A1" w:rsidRPr="00A417BE" w:rsidRDefault="005049A1" w:rsidP="005049A1">
      <w:pPr>
        <w:spacing w:after="0" w:line="240" w:lineRule="auto"/>
        <w:rPr>
          <w:rFonts w:cs="Arial"/>
          <w:i/>
          <w:highlight w:val="yellow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4"/>
        <w:gridCol w:w="1635"/>
        <w:gridCol w:w="1575"/>
        <w:gridCol w:w="1716"/>
      </w:tblGrid>
      <w:tr w:rsidR="00D62BE3" w:rsidRPr="001B1C9C" w:rsidTr="001B1C9C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:rsidR="00D62BE3" w:rsidRPr="001B1C9C" w:rsidRDefault="00D62BE3" w:rsidP="00D62BE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1B1C9C">
              <w:rPr>
                <w:b/>
                <w:bCs/>
                <w:sz w:val="20"/>
                <w:szCs w:val="20"/>
              </w:rPr>
              <w:t>Rivaroxaban 20 mg</w:t>
            </w:r>
          </w:p>
        </w:tc>
      </w:tr>
      <w:tr w:rsidR="001B1C9C" w:rsidRPr="001B1C9C" w:rsidTr="001B1C9C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10" w:name="_Hlk58402368"/>
            <w:r w:rsidRPr="001B1C9C">
              <w:rPr>
                <w:b/>
                <w:bCs/>
                <w:sz w:val="20"/>
                <w:szCs w:val="20"/>
              </w:rPr>
              <w:t>Studio di BE a stomaco pieno (No. Rp.13.1613)</w:t>
            </w:r>
          </w:p>
        </w:tc>
      </w:tr>
      <w:tr w:rsidR="001B1C9C" w:rsidRPr="001B1C9C" w:rsidTr="001B1C9C">
        <w:trPr>
          <w:jc w:val="center"/>
        </w:trPr>
        <w:tc>
          <w:tcPr>
            <w:tcW w:w="1519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1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596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37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67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90% C.I.</w:t>
            </w:r>
          </w:p>
        </w:tc>
      </w:tr>
      <w:tr w:rsidR="001B1C9C" w:rsidRPr="001B1C9C" w:rsidTr="001B1C9C">
        <w:trPr>
          <w:jc w:val="center"/>
        </w:trPr>
        <w:tc>
          <w:tcPr>
            <w:tcW w:w="1519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61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4261.1333</w:t>
            </w:r>
          </w:p>
        </w:tc>
        <w:tc>
          <w:tcPr>
            <w:tcW w:w="1596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4353.2550</w:t>
            </w:r>
          </w:p>
        </w:tc>
        <w:tc>
          <w:tcPr>
            <w:tcW w:w="1537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95.07%</w:t>
            </w:r>
          </w:p>
        </w:tc>
        <w:tc>
          <w:tcPr>
            <w:tcW w:w="167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(93.97, 101.03)</w:t>
            </w:r>
          </w:p>
        </w:tc>
      </w:tr>
      <w:tr w:rsidR="001B1C9C" w:rsidRPr="001B1C9C" w:rsidTr="001B1C9C">
        <w:trPr>
          <w:jc w:val="center"/>
        </w:trPr>
        <w:tc>
          <w:tcPr>
            <w:tcW w:w="1519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Cmax</w:t>
            </w:r>
          </w:p>
        </w:tc>
        <w:tc>
          <w:tcPr>
            <w:tcW w:w="161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502.9202</w:t>
            </w:r>
          </w:p>
        </w:tc>
        <w:tc>
          <w:tcPr>
            <w:tcW w:w="1596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529.0067</w:t>
            </w:r>
          </w:p>
        </w:tc>
        <w:tc>
          <w:tcPr>
            <w:tcW w:w="1537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97.88%</w:t>
            </w:r>
          </w:p>
        </w:tc>
        <w:tc>
          <w:tcPr>
            <w:tcW w:w="167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(89.46, 101.03)</w:t>
            </w:r>
          </w:p>
        </w:tc>
      </w:tr>
      <w:bookmarkEnd w:id="10"/>
    </w:tbl>
    <w:p w:rsidR="005049A1" w:rsidRPr="00A417BE" w:rsidRDefault="005049A1" w:rsidP="005049A1">
      <w:pPr>
        <w:spacing w:after="0" w:line="240" w:lineRule="auto"/>
        <w:rPr>
          <w:rFonts w:cs="Arial"/>
          <w:i/>
          <w:highlight w:val="yellow"/>
        </w:rPr>
      </w:pPr>
    </w:p>
    <w:p w:rsidR="005049A1" w:rsidRPr="00BE4B23" w:rsidRDefault="005049A1" w:rsidP="005049A1">
      <w:pPr>
        <w:spacing w:after="0" w:line="240" w:lineRule="auto"/>
        <w:rPr>
          <w:rFonts w:cs="Arial"/>
        </w:rPr>
      </w:pPr>
      <w:r w:rsidRPr="00BE4B23">
        <w:rPr>
          <w:rFonts w:cs="Arial"/>
          <w:i/>
        </w:rPr>
        <w:t>Conclusioni sulla bioequivalenza</w:t>
      </w:r>
      <w:r w:rsidRPr="00BE4B23">
        <w:rPr>
          <w:rFonts w:cs="Arial"/>
        </w:rPr>
        <w:t>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BE4B23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0443CE" w:rsidRDefault="000443CE" w:rsidP="000443CE">
      <w:pPr>
        <w:spacing w:after="0" w:line="240" w:lineRule="auto"/>
        <w:jc w:val="both"/>
        <w:rPr>
          <w:highlight w:val="yellow"/>
        </w:rPr>
      </w:pPr>
    </w:p>
    <w:p w:rsidR="000443CE" w:rsidRPr="000443CE" w:rsidRDefault="000443CE" w:rsidP="000443CE">
      <w:pPr>
        <w:spacing w:after="0" w:line="240" w:lineRule="auto"/>
        <w:jc w:val="both"/>
        <w:rPr>
          <w:rFonts w:ascii="Calibri" w:hAnsi="Calibri"/>
        </w:rPr>
      </w:pPr>
      <w:r w:rsidRPr="00BF2436">
        <w:t xml:space="preserve">2) Studio di </w:t>
      </w:r>
      <w:proofErr w:type="spellStart"/>
      <w:r w:rsidRPr="00BF2436">
        <w:t>bioequivalenza</w:t>
      </w:r>
      <w:proofErr w:type="spellEnd"/>
      <w:r w:rsidRPr="00BF2436">
        <w:t xml:space="preserve">: </w:t>
      </w:r>
      <w:proofErr w:type="spellStart"/>
      <w:r w:rsidR="00BF2436" w:rsidRPr="00BF2436">
        <w:t>Protocol</w:t>
      </w:r>
      <w:proofErr w:type="spellEnd"/>
      <w:r w:rsidR="00BF2436" w:rsidRPr="00BF2436">
        <w:t xml:space="preserve"> </w:t>
      </w:r>
      <w:r w:rsidR="00966BB9" w:rsidRPr="00BF2436">
        <w:rPr>
          <w:rFonts w:ascii="Calibri" w:hAnsi="Calibri"/>
        </w:rPr>
        <w:t xml:space="preserve">CLCD-080-14/ </w:t>
      </w:r>
      <w:proofErr w:type="spellStart"/>
      <w:r w:rsidRPr="00BF2436">
        <w:rPr>
          <w:rFonts w:ascii="Calibri" w:hAnsi="Calibri"/>
        </w:rPr>
        <w:t>Study</w:t>
      </w:r>
      <w:proofErr w:type="spellEnd"/>
      <w:r w:rsidRPr="00BF2436">
        <w:rPr>
          <w:rFonts w:ascii="Calibri" w:hAnsi="Calibri"/>
        </w:rPr>
        <w:t xml:space="preserve"> nr. </w:t>
      </w:r>
      <w:proofErr w:type="spellStart"/>
      <w:r w:rsidRPr="00BF2436">
        <w:rPr>
          <w:rFonts w:ascii="Calibri" w:hAnsi="Calibri"/>
        </w:rPr>
        <w:t>Rp</w:t>
      </w:r>
      <w:proofErr w:type="spellEnd"/>
      <w:r w:rsidRPr="00BF2436">
        <w:rPr>
          <w:rFonts w:ascii="Calibri" w:hAnsi="Calibri"/>
        </w:rPr>
        <w:t>.14.1612 (</w:t>
      </w:r>
      <w:proofErr w:type="spellStart"/>
      <w:r w:rsidRPr="00BF2436">
        <w:rPr>
          <w:rFonts w:ascii="Calibri" w:hAnsi="Calibri"/>
        </w:rPr>
        <w:t>Pivotal</w:t>
      </w:r>
      <w:proofErr w:type="spellEnd"/>
      <w:r w:rsidRPr="00BF2436">
        <w:rPr>
          <w:rFonts w:ascii="Calibri" w:hAnsi="Calibri"/>
        </w:rPr>
        <w:t xml:space="preserve">, </w:t>
      </w:r>
      <w:proofErr w:type="spellStart"/>
      <w:r w:rsidRPr="00BF2436">
        <w:rPr>
          <w:rFonts w:ascii="Calibri" w:hAnsi="Calibri"/>
        </w:rPr>
        <w:t>fasting</w:t>
      </w:r>
      <w:proofErr w:type="spellEnd"/>
      <w:r w:rsidRPr="00BF2436">
        <w:rPr>
          <w:rFonts w:ascii="Calibri" w:hAnsi="Calibri"/>
        </w:rPr>
        <w:t>, 10 mg)</w:t>
      </w:r>
    </w:p>
    <w:p w:rsidR="00BF2436" w:rsidRDefault="00BF2436" w:rsidP="000443CE">
      <w:pPr>
        <w:spacing w:after="0" w:line="240" w:lineRule="auto"/>
        <w:jc w:val="both"/>
        <w:rPr>
          <w:rFonts w:ascii="Calibri" w:hAnsi="Calibri"/>
        </w:rPr>
      </w:pPr>
    </w:p>
    <w:p w:rsidR="000443CE" w:rsidRPr="00777B81" w:rsidRDefault="000443CE" w:rsidP="000443CE">
      <w:pPr>
        <w:spacing w:after="0" w:line="240" w:lineRule="auto"/>
        <w:jc w:val="both"/>
        <w:rPr>
          <w:rFonts w:ascii="Calibri" w:hAnsi="Calibri" w:cs="Arial"/>
        </w:rPr>
      </w:pPr>
      <w:r w:rsidRPr="00966BB9">
        <w:rPr>
          <w:rFonts w:ascii="Calibri" w:hAnsi="Calibri"/>
        </w:rPr>
        <w:lastRenderedPageBreak/>
        <w:t xml:space="preserve">Lo studio di </w:t>
      </w:r>
      <w:proofErr w:type="spellStart"/>
      <w:r w:rsidRPr="00966BB9">
        <w:rPr>
          <w:rFonts w:ascii="Calibri" w:hAnsi="Calibri"/>
        </w:rPr>
        <w:t>bioequivalenza</w:t>
      </w:r>
      <w:proofErr w:type="spellEnd"/>
      <w:r w:rsidRPr="00966BB9">
        <w:rPr>
          <w:rFonts w:ascii="Calibri" w:hAnsi="Calibri"/>
        </w:rPr>
        <w:t xml:space="preserve"> è uno studio comparativo</w:t>
      </w:r>
      <w:r w:rsidR="00BF2436">
        <w:rPr>
          <w:rFonts w:ascii="Calibri" w:hAnsi="Calibri"/>
        </w:rPr>
        <w:t>, randomizzato, a dose singola, in aperto</w:t>
      </w:r>
      <w:r>
        <w:rPr>
          <w:rFonts w:ascii="Calibri" w:hAnsi="Calibri"/>
        </w:rPr>
        <w:t xml:space="preserve">, </w:t>
      </w:r>
      <w:r w:rsidRPr="00966BB9">
        <w:rPr>
          <w:rFonts w:ascii="Calibri" w:hAnsi="Calibri"/>
        </w:rPr>
        <w:t xml:space="preserve">2-periodi, crossover condotto in </w:t>
      </w:r>
      <w:r>
        <w:rPr>
          <w:rFonts w:ascii="Calibri" w:hAnsi="Calibri"/>
        </w:rPr>
        <w:t>40</w:t>
      </w:r>
      <w:r w:rsidRPr="00AE64AB">
        <w:rPr>
          <w:rFonts w:ascii="Calibri" w:hAnsi="Calibri"/>
        </w:rPr>
        <w:t xml:space="preserve"> volontari adulti sani di sesso</w:t>
      </w:r>
      <w:r w:rsidRPr="00966BB9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femminile e </w:t>
      </w:r>
      <w:r w:rsidRPr="00966BB9">
        <w:rPr>
          <w:rFonts w:ascii="Calibri" w:hAnsi="Calibri"/>
        </w:rPr>
        <w:t xml:space="preserve">maschile con somministrazione a </w:t>
      </w:r>
      <w:r w:rsidR="00BF2436">
        <w:rPr>
          <w:rFonts w:ascii="Calibri" w:hAnsi="Calibri"/>
        </w:rPr>
        <w:t>digiu</w:t>
      </w:r>
      <w:r w:rsidRPr="00777B81">
        <w:rPr>
          <w:rFonts w:ascii="Calibri" w:hAnsi="Calibri"/>
        </w:rPr>
        <w:t>no. Un soddisfacente periodo di wash-out di 7</w:t>
      </w:r>
      <w:r w:rsidRPr="00777B81">
        <w:rPr>
          <w:rFonts w:ascii="Calibri" w:hAnsi="Calibri" w:cs="Arial"/>
        </w:rPr>
        <w:t xml:space="preserve"> giorni è stato previsto tra le somministrazioni in ogni gruppo.</w:t>
      </w:r>
    </w:p>
    <w:p w:rsidR="000443CE" w:rsidRPr="00777B81" w:rsidRDefault="000443CE" w:rsidP="000443CE">
      <w:pPr>
        <w:spacing w:after="0" w:line="240" w:lineRule="auto"/>
        <w:jc w:val="both"/>
        <w:rPr>
          <w:rFonts w:ascii="Calibri" w:hAnsi="Calibri" w:cs="Arial"/>
        </w:rPr>
      </w:pPr>
      <w:r w:rsidRPr="00777B81">
        <w:rPr>
          <w:rFonts w:ascii="Calibri" w:hAnsi="Calibri" w:cs="Arial"/>
        </w:rPr>
        <w:t>Campioni di sangue sono stati prelevati al tempo zero (</w:t>
      </w:r>
      <w:proofErr w:type="spellStart"/>
      <w:r w:rsidRPr="00777B81">
        <w:rPr>
          <w:rFonts w:ascii="Calibri" w:hAnsi="Calibri" w:cs="Arial"/>
        </w:rPr>
        <w:t>pre-dose</w:t>
      </w:r>
      <w:proofErr w:type="spellEnd"/>
      <w:r w:rsidRPr="00777B81">
        <w:rPr>
          <w:rFonts w:ascii="Calibri" w:hAnsi="Calibri" w:cs="Arial"/>
        </w:rPr>
        <w:t xml:space="preserve">) e a specificati tempi fino a 48 ore dopo la somministrazione. I livelli plasmatici di </w:t>
      </w:r>
      <w:proofErr w:type="spellStart"/>
      <w:r w:rsidRPr="00777B81">
        <w:rPr>
          <w:rFonts w:ascii="Calibri" w:hAnsi="Calibri" w:cs="Arial"/>
        </w:rPr>
        <w:t>rivaroxaban</w:t>
      </w:r>
      <w:proofErr w:type="spellEnd"/>
      <w:r w:rsidRPr="00777B81">
        <w:rPr>
          <w:rFonts w:ascii="Calibri" w:hAnsi="Calibri" w:cs="Arial"/>
        </w:rPr>
        <w:t xml:space="preserve"> sono stati determinati mediante un metodo analitico LC-MS/MS opportunamente convalidato.</w:t>
      </w:r>
    </w:p>
    <w:p w:rsidR="000443CE" w:rsidRPr="00AE64AB" w:rsidRDefault="000443CE" w:rsidP="000443CE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AE64AB">
        <w:rPr>
          <w:rFonts w:ascii="Calibri" w:hAnsi="Calibri" w:cs="Arial"/>
        </w:rPr>
        <w:t xml:space="preserve">Per </w:t>
      </w:r>
      <w:proofErr w:type="spellStart"/>
      <w:r w:rsidRPr="00AE64AB">
        <w:rPr>
          <w:rFonts w:ascii="Calibri" w:hAnsi="Calibri" w:cs="Arial"/>
        </w:rPr>
        <w:t>rivaroxaban</w:t>
      </w:r>
      <w:proofErr w:type="spellEnd"/>
      <w:r w:rsidRPr="00AE64AB">
        <w:rPr>
          <w:rFonts w:ascii="Calibri" w:hAnsi="Calibri" w:cs="Arial"/>
        </w:rPr>
        <w:t xml:space="preserve"> sono state definite le seguenti variabili farmacocinetiche: C</w:t>
      </w:r>
      <w:r w:rsidRPr="00AE64AB">
        <w:rPr>
          <w:rFonts w:ascii="Calibri" w:hAnsi="Calibri" w:cs="Arial"/>
          <w:vertAlign w:val="subscript"/>
        </w:rPr>
        <w:t>max</w:t>
      </w:r>
      <w:r w:rsidRPr="00AE64AB">
        <w:rPr>
          <w:rFonts w:ascii="Calibri" w:hAnsi="Calibri" w:cs="Arial"/>
        </w:rPr>
        <w:t>, AUC</w:t>
      </w:r>
      <w:r w:rsidRPr="00AE64AB">
        <w:rPr>
          <w:rFonts w:ascii="Calibri" w:hAnsi="Calibri" w:cs="Arial"/>
          <w:vertAlign w:val="subscript"/>
        </w:rPr>
        <w:t>0-t</w:t>
      </w:r>
      <w:r w:rsidRPr="00AE64AB">
        <w:rPr>
          <w:rFonts w:ascii="Calibri" w:hAnsi="Calibri" w:cs="Arial"/>
        </w:rPr>
        <w:t>, AUC</w:t>
      </w:r>
      <w:r w:rsidRPr="00AE64AB">
        <w:rPr>
          <w:rFonts w:ascii="Calibri" w:hAnsi="Calibri" w:cs="Arial"/>
          <w:vertAlign w:val="subscript"/>
        </w:rPr>
        <w:t>0-</w:t>
      </w:r>
      <w:r w:rsidRPr="00AE64AB">
        <w:rPr>
          <w:rFonts w:ascii="Calibri" w:hAnsi="Calibri" w:cs="Arial"/>
          <w:vertAlign w:val="subscript"/>
          <w:lang w:val="en-GB"/>
        </w:rPr>
        <w:sym w:font="Symbol" w:char="00A5"/>
      </w:r>
      <w:r w:rsidRPr="00AE64AB">
        <w:rPr>
          <w:rFonts w:ascii="Calibri" w:hAnsi="Calibri" w:cs="Arial"/>
        </w:rPr>
        <w:t xml:space="preserve">, </w:t>
      </w:r>
      <w:proofErr w:type="spellStart"/>
      <w:r w:rsidRPr="00AE64AB">
        <w:rPr>
          <w:rFonts w:ascii="Calibri" w:hAnsi="Calibri" w:cs="Arial"/>
        </w:rPr>
        <w:t>t</w:t>
      </w:r>
      <w:r w:rsidRPr="00AE64AB">
        <w:rPr>
          <w:rFonts w:ascii="Calibri" w:hAnsi="Calibri" w:cs="Arial"/>
          <w:vertAlign w:val="subscript"/>
        </w:rPr>
        <w:t>max</w:t>
      </w:r>
      <w:proofErr w:type="spellEnd"/>
      <w:r w:rsidRPr="00AE64AB">
        <w:rPr>
          <w:rFonts w:ascii="Calibri" w:hAnsi="Calibri" w:cs="Arial"/>
        </w:rPr>
        <w:t xml:space="preserve">, </w:t>
      </w:r>
      <w:proofErr w:type="spellStart"/>
      <w:r w:rsidRPr="00AE64AB">
        <w:rPr>
          <w:rFonts w:ascii="Calibri" w:hAnsi="Calibri" w:cs="Arial"/>
        </w:rPr>
        <w:t>t½</w:t>
      </w:r>
      <w:proofErr w:type="spellEnd"/>
      <w:r w:rsidRPr="00AE64AB">
        <w:rPr>
          <w:rFonts w:ascii="Calibri" w:hAnsi="Calibri" w:cs="Arial"/>
        </w:rPr>
        <w:t xml:space="preserve"> e AUC estrapolata. La </w:t>
      </w:r>
      <w:proofErr w:type="spellStart"/>
      <w:r w:rsidRPr="00AE64AB">
        <w:rPr>
          <w:rFonts w:ascii="Calibri" w:hAnsi="Calibri" w:cs="Arial"/>
        </w:rPr>
        <w:t>bioequivalenza</w:t>
      </w:r>
      <w:proofErr w:type="spellEnd"/>
      <w:r w:rsidRPr="00AE64AB">
        <w:rPr>
          <w:rFonts w:ascii="Calibri" w:hAnsi="Calibri" w:cs="Arial"/>
        </w:rPr>
        <w:t xml:space="preserve"> tra medicinale test e medicinale di riferimento è dimostrata se gli intervalli di confidenza al 90% per la trasformata logaritmica di C</w:t>
      </w:r>
      <w:r w:rsidRPr="00AE64AB">
        <w:rPr>
          <w:rFonts w:ascii="Calibri" w:hAnsi="Calibri" w:cs="Arial"/>
          <w:vertAlign w:val="subscript"/>
        </w:rPr>
        <w:t>max</w:t>
      </w:r>
      <w:r w:rsidRPr="00AE64AB">
        <w:rPr>
          <w:rFonts w:ascii="Calibri" w:hAnsi="Calibri" w:cs="Arial"/>
        </w:rPr>
        <w:t xml:space="preserve"> e AUC</w:t>
      </w:r>
      <w:r w:rsidRPr="00AE64AB">
        <w:rPr>
          <w:rFonts w:ascii="Calibri" w:hAnsi="Calibri" w:cs="Arial"/>
          <w:vertAlign w:val="subscript"/>
        </w:rPr>
        <w:t>0-t</w:t>
      </w:r>
      <w:r w:rsidRPr="00AE64AB">
        <w:rPr>
          <w:rFonts w:ascii="Calibri" w:hAnsi="Calibri" w:cs="Arial"/>
        </w:rPr>
        <w:t>, cadono nel range di accettabilità di 0.80-1.25 (80%-125%).</w:t>
      </w:r>
    </w:p>
    <w:p w:rsidR="000443CE" w:rsidRPr="00A417BE" w:rsidRDefault="000443CE" w:rsidP="000443CE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0443CE" w:rsidRPr="00BE4B23" w:rsidRDefault="000443CE" w:rsidP="000443CE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BE4B23">
        <w:rPr>
          <w:u w:val="single"/>
        </w:rPr>
        <w:t>Risultati</w:t>
      </w:r>
    </w:p>
    <w:p w:rsidR="000443CE" w:rsidRPr="00BE4B23" w:rsidRDefault="00FF5487" w:rsidP="000443CE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40</w:t>
      </w:r>
      <w:r w:rsidR="000443CE" w:rsidRPr="00BE4B23">
        <w:rPr>
          <w:rFonts w:ascii="Calibri" w:hAnsi="Calibri" w:cs="Arial"/>
        </w:rPr>
        <w:t xml:space="preserve"> volontari sani sono </w:t>
      </w:r>
      <w:r>
        <w:rPr>
          <w:rFonts w:ascii="Calibri" w:hAnsi="Calibri" w:cs="Arial"/>
        </w:rPr>
        <w:t>stati arruolati nello studio. 38</w:t>
      </w:r>
      <w:r w:rsidR="000443CE" w:rsidRPr="00BE4B23">
        <w:rPr>
          <w:rFonts w:ascii="Calibri" w:hAnsi="Calibri" w:cs="Arial"/>
        </w:rPr>
        <w:t xml:space="preserve"> soggetti </w:t>
      </w:r>
      <w:r w:rsidR="000443CE" w:rsidRPr="00BE4B23">
        <w:t xml:space="preserve">hanno completato la fase clinica e </w:t>
      </w:r>
      <w:r w:rsidR="000443CE" w:rsidRPr="00BE4B23">
        <w:rPr>
          <w:rFonts w:ascii="Calibri" w:hAnsi="Calibri" w:cs="Arial"/>
        </w:rPr>
        <w:t>sono stati inclusi nell’analisi farmacocinetica.</w:t>
      </w:r>
    </w:p>
    <w:p w:rsidR="000443CE" w:rsidRPr="00BE4B23" w:rsidRDefault="000443CE" w:rsidP="000443C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0443CE" w:rsidRPr="00BE4B23" w:rsidRDefault="000443CE" w:rsidP="000443C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BE4B23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D544DA" w:rsidRPr="00D544DA" w:rsidRDefault="00D544DA" w:rsidP="00D544D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D544DA">
        <w:rPr>
          <w:rFonts w:ascii="Calibri" w:hAnsi="Calibri" w:cs="Arial"/>
        </w:rPr>
        <w:t>Nel corso dello studio, si sono</w:t>
      </w:r>
      <w:r w:rsidR="00DB224D">
        <w:rPr>
          <w:rFonts w:ascii="Calibri" w:hAnsi="Calibri" w:cs="Arial"/>
        </w:rPr>
        <w:t xml:space="preserve"> </w:t>
      </w:r>
      <w:r w:rsidRPr="00D544DA">
        <w:rPr>
          <w:rFonts w:ascii="Calibri" w:hAnsi="Calibri" w:cs="Arial"/>
        </w:rPr>
        <w:t>manifestati</w:t>
      </w:r>
      <w:r w:rsidR="00DB224D">
        <w:rPr>
          <w:rFonts w:ascii="Calibri" w:hAnsi="Calibri" w:cs="Arial"/>
        </w:rPr>
        <w:t xml:space="preserve"> 2</w:t>
      </w:r>
      <w:r w:rsidRPr="00D544DA">
        <w:rPr>
          <w:rFonts w:ascii="Calibri" w:hAnsi="Calibri" w:cs="Arial"/>
        </w:rPr>
        <w:t xml:space="preserve"> eventi avversi correlati al trattamento in </w:t>
      </w:r>
      <w:r w:rsidR="00DB224D">
        <w:rPr>
          <w:rFonts w:ascii="Calibri" w:hAnsi="Calibri" w:cs="Arial"/>
        </w:rPr>
        <w:t>3</w:t>
      </w:r>
      <w:r w:rsidRPr="00D544DA">
        <w:rPr>
          <w:rFonts w:ascii="Calibri" w:hAnsi="Calibri" w:cs="Arial"/>
        </w:rPr>
        <w:t xml:space="preserve"> soggetti. In particolare,</w:t>
      </w:r>
      <w:r w:rsidR="009A17E6">
        <w:rPr>
          <w:rFonts w:ascii="Calibri" w:hAnsi="Calibri" w:cs="Arial"/>
        </w:rPr>
        <w:t xml:space="preserve"> sono</w:t>
      </w:r>
      <w:r w:rsidRPr="00D544DA">
        <w:rPr>
          <w:rFonts w:ascii="Calibri" w:hAnsi="Calibri" w:cs="Arial"/>
        </w:rPr>
        <w:t xml:space="preserve"> stat</w:t>
      </w:r>
      <w:r w:rsidR="009A17E6">
        <w:rPr>
          <w:rFonts w:ascii="Calibri" w:hAnsi="Calibri" w:cs="Arial"/>
        </w:rPr>
        <w:t>i</w:t>
      </w:r>
      <w:r w:rsidRPr="00D544DA">
        <w:rPr>
          <w:rFonts w:ascii="Calibri" w:hAnsi="Calibri" w:cs="Arial"/>
        </w:rPr>
        <w:t xml:space="preserve"> riscontrat</w:t>
      </w:r>
      <w:r w:rsidR="009A17E6">
        <w:rPr>
          <w:rFonts w:ascii="Calibri" w:hAnsi="Calibri" w:cs="Arial"/>
        </w:rPr>
        <w:t>i</w:t>
      </w:r>
      <w:r w:rsidRPr="00D544DA">
        <w:rPr>
          <w:rFonts w:ascii="Calibri" w:hAnsi="Calibri" w:cs="Arial"/>
        </w:rPr>
        <w:t xml:space="preserve"> </w:t>
      </w:r>
      <w:r w:rsidR="00DB224D">
        <w:rPr>
          <w:rFonts w:ascii="Calibri" w:hAnsi="Calibri" w:cs="Arial"/>
        </w:rPr>
        <w:t>mal di testa e aumento della conta degli eosinofili.</w:t>
      </w:r>
      <w:r w:rsidRPr="00D544DA">
        <w:rPr>
          <w:rFonts w:ascii="Calibri" w:hAnsi="Calibri" w:cs="Arial"/>
        </w:rPr>
        <w:t xml:space="preserve"> Non sono stati rilevati eventi avversi gravi.</w:t>
      </w:r>
    </w:p>
    <w:p w:rsidR="000443CE" w:rsidRPr="00A417BE" w:rsidRDefault="000443CE" w:rsidP="000443CE">
      <w:pPr>
        <w:spacing w:after="0" w:line="240" w:lineRule="auto"/>
        <w:rPr>
          <w:highlight w:val="yellow"/>
        </w:rPr>
      </w:pPr>
    </w:p>
    <w:p w:rsidR="000443CE" w:rsidRPr="00BE4B23" w:rsidRDefault="000443CE" w:rsidP="000443CE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BE4B23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BE4B23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0443CE" w:rsidRPr="00BE4B23" w:rsidRDefault="000443CE" w:rsidP="000443CE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BE4B23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BE4B23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Pr="00BE4B23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966BB9" w:rsidRDefault="00966BB9" w:rsidP="00966BB9">
      <w:pPr>
        <w:spacing w:after="0" w:line="240" w:lineRule="auto"/>
        <w:jc w:val="both"/>
        <w:rPr>
          <w:rFonts w:ascii="Calibri" w:hAnsi="Calibri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4"/>
        <w:gridCol w:w="1635"/>
        <w:gridCol w:w="1575"/>
        <w:gridCol w:w="1716"/>
      </w:tblGrid>
      <w:tr w:rsidR="00D62BE3" w:rsidRPr="001B1C9C" w:rsidTr="00E83ED2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:rsidR="00D62BE3" w:rsidRPr="001B1C9C" w:rsidRDefault="00D62BE3" w:rsidP="00D62BE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1B1C9C">
              <w:rPr>
                <w:b/>
                <w:bCs/>
                <w:sz w:val="20"/>
                <w:szCs w:val="20"/>
              </w:rPr>
              <w:t>Rivaroxaban 10 mg</w:t>
            </w:r>
          </w:p>
        </w:tc>
      </w:tr>
      <w:tr w:rsidR="001B1C9C" w:rsidRPr="001B1C9C" w:rsidTr="00E83ED2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1B1C9C">
              <w:rPr>
                <w:b/>
                <w:bCs/>
                <w:sz w:val="20"/>
                <w:szCs w:val="20"/>
              </w:rPr>
              <w:t>Studio di BE a digiuno (No. Rp.14.1612)</w:t>
            </w:r>
          </w:p>
        </w:tc>
      </w:tr>
      <w:tr w:rsidR="001B1C9C" w:rsidRPr="001B1C9C" w:rsidTr="00E83ED2">
        <w:trPr>
          <w:jc w:val="center"/>
        </w:trPr>
        <w:tc>
          <w:tcPr>
            <w:tcW w:w="1519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1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596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37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67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90% C.I.</w:t>
            </w:r>
          </w:p>
        </w:tc>
      </w:tr>
      <w:tr w:rsidR="001B1C9C" w:rsidRPr="001B1C9C" w:rsidTr="00E83ED2">
        <w:trPr>
          <w:jc w:val="center"/>
        </w:trPr>
        <w:tc>
          <w:tcPr>
            <w:tcW w:w="1519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61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824</w:t>
            </w:r>
            <w:r w:rsidRPr="001B1C9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8783</w:t>
            </w:r>
          </w:p>
        </w:tc>
        <w:tc>
          <w:tcPr>
            <w:tcW w:w="1596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  <w:r w:rsidRPr="001B1C9C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9</w:t>
            </w:r>
            <w:r w:rsidRPr="001B1C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1537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98.43%</w:t>
            </w:r>
          </w:p>
        </w:tc>
        <w:tc>
          <w:tcPr>
            <w:tcW w:w="167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(93.02, 104.16)</w:t>
            </w:r>
          </w:p>
        </w:tc>
      </w:tr>
      <w:tr w:rsidR="001B1C9C" w:rsidRPr="001B1C9C" w:rsidTr="00E83ED2">
        <w:trPr>
          <w:jc w:val="center"/>
        </w:trPr>
        <w:tc>
          <w:tcPr>
            <w:tcW w:w="1519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B1C9C">
              <w:rPr>
                <w:b/>
                <w:sz w:val="20"/>
                <w:szCs w:val="20"/>
              </w:rPr>
              <w:t>Cmax</w:t>
            </w:r>
          </w:p>
        </w:tc>
        <w:tc>
          <w:tcPr>
            <w:tcW w:w="161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12</w:t>
            </w:r>
            <w:r w:rsidRPr="001B1C9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6658</w:t>
            </w:r>
          </w:p>
        </w:tc>
        <w:tc>
          <w:tcPr>
            <w:tcW w:w="1596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  <w:r w:rsidRPr="001B1C9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4057</w:t>
            </w:r>
          </w:p>
        </w:tc>
        <w:tc>
          <w:tcPr>
            <w:tcW w:w="1537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91.51%</w:t>
            </w:r>
          </w:p>
        </w:tc>
        <w:tc>
          <w:tcPr>
            <w:tcW w:w="1675" w:type="dxa"/>
            <w:vAlign w:val="bottom"/>
          </w:tcPr>
          <w:p w:rsidR="001B1C9C" w:rsidRPr="001B1C9C" w:rsidRDefault="001B1C9C" w:rsidP="001B1C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C9C">
              <w:rPr>
                <w:sz w:val="20"/>
                <w:szCs w:val="20"/>
              </w:rPr>
              <w:t>(83.35, 100.46)</w:t>
            </w:r>
          </w:p>
        </w:tc>
      </w:tr>
    </w:tbl>
    <w:p w:rsidR="001B1C9C" w:rsidRDefault="001B1C9C" w:rsidP="00966BB9">
      <w:pPr>
        <w:spacing w:after="0" w:line="240" w:lineRule="auto"/>
        <w:jc w:val="both"/>
        <w:rPr>
          <w:rFonts w:ascii="Calibri" w:hAnsi="Calibri"/>
        </w:rPr>
      </w:pPr>
    </w:p>
    <w:p w:rsidR="00966BB9" w:rsidRDefault="000443CE" w:rsidP="00966BB9">
      <w:pPr>
        <w:spacing w:after="0" w:line="240" w:lineRule="auto"/>
        <w:jc w:val="both"/>
        <w:rPr>
          <w:rFonts w:ascii="Calibri" w:hAnsi="Calibri"/>
        </w:rPr>
      </w:pPr>
      <w:r w:rsidRPr="00FF5487">
        <w:t xml:space="preserve">3) Studio di </w:t>
      </w:r>
      <w:proofErr w:type="spellStart"/>
      <w:r w:rsidRPr="00FF5487">
        <w:t>bioequivalenza</w:t>
      </w:r>
      <w:proofErr w:type="spellEnd"/>
      <w:r w:rsidRPr="00FF5487">
        <w:t xml:space="preserve">: </w:t>
      </w:r>
      <w:proofErr w:type="spellStart"/>
      <w:r w:rsidR="00BF2436" w:rsidRPr="00FF5487">
        <w:t>Protocol</w:t>
      </w:r>
      <w:proofErr w:type="spellEnd"/>
      <w:r w:rsidR="00BF2436" w:rsidRPr="00FF5487">
        <w:t xml:space="preserve"> </w:t>
      </w:r>
      <w:r w:rsidR="00966BB9" w:rsidRPr="00FF5487">
        <w:rPr>
          <w:rFonts w:ascii="Calibri" w:hAnsi="Calibri"/>
        </w:rPr>
        <w:t xml:space="preserve">CLCD-081-15/ </w:t>
      </w:r>
      <w:proofErr w:type="spellStart"/>
      <w:r w:rsidRPr="00FF5487">
        <w:rPr>
          <w:rFonts w:ascii="Calibri" w:hAnsi="Calibri"/>
        </w:rPr>
        <w:t>Study</w:t>
      </w:r>
      <w:proofErr w:type="spellEnd"/>
      <w:r w:rsidRPr="00FF5487">
        <w:rPr>
          <w:rFonts w:ascii="Calibri" w:hAnsi="Calibri"/>
        </w:rPr>
        <w:t xml:space="preserve"> nr. </w:t>
      </w:r>
      <w:proofErr w:type="spellStart"/>
      <w:r w:rsidRPr="00FF5487">
        <w:rPr>
          <w:rFonts w:ascii="Calibri" w:hAnsi="Calibri"/>
        </w:rPr>
        <w:t>Rp</w:t>
      </w:r>
      <w:proofErr w:type="spellEnd"/>
      <w:r w:rsidRPr="00FF5487">
        <w:rPr>
          <w:rFonts w:ascii="Calibri" w:hAnsi="Calibri"/>
        </w:rPr>
        <w:t>.15.0709 (</w:t>
      </w:r>
      <w:proofErr w:type="spellStart"/>
      <w:r w:rsidRPr="00FF5487">
        <w:rPr>
          <w:rFonts w:ascii="Calibri" w:hAnsi="Calibri"/>
        </w:rPr>
        <w:t>Pivotal</w:t>
      </w:r>
      <w:proofErr w:type="spellEnd"/>
      <w:r w:rsidRPr="00FF5487">
        <w:rPr>
          <w:rFonts w:ascii="Calibri" w:hAnsi="Calibri"/>
        </w:rPr>
        <w:t xml:space="preserve">, </w:t>
      </w:r>
      <w:proofErr w:type="spellStart"/>
      <w:r w:rsidRPr="00FF5487">
        <w:rPr>
          <w:rFonts w:ascii="Calibri" w:hAnsi="Calibri"/>
        </w:rPr>
        <w:t>fasting</w:t>
      </w:r>
      <w:proofErr w:type="spellEnd"/>
      <w:r w:rsidRPr="00FF5487">
        <w:rPr>
          <w:rFonts w:ascii="Calibri" w:hAnsi="Calibri"/>
        </w:rPr>
        <w:t>, 2.5 mg)</w:t>
      </w:r>
    </w:p>
    <w:p w:rsidR="000443CE" w:rsidRPr="000443CE" w:rsidRDefault="000443CE" w:rsidP="00966BB9">
      <w:pPr>
        <w:spacing w:after="0" w:line="240" w:lineRule="auto"/>
        <w:jc w:val="both"/>
        <w:rPr>
          <w:rFonts w:ascii="Calibri" w:hAnsi="Calibri"/>
        </w:rPr>
      </w:pPr>
    </w:p>
    <w:p w:rsidR="00FF5487" w:rsidRPr="00777B81" w:rsidRDefault="00FF5487" w:rsidP="00FF5487">
      <w:pPr>
        <w:spacing w:after="0" w:line="240" w:lineRule="auto"/>
        <w:jc w:val="both"/>
        <w:rPr>
          <w:rFonts w:ascii="Calibri" w:hAnsi="Calibri" w:cs="Arial"/>
        </w:rPr>
      </w:pPr>
      <w:r w:rsidRPr="00966BB9">
        <w:rPr>
          <w:rFonts w:ascii="Calibri" w:hAnsi="Calibri"/>
        </w:rPr>
        <w:t xml:space="preserve">Lo studio di </w:t>
      </w:r>
      <w:proofErr w:type="spellStart"/>
      <w:r w:rsidRPr="00966BB9">
        <w:rPr>
          <w:rFonts w:ascii="Calibri" w:hAnsi="Calibri"/>
        </w:rPr>
        <w:t>bioequivalenza</w:t>
      </w:r>
      <w:proofErr w:type="spellEnd"/>
      <w:r w:rsidRPr="00966BB9">
        <w:rPr>
          <w:rFonts w:ascii="Calibri" w:hAnsi="Calibri"/>
        </w:rPr>
        <w:t xml:space="preserve"> è uno studio comparativo</w:t>
      </w:r>
      <w:r>
        <w:rPr>
          <w:rFonts w:ascii="Calibri" w:hAnsi="Calibri"/>
        </w:rPr>
        <w:t xml:space="preserve">, randomizzato, a dose singola, in aperto, </w:t>
      </w:r>
      <w:r w:rsidRPr="00966BB9">
        <w:rPr>
          <w:rFonts w:ascii="Calibri" w:hAnsi="Calibri"/>
        </w:rPr>
        <w:t xml:space="preserve">2-periodi, crossover condotto in </w:t>
      </w:r>
      <w:r>
        <w:rPr>
          <w:rFonts w:ascii="Calibri" w:hAnsi="Calibri"/>
        </w:rPr>
        <w:t>40</w:t>
      </w:r>
      <w:r w:rsidRPr="00AE64AB">
        <w:rPr>
          <w:rFonts w:ascii="Calibri" w:hAnsi="Calibri"/>
        </w:rPr>
        <w:t xml:space="preserve"> volontari adulti sani di sesso</w:t>
      </w:r>
      <w:r w:rsidRPr="00966BB9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femminile e </w:t>
      </w:r>
      <w:r w:rsidRPr="00966BB9">
        <w:rPr>
          <w:rFonts w:ascii="Calibri" w:hAnsi="Calibri"/>
        </w:rPr>
        <w:t xml:space="preserve">maschile con somministrazione a </w:t>
      </w:r>
      <w:r>
        <w:rPr>
          <w:rFonts w:ascii="Calibri" w:hAnsi="Calibri"/>
        </w:rPr>
        <w:t>digiu</w:t>
      </w:r>
      <w:r w:rsidRPr="00777B81">
        <w:rPr>
          <w:rFonts w:ascii="Calibri" w:hAnsi="Calibri"/>
        </w:rPr>
        <w:t>no. Un soddisfacente periodo di wash-out di 7</w:t>
      </w:r>
      <w:r w:rsidRPr="00777B81">
        <w:rPr>
          <w:rFonts w:ascii="Calibri" w:hAnsi="Calibri" w:cs="Arial"/>
        </w:rPr>
        <w:t xml:space="preserve"> giorni è stato previsto tra le somministrazioni in ogni gruppo.</w:t>
      </w:r>
    </w:p>
    <w:p w:rsidR="00FF5487" w:rsidRPr="00777B81" w:rsidRDefault="00FF5487" w:rsidP="00FF5487">
      <w:pPr>
        <w:spacing w:after="0" w:line="240" w:lineRule="auto"/>
        <w:jc w:val="both"/>
        <w:rPr>
          <w:rFonts w:ascii="Calibri" w:hAnsi="Calibri" w:cs="Arial"/>
        </w:rPr>
      </w:pPr>
      <w:r w:rsidRPr="00777B81">
        <w:rPr>
          <w:rFonts w:ascii="Calibri" w:hAnsi="Calibri" w:cs="Arial"/>
        </w:rPr>
        <w:t>Campioni di sangue sono stati prelevati al tempo zero (</w:t>
      </w:r>
      <w:proofErr w:type="spellStart"/>
      <w:r w:rsidRPr="00777B81">
        <w:rPr>
          <w:rFonts w:ascii="Calibri" w:hAnsi="Calibri" w:cs="Arial"/>
        </w:rPr>
        <w:t>pre-dose</w:t>
      </w:r>
      <w:proofErr w:type="spellEnd"/>
      <w:r w:rsidRPr="00777B81">
        <w:rPr>
          <w:rFonts w:ascii="Calibri" w:hAnsi="Calibri" w:cs="Arial"/>
        </w:rPr>
        <w:t xml:space="preserve">) e a specificati tempi fino a 48 ore dopo la somministrazione. I livelli plasmatici di </w:t>
      </w:r>
      <w:proofErr w:type="spellStart"/>
      <w:r w:rsidRPr="00777B81">
        <w:rPr>
          <w:rFonts w:ascii="Calibri" w:hAnsi="Calibri" w:cs="Arial"/>
        </w:rPr>
        <w:t>rivaroxaban</w:t>
      </w:r>
      <w:proofErr w:type="spellEnd"/>
      <w:r w:rsidRPr="00777B81">
        <w:rPr>
          <w:rFonts w:ascii="Calibri" w:hAnsi="Calibri" w:cs="Arial"/>
        </w:rPr>
        <w:t xml:space="preserve"> sono stati determinati mediante un metodo analitico LC-MS/MS opportunamente convalidato.</w:t>
      </w:r>
    </w:p>
    <w:p w:rsidR="00FF5487" w:rsidRPr="00AE64AB" w:rsidRDefault="00FF5487" w:rsidP="00FF5487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AE64AB">
        <w:rPr>
          <w:rFonts w:ascii="Calibri" w:hAnsi="Calibri" w:cs="Arial"/>
        </w:rPr>
        <w:t xml:space="preserve">Per </w:t>
      </w:r>
      <w:proofErr w:type="spellStart"/>
      <w:r w:rsidRPr="00AE64AB">
        <w:rPr>
          <w:rFonts w:ascii="Calibri" w:hAnsi="Calibri" w:cs="Arial"/>
        </w:rPr>
        <w:t>rivaroxaban</w:t>
      </w:r>
      <w:proofErr w:type="spellEnd"/>
      <w:r w:rsidRPr="00AE64AB">
        <w:rPr>
          <w:rFonts w:ascii="Calibri" w:hAnsi="Calibri" w:cs="Arial"/>
        </w:rPr>
        <w:t xml:space="preserve"> sono state definite le seguenti variabili farmacocinetiche: C</w:t>
      </w:r>
      <w:r w:rsidRPr="00AE64AB">
        <w:rPr>
          <w:rFonts w:ascii="Calibri" w:hAnsi="Calibri" w:cs="Arial"/>
          <w:vertAlign w:val="subscript"/>
        </w:rPr>
        <w:t>max</w:t>
      </w:r>
      <w:r w:rsidRPr="00AE64AB">
        <w:rPr>
          <w:rFonts w:ascii="Calibri" w:hAnsi="Calibri" w:cs="Arial"/>
        </w:rPr>
        <w:t>, AUC</w:t>
      </w:r>
      <w:r w:rsidRPr="00AE64AB">
        <w:rPr>
          <w:rFonts w:ascii="Calibri" w:hAnsi="Calibri" w:cs="Arial"/>
          <w:vertAlign w:val="subscript"/>
        </w:rPr>
        <w:t>0-t</w:t>
      </w:r>
      <w:r w:rsidRPr="00AE64AB">
        <w:rPr>
          <w:rFonts w:ascii="Calibri" w:hAnsi="Calibri" w:cs="Arial"/>
        </w:rPr>
        <w:t>, AUC</w:t>
      </w:r>
      <w:r w:rsidRPr="00AE64AB">
        <w:rPr>
          <w:rFonts w:ascii="Calibri" w:hAnsi="Calibri" w:cs="Arial"/>
          <w:vertAlign w:val="subscript"/>
        </w:rPr>
        <w:t>0-</w:t>
      </w:r>
      <w:r w:rsidRPr="00AE64AB">
        <w:rPr>
          <w:rFonts w:ascii="Calibri" w:hAnsi="Calibri" w:cs="Arial"/>
          <w:vertAlign w:val="subscript"/>
          <w:lang w:val="en-GB"/>
        </w:rPr>
        <w:sym w:font="Symbol" w:char="00A5"/>
      </w:r>
      <w:r w:rsidRPr="00AE64AB">
        <w:rPr>
          <w:rFonts w:ascii="Calibri" w:hAnsi="Calibri" w:cs="Arial"/>
        </w:rPr>
        <w:t xml:space="preserve">, </w:t>
      </w:r>
      <w:proofErr w:type="spellStart"/>
      <w:r w:rsidRPr="00AE64AB">
        <w:rPr>
          <w:rFonts w:ascii="Calibri" w:hAnsi="Calibri" w:cs="Arial"/>
        </w:rPr>
        <w:t>t</w:t>
      </w:r>
      <w:r w:rsidRPr="00AE64AB">
        <w:rPr>
          <w:rFonts w:ascii="Calibri" w:hAnsi="Calibri" w:cs="Arial"/>
          <w:vertAlign w:val="subscript"/>
        </w:rPr>
        <w:t>max</w:t>
      </w:r>
      <w:proofErr w:type="spellEnd"/>
      <w:r w:rsidRPr="00AE64AB">
        <w:rPr>
          <w:rFonts w:ascii="Calibri" w:hAnsi="Calibri" w:cs="Arial"/>
        </w:rPr>
        <w:t xml:space="preserve">, </w:t>
      </w:r>
      <w:proofErr w:type="spellStart"/>
      <w:r w:rsidRPr="00AE64AB">
        <w:rPr>
          <w:rFonts w:ascii="Calibri" w:hAnsi="Calibri" w:cs="Arial"/>
        </w:rPr>
        <w:t>t½</w:t>
      </w:r>
      <w:proofErr w:type="spellEnd"/>
      <w:r w:rsidRPr="00AE64AB">
        <w:rPr>
          <w:rFonts w:ascii="Calibri" w:hAnsi="Calibri" w:cs="Arial"/>
        </w:rPr>
        <w:t xml:space="preserve"> e AUC estrapolata. La </w:t>
      </w:r>
      <w:proofErr w:type="spellStart"/>
      <w:r w:rsidRPr="00AE64AB">
        <w:rPr>
          <w:rFonts w:ascii="Calibri" w:hAnsi="Calibri" w:cs="Arial"/>
        </w:rPr>
        <w:t>bioequivalenza</w:t>
      </w:r>
      <w:proofErr w:type="spellEnd"/>
      <w:r w:rsidRPr="00AE64AB">
        <w:rPr>
          <w:rFonts w:ascii="Calibri" w:hAnsi="Calibri" w:cs="Arial"/>
        </w:rPr>
        <w:t xml:space="preserve"> tra medicinale test e medicinale di riferimento è dimostrata se gli intervalli di confidenza al 90% per la trasformata logaritmica di C</w:t>
      </w:r>
      <w:r w:rsidRPr="00AE64AB">
        <w:rPr>
          <w:rFonts w:ascii="Calibri" w:hAnsi="Calibri" w:cs="Arial"/>
          <w:vertAlign w:val="subscript"/>
        </w:rPr>
        <w:t>max</w:t>
      </w:r>
      <w:r w:rsidRPr="00AE64AB">
        <w:rPr>
          <w:rFonts w:ascii="Calibri" w:hAnsi="Calibri" w:cs="Arial"/>
        </w:rPr>
        <w:t xml:space="preserve"> e AUC</w:t>
      </w:r>
      <w:r w:rsidRPr="00AE64AB">
        <w:rPr>
          <w:rFonts w:ascii="Calibri" w:hAnsi="Calibri" w:cs="Arial"/>
          <w:vertAlign w:val="subscript"/>
        </w:rPr>
        <w:t>0-t</w:t>
      </w:r>
      <w:r w:rsidRPr="00AE64AB">
        <w:rPr>
          <w:rFonts w:ascii="Calibri" w:hAnsi="Calibri" w:cs="Arial"/>
        </w:rPr>
        <w:t>, cadono nel range di accettabilità di 0.80-1.25 (80%-125%).</w:t>
      </w:r>
    </w:p>
    <w:p w:rsidR="00FF5487" w:rsidRPr="00A417BE" w:rsidRDefault="00FF5487" w:rsidP="00FF5487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FF5487" w:rsidRPr="00BE4B23" w:rsidRDefault="00FF5487" w:rsidP="00FF5487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BE4B23">
        <w:rPr>
          <w:u w:val="single"/>
        </w:rPr>
        <w:t>Risultati</w:t>
      </w:r>
    </w:p>
    <w:p w:rsidR="00FF5487" w:rsidRPr="00BE4B23" w:rsidRDefault="00FF5487" w:rsidP="00FF5487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40</w:t>
      </w:r>
      <w:r w:rsidRPr="00BE4B23">
        <w:rPr>
          <w:rFonts w:ascii="Calibri" w:hAnsi="Calibri" w:cs="Arial"/>
        </w:rPr>
        <w:t xml:space="preserve"> volontari sani sono </w:t>
      </w:r>
      <w:r>
        <w:rPr>
          <w:rFonts w:ascii="Calibri" w:hAnsi="Calibri" w:cs="Arial"/>
        </w:rPr>
        <w:t xml:space="preserve">stati arruolati </w:t>
      </w:r>
      <w:r w:rsidR="00464C54">
        <w:rPr>
          <w:rFonts w:ascii="Calibri" w:hAnsi="Calibri" w:cs="Arial"/>
        </w:rPr>
        <w:t>nello studio. 39</w:t>
      </w:r>
      <w:r w:rsidRPr="00BE4B23">
        <w:rPr>
          <w:rFonts w:ascii="Calibri" w:hAnsi="Calibri" w:cs="Arial"/>
        </w:rPr>
        <w:t xml:space="preserve"> soggetti </w:t>
      </w:r>
      <w:r w:rsidRPr="00BE4B23">
        <w:t xml:space="preserve">hanno completato la fase clinica e </w:t>
      </w:r>
      <w:r w:rsidRPr="00BE4B23">
        <w:rPr>
          <w:rFonts w:ascii="Calibri" w:hAnsi="Calibri" w:cs="Arial"/>
        </w:rPr>
        <w:t>sono stati inclusi nell’analisi farmacocinetica.</w:t>
      </w:r>
    </w:p>
    <w:p w:rsidR="00FF5487" w:rsidRPr="00BE4B23" w:rsidRDefault="00FF5487" w:rsidP="00FF548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FF5487" w:rsidRPr="00BE4B23" w:rsidRDefault="00FF5487" w:rsidP="00FF548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BE4B23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A17E6" w:rsidRPr="009A17E6" w:rsidRDefault="009A17E6" w:rsidP="009A17E6">
      <w:pPr>
        <w:spacing w:after="0" w:line="240" w:lineRule="auto"/>
        <w:rPr>
          <w:rFonts w:ascii="Calibri" w:hAnsi="Calibri" w:cs="Arial"/>
          <w:b/>
        </w:rPr>
      </w:pPr>
      <w:r w:rsidRPr="009A17E6">
        <w:rPr>
          <w:rFonts w:ascii="Calibri" w:hAnsi="Calibri" w:cs="Arial"/>
        </w:rPr>
        <w:t xml:space="preserve">Nel corso dello studio, si </w:t>
      </w:r>
      <w:r>
        <w:rPr>
          <w:rFonts w:ascii="Calibri" w:hAnsi="Calibri" w:cs="Arial"/>
        </w:rPr>
        <w:t>è</w:t>
      </w:r>
      <w:r w:rsidRPr="009A17E6">
        <w:rPr>
          <w:rFonts w:ascii="Calibri" w:hAnsi="Calibri" w:cs="Arial"/>
        </w:rPr>
        <w:t xml:space="preserve"> manifestat</w:t>
      </w:r>
      <w:r>
        <w:rPr>
          <w:rFonts w:ascii="Calibri" w:hAnsi="Calibri" w:cs="Arial"/>
        </w:rPr>
        <w:t>o</w:t>
      </w:r>
      <w:r w:rsidRPr="009A17E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1</w:t>
      </w:r>
      <w:r w:rsidRPr="009A17E6">
        <w:rPr>
          <w:rFonts w:ascii="Calibri" w:hAnsi="Calibri" w:cs="Arial"/>
        </w:rPr>
        <w:t xml:space="preserve"> event</w:t>
      </w:r>
      <w:r>
        <w:rPr>
          <w:rFonts w:ascii="Calibri" w:hAnsi="Calibri" w:cs="Arial"/>
        </w:rPr>
        <w:t>o</w:t>
      </w:r>
      <w:r w:rsidRPr="009A17E6">
        <w:rPr>
          <w:rFonts w:ascii="Calibri" w:hAnsi="Calibri" w:cs="Arial"/>
        </w:rPr>
        <w:t xml:space="preserve"> avvers</w:t>
      </w:r>
      <w:r>
        <w:rPr>
          <w:rFonts w:ascii="Calibri" w:hAnsi="Calibri" w:cs="Arial"/>
        </w:rPr>
        <w:t>o</w:t>
      </w:r>
      <w:r w:rsidRPr="009A17E6">
        <w:rPr>
          <w:rFonts w:ascii="Calibri" w:hAnsi="Calibri" w:cs="Arial"/>
        </w:rPr>
        <w:t xml:space="preserve"> correlat</w:t>
      </w:r>
      <w:r>
        <w:rPr>
          <w:rFonts w:ascii="Calibri" w:hAnsi="Calibri" w:cs="Arial"/>
        </w:rPr>
        <w:t>o</w:t>
      </w:r>
      <w:r w:rsidRPr="009A17E6">
        <w:rPr>
          <w:rFonts w:ascii="Calibri" w:hAnsi="Calibri" w:cs="Arial"/>
        </w:rPr>
        <w:t xml:space="preserve"> al trattamento in </w:t>
      </w:r>
      <w:r>
        <w:rPr>
          <w:rFonts w:ascii="Calibri" w:hAnsi="Calibri" w:cs="Arial"/>
        </w:rPr>
        <w:t>1</w:t>
      </w:r>
      <w:r w:rsidRPr="009A17E6">
        <w:rPr>
          <w:rFonts w:ascii="Calibri" w:hAnsi="Calibri" w:cs="Arial"/>
        </w:rPr>
        <w:t xml:space="preserve"> soggetti In particolare, è stat</w:t>
      </w:r>
      <w:r>
        <w:rPr>
          <w:rFonts w:ascii="Calibri" w:hAnsi="Calibri" w:cs="Arial"/>
        </w:rPr>
        <w:t xml:space="preserve">a </w:t>
      </w:r>
      <w:r w:rsidRPr="009A17E6">
        <w:rPr>
          <w:rFonts w:ascii="Calibri" w:hAnsi="Calibri" w:cs="Arial"/>
        </w:rPr>
        <w:t>riscontrat</w:t>
      </w:r>
      <w:r>
        <w:rPr>
          <w:rFonts w:ascii="Calibri" w:hAnsi="Calibri" w:cs="Arial"/>
        </w:rPr>
        <w:t>a febbre</w:t>
      </w:r>
      <w:r w:rsidRPr="009A17E6">
        <w:rPr>
          <w:rFonts w:ascii="Calibri" w:hAnsi="Calibri" w:cs="Arial"/>
        </w:rPr>
        <w:t>. Non sono stati rilevati eventi avversi gravi.</w:t>
      </w:r>
    </w:p>
    <w:p w:rsidR="00FF5487" w:rsidRPr="00A417BE" w:rsidRDefault="00FF5487" w:rsidP="00FF5487">
      <w:pPr>
        <w:spacing w:after="0" w:line="240" w:lineRule="auto"/>
        <w:rPr>
          <w:highlight w:val="yellow"/>
        </w:rPr>
      </w:pPr>
    </w:p>
    <w:p w:rsidR="00FF5487" w:rsidRPr="00BE4B23" w:rsidRDefault="00FF5487" w:rsidP="00FF548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BE4B23">
        <w:rPr>
          <w:rFonts w:asciiTheme="minorHAnsi" w:hAnsiTheme="minorHAnsi" w:cs="Arial"/>
          <w:b w:val="0"/>
          <w:i/>
          <w:sz w:val="22"/>
          <w:szCs w:val="22"/>
          <w:lang w:val="it-IT"/>
        </w:rPr>
        <w:lastRenderedPageBreak/>
        <w:t>Parametri farmacocinetici</w:t>
      </w:r>
      <w:r w:rsidRPr="00BE4B23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FF5487" w:rsidRPr="00BE4B23" w:rsidRDefault="00FF5487" w:rsidP="00FF548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BE4B23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BE4B23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Pr="00BE4B23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966BB9" w:rsidRPr="00600869" w:rsidRDefault="00966BB9" w:rsidP="00966BB9">
      <w:pPr>
        <w:spacing w:after="0" w:line="240" w:lineRule="auto"/>
        <w:jc w:val="both"/>
        <w:rPr>
          <w:rFonts w:ascii="Calibri" w:hAnsi="Calibri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4"/>
        <w:gridCol w:w="1635"/>
        <w:gridCol w:w="1575"/>
        <w:gridCol w:w="1716"/>
      </w:tblGrid>
      <w:tr w:rsidR="00D62BE3" w:rsidRPr="00794D32" w:rsidTr="00E83ED2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:rsidR="00D62BE3" w:rsidRPr="00794D32" w:rsidRDefault="00D62BE3" w:rsidP="00D62BE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4D32">
              <w:rPr>
                <w:rFonts w:ascii="Calibri" w:hAnsi="Calibri" w:cs="Calibri"/>
                <w:b/>
                <w:bCs/>
                <w:sz w:val="20"/>
                <w:szCs w:val="20"/>
              </w:rPr>
              <w:t>Rivaroxaban 2,5 mg</w:t>
            </w:r>
          </w:p>
        </w:tc>
      </w:tr>
      <w:tr w:rsidR="00794D32" w:rsidRPr="00794D32" w:rsidTr="00E83ED2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4D3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Studio di BE a digiuno (No. </w:t>
            </w:r>
            <w:proofErr w:type="spellStart"/>
            <w:r w:rsidRPr="00794D32">
              <w:rPr>
                <w:rFonts w:ascii="Calibri" w:hAnsi="Calibri" w:cs="Calibri"/>
                <w:b/>
                <w:bCs/>
                <w:sz w:val="20"/>
                <w:szCs w:val="20"/>
              </w:rPr>
              <w:t>Rp</w:t>
            </w:r>
            <w:proofErr w:type="spellEnd"/>
            <w:r w:rsidRPr="00794D32">
              <w:rPr>
                <w:rFonts w:ascii="Calibri" w:hAnsi="Calibri" w:cs="Calibri"/>
                <w:b/>
                <w:bCs/>
                <w:sz w:val="20"/>
                <w:szCs w:val="20"/>
              </w:rPr>
              <w:t>. 15.0709)</w:t>
            </w:r>
          </w:p>
        </w:tc>
      </w:tr>
      <w:tr w:rsidR="00794D32" w:rsidRPr="00794D32" w:rsidTr="00E83ED2">
        <w:trPr>
          <w:jc w:val="center"/>
        </w:trPr>
        <w:tc>
          <w:tcPr>
            <w:tcW w:w="1519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4D32">
              <w:rPr>
                <w:rFonts w:ascii="Calibri" w:hAnsi="Calibri" w:cs="Calibri"/>
                <w:b/>
                <w:sz w:val="20"/>
                <w:szCs w:val="20"/>
              </w:rPr>
              <w:t>Parametro</w:t>
            </w:r>
          </w:p>
        </w:tc>
        <w:tc>
          <w:tcPr>
            <w:tcW w:w="1615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4D32">
              <w:rPr>
                <w:rFonts w:ascii="Calibri" w:hAnsi="Calibri" w:cs="Calibri"/>
                <w:b/>
                <w:sz w:val="20"/>
                <w:szCs w:val="20"/>
              </w:rPr>
              <w:t>Test</w:t>
            </w:r>
          </w:p>
        </w:tc>
        <w:tc>
          <w:tcPr>
            <w:tcW w:w="1596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4D32">
              <w:rPr>
                <w:rFonts w:ascii="Calibri" w:hAnsi="Calibri" w:cs="Calibri"/>
                <w:b/>
                <w:sz w:val="20"/>
                <w:szCs w:val="20"/>
              </w:rPr>
              <w:t>Reference</w:t>
            </w:r>
          </w:p>
        </w:tc>
        <w:tc>
          <w:tcPr>
            <w:tcW w:w="1537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4D32">
              <w:rPr>
                <w:rFonts w:ascii="Calibri" w:hAnsi="Calibri" w:cs="Calibri"/>
                <w:b/>
                <w:sz w:val="20"/>
                <w:szCs w:val="20"/>
              </w:rPr>
              <w:t>T/R Ratio</w:t>
            </w:r>
          </w:p>
        </w:tc>
        <w:tc>
          <w:tcPr>
            <w:tcW w:w="1675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4D32">
              <w:rPr>
                <w:rFonts w:ascii="Calibri" w:hAnsi="Calibri" w:cs="Calibri"/>
                <w:b/>
                <w:sz w:val="20"/>
                <w:szCs w:val="20"/>
              </w:rPr>
              <w:t>90% C.I.</w:t>
            </w:r>
          </w:p>
        </w:tc>
      </w:tr>
      <w:tr w:rsidR="00794D32" w:rsidRPr="00794D32" w:rsidTr="00E83ED2">
        <w:trPr>
          <w:jc w:val="center"/>
        </w:trPr>
        <w:tc>
          <w:tcPr>
            <w:tcW w:w="1519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94D32">
              <w:rPr>
                <w:rFonts w:ascii="Calibri" w:hAnsi="Calibri" w:cs="Calibri"/>
                <w:b/>
                <w:sz w:val="20"/>
                <w:szCs w:val="20"/>
              </w:rPr>
              <w:t>AUC0-t</w:t>
            </w:r>
          </w:p>
        </w:tc>
        <w:tc>
          <w:tcPr>
            <w:tcW w:w="1615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4D32">
              <w:rPr>
                <w:rFonts w:ascii="Calibri" w:hAnsi="Calibri" w:cs="Calibri"/>
                <w:sz w:val="20"/>
                <w:szCs w:val="20"/>
              </w:rPr>
              <w:t>495.5443</w:t>
            </w:r>
          </w:p>
        </w:tc>
        <w:tc>
          <w:tcPr>
            <w:tcW w:w="1596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4D32">
              <w:rPr>
                <w:rFonts w:ascii="Calibri" w:hAnsi="Calibri" w:cs="Calibri"/>
                <w:sz w:val="20"/>
                <w:szCs w:val="20"/>
              </w:rPr>
              <w:t>518.5124</w:t>
            </w:r>
          </w:p>
        </w:tc>
        <w:tc>
          <w:tcPr>
            <w:tcW w:w="1537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4D32">
              <w:rPr>
                <w:rFonts w:ascii="Calibri" w:hAnsi="Calibri" w:cs="Calibri"/>
                <w:sz w:val="20"/>
                <w:szCs w:val="20"/>
              </w:rPr>
              <w:t>95.57%</w:t>
            </w:r>
          </w:p>
        </w:tc>
        <w:tc>
          <w:tcPr>
            <w:tcW w:w="1675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4D32">
              <w:rPr>
                <w:rFonts w:ascii="Calibri" w:hAnsi="Calibri" w:cs="Calibri"/>
                <w:sz w:val="20"/>
                <w:szCs w:val="20"/>
              </w:rPr>
              <w:t>(91.67, 99.64)</w:t>
            </w:r>
          </w:p>
        </w:tc>
      </w:tr>
      <w:tr w:rsidR="00794D32" w:rsidRPr="00794D32" w:rsidTr="00E83ED2">
        <w:trPr>
          <w:jc w:val="center"/>
        </w:trPr>
        <w:tc>
          <w:tcPr>
            <w:tcW w:w="1519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94D32">
              <w:rPr>
                <w:rFonts w:ascii="Calibri" w:hAnsi="Calibri" w:cs="Calibri"/>
                <w:b/>
                <w:sz w:val="20"/>
                <w:szCs w:val="20"/>
              </w:rPr>
              <w:t>Cmax</w:t>
            </w:r>
          </w:p>
        </w:tc>
        <w:tc>
          <w:tcPr>
            <w:tcW w:w="1615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4D32">
              <w:rPr>
                <w:rFonts w:ascii="Calibri" w:hAnsi="Calibri" w:cs="Calibri"/>
                <w:sz w:val="20"/>
                <w:szCs w:val="20"/>
              </w:rPr>
              <w:t>73.5260</w:t>
            </w:r>
          </w:p>
        </w:tc>
        <w:tc>
          <w:tcPr>
            <w:tcW w:w="1596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4D32">
              <w:rPr>
                <w:rFonts w:ascii="Calibri" w:hAnsi="Calibri" w:cs="Calibri"/>
                <w:sz w:val="20"/>
                <w:szCs w:val="20"/>
              </w:rPr>
              <w:t>81.6415</w:t>
            </w:r>
          </w:p>
        </w:tc>
        <w:tc>
          <w:tcPr>
            <w:tcW w:w="1537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4D32">
              <w:rPr>
                <w:rFonts w:ascii="Calibri" w:hAnsi="Calibri" w:cs="Calibri"/>
                <w:sz w:val="20"/>
                <w:szCs w:val="20"/>
              </w:rPr>
              <w:t>90.06%</w:t>
            </w:r>
          </w:p>
        </w:tc>
        <w:tc>
          <w:tcPr>
            <w:tcW w:w="1675" w:type="dxa"/>
            <w:vAlign w:val="bottom"/>
          </w:tcPr>
          <w:p w:rsidR="00794D32" w:rsidRPr="00794D32" w:rsidRDefault="00794D32" w:rsidP="00794D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4D32">
              <w:rPr>
                <w:rFonts w:ascii="Calibri" w:hAnsi="Calibri" w:cs="Calibri"/>
                <w:sz w:val="20"/>
                <w:szCs w:val="20"/>
              </w:rPr>
              <w:t>(85.43, 94.94)</w:t>
            </w:r>
          </w:p>
        </w:tc>
      </w:tr>
    </w:tbl>
    <w:p w:rsidR="00794D32" w:rsidRPr="00FA6E15" w:rsidRDefault="00794D32" w:rsidP="00966BB9">
      <w:pPr>
        <w:spacing w:after="0" w:line="240" w:lineRule="auto"/>
        <w:jc w:val="both"/>
        <w:rPr>
          <w:rFonts w:ascii="Calibri" w:hAnsi="Calibri"/>
          <w:lang w:val="en-GB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Pr="009F5FC7">
        <w:rPr>
          <w:rFonts w:cs="Arial"/>
        </w:rPr>
        <w:t xml:space="preserve"> è ben conosciuto.</w:t>
      </w:r>
      <w:r>
        <w:rPr>
          <w:rFonts w:cs="Arial"/>
        </w:rPr>
        <w:t xml:space="preserve"> </w:t>
      </w: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9A17E6" w:rsidP="00EF6711">
      <w:pPr>
        <w:pStyle w:val="Paragrafoelenco"/>
        <w:spacing w:after="0" w:line="240" w:lineRule="auto"/>
        <w:ind w:left="0"/>
        <w:jc w:val="both"/>
      </w:pPr>
      <w:r>
        <w:t>È</w:t>
      </w:r>
      <w:r w:rsidR="004E5A39" w:rsidRPr="00EF6711">
        <w:t xml:space="preserve"> 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4E5A39" w:rsidRPr="00EF6711">
        <w:t>.</w:t>
      </w:r>
    </w:p>
    <w:p w:rsidR="00C87D51" w:rsidRDefault="00C87D51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794D32">
        <w:t>Oltre le misure previste nel Riassunto delle caratteristiche del prodotto sono previste attività addizionali di minimizzazione del rischio</w:t>
      </w:r>
      <w:r w:rsidR="009A17E6" w:rsidRPr="00794D32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BE7CDB" w:rsidRDefault="00973480" w:rsidP="00BE7CDB">
      <w:pPr>
        <w:spacing w:after="0" w:line="240" w:lineRule="auto"/>
        <w:jc w:val="both"/>
      </w:pPr>
      <w:r>
        <w:t>Gli</w:t>
      </w:r>
      <w:r w:rsidR="00BE7CDB">
        <w:t xml:space="preserve"> studi di bioequivalenza e le sue conclusioni confermano che </w:t>
      </w:r>
      <w:r w:rsidR="0077674A">
        <w:rPr>
          <w:rFonts w:eastAsia="Calibri" w:cs="Calibri"/>
          <w:color w:val="000000"/>
          <w:lang w:eastAsia="it-IT"/>
        </w:rPr>
        <w:t xml:space="preserve">RIVAROXABAN </w:t>
      </w:r>
      <w:r w:rsidR="00600869">
        <w:rPr>
          <w:rFonts w:eastAsia="Calibri" w:cs="Calibri"/>
          <w:color w:val="000000"/>
          <w:lang w:eastAsia="it-IT"/>
        </w:rPr>
        <w:t>VI.REL PHARMA</w:t>
      </w:r>
      <w:r w:rsidR="00B45421">
        <w:rPr>
          <w:rFonts w:eastAsia="Calibri" w:cs="Calibri"/>
          <w:color w:val="000000"/>
          <w:lang w:eastAsia="it-IT"/>
        </w:rPr>
        <w:t xml:space="preserve"> </w:t>
      </w:r>
      <w:r w:rsidR="00BE7CDB">
        <w:t xml:space="preserve">e il medicinale di riferimento </w:t>
      </w:r>
      <w:proofErr w:type="spellStart"/>
      <w:r w:rsidR="00611D79">
        <w:t>Xarelto</w:t>
      </w:r>
      <w:proofErr w:type="spellEnd"/>
      <w:r w:rsidR="00BE7CDB">
        <w:t xml:space="preserve"> sono </w:t>
      </w:r>
      <w:proofErr w:type="spellStart"/>
      <w:r w:rsidR="00BE7CDB">
        <w:t>bioequivalenti</w:t>
      </w:r>
      <w:proofErr w:type="spellEnd"/>
      <w:r w:rsidR="00BE7CDB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7E31"/>
    <w:multiLevelType w:val="hybridMultilevel"/>
    <w:tmpl w:val="FA08A57C"/>
    <w:lvl w:ilvl="0" w:tplc="F3C0CACC">
      <w:start w:val="1"/>
      <w:numFmt w:val="decimal"/>
      <w:lvlText w:val="%1."/>
      <w:lvlJc w:val="left"/>
      <w:pPr>
        <w:ind w:left="112" w:hanging="56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822072AC">
      <w:numFmt w:val="bullet"/>
      <w:lvlText w:val=""/>
      <w:lvlJc w:val="left"/>
      <w:pPr>
        <w:ind w:left="679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2" w:tplc="A03CA1D4">
      <w:numFmt w:val="bullet"/>
      <w:lvlText w:val="•"/>
      <w:lvlJc w:val="left"/>
      <w:pPr>
        <w:ind w:left="1698" w:hanging="207"/>
      </w:pPr>
      <w:rPr>
        <w:rFonts w:hint="default"/>
      </w:rPr>
    </w:lvl>
    <w:lvl w:ilvl="3" w:tplc="EA707C84">
      <w:numFmt w:val="bullet"/>
      <w:lvlText w:val="•"/>
      <w:lvlJc w:val="left"/>
      <w:pPr>
        <w:ind w:left="2716" w:hanging="207"/>
      </w:pPr>
      <w:rPr>
        <w:rFonts w:hint="default"/>
      </w:rPr>
    </w:lvl>
    <w:lvl w:ilvl="4" w:tplc="4A807C5E">
      <w:numFmt w:val="bullet"/>
      <w:lvlText w:val="•"/>
      <w:lvlJc w:val="left"/>
      <w:pPr>
        <w:ind w:left="3735" w:hanging="207"/>
      </w:pPr>
      <w:rPr>
        <w:rFonts w:hint="default"/>
      </w:rPr>
    </w:lvl>
    <w:lvl w:ilvl="5" w:tplc="8B7ED31E">
      <w:numFmt w:val="bullet"/>
      <w:lvlText w:val="•"/>
      <w:lvlJc w:val="left"/>
      <w:pPr>
        <w:ind w:left="4753" w:hanging="207"/>
      </w:pPr>
      <w:rPr>
        <w:rFonts w:hint="default"/>
      </w:rPr>
    </w:lvl>
    <w:lvl w:ilvl="6" w:tplc="B86444B2">
      <w:numFmt w:val="bullet"/>
      <w:lvlText w:val="•"/>
      <w:lvlJc w:val="left"/>
      <w:pPr>
        <w:ind w:left="5772" w:hanging="207"/>
      </w:pPr>
      <w:rPr>
        <w:rFonts w:hint="default"/>
      </w:rPr>
    </w:lvl>
    <w:lvl w:ilvl="7" w:tplc="F1666A34">
      <w:numFmt w:val="bullet"/>
      <w:lvlText w:val="•"/>
      <w:lvlJc w:val="left"/>
      <w:pPr>
        <w:ind w:left="6790" w:hanging="207"/>
      </w:pPr>
      <w:rPr>
        <w:rFonts w:hint="default"/>
      </w:rPr>
    </w:lvl>
    <w:lvl w:ilvl="8" w:tplc="A77833D0">
      <w:numFmt w:val="bullet"/>
      <w:lvlText w:val="•"/>
      <w:lvlJc w:val="left"/>
      <w:pPr>
        <w:ind w:left="7809" w:hanging="207"/>
      </w:pPr>
      <w:rPr>
        <w:rFonts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15C00"/>
    <w:multiLevelType w:val="hybridMultilevel"/>
    <w:tmpl w:val="8724E3F0"/>
    <w:lvl w:ilvl="0" w:tplc="046CFC6A">
      <w:numFmt w:val="bullet"/>
      <w:lvlText w:val="-"/>
      <w:lvlJc w:val="left"/>
      <w:pPr>
        <w:ind w:left="679" w:hanging="567"/>
      </w:pPr>
      <w:rPr>
        <w:rFonts w:ascii="Arial" w:eastAsia="Arial" w:hAnsi="Arial" w:cs="Arial" w:hint="default"/>
        <w:w w:val="100"/>
        <w:sz w:val="22"/>
        <w:szCs w:val="22"/>
      </w:rPr>
    </w:lvl>
    <w:lvl w:ilvl="1" w:tplc="F738CB3C">
      <w:numFmt w:val="bullet"/>
      <w:lvlText w:val="•"/>
      <w:lvlJc w:val="left"/>
      <w:pPr>
        <w:ind w:left="1594" w:hanging="567"/>
      </w:pPr>
      <w:rPr>
        <w:rFonts w:hint="default"/>
      </w:rPr>
    </w:lvl>
    <w:lvl w:ilvl="2" w:tplc="66426FEE">
      <w:numFmt w:val="bullet"/>
      <w:lvlText w:val="•"/>
      <w:lvlJc w:val="left"/>
      <w:pPr>
        <w:ind w:left="2509" w:hanging="567"/>
      </w:pPr>
      <w:rPr>
        <w:rFonts w:hint="default"/>
      </w:rPr>
    </w:lvl>
    <w:lvl w:ilvl="3" w:tplc="8F9611F8">
      <w:numFmt w:val="bullet"/>
      <w:lvlText w:val="•"/>
      <w:lvlJc w:val="left"/>
      <w:pPr>
        <w:ind w:left="3423" w:hanging="567"/>
      </w:pPr>
      <w:rPr>
        <w:rFonts w:hint="default"/>
      </w:rPr>
    </w:lvl>
    <w:lvl w:ilvl="4" w:tplc="BD9A55C8">
      <w:numFmt w:val="bullet"/>
      <w:lvlText w:val="•"/>
      <w:lvlJc w:val="left"/>
      <w:pPr>
        <w:ind w:left="4338" w:hanging="567"/>
      </w:pPr>
      <w:rPr>
        <w:rFonts w:hint="default"/>
      </w:rPr>
    </w:lvl>
    <w:lvl w:ilvl="5" w:tplc="52DE5F8C">
      <w:numFmt w:val="bullet"/>
      <w:lvlText w:val="•"/>
      <w:lvlJc w:val="left"/>
      <w:pPr>
        <w:ind w:left="5253" w:hanging="567"/>
      </w:pPr>
      <w:rPr>
        <w:rFonts w:hint="default"/>
      </w:rPr>
    </w:lvl>
    <w:lvl w:ilvl="6" w:tplc="10CE0A2C">
      <w:numFmt w:val="bullet"/>
      <w:lvlText w:val="•"/>
      <w:lvlJc w:val="left"/>
      <w:pPr>
        <w:ind w:left="6167" w:hanging="567"/>
      </w:pPr>
      <w:rPr>
        <w:rFonts w:hint="default"/>
      </w:rPr>
    </w:lvl>
    <w:lvl w:ilvl="7" w:tplc="86DC1FAC">
      <w:numFmt w:val="bullet"/>
      <w:lvlText w:val="•"/>
      <w:lvlJc w:val="left"/>
      <w:pPr>
        <w:ind w:left="7082" w:hanging="567"/>
      </w:pPr>
      <w:rPr>
        <w:rFonts w:hint="default"/>
      </w:rPr>
    </w:lvl>
    <w:lvl w:ilvl="8" w:tplc="7E1469BA">
      <w:numFmt w:val="bullet"/>
      <w:lvlText w:val="•"/>
      <w:lvlJc w:val="left"/>
      <w:pPr>
        <w:ind w:left="7997" w:hanging="567"/>
      </w:pPr>
      <w:rPr>
        <w:rFonts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4949EE"/>
    <w:multiLevelType w:val="hybridMultilevel"/>
    <w:tmpl w:val="D73EEAB6"/>
    <w:lvl w:ilvl="0" w:tplc="E1BEF24A">
      <w:numFmt w:val="bullet"/>
      <w:lvlText w:val="-"/>
      <w:lvlJc w:val="left"/>
      <w:pPr>
        <w:ind w:left="1239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B4D8598E">
      <w:numFmt w:val="bullet"/>
      <w:lvlText w:val="-"/>
      <w:lvlJc w:val="left"/>
      <w:pPr>
        <w:ind w:left="1805" w:hanging="577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2" w:tplc="2AAA4862">
      <w:numFmt w:val="bullet"/>
      <w:lvlText w:val="•"/>
      <w:lvlJc w:val="left"/>
      <w:pPr>
        <w:ind w:left="2871" w:hanging="577"/>
      </w:pPr>
      <w:rPr>
        <w:rFonts w:hint="default"/>
        <w:lang w:val="it-IT" w:eastAsia="it-IT" w:bidi="it-IT"/>
      </w:rPr>
    </w:lvl>
    <w:lvl w:ilvl="3" w:tplc="4F8ABC56">
      <w:numFmt w:val="bullet"/>
      <w:lvlText w:val="•"/>
      <w:lvlJc w:val="left"/>
      <w:pPr>
        <w:ind w:left="3943" w:hanging="577"/>
      </w:pPr>
      <w:rPr>
        <w:rFonts w:hint="default"/>
        <w:lang w:val="it-IT" w:eastAsia="it-IT" w:bidi="it-IT"/>
      </w:rPr>
    </w:lvl>
    <w:lvl w:ilvl="4" w:tplc="C0AE6D88">
      <w:numFmt w:val="bullet"/>
      <w:lvlText w:val="•"/>
      <w:lvlJc w:val="left"/>
      <w:pPr>
        <w:ind w:left="5015" w:hanging="577"/>
      </w:pPr>
      <w:rPr>
        <w:rFonts w:hint="default"/>
        <w:lang w:val="it-IT" w:eastAsia="it-IT" w:bidi="it-IT"/>
      </w:rPr>
    </w:lvl>
    <w:lvl w:ilvl="5" w:tplc="7368F5D6">
      <w:numFmt w:val="bullet"/>
      <w:lvlText w:val="•"/>
      <w:lvlJc w:val="left"/>
      <w:pPr>
        <w:ind w:left="6087" w:hanging="577"/>
      </w:pPr>
      <w:rPr>
        <w:rFonts w:hint="default"/>
        <w:lang w:val="it-IT" w:eastAsia="it-IT" w:bidi="it-IT"/>
      </w:rPr>
    </w:lvl>
    <w:lvl w:ilvl="6" w:tplc="C0D09176">
      <w:numFmt w:val="bullet"/>
      <w:lvlText w:val="•"/>
      <w:lvlJc w:val="left"/>
      <w:pPr>
        <w:ind w:left="7159" w:hanging="577"/>
      </w:pPr>
      <w:rPr>
        <w:rFonts w:hint="default"/>
        <w:lang w:val="it-IT" w:eastAsia="it-IT" w:bidi="it-IT"/>
      </w:rPr>
    </w:lvl>
    <w:lvl w:ilvl="7" w:tplc="F8B61EF6">
      <w:numFmt w:val="bullet"/>
      <w:lvlText w:val="•"/>
      <w:lvlJc w:val="left"/>
      <w:pPr>
        <w:ind w:left="8230" w:hanging="577"/>
      </w:pPr>
      <w:rPr>
        <w:rFonts w:hint="default"/>
        <w:lang w:val="it-IT" w:eastAsia="it-IT" w:bidi="it-IT"/>
      </w:rPr>
    </w:lvl>
    <w:lvl w:ilvl="8" w:tplc="4A32EA5C">
      <w:numFmt w:val="bullet"/>
      <w:lvlText w:val="•"/>
      <w:lvlJc w:val="left"/>
      <w:pPr>
        <w:ind w:left="9302" w:hanging="577"/>
      </w:pPr>
      <w:rPr>
        <w:rFonts w:hint="default"/>
        <w:lang w:val="it-IT" w:eastAsia="it-IT" w:bidi="it-IT"/>
      </w:rPr>
    </w:lvl>
  </w:abstractNum>
  <w:abstractNum w:abstractNumId="7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D4685"/>
    <w:multiLevelType w:val="hybridMultilevel"/>
    <w:tmpl w:val="442257EC"/>
    <w:lvl w:ilvl="0" w:tplc="821866E2">
      <w:numFmt w:val="bullet"/>
      <w:lvlText w:val="-"/>
      <w:lvlJc w:val="left"/>
      <w:pPr>
        <w:ind w:left="679" w:hanging="567"/>
      </w:pPr>
      <w:rPr>
        <w:rFonts w:ascii="Arial" w:eastAsia="Arial" w:hAnsi="Arial" w:cs="Arial" w:hint="default"/>
        <w:w w:val="100"/>
        <w:sz w:val="22"/>
        <w:szCs w:val="22"/>
      </w:rPr>
    </w:lvl>
    <w:lvl w:ilvl="1" w:tplc="4D86A5F2">
      <w:numFmt w:val="bullet"/>
      <w:lvlText w:val="•"/>
      <w:lvlJc w:val="left"/>
      <w:pPr>
        <w:ind w:left="1596" w:hanging="567"/>
      </w:pPr>
      <w:rPr>
        <w:rFonts w:hint="default"/>
      </w:rPr>
    </w:lvl>
    <w:lvl w:ilvl="2" w:tplc="DEE466D2">
      <w:numFmt w:val="bullet"/>
      <w:lvlText w:val="•"/>
      <w:lvlJc w:val="left"/>
      <w:pPr>
        <w:ind w:left="2513" w:hanging="567"/>
      </w:pPr>
      <w:rPr>
        <w:rFonts w:hint="default"/>
      </w:rPr>
    </w:lvl>
    <w:lvl w:ilvl="3" w:tplc="0896A4B4">
      <w:numFmt w:val="bullet"/>
      <w:lvlText w:val="•"/>
      <w:lvlJc w:val="left"/>
      <w:pPr>
        <w:ind w:left="3429" w:hanging="567"/>
      </w:pPr>
      <w:rPr>
        <w:rFonts w:hint="default"/>
      </w:rPr>
    </w:lvl>
    <w:lvl w:ilvl="4" w:tplc="F9CE0E24">
      <w:numFmt w:val="bullet"/>
      <w:lvlText w:val="•"/>
      <w:lvlJc w:val="left"/>
      <w:pPr>
        <w:ind w:left="4346" w:hanging="567"/>
      </w:pPr>
      <w:rPr>
        <w:rFonts w:hint="default"/>
      </w:rPr>
    </w:lvl>
    <w:lvl w:ilvl="5" w:tplc="C5D883F2">
      <w:numFmt w:val="bullet"/>
      <w:lvlText w:val="•"/>
      <w:lvlJc w:val="left"/>
      <w:pPr>
        <w:ind w:left="5263" w:hanging="567"/>
      </w:pPr>
      <w:rPr>
        <w:rFonts w:hint="default"/>
      </w:rPr>
    </w:lvl>
    <w:lvl w:ilvl="6" w:tplc="49300F20">
      <w:numFmt w:val="bullet"/>
      <w:lvlText w:val="•"/>
      <w:lvlJc w:val="left"/>
      <w:pPr>
        <w:ind w:left="6179" w:hanging="567"/>
      </w:pPr>
      <w:rPr>
        <w:rFonts w:hint="default"/>
      </w:rPr>
    </w:lvl>
    <w:lvl w:ilvl="7" w:tplc="826AAE8E">
      <w:numFmt w:val="bullet"/>
      <w:lvlText w:val="•"/>
      <w:lvlJc w:val="left"/>
      <w:pPr>
        <w:ind w:left="7096" w:hanging="567"/>
      </w:pPr>
      <w:rPr>
        <w:rFonts w:hint="default"/>
      </w:rPr>
    </w:lvl>
    <w:lvl w:ilvl="8" w:tplc="2E7C934C">
      <w:numFmt w:val="bullet"/>
      <w:lvlText w:val="•"/>
      <w:lvlJc w:val="left"/>
      <w:pPr>
        <w:ind w:left="8013" w:hanging="567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241AC"/>
    <w:rsid w:val="00013020"/>
    <w:rsid w:val="00014743"/>
    <w:rsid w:val="00016F3F"/>
    <w:rsid w:val="00022511"/>
    <w:rsid w:val="00023CEA"/>
    <w:rsid w:val="000310F4"/>
    <w:rsid w:val="000443CE"/>
    <w:rsid w:val="00062636"/>
    <w:rsid w:val="000808A3"/>
    <w:rsid w:val="000A4BA1"/>
    <w:rsid w:val="000B7AC8"/>
    <w:rsid w:val="000C6F21"/>
    <w:rsid w:val="000E1F86"/>
    <w:rsid w:val="000E4494"/>
    <w:rsid w:val="000F658F"/>
    <w:rsid w:val="00103F85"/>
    <w:rsid w:val="00111E9E"/>
    <w:rsid w:val="00112378"/>
    <w:rsid w:val="00116461"/>
    <w:rsid w:val="00124253"/>
    <w:rsid w:val="001460CA"/>
    <w:rsid w:val="00160F09"/>
    <w:rsid w:val="00196B6D"/>
    <w:rsid w:val="001A02B2"/>
    <w:rsid w:val="001A5AC5"/>
    <w:rsid w:val="001A5B18"/>
    <w:rsid w:val="001B1C9C"/>
    <w:rsid w:val="001B4807"/>
    <w:rsid w:val="001C15DF"/>
    <w:rsid w:val="001E0510"/>
    <w:rsid w:val="001E0BFF"/>
    <w:rsid w:val="0024622C"/>
    <w:rsid w:val="00265B61"/>
    <w:rsid w:val="00276334"/>
    <w:rsid w:val="00277A0E"/>
    <w:rsid w:val="002C5C2A"/>
    <w:rsid w:val="002E6C42"/>
    <w:rsid w:val="002F2543"/>
    <w:rsid w:val="002F4000"/>
    <w:rsid w:val="00300BEA"/>
    <w:rsid w:val="003061E0"/>
    <w:rsid w:val="00316B9B"/>
    <w:rsid w:val="00320FE9"/>
    <w:rsid w:val="003238E7"/>
    <w:rsid w:val="00340667"/>
    <w:rsid w:val="00345CC4"/>
    <w:rsid w:val="00362849"/>
    <w:rsid w:val="003637F0"/>
    <w:rsid w:val="00367CE0"/>
    <w:rsid w:val="00393F74"/>
    <w:rsid w:val="00394347"/>
    <w:rsid w:val="0042214D"/>
    <w:rsid w:val="00422AF1"/>
    <w:rsid w:val="00423A97"/>
    <w:rsid w:val="004241AC"/>
    <w:rsid w:val="00433527"/>
    <w:rsid w:val="004609F8"/>
    <w:rsid w:val="00464C54"/>
    <w:rsid w:val="00483113"/>
    <w:rsid w:val="00485421"/>
    <w:rsid w:val="004B20A8"/>
    <w:rsid w:val="004E5A39"/>
    <w:rsid w:val="00500ACA"/>
    <w:rsid w:val="005049A1"/>
    <w:rsid w:val="00504FC1"/>
    <w:rsid w:val="005372B6"/>
    <w:rsid w:val="00561715"/>
    <w:rsid w:val="0056372C"/>
    <w:rsid w:val="00564454"/>
    <w:rsid w:val="00567615"/>
    <w:rsid w:val="00586B0F"/>
    <w:rsid w:val="005950D6"/>
    <w:rsid w:val="005A17C2"/>
    <w:rsid w:val="005B4DDC"/>
    <w:rsid w:val="005C738D"/>
    <w:rsid w:val="005F1204"/>
    <w:rsid w:val="00600869"/>
    <w:rsid w:val="00604C8D"/>
    <w:rsid w:val="0060663F"/>
    <w:rsid w:val="00611D79"/>
    <w:rsid w:val="00621AE2"/>
    <w:rsid w:val="00627C12"/>
    <w:rsid w:val="00642D6A"/>
    <w:rsid w:val="0064646C"/>
    <w:rsid w:val="00654D9E"/>
    <w:rsid w:val="00664931"/>
    <w:rsid w:val="006727BD"/>
    <w:rsid w:val="006B0FE6"/>
    <w:rsid w:val="006B311C"/>
    <w:rsid w:val="006B3E12"/>
    <w:rsid w:val="006D5850"/>
    <w:rsid w:val="006D7B8C"/>
    <w:rsid w:val="006F0865"/>
    <w:rsid w:val="00713F84"/>
    <w:rsid w:val="00716DF5"/>
    <w:rsid w:val="007170D7"/>
    <w:rsid w:val="0071736B"/>
    <w:rsid w:val="007207C9"/>
    <w:rsid w:val="007221B6"/>
    <w:rsid w:val="00734A38"/>
    <w:rsid w:val="00766E26"/>
    <w:rsid w:val="0077674A"/>
    <w:rsid w:val="00777B81"/>
    <w:rsid w:val="00794D32"/>
    <w:rsid w:val="00797416"/>
    <w:rsid w:val="007A6EE9"/>
    <w:rsid w:val="007B0892"/>
    <w:rsid w:val="007B5ADD"/>
    <w:rsid w:val="007C5CDF"/>
    <w:rsid w:val="007E47AC"/>
    <w:rsid w:val="007F189D"/>
    <w:rsid w:val="007F2858"/>
    <w:rsid w:val="008172E2"/>
    <w:rsid w:val="00823F4C"/>
    <w:rsid w:val="008249E0"/>
    <w:rsid w:val="008506B1"/>
    <w:rsid w:val="008547B3"/>
    <w:rsid w:val="0086678C"/>
    <w:rsid w:val="008819D4"/>
    <w:rsid w:val="0088216F"/>
    <w:rsid w:val="00886307"/>
    <w:rsid w:val="008A6FEC"/>
    <w:rsid w:val="008B60D7"/>
    <w:rsid w:val="008C3D30"/>
    <w:rsid w:val="008D1529"/>
    <w:rsid w:val="008D6427"/>
    <w:rsid w:val="009033D4"/>
    <w:rsid w:val="00943785"/>
    <w:rsid w:val="009519D8"/>
    <w:rsid w:val="00957832"/>
    <w:rsid w:val="0096226B"/>
    <w:rsid w:val="00966BB9"/>
    <w:rsid w:val="009716CB"/>
    <w:rsid w:val="00973480"/>
    <w:rsid w:val="00975E84"/>
    <w:rsid w:val="00985066"/>
    <w:rsid w:val="00997176"/>
    <w:rsid w:val="009A17E6"/>
    <w:rsid w:val="009A23DE"/>
    <w:rsid w:val="009A260F"/>
    <w:rsid w:val="009A7DE7"/>
    <w:rsid w:val="009B03DB"/>
    <w:rsid w:val="009D3446"/>
    <w:rsid w:val="009E0140"/>
    <w:rsid w:val="009E2BC0"/>
    <w:rsid w:val="009F3867"/>
    <w:rsid w:val="009F4975"/>
    <w:rsid w:val="00A01AB1"/>
    <w:rsid w:val="00A32BD3"/>
    <w:rsid w:val="00A40FF3"/>
    <w:rsid w:val="00A417BE"/>
    <w:rsid w:val="00A62D55"/>
    <w:rsid w:val="00A710D4"/>
    <w:rsid w:val="00A908B9"/>
    <w:rsid w:val="00A966D1"/>
    <w:rsid w:val="00AC7B4B"/>
    <w:rsid w:val="00AE64AB"/>
    <w:rsid w:val="00AF7BB3"/>
    <w:rsid w:val="00B023E9"/>
    <w:rsid w:val="00B1186F"/>
    <w:rsid w:val="00B27B3E"/>
    <w:rsid w:val="00B30431"/>
    <w:rsid w:val="00B3585F"/>
    <w:rsid w:val="00B45421"/>
    <w:rsid w:val="00B64FDE"/>
    <w:rsid w:val="00B963DB"/>
    <w:rsid w:val="00BA0ACD"/>
    <w:rsid w:val="00BA6CDD"/>
    <w:rsid w:val="00BB2AF8"/>
    <w:rsid w:val="00BB7B54"/>
    <w:rsid w:val="00BC74C2"/>
    <w:rsid w:val="00BE4B23"/>
    <w:rsid w:val="00BE7CDB"/>
    <w:rsid w:val="00BF2436"/>
    <w:rsid w:val="00BF55B9"/>
    <w:rsid w:val="00BF670A"/>
    <w:rsid w:val="00BF7A42"/>
    <w:rsid w:val="00C2565A"/>
    <w:rsid w:val="00C42AAC"/>
    <w:rsid w:val="00C61AC5"/>
    <w:rsid w:val="00C66597"/>
    <w:rsid w:val="00C802E2"/>
    <w:rsid w:val="00C824E7"/>
    <w:rsid w:val="00C87D51"/>
    <w:rsid w:val="00C93B5A"/>
    <w:rsid w:val="00CA5881"/>
    <w:rsid w:val="00CC52A3"/>
    <w:rsid w:val="00CC7AFF"/>
    <w:rsid w:val="00CE62A1"/>
    <w:rsid w:val="00D20170"/>
    <w:rsid w:val="00D212AA"/>
    <w:rsid w:val="00D33359"/>
    <w:rsid w:val="00D41ABF"/>
    <w:rsid w:val="00D53457"/>
    <w:rsid w:val="00D544DA"/>
    <w:rsid w:val="00D60600"/>
    <w:rsid w:val="00D62BE3"/>
    <w:rsid w:val="00D75D45"/>
    <w:rsid w:val="00DB224D"/>
    <w:rsid w:val="00DB359A"/>
    <w:rsid w:val="00DD6C1F"/>
    <w:rsid w:val="00DD74C0"/>
    <w:rsid w:val="00DF52F9"/>
    <w:rsid w:val="00E01B7D"/>
    <w:rsid w:val="00E05CEE"/>
    <w:rsid w:val="00E10D6C"/>
    <w:rsid w:val="00E11585"/>
    <w:rsid w:val="00E13A8A"/>
    <w:rsid w:val="00E31194"/>
    <w:rsid w:val="00E40B6A"/>
    <w:rsid w:val="00E43089"/>
    <w:rsid w:val="00E46D51"/>
    <w:rsid w:val="00E83F8D"/>
    <w:rsid w:val="00E971F4"/>
    <w:rsid w:val="00EA5020"/>
    <w:rsid w:val="00EC3589"/>
    <w:rsid w:val="00EF062E"/>
    <w:rsid w:val="00EF6711"/>
    <w:rsid w:val="00F21388"/>
    <w:rsid w:val="00F5548D"/>
    <w:rsid w:val="00F66767"/>
    <w:rsid w:val="00F85989"/>
    <w:rsid w:val="00F96473"/>
    <w:rsid w:val="00FA220B"/>
    <w:rsid w:val="00FA2702"/>
    <w:rsid w:val="00FA6E15"/>
    <w:rsid w:val="00FC7943"/>
    <w:rsid w:val="00FF5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D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B45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7E47A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47A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E47A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47A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47AC"/>
    <w:rPr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unhideWhenUsed/>
    <w:rsid w:val="00B963DB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963D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ema.europa.eu/ema/index.jsp?curl=pages/medicines/landing/epar_search.jsp&amp;mid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34750-DBA5-4BB9-AD3A-5845736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5131</Words>
  <Characters>29247</Characters>
  <Application>Microsoft Office Word</Application>
  <DocSecurity>0</DocSecurity>
  <Lines>243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2020-12-10T13:46:00Z</dcterms:created>
  <dcterms:modified xsi:type="dcterms:W3CDTF">2020-12-10T13:48:00Z</dcterms:modified>
</cp:coreProperties>
</file>