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3E" w:rsidRPr="00881B68" w:rsidRDefault="00B06B3E" w:rsidP="004241AC">
      <w:pPr>
        <w:spacing w:after="0" w:line="240" w:lineRule="auto"/>
        <w:jc w:val="center"/>
        <w:rPr>
          <w:rFonts w:cs="Calibri"/>
          <w:b/>
          <w:noProof/>
          <w:color w:val="808080"/>
        </w:rPr>
      </w:pPr>
    </w:p>
    <w:p w:rsidR="004241AC" w:rsidRPr="00881B68" w:rsidRDefault="00371290" w:rsidP="004241AC">
      <w:pPr>
        <w:spacing w:after="0" w:line="240" w:lineRule="auto"/>
        <w:jc w:val="center"/>
        <w:rPr>
          <w:lang w:val="en-US"/>
        </w:rPr>
      </w:pPr>
      <w:r w:rsidRPr="00881B68">
        <w:rPr>
          <w:rFonts w:cs="Calibri"/>
          <w:b/>
          <w:noProof/>
          <w:color w:val="808080"/>
        </w:rPr>
        <w:drawing>
          <wp:inline distT="0" distB="0" distL="0" distR="0">
            <wp:extent cx="2878454" cy="1073149"/>
            <wp:effectExtent l="19049" t="0" r="0" b="0"/>
            <wp:docPr id="4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Pr="00881B68" w:rsidRDefault="004241AC" w:rsidP="004241AC">
      <w:pPr>
        <w:spacing w:after="0" w:line="240" w:lineRule="auto"/>
        <w:jc w:val="center"/>
        <w:rPr>
          <w:b/>
        </w:rPr>
      </w:pPr>
    </w:p>
    <w:p w:rsidR="003928A0" w:rsidRPr="00881B68" w:rsidRDefault="003928A0" w:rsidP="00823F4C">
      <w:pPr>
        <w:spacing w:after="0" w:line="240" w:lineRule="auto"/>
        <w:jc w:val="center"/>
        <w:rPr>
          <w:b/>
          <w:sz w:val="28"/>
        </w:rPr>
      </w:pPr>
      <w:bookmarkStart w:id="0" w:name="Text15"/>
    </w:p>
    <w:p w:rsidR="00823F4C" w:rsidRPr="00881B68" w:rsidRDefault="00823F4C" w:rsidP="00823F4C">
      <w:pPr>
        <w:spacing w:after="0" w:line="240" w:lineRule="auto"/>
        <w:jc w:val="center"/>
        <w:rPr>
          <w:b/>
          <w:sz w:val="40"/>
          <w:szCs w:val="40"/>
        </w:rPr>
      </w:pPr>
      <w:r w:rsidRPr="00881B68">
        <w:rPr>
          <w:b/>
          <w:sz w:val="40"/>
          <w:szCs w:val="40"/>
        </w:rPr>
        <w:t>Relazione Pubblica di Valutazione</w:t>
      </w:r>
    </w:p>
    <w:p w:rsidR="004241AC" w:rsidRPr="00881B68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  <w:highlight w:val="yellow"/>
        </w:rPr>
      </w:pPr>
    </w:p>
    <w:p w:rsidR="00823F4C" w:rsidRPr="00881B68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  <w:highlight w:val="yellow"/>
        </w:rPr>
      </w:pPr>
    </w:p>
    <w:p w:rsidR="004609F8" w:rsidRPr="00881B6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  <w:highlight w:val="yellow"/>
        </w:rPr>
      </w:pPr>
    </w:p>
    <w:p w:rsidR="00BF7A42" w:rsidRPr="00881B68" w:rsidRDefault="008F60AB" w:rsidP="004241AC">
      <w:pPr>
        <w:widowControl w:val="0"/>
        <w:spacing w:after="0" w:line="240" w:lineRule="auto"/>
        <w:jc w:val="center"/>
        <w:rPr>
          <w:b/>
          <w:sz w:val="40"/>
          <w:szCs w:val="40"/>
        </w:rPr>
      </w:pPr>
      <w:r w:rsidRPr="00881B68">
        <w:rPr>
          <w:b/>
          <w:sz w:val="40"/>
          <w:szCs w:val="40"/>
        </w:rPr>
        <w:t>SODIO FLUORURO (</w:t>
      </w:r>
      <w:r w:rsidRPr="002734C4">
        <w:rPr>
          <w:b/>
          <w:sz w:val="40"/>
          <w:szCs w:val="40"/>
          <w:vertAlign w:val="superscript"/>
        </w:rPr>
        <w:t>18</w:t>
      </w:r>
      <w:r w:rsidRPr="00881B68">
        <w:rPr>
          <w:b/>
          <w:sz w:val="40"/>
          <w:szCs w:val="40"/>
        </w:rPr>
        <w:t>F) ITEL</w:t>
      </w:r>
    </w:p>
    <w:p w:rsidR="004609F8" w:rsidRPr="00881B68" w:rsidRDefault="004609F8" w:rsidP="004241AC">
      <w:pPr>
        <w:widowControl w:val="0"/>
        <w:spacing w:after="0" w:line="240" w:lineRule="auto"/>
        <w:jc w:val="center"/>
        <w:rPr>
          <w:snapToGrid w:val="0"/>
          <w:sz w:val="40"/>
          <w:szCs w:val="40"/>
        </w:rPr>
      </w:pPr>
    </w:p>
    <w:p w:rsidR="008F60AB" w:rsidRPr="00881B68" w:rsidRDefault="008F60AB" w:rsidP="004241AC">
      <w:pPr>
        <w:widowControl w:val="0"/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881B68">
        <w:rPr>
          <w:rFonts w:cstheme="minorHAnsi"/>
          <w:b/>
          <w:sz w:val="32"/>
          <w:szCs w:val="32"/>
        </w:rPr>
        <w:t>Sodio Fluoruro (</w:t>
      </w:r>
      <w:r w:rsidRPr="002734C4">
        <w:rPr>
          <w:rFonts w:cstheme="minorHAnsi"/>
          <w:b/>
          <w:sz w:val="32"/>
          <w:szCs w:val="32"/>
          <w:vertAlign w:val="superscript"/>
        </w:rPr>
        <w:t>18</w:t>
      </w:r>
      <w:r w:rsidRPr="00881B68">
        <w:rPr>
          <w:rFonts w:cstheme="minorHAnsi"/>
          <w:b/>
          <w:sz w:val="32"/>
          <w:szCs w:val="32"/>
        </w:rPr>
        <w:t>F)</w:t>
      </w:r>
    </w:p>
    <w:p w:rsidR="003928A0" w:rsidRPr="00881B68" w:rsidRDefault="003928A0" w:rsidP="004241AC">
      <w:pPr>
        <w:widowControl w:val="0"/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:rsidR="004241AC" w:rsidRPr="00881B68" w:rsidRDefault="008F60AB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881B68">
        <w:rPr>
          <w:rFonts w:cstheme="minorHAnsi"/>
          <w:b/>
          <w:sz w:val="32"/>
          <w:szCs w:val="32"/>
        </w:rPr>
        <w:t xml:space="preserve">2 </w:t>
      </w:r>
      <w:proofErr w:type="spellStart"/>
      <w:r w:rsidRPr="00881B68">
        <w:rPr>
          <w:rFonts w:cstheme="minorHAnsi"/>
          <w:b/>
          <w:sz w:val="32"/>
          <w:szCs w:val="32"/>
        </w:rPr>
        <w:t>GBq</w:t>
      </w:r>
      <w:proofErr w:type="spellEnd"/>
      <w:r w:rsidRPr="00881B68">
        <w:rPr>
          <w:rFonts w:cstheme="minorHAnsi"/>
          <w:b/>
          <w:sz w:val="32"/>
          <w:szCs w:val="32"/>
        </w:rPr>
        <w:t>/</w:t>
      </w:r>
      <w:proofErr w:type="spellStart"/>
      <w:r w:rsidRPr="00881B68">
        <w:rPr>
          <w:rFonts w:cstheme="minorHAnsi"/>
          <w:b/>
          <w:sz w:val="32"/>
          <w:szCs w:val="32"/>
        </w:rPr>
        <w:t>mL</w:t>
      </w:r>
      <w:proofErr w:type="spellEnd"/>
      <w:r w:rsidRPr="00881B68">
        <w:rPr>
          <w:rFonts w:cstheme="minorHAnsi"/>
          <w:b/>
          <w:sz w:val="32"/>
          <w:szCs w:val="32"/>
        </w:rPr>
        <w:t xml:space="preserve"> soluzione iniettabile</w:t>
      </w:r>
    </w:p>
    <w:p w:rsidR="004609F8" w:rsidRPr="00881B6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</w:rPr>
      </w:pPr>
    </w:p>
    <w:p w:rsidR="008F60AB" w:rsidRPr="00881B68" w:rsidRDefault="008F60AB" w:rsidP="004241AC">
      <w:pPr>
        <w:spacing w:after="0" w:line="240" w:lineRule="auto"/>
        <w:jc w:val="center"/>
        <w:rPr>
          <w:b/>
          <w:sz w:val="32"/>
          <w:szCs w:val="32"/>
        </w:rPr>
      </w:pPr>
      <w:r w:rsidRPr="00881B68">
        <w:rPr>
          <w:b/>
          <w:sz w:val="32"/>
          <w:szCs w:val="32"/>
        </w:rPr>
        <w:t>ITEL Telecomunicazioni s.r.l.</w:t>
      </w:r>
    </w:p>
    <w:p w:rsidR="00EC3589" w:rsidRPr="00881B68" w:rsidRDefault="00BF7A42" w:rsidP="004241AC">
      <w:pPr>
        <w:spacing w:after="0" w:line="240" w:lineRule="auto"/>
        <w:jc w:val="center"/>
        <w:rPr>
          <w:b/>
          <w:sz w:val="40"/>
          <w:szCs w:val="40"/>
        </w:rPr>
      </w:pPr>
      <w:r w:rsidRPr="00881B68">
        <w:rPr>
          <w:b/>
          <w:sz w:val="40"/>
          <w:szCs w:val="40"/>
        </w:rPr>
        <w:t xml:space="preserve"> </w:t>
      </w:r>
    </w:p>
    <w:p w:rsidR="004609F8" w:rsidRPr="00881B68" w:rsidRDefault="004609F8" w:rsidP="004241AC">
      <w:pPr>
        <w:spacing w:after="0" w:line="240" w:lineRule="auto"/>
        <w:jc w:val="center"/>
        <w:rPr>
          <w:b/>
          <w:sz w:val="40"/>
          <w:szCs w:val="40"/>
        </w:rPr>
      </w:pPr>
    </w:p>
    <w:p w:rsidR="00222523" w:rsidRPr="00881B68" w:rsidRDefault="00222523" w:rsidP="004241AC">
      <w:pPr>
        <w:spacing w:after="0" w:line="240" w:lineRule="auto"/>
        <w:jc w:val="center"/>
        <w:rPr>
          <w:b/>
          <w:sz w:val="40"/>
          <w:szCs w:val="40"/>
        </w:rPr>
      </w:pPr>
    </w:p>
    <w:p w:rsidR="00222523" w:rsidRPr="00881B68" w:rsidRDefault="00222523" w:rsidP="004241AC">
      <w:pPr>
        <w:spacing w:after="0" w:line="240" w:lineRule="auto"/>
        <w:jc w:val="center"/>
        <w:rPr>
          <w:b/>
          <w:sz w:val="40"/>
          <w:szCs w:val="40"/>
        </w:rPr>
      </w:pPr>
    </w:p>
    <w:p w:rsidR="004241AC" w:rsidRPr="00881B68" w:rsidRDefault="004241AC" w:rsidP="004241AC">
      <w:pPr>
        <w:spacing w:after="0" w:line="240" w:lineRule="auto"/>
        <w:jc w:val="center"/>
        <w:rPr>
          <w:rFonts w:cs="Helvetica"/>
          <w:b/>
          <w:sz w:val="40"/>
          <w:szCs w:val="40"/>
        </w:rPr>
      </w:pPr>
      <w:r w:rsidRPr="00881B68">
        <w:rPr>
          <w:b/>
          <w:sz w:val="40"/>
          <w:szCs w:val="40"/>
        </w:rPr>
        <w:t xml:space="preserve">Numero di AIC: </w:t>
      </w:r>
      <w:r w:rsidR="008F60AB" w:rsidRPr="00881B68">
        <w:rPr>
          <w:b/>
          <w:sz w:val="40"/>
          <w:szCs w:val="40"/>
        </w:rPr>
        <w:t>047433</w:t>
      </w:r>
    </w:p>
    <w:p w:rsidR="00797416" w:rsidRPr="00881B68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3928A0" w:rsidRPr="00881B68" w:rsidRDefault="003928A0">
      <w:pPr>
        <w:rPr>
          <w:b/>
        </w:rPr>
      </w:pPr>
      <w:r w:rsidRPr="00881B68">
        <w:rPr>
          <w:b/>
        </w:rPr>
        <w:br w:type="page"/>
      </w:r>
    </w:p>
    <w:p w:rsidR="004E5A39" w:rsidRPr="00881B68" w:rsidRDefault="00222523" w:rsidP="004241AC">
      <w:pPr>
        <w:spacing w:after="0" w:line="240" w:lineRule="auto"/>
        <w:jc w:val="center"/>
        <w:rPr>
          <w:b/>
        </w:rPr>
      </w:pPr>
      <w:r w:rsidRPr="00881B68">
        <w:rPr>
          <w:rFonts w:cs="Calibri"/>
          <w:b/>
          <w:noProof/>
          <w:color w:val="808080"/>
        </w:rPr>
        <w:lastRenderedPageBreak/>
        <w:drawing>
          <wp:inline distT="0" distB="0" distL="0" distR="0">
            <wp:extent cx="2878454" cy="1073149"/>
            <wp:effectExtent l="19049" t="0" r="0" b="0"/>
            <wp:docPr id="2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523" w:rsidRPr="00881B68" w:rsidRDefault="00222523" w:rsidP="00881B68">
      <w:pPr>
        <w:spacing w:after="0" w:line="240" w:lineRule="auto"/>
        <w:jc w:val="center"/>
        <w:rPr>
          <w:b/>
        </w:rPr>
      </w:pPr>
    </w:p>
    <w:p w:rsidR="004E5A39" w:rsidRPr="00881B68" w:rsidRDefault="004E5A39" w:rsidP="00881B6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sz w:val="28"/>
          <w:szCs w:val="28"/>
        </w:rPr>
      </w:pPr>
      <w:r w:rsidRPr="00881B68">
        <w:rPr>
          <w:rFonts w:eastAsia="Calibri" w:cs="Calibri"/>
          <w:b/>
          <w:color w:val="000000"/>
          <w:sz w:val="28"/>
          <w:szCs w:val="28"/>
        </w:rPr>
        <w:t xml:space="preserve">RIASSUNTO DELLA RELAZIONE PUBBLICA </w:t>
      </w:r>
      <w:proofErr w:type="spellStart"/>
      <w:r w:rsidRPr="00881B68">
        <w:rPr>
          <w:rFonts w:eastAsia="Calibri" w:cs="Calibri"/>
          <w:b/>
          <w:color w:val="000000"/>
          <w:sz w:val="28"/>
          <w:szCs w:val="28"/>
        </w:rPr>
        <w:t>DI</w:t>
      </w:r>
      <w:proofErr w:type="spellEnd"/>
      <w:r w:rsidRPr="00881B68">
        <w:rPr>
          <w:rFonts w:eastAsia="Calibri" w:cs="Calibri"/>
          <w:b/>
          <w:color w:val="000000"/>
          <w:sz w:val="28"/>
          <w:szCs w:val="28"/>
        </w:rPr>
        <w:t xml:space="preserve"> VALUTAZIONE</w:t>
      </w:r>
    </w:p>
    <w:p w:rsidR="004E5A39" w:rsidRPr="00881B68" w:rsidRDefault="004E5A39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B2AF8" w:rsidRPr="00881B68" w:rsidRDefault="00BB2AF8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881B68">
        <w:rPr>
          <w:rFonts w:eastAsia="Calibri" w:cs="Calibri"/>
          <w:color w:val="000000"/>
        </w:rPr>
        <w:t xml:space="preserve">Questa è la sintesi del </w:t>
      </w:r>
      <w:r w:rsidRPr="00881B68">
        <w:rPr>
          <w:rFonts w:eastAsia="Calibri" w:cs="Calibri"/>
          <w:i/>
          <w:color w:val="000000"/>
        </w:rPr>
        <w:t xml:space="preserve">Public </w:t>
      </w:r>
      <w:proofErr w:type="spellStart"/>
      <w:r w:rsidRPr="00881B68">
        <w:rPr>
          <w:rFonts w:eastAsia="Calibri" w:cs="Calibri"/>
          <w:i/>
          <w:color w:val="000000"/>
        </w:rPr>
        <w:t>Assessment</w:t>
      </w:r>
      <w:proofErr w:type="spellEnd"/>
      <w:r w:rsidRPr="00881B68">
        <w:rPr>
          <w:rFonts w:eastAsia="Calibri" w:cs="Calibri"/>
          <w:i/>
          <w:color w:val="000000"/>
        </w:rPr>
        <w:t xml:space="preserve"> Report</w:t>
      </w:r>
      <w:r w:rsidRPr="00881B68">
        <w:rPr>
          <w:rFonts w:eastAsia="Calibri" w:cs="Calibri"/>
          <w:color w:val="000000"/>
        </w:rPr>
        <w:t xml:space="preserve"> (PAR) per </w:t>
      </w:r>
      <w:r w:rsidR="00B06B3E" w:rsidRPr="00881B68">
        <w:rPr>
          <w:b/>
        </w:rPr>
        <w:t>S</w:t>
      </w:r>
      <w:r w:rsidR="00B06B3E" w:rsidRPr="00881B68">
        <w:rPr>
          <w:rFonts w:eastAsia="Calibri" w:cs="Calibri"/>
          <w:b/>
          <w:color w:val="000000"/>
        </w:rPr>
        <w:t>odio Fluoruro (</w:t>
      </w:r>
      <w:r w:rsidR="00B06B3E" w:rsidRPr="00881B68">
        <w:rPr>
          <w:rFonts w:eastAsia="Calibri" w:cs="Calibri"/>
          <w:b/>
          <w:color w:val="000000"/>
          <w:vertAlign w:val="superscript"/>
        </w:rPr>
        <w:t>18</w:t>
      </w:r>
      <w:r w:rsidR="00B06B3E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B06B3E" w:rsidRPr="00881B68">
        <w:rPr>
          <w:rFonts w:eastAsia="Calibri" w:cs="Calibri"/>
          <w:b/>
          <w:color w:val="000000"/>
        </w:rPr>
        <w:t>Itel</w:t>
      </w:r>
      <w:proofErr w:type="spellEnd"/>
      <w:r w:rsidR="00EE26CC" w:rsidRPr="00881B68">
        <w:rPr>
          <w:rFonts w:eastAsia="Times New Roman"/>
        </w:rPr>
        <w:t xml:space="preserve">. </w:t>
      </w:r>
      <w:r w:rsidRPr="00881B68">
        <w:rPr>
          <w:rFonts w:eastAsia="Calibri" w:cs="Calibri"/>
          <w:color w:val="000000"/>
        </w:rPr>
        <w:t xml:space="preserve">Esso spiega come </w:t>
      </w:r>
      <w:r w:rsidR="00EE26CC" w:rsidRPr="00881B68">
        <w:rPr>
          <w:b/>
        </w:rPr>
        <w:t>S</w:t>
      </w:r>
      <w:r w:rsidR="00EE26CC" w:rsidRPr="00881B68">
        <w:rPr>
          <w:rFonts w:eastAsia="Calibri" w:cs="Calibri"/>
          <w:b/>
          <w:color w:val="000000"/>
        </w:rPr>
        <w:t>odio Fluoruro (</w:t>
      </w:r>
      <w:r w:rsidR="00EE26CC" w:rsidRPr="00881B68">
        <w:rPr>
          <w:rFonts w:eastAsia="Calibri" w:cs="Calibri"/>
          <w:b/>
          <w:color w:val="000000"/>
          <w:vertAlign w:val="superscript"/>
        </w:rPr>
        <w:t>18</w:t>
      </w:r>
      <w:r w:rsidR="00EE26CC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EE26CC" w:rsidRPr="00881B68">
        <w:rPr>
          <w:rFonts w:eastAsia="Calibri" w:cs="Calibri"/>
          <w:b/>
          <w:color w:val="000000"/>
        </w:rPr>
        <w:t>Itel</w:t>
      </w:r>
      <w:proofErr w:type="spellEnd"/>
      <w:r w:rsidRPr="00881B68">
        <w:rPr>
          <w:rFonts w:eastAsia="Calibri" w:cs="Calibri"/>
          <w:color w:val="000000"/>
        </w:rPr>
        <w:t xml:space="preserve"> è stato valutato dalla Commissione Tecnico-Scientifica (CTS) e le sue condizioni di impiego. Non intende fornire consigli pratici su come utilizzare </w:t>
      </w:r>
      <w:r w:rsidR="00EE26CC" w:rsidRPr="00881B68">
        <w:rPr>
          <w:b/>
        </w:rPr>
        <w:t>S</w:t>
      </w:r>
      <w:r w:rsidR="00EE26CC" w:rsidRPr="00881B68">
        <w:rPr>
          <w:rFonts w:eastAsia="Calibri" w:cs="Calibri"/>
          <w:b/>
          <w:color w:val="000000"/>
        </w:rPr>
        <w:t>odio Fluoruro (</w:t>
      </w:r>
      <w:r w:rsidR="00EE26CC" w:rsidRPr="00881B68">
        <w:rPr>
          <w:rFonts w:eastAsia="Calibri" w:cs="Calibri"/>
          <w:b/>
          <w:color w:val="000000"/>
          <w:vertAlign w:val="superscript"/>
        </w:rPr>
        <w:t>18</w:t>
      </w:r>
      <w:r w:rsidR="00EE26CC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EE26CC" w:rsidRPr="00881B68">
        <w:rPr>
          <w:rFonts w:eastAsia="Calibri" w:cs="Calibri"/>
          <w:b/>
          <w:color w:val="000000"/>
        </w:rPr>
        <w:t>Itel</w:t>
      </w:r>
      <w:proofErr w:type="spellEnd"/>
      <w:r w:rsidR="00EE26CC" w:rsidRPr="00881B68">
        <w:rPr>
          <w:rFonts w:eastAsia="Calibri" w:cs="Calibri"/>
          <w:b/>
          <w:color w:val="000000"/>
        </w:rPr>
        <w:t>.</w:t>
      </w:r>
    </w:p>
    <w:p w:rsidR="00BB2AF8" w:rsidRPr="00881B68" w:rsidRDefault="00BB2AF8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881B68">
        <w:rPr>
          <w:rFonts w:eastAsia="Calibri" w:cs="Calibri"/>
          <w:color w:val="000000"/>
        </w:rPr>
        <w:t>Per informazioni pratiche sull'utilizzo di</w:t>
      </w:r>
      <w:r w:rsidRPr="00881B68">
        <w:rPr>
          <w:rFonts w:eastAsia="Calibri" w:cs="Calibri"/>
          <w:bCs/>
          <w:color w:val="000000"/>
        </w:rPr>
        <w:t xml:space="preserve"> </w:t>
      </w:r>
      <w:r w:rsidR="00EE26CC" w:rsidRPr="00881B68">
        <w:rPr>
          <w:b/>
        </w:rPr>
        <w:t>S</w:t>
      </w:r>
      <w:r w:rsidR="00EE26CC" w:rsidRPr="00881B68">
        <w:rPr>
          <w:rFonts w:eastAsia="Calibri" w:cs="Calibri"/>
          <w:b/>
          <w:color w:val="000000"/>
        </w:rPr>
        <w:t>odio Fluoruro (</w:t>
      </w:r>
      <w:r w:rsidR="00EE26CC" w:rsidRPr="00881B68">
        <w:rPr>
          <w:rFonts w:eastAsia="Calibri" w:cs="Calibri"/>
          <w:b/>
          <w:color w:val="000000"/>
          <w:vertAlign w:val="superscript"/>
        </w:rPr>
        <w:t>18</w:t>
      </w:r>
      <w:r w:rsidR="00EE26CC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EE26CC" w:rsidRPr="00881B68">
        <w:rPr>
          <w:rFonts w:eastAsia="Calibri" w:cs="Calibri"/>
          <w:b/>
          <w:color w:val="000000"/>
        </w:rPr>
        <w:t>Itel</w:t>
      </w:r>
      <w:proofErr w:type="spellEnd"/>
      <w:r w:rsidR="00EE26CC" w:rsidRPr="00881B68">
        <w:rPr>
          <w:rFonts w:eastAsia="Times New Roman"/>
        </w:rPr>
        <w:t xml:space="preserve"> </w:t>
      </w:r>
      <w:r w:rsidRPr="00881B68">
        <w:rPr>
          <w:rFonts w:eastAsia="Calibri" w:cs="Calibri"/>
          <w:color w:val="000000"/>
        </w:rPr>
        <w:t xml:space="preserve">i pazienti devono consultare il foglio illustrativo o contattare il loro medico. </w:t>
      </w:r>
      <w:r w:rsidR="003928A0" w:rsidRPr="00881B68">
        <w:rPr>
          <w:rFonts w:eastAsia="Calibri" w:cs="Calibri"/>
          <w:color w:val="000000"/>
        </w:rPr>
        <w:t xml:space="preserve"> </w:t>
      </w:r>
    </w:p>
    <w:p w:rsidR="00BB2AF8" w:rsidRPr="00881B68" w:rsidRDefault="00BB2AF8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B2AF8" w:rsidRPr="00881B68" w:rsidRDefault="00BB2AF8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BB2AF8" w:rsidRPr="00881B68" w:rsidRDefault="00EE26CC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881B68">
        <w:rPr>
          <w:rFonts w:eastAsia="Calibri" w:cs="Calibri"/>
          <w:b/>
          <w:bCs/>
          <w:color w:val="000000"/>
        </w:rPr>
        <w:t>1) CHE COS’È</w:t>
      </w:r>
      <w:r w:rsidR="003928A0" w:rsidRPr="00881B68">
        <w:rPr>
          <w:rFonts w:eastAsia="Calibri" w:cs="Calibri"/>
          <w:b/>
          <w:color w:val="000000"/>
        </w:rPr>
        <w:t xml:space="preserve"> </w:t>
      </w:r>
      <w:r w:rsidR="008F60AB" w:rsidRPr="00881B68">
        <w:rPr>
          <w:rFonts w:eastAsia="Calibri" w:cs="Calibri"/>
          <w:b/>
          <w:color w:val="000000"/>
        </w:rPr>
        <w:t>SODIO FLUORURO (</w:t>
      </w:r>
      <w:r w:rsidR="008F60AB" w:rsidRPr="002734C4">
        <w:rPr>
          <w:rFonts w:eastAsia="Calibri" w:cs="Calibri"/>
          <w:b/>
          <w:color w:val="000000"/>
          <w:vertAlign w:val="superscript"/>
        </w:rPr>
        <w:t>18</w:t>
      </w:r>
      <w:r w:rsidR="008F60AB" w:rsidRPr="00881B68">
        <w:rPr>
          <w:rFonts w:eastAsia="Calibri" w:cs="Calibri"/>
          <w:b/>
          <w:color w:val="000000"/>
        </w:rPr>
        <w:t>F) ITEL</w:t>
      </w:r>
      <w:r w:rsidR="00797416" w:rsidRPr="00881B68">
        <w:rPr>
          <w:rFonts w:eastAsia="Calibri" w:cs="Calibri"/>
          <w:b/>
          <w:color w:val="000000"/>
        </w:rPr>
        <w:t xml:space="preserve"> </w:t>
      </w:r>
      <w:r w:rsidR="00BB2AF8" w:rsidRPr="00881B68">
        <w:rPr>
          <w:rFonts w:eastAsia="Calibri" w:cs="Calibri"/>
          <w:b/>
          <w:bCs/>
          <w:color w:val="000000"/>
        </w:rPr>
        <w:t xml:space="preserve">E A COSA SERVE? </w:t>
      </w:r>
    </w:p>
    <w:p w:rsidR="0001619B" w:rsidRPr="00881B68" w:rsidRDefault="0001619B" w:rsidP="00881B68">
      <w:pPr>
        <w:spacing w:after="0" w:line="240" w:lineRule="auto"/>
        <w:jc w:val="both"/>
        <w:rPr>
          <w:rFonts w:eastAsia="Calibri" w:cs="Calibri"/>
          <w:color w:val="000000"/>
        </w:rPr>
      </w:pPr>
    </w:p>
    <w:p w:rsidR="008F60AB" w:rsidRPr="00881B68" w:rsidRDefault="00EE26CC" w:rsidP="00881B68">
      <w:pPr>
        <w:spacing w:after="0" w:line="240" w:lineRule="auto"/>
        <w:jc w:val="both"/>
        <w:rPr>
          <w:rFonts w:eastAsia="Calibri" w:cs="Calibri"/>
          <w:color w:val="000000"/>
        </w:rPr>
      </w:pPr>
      <w:r w:rsidRPr="00881B68">
        <w:rPr>
          <w:b/>
        </w:rPr>
        <w:t>S</w:t>
      </w:r>
      <w:r w:rsidRPr="00881B68">
        <w:rPr>
          <w:rFonts w:eastAsia="Calibri" w:cs="Calibri"/>
          <w:b/>
          <w:color w:val="000000"/>
        </w:rPr>
        <w:t>odio Fluoruro (</w:t>
      </w:r>
      <w:r w:rsidRPr="00881B68">
        <w:rPr>
          <w:rFonts w:eastAsia="Calibri" w:cs="Calibri"/>
          <w:b/>
          <w:color w:val="000000"/>
          <w:vertAlign w:val="superscript"/>
        </w:rPr>
        <w:t>18</w:t>
      </w:r>
      <w:r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Pr="00881B68">
        <w:rPr>
          <w:rFonts w:eastAsia="Calibri" w:cs="Calibri"/>
          <w:b/>
          <w:color w:val="000000"/>
        </w:rPr>
        <w:t>Itel</w:t>
      </w:r>
      <w:proofErr w:type="spellEnd"/>
      <w:r w:rsidRPr="00881B68">
        <w:rPr>
          <w:rFonts w:eastAsia="Times New Roman"/>
        </w:rPr>
        <w:t xml:space="preserve"> </w:t>
      </w:r>
      <w:r w:rsidR="00BB2AF8" w:rsidRPr="00881B68">
        <w:rPr>
          <w:rFonts w:eastAsia="Calibri" w:cs="Calibri"/>
          <w:color w:val="000000"/>
        </w:rPr>
        <w:t xml:space="preserve">è un medicinale contenente </w:t>
      </w:r>
      <w:r w:rsidR="008F60AB" w:rsidRPr="00881B68">
        <w:rPr>
          <w:rFonts w:eastAsia="Calibri" w:cs="Calibri"/>
          <w:color w:val="000000"/>
        </w:rPr>
        <w:t>la sostanza attiva sodio fluoruro (</w:t>
      </w:r>
      <w:r w:rsidR="008F60AB" w:rsidRPr="00881B68">
        <w:rPr>
          <w:rFonts w:eastAsia="Calibri" w:cs="Calibri"/>
          <w:color w:val="000000"/>
          <w:vertAlign w:val="superscript"/>
        </w:rPr>
        <w:t>18</w:t>
      </w:r>
      <w:r w:rsidR="008F60AB" w:rsidRPr="00881B68">
        <w:rPr>
          <w:rFonts w:eastAsia="Calibri" w:cs="Calibri"/>
          <w:color w:val="000000"/>
        </w:rPr>
        <w:t>F).</w:t>
      </w:r>
    </w:p>
    <w:p w:rsidR="008F60AB" w:rsidRPr="00881B68" w:rsidRDefault="008F60AB" w:rsidP="00881B68">
      <w:pPr>
        <w:spacing w:after="0" w:line="240" w:lineRule="auto"/>
        <w:jc w:val="both"/>
        <w:rPr>
          <w:rFonts w:cstheme="minorHAnsi"/>
        </w:rPr>
      </w:pPr>
    </w:p>
    <w:p w:rsidR="008F60AB" w:rsidRPr="00881B68" w:rsidRDefault="008F60AB" w:rsidP="00881B68">
      <w:pPr>
        <w:spacing w:after="0" w:line="240" w:lineRule="auto"/>
        <w:jc w:val="both"/>
        <w:rPr>
          <w:rFonts w:eastAsia="Times New Roman"/>
        </w:rPr>
      </w:pPr>
      <w:r w:rsidRPr="00881B68">
        <w:rPr>
          <w:rFonts w:eastAsia="Times New Roman"/>
        </w:rPr>
        <w:t xml:space="preserve">Il </w:t>
      </w:r>
      <w:r w:rsidR="00EE26CC" w:rsidRPr="00881B68">
        <w:rPr>
          <w:b/>
        </w:rPr>
        <w:t>S</w:t>
      </w:r>
      <w:r w:rsidR="00EE26CC" w:rsidRPr="00881B68">
        <w:rPr>
          <w:rFonts w:eastAsia="Calibri" w:cs="Calibri"/>
          <w:b/>
          <w:color w:val="000000"/>
        </w:rPr>
        <w:t>odio Fluoruro (</w:t>
      </w:r>
      <w:r w:rsidR="00EE26CC" w:rsidRPr="00881B68">
        <w:rPr>
          <w:rFonts w:eastAsia="Calibri" w:cs="Calibri"/>
          <w:b/>
          <w:color w:val="000000"/>
          <w:vertAlign w:val="superscript"/>
        </w:rPr>
        <w:t>18</w:t>
      </w:r>
      <w:r w:rsidR="00EE26CC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EE26CC" w:rsidRPr="00881B68">
        <w:rPr>
          <w:rFonts w:eastAsia="Calibri" w:cs="Calibri"/>
          <w:b/>
          <w:color w:val="000000"/>
        </w:rPr>
        <w:t>Itel</w:t>
      </w:r>
      <w:proofErr w:type="spellEnd"/>
      <w:r w:rsidR="00EE26CC" w:rsidRPr="00881B68">
        <w:rPr>
          <w:rFonts w:eastAsia="Times New Roman"/>
        </w:rPr>
        <w:t xml:space="preserve"> </w:t>
      </w:r>
      <w:r w:rsidRPr="00881B68">
        <w:rPr>
          <w:rFonts w:eastAsia="Times New Roman"/>
        </w:rPr>
        <w:t xml:space="preserve">è un </w:t>
      </w:r>
      <w:proofErr w:type="spellStart"/>
      <w:r w:rsidRPr="00881B68">
        <w:rPr>
          <w:rFonts w:eastAsia="Times New Roman"/>
        </w:rPr>
        <w:t>radiofarmaco</w:t>
      </w:r>
      <w:proofErr w:type="spellEnd"/>
      <w:r w:rsidRPr="00881B68">
        <w:rPr>
          <w:rFonts w:eastAsia="Times New Roman"/>
        </w:rPr>
        <w:t xml:space="preserve"> usato solo a scopo diagnostico.</w:t>
      </w:r>
    </w:p>
    <w:p w:rsidR="008F60AB" w:rsidRPr="00881B68" w:rsidRDefault="008F60AB" w:rsidP="00881B68">
      <w:pPr>
        <w:spacing w:after="0" w:line="240" w:lineRule="auto"/>
        <w:jc w:val="both"/>
      </w:pPr>
    </w:p>
    <w:p w:rsidR="008F60AB" w:rsidRPr="00881B68" w:rsidRDefault="008F60AB" w:rsidP="00881B68">
      <w:pPr>
        <w:widowControl w:val="0"/>
        <w:spacing w:after="0" w:line="240" w:lineRule="auto"/>
        <w:jc w:val="both"/>
      </w:pPr>
      <w:r w:rsidRPr="00881B68">
        <w:rPr>
          <w:b/>
        </w:rPr>
        <w:t>S</w:t>
      </w:r>
      <w:r w:rsidRPr="00881B68">
        <w:rPr>
          <w:rFonts w:eastAsia="Calibri" w:cs="Calibri"/>
          <w:b/>
          <w:color w:val="000000"/>
        </w:rPr>
        <w:t>odio Fluoruro (</w:t>
      </w:r>
      <w:r w:rsidRPr="00881B68">
        <w:rPr>
          <w:rFonts w:eastAsia="Calibri" w:cs="Calibri"/>
          <w:b/>
          <w:color w:val="000000"/>
          <w:vertAlign w:val="superscript"/>
        </w:rPr>
        <w:t>18</w:t>
      </w:r>
      <w:r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Pr="00881B68">
        <w:rPr>
          <w:rFonts w:eastAsia="Calibri" w:cs="Calibri"/>
          <w:b/>
          <w:color w:val="000000"/>
        </w:rPr>
        <w:t>Itel</w:t>
      </w:r>
      <w:proofErr w:type="spellEnd"/>
      <w:r w:rsidRPr="00881B68">
        <w:rPr>
          <w:color w:val="000000"/>
        </w:rPr>
        <w:t xml:space="preserve"> viene impiegato per la diagnosi nella Tomografi</w:t>
      </w:r>
      <w:r w:rsidR="0001619B" w:rsidRPr="00881B68">
        <w:rPr>
          <w:color w:val="000000"/>
        </w:rPr>
        <w:t>a ad emissione</w:t>
      </w:r>
      <w:r w:rsidRPr="00881B68">
        <w:rPr>
          <w:color w:val="000000"/>
        </w:rPr>
        <w:t xml:space="preserve"> di Positroni (PET)</w:t>
      </w:r>
      <w:r w:rsidRPr="00881B68">
        <w:t xml:space="preserve">. </w:t>
      </w:r>
    </w:p>
    <w:p w:rsidR="008F60AB" w:rsidRPr="00881B68" w:rsidRDefault="008F60AB" w:rsidP="00881B6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</w:rPr>
      </w:pPr>
      <w:r w:rsidRPr="00881B68">
        <w:rPr>
          <w:rFonts w:cs="Arial"/>
          <w:color w:val="000000"/>
          <w:shd w:val="clear" w:color="auto" w:fill="FFFFFF"/>
        </w:rPr>
        <w:t xml:space="preserve"> </w:t>
      </w:r>
      <w:r w:rsidRPr="00881B68">
        <w:rPr>
          <w:rFonts w:cs="Arial"/>
          <w:color w:val="000000"/>
          <w:shd w:val="clear" w:color="auto" w:fill="FFFFFF"/>
        </w:rPr>
        <w:br/>
      </w:r>
      <w:r w:rsidRPr="00881B68">
        <w:rPr>
          <w:rFonts w:eastAsia="Calibri" w:cs="Calibri"/>
          <w:color w:val="000000"/>
        </w:rPr>
        <w:t>La tomografia ad emissione di positroni (PET) con sodio fluoruro (</w:t>
      </w:r>
      <w:r w:rsidRPr="00A1396E">
        <w:rPr>
          <w:rFonts w:eastAsia="Calibri" w:cs="Calibri"/>
          <w:color w:val="000000"/>
          <w:vertAlign w:val="superscript"/>
        </w:rPr>
        <w:t>18</w:t>
      </w:r>
      <w:r w:rsidRPr="00881B68">
        <w:rPr>
          <w:rFonts w:eastAsia="Calibri" w:cs="Calibri"/>
          <w:color w:val="000000"/>
        </w:rPr>
        <w:t xml:space="preserve">F) è indicata per le immagini funzionali nelle malattie in cui il target diagnostico sia l’alterata attività </w:t>
      </w:r>
      <w:proofErr w:type="spellStart"/>
      <w:r w:rsidRPr="00881B68">
        <w:rPr>
          <w:rFonts w:eastAsia="Calibri" w:cs="Calibri"/>
          <w:color w:val="000000"/>
        </w:rPr>
        <w:t>osteogenica</w:t>
      </w:r>
      <w:proofErr w:type="spellEnd"/>
      <w:r w:rsidRPr="00881B68">
        <w:rPr>
          <w:rFonts w:eastAsia="Calibri" w:cs="Calibri"/>
          <w:color w:val="000000"/>
        </w:rPr>
        <w:t>.</w:t>
      </w:r>
    </w:p>
    <w:p w:rsidR="00EE26CC" w:rsidRPr="00881B68" w:rsidRDefault="00EE26CC" w:rsidP="00881B6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</w:rPr>
      </w:pPr>
    </w:p>
    <w:p w:rsidR="008F60AB" w:rsidRDefault="008F60AB" w:rsidP="00881B68">
      <w:pPr>
        <w:autoSpaceDE w:val="0"/>
        <w:autoSpaceDN w:val="0"/>
        <w:adjustRightInd w:val="0"/>
        <w:spacing w:after="0" w:line="240" w:lineRule="auto"/>
        <w:rPr>
          <w:rFonts w:eastAsia="Calibri" w:cs="Calibri"/>
          <w:color w:val="000000"/>
        </w:rPr>
      </w:pPr>
      <w:r w:rsidRPr="00881B68">
        <w:rPr>
          <w:rFonts w:eastAsia="Calibri" w:cs="Calibri"/>
          <w:color w:val="000000"/>
        </w:rPr>
        <w:t>Le seguenti indicazioni sono state documentate in modo particolare:</w:t>
      </w:r>
    </w:p>
    <w:p w:rsidR="00A1396E" w:rsidRPr="00881B68" w:rsidRDefault="00A1396E" w:rsidP="00881B68">
      <w:pPr>
        <w:autoSpaceDE w:val="0"/>
        <w:autoSpaceDN w:val="0"/>
        <w:adjustRightInd w:val="0"/>
        <w:spacing w:after="0" w:line="240" w:lineRule="auto"/>
        <w:rPr>
          <w:rFonts w:eastAsia="Calibri" w:cs="Calibri"/>
          <w:color w:val="000000"/>
        </w:rPr>
      </w:pPr>
    </w:p>
    <w:p w:rsidR="008F60AB" w:rsidRPr="00881B68" w:rsidRDefault="008F60AB" w:rsidP="00881B68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Calibri" w:cs="Calibri"/>
          <w:color w:val="000000"/>
        </w:rPr>
      </w:pPr>
      <w:r w:rsidRPr="00881B68">
        <w:rPr>
          <w:rFonts w:eastAsia="Calibri" w:cs="Calibri"/>
          <w:color w:val="000000"/>
        </w:rPr>
        <w:t>Rilevazione e localizzazione delle metastasi ossee in caso di cancro negli adulti.</w:t>
      </w:r>
    </w:p>
    <w:p w:rsidR="008F60AB" w:rsidRPr="00881B68" w:rsidRDefault="008F60AB" w:rsidP="00881B68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881B68">
        <w:rPr>
          <w:rFonts w:eastAsia="Calibri" w:cs="Calibri"/>
          <w:color w:val="000000"/>
        </w:rPr>
        <w:t>Come supporto nella valutazione del dolore alla schiena di origine ambigua negli adulti, quando le modalità di immagini convenzionali non sono conclusive.</w:t>
      </w:r>
    </w:p>
    <w:p w:rsidR="008F60AB" w:rsidRPr="00881B68" w:rsidRDefault="008F60AB" w:rsidP="00881B68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881B68">
        <w:rPr>
          <w:rFonts w:eastAsia="Calibri" w:cs="Calibri"/>
          <w:color w:val="000000"/>
        </w:rPr>
        <w:t>Come supporto nella rilevazione della presenza di lesioni ossee correlate al sospetto di</w:t>
      </w:r>
    </w:p>
    <w:p w:rsidR="008F60AB" w:rsidRPr="00881B68" w:rsidRDefault="008F60AB" w:rsidP="00881B68">
      <w:pPr>
        <w:pStyle w:val="Paragrafoelenco"/>
        <w:autoSpaceDE w:val="0"/>
        <w:autoSpaceDN w:val="0"/>
        <w:adjustRightInd w:val="0"/>
        <w:spacing w:after="0" w:line="240" w:lineRule="auto"/>
        <w:rPr>
          <w:rFonts w:eastAsia="Calibri" w:cs="Calibri"/>
          <w:color w:val="000000"/>
        </w:rPr>
      </w:pPr>
      <w:r w:rsidRPr="00881B68">
        <w:rPr>
          <w:rFonts w:eastAsia="Calibri" w:cs="Calibri"/>
          <w:color w:val="000000"/>
        </w:rPr>
        <w:t>abuso su bambini.</w:t>
      </w:r>
    </w:p>
    <w:p w:rsidR="0001619B" w:rsidRPr="00881B68" w:rsidRDefault="0001619B" w:rsidP="00881B68">
      <w:pPr>
        <w:pStyle w:val="Paragrafoelenco"/>
        <w:autoSpaceDE w:val="0"/>
        <w:autoSpaceDN w:val="0"/>
        <w:adjustRightInd w:val="0"/>
        <w:spacing w:after="0" w:line="240" w:lineRule="auto"/>
        <w:rPr>
          <w:rFonts w:eastAsia="Calibri" w:cs="Calibri"/>
          <w:color w:val="000000"/>
        </w:rPr>
      </w:pPr>
    </w:p>
    <w:p w:rsidR="00BB2AF8" w:rsidRPr="00881B68" w:rsidRDefault="00300BEA" w:rsidP="00881B68">
      <w:pPr>
        <w:widowControl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881B68">
        <w:rPr>
          <w:rFonts w:eastAsia="Calibri" w:cs="Calibri"/>
          <w:color w:val="000000"/>
        </w:rPr>
        <w:t>Sul sito dell’Agenzia Italiana del Farmaco (AIFA) (</w:t>
      </w:r>
      <w:hyperlink r:id="rId9" w:history="1">
        <w:r w:rsidRPr="00881B68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881B68">
        <w:rPr>
          <w:rFonts w:eastAsia="Calibri" w:cs="Calibri"/>
        </w:rPr>
        <w:t>)</w:t>
      </w:r>
      <w:r w:rsidRPr="00881B68">
        <w:t xml:space="preserve"> </w:t>
      </w:r>
      <w:r w:rsidRPr="00881B68">
        <w:rPr>
          <w:rFonts w:eastAsia="Calibri" w:cs="Calibri"/>
          <w:color w:val="000000"/>
        </w:rPr>
        <w:t xml:space="preserve">è possibile consultare il Riassunto delle caratteristiche del prodotto e il foglio illustrativo di </w:t>
      </w:r>
      <w:r w:rsidR="00EE26CC" w:rsidRPr="00881B68">
        <w:rPr>
          <w:b/>
        </w:rPr>
        <w:t>S</w:t>
      </w:r>
      <w:r w:rsidR="00EE26CC" w:rsidRPr="00881B68">
        <w:rPr>
          <w:rFonts w:eastAsia="Calibri" w:cs="Calibri"/>
          <w:b/>
          <w:color w:val="000000"/>
        </w:rPr>
        <w:t>odio Fluoruro (</w:t>
      </w:r>
      <w:r w:rsidR="00EE26CC" w:rsidRPr="00881B68">
        <w:rPr>
          <w:rFonts w:eastAsia="Calibri" w:cs="Calibri"/>
          <w:b/>
          <w:color w:val="000000"/>
          <w:vertAlign w:val="superscript"/>
        </w:rPr>
        <w:t>18</w:t>
      </w:r>
      <w:r w:rsidR="00EE26CC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EE26CC" w:rsidRPr="00881B68">
        <w:rPr>
          <w:rFonts w:eastAsia="Calibri" w:cs="Calibri"/>
          <w:b/>
          <w:color w:val="000000"/>
        </w:rPr>
        <w:t>Itel</w:t>
      </w:r>
      <w:proofErr w:type="spellEnd"/>
      <w:r w:rsidR="00EE26CC" w:rsidRPr="00881B68">
        <w:rPr>
          <w:rFonts w:eastAsia="Calibri" w:cs="Calibri"/>
          <w:b/>
          <w:color w:val="000000"/>
        </w:rPr>
        <w:t>.</w:t>
      </w:r>
    </w:p>
    <w:p w:rsidR="00EE26CC" w:rsidRPr="00881B68" w:rsidRDefault="00EE26CC" w:rsidP="00EE26CC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</w:p>
    <w:p w:rsidR="00BB2AF8" w:rsidRPr="00881B68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881B68">
        <w:rPr>
          <w:rFonts w:eastAsia="Calibri" w:cs="Calibri"/>
          <w:b/>
          <w:bCs/>
          <w:color w:val="000000"/>
        </w:rPr>
        <w:t xml:space="preserve">2) COME </w:t>
      </w:r>
      <w:r w:rsidR="00A1396E" w:rsidRPr="00881B68">
        <w:rPr>
          <w:rFonts w:eastAsia="Calibri" w:cs="Calibri"/>
          <w:b/>
          <w:bCs/>
          <w:color w:val="000000"/>
        </w:rPr>
        <w:t>È</w:t>
      </w:r>
      <w:r w:rsidRPr="00881B68">
        <w:rPr>
          <w:rFonts w:eastAsia="Calibri" w:cs="Calibri"/>
          <w:b/>
          <w:bCs/>
          <w:color w:val="000000"/>
        </w:rPr>
        <w:t xml:space="preserve"> PRESCRITTO/USATO </w:t>
      </w:r>
      <w:r w:rsidR="008F60AB" w:rsidRPr="00881B68">
        <w:rPr>
          <w:b/>
        </w:rPr>
        <w:t>SODIO FLUORURO (</w:t>
      </w:r>
      <w:r w:rsidR="008F60AB" w:rsidRPr="002734C4">
        <w:rPr>
          <w:b/>
          <w:vertAlign w:val="superscript"/>
        </w:rPr>
        <w:t>18</w:t>
      </w:r>
      <w:r w:rsidR="008F60AB" w:rsidRPr="00881B68">
        <w:rPr>
          <w:b/>
        </w:rPr>
        <w:t>F) ITEL</w:t>
      </w:r>
      <w:r w:rsidRPr="00881B68">
        <w:rPr>
          <w:rFonts w:eastAsia="Calibri" w:cs="Calibri"/>
          <w:b/>
          <w:bCs/>
          <w:color w:val="000000"/>
        </w:rPr>
        <w:t>?</w:t>
      </w:r>
    </w:p>
    <w:p w:rsidR="00EE26CC" w:rsidRPr="00881B68" w:rsidRDefault="00EE26CC" w:rsidP="003928A0">
      <w:pPr>
        <w:pStyle w:val="PreformattatoHTML"/>
        <w:jc w:val="both"/>
        <w:rPr>
          <w:rFonts w:asciiTheme="minorHAnsi" w:hAnsiTheme="minorHAnsi"/>
          <w:b/>
        </w:rPr>
      </w:pPr>
    </w:p>
    <w:p w:rsidR="001C15DF" w:rsidRPr="00881B68" w:rsidRDefault="00EE26CC" w:rsidP="003928A0">
      <w:pPr>
        <w:pStyle w:val="PreformattatoHTML"/>
        <w:jc w:val="both"/>
        <w:rPr>
          <w:rFonts w:asciiTheme="minorHAnsi" w:hAnsiTheme="minorHAnsi"/>
        </w:rPr>
      </w:pPr>
      <w:r w:rsidRPr="00881B68">
        <w:rPr>
          <w:rFonts w:asciiTheme="minorHAnsi" w:hAnsiTheme="minorHAnsi"/>
          <w:b/>
        </w:rPr>
        <w:t>S</w:t>
      </w:r>
      <w:r w:rsidRPr="00881B68">
        <w:rPr>
          <w:rFonts w:asciiTheme="minorHAnsi" w:eastAsia="Calibri" w:hAnsiTheme="minorHAnsi" w:cs="Calibri"/>
          <w:b/>
          <w:color w:val="000000"/>
        </w:rPr>
        <w:t>odio Fluoruro (</w:t>
      </w:r>
      <w:r w:rsidRPr="00881B68">
        <w:rPr>
          <w:rFonts w:asciiTheme="minorHAnsi" w:eastAsia="Calibri" w:hAnsiTheme="minorHAnsi" w:cs="Calibri"/>
          <w:b/>
          <w:color w:val="000000"/>
          <w:vertAlign w:val="superscript"/>
        </w:rPr>
        <w:t>18</w:t>
      </w:r>
      <w:r w:rsidRPr="00881B68">
        <w:rPr>
          <w:rFonts w:asciiTheme="minorHAnsi" w:eastAsia="Calibri" w:hAnsiTheme="minorHAnsi" w:cs="Calibri"/>
          <w:b/>
          <w:color w:val="000000"/>
        </w:rPr>
        <w:t xml:space="preserve">F) </w:t>
      </w:r>
      <w:proofErr w:type="spellStart"/>
      <w:r w:rsidRPr="00881B68">
        <w:rPr>
          <w:rFonts w:asciiTheme="minorHAnsi" w:eastAsia="Calibri" w:hAnsiTheme="minorHAnsi" w:cs="Calibri"/>
          <w:b/>
          <w:color w:val="000000"/>
        </w:rPr>
        <w:t>Itel</w:t>
      </w:r>
      <w:proofErr w:type="spellEnd"/>
      <w:r w:rsidRPr="00881B68">
        <w:rPr>
          <w:rFonts w:asciiTheme="minorHAnsi" w:hAnsiTheme="minorHAnsi"/>
          <w:color w:val="000000"/>
        </w:rPr>
        <w:t xml:space="preserve"> </w:t>
      </w:r>
      <w:r w:rsidR="001C15DF" w:rsidRPr="00881B68">
        <w:rPr>
          <w:rFonts w:asciiTheme="minorHAnsi" w:eastAsiaTheme="minorEastAsia" w:hAnsiTheme="minorHAnsi" w:cs="Calibri"/>
          <w:sz w:val="22"/>
          <w:szCs w:val="22"/>
        </w:rPr>
        <w:t xml:space="preserve">è un </w:t>
      </w:r>
      <w:r w:rsidR="001C15DF" w:rsidRPr="00881B68">
        <w:rPr>
          <w:rFonts w:asciiTheme="minorHAnsi" w:hAnsiTheme="minorHAnsi" w:cstheme="minorBidi"/>
          <w:sz w:val="22"/>
          <w:szCs w:val="22"/>
        </w:rPr>
        <w:t xml:space="preserve">medicinale </w:t>
      </w:r>
      <w:r w:rsidR="0001619B" w:rsidRPr="00881B68">
        <w:rPr>
          <w:rFonts w:asciiTheme="minorHAnsi" w:hAnsiTheme="minorHAnsi" w:cstheme="minorBidi"/>
          <w:sz w:val="22"/>
          <w:szCs w:val="22"/>
        </w:rPr>
        <w:t>ospedaliero (OSP), medicinale utilizzabile esclusivamente in ambiente ospedaliero</w:t>
      </w:r>
      <w:r w:rsidR="00D167E9" w:rsidRPr="00881B68">
        <w:rPr>
          <w:rFonts w:asciiTheme="minorHAnsi" w:hAnsiTheme="minorHAnsi" w:cstheme="minorBidi"/>
          <w:sz w:val="22"/>
          <w:szCs w:val="22"/>
        </w:rPr>
        <w:t>.</w:t>
      </w:r>
    </w:p>
    <w:p w:rsidR="00C444C0" w:rsidRPr="00881B68" w:rsidRDefault="00C444C0" w:rsidP="00C444C0">
      <w:pPr>
        <w:autoSpaceDE w:val="0"/>
        <w:autoSpaceDN w:val="0"/>
        <w:adjustRightInd w:val="0"/>
        <w:spacing w:before="120" w:after="0" w:line="240" w:lineRule="auto"/>
        <w:rPr>
          <w:rFonts w:eastAsia="Times New Roman"/>
        </w:rPr>
      </w:pPr>
      <w:r w:rsidRPr="00881B68">
        <w:rPr>
          <w:rFonts w:eastAsia="Times New Roman"/>
        </w:rPr>
        <w:t>Il medico di medicina nucleare, che supervisiona la procedura, deciderà la quantità di Sodio Fluoruro (</w:t>
      </w:r>
      <w:r w:rsidRPr="00881B68">
        <w:rPr>
          <w:rFonts w:eastAsia="Times New Roman"/>
          <w:vertAlign w:val="superscript"/>
        </w:rPr>
        <w:t>18</w:t>
      </w:r>
      <w:r w:rsidRPr="00881B68">
        <w:rPr>
          <w:rFonts w:eastAsia="Times New Roman"/>
        </w:rPr>
        <w:t>F) ITEL</w:t>
      </w:r>
      <w:r w:rsidRPr="00881B68">
        <w:rPr>
          <w:rFonts w:eastAsia="Times New Roman"/>
          <w:noProof/>
        </w:rPr>
        <w:t xml:space="preserve"> </w:t>
      </w:r>
      <w:r w:rsidR="00D167E9" w:rsidRPr="00881B68">
        <w:rPr>
          <w:rFonts w:eastAsia="Times New Roman"/>
        </w:rPr>
        <w:t>da usare</w:t>
      </w:r>
      <w:r w:rsidRPr="00881B68">
        <w:rPr>
          <w:rFonts w:eastAsia="Times New Roman"/>
        </w:rPr>
        <w:t>. Sarà usata la dose minima necessaria per ottenere le informazioni desiderate.</w:t>
      </w:r>
    </w:p>
    <w:p w:rsidR="00C444C0" w:rsidRPr="00881B68" w:rsidRDefault="00C444C0" w:rsidP="00C444C0">
      <w:pPr>
        <w:autoSpaceDE w:val="0"/>
        <w:autoSpaceDN w:val="0"/>
        <w:adjustRightInd w:val="0"/>
        <w:spacing w:before="120" w:after="0" w:line="240" w:lineRule="auto"/>
        <w:rPr>
          <w:rFonts w:eastAsia="Times New Roman"/>
        </w:rPr>
      </w:pPr>
      <w:r w:rsidRPr="00881B68">
        <w:rPr>
          <w:rFonts w:eastAsia="Times New Roman"/>
        </w:rPr>
        <w:t xml:space="preserve">La quantità consueta da somministrare ad un adulto è compresa tra 100 e 400 </w:t>
      </w:r>
      <w:proofErr w:type="spellStart"/>
      <w:r w:rsidRPr="00881B68">
        <w:rPr>
          <w:rFonts w:eastAsia="Times New Roman"/>
        </w:rPr>
        <w:t>MBq</w:t>
      </w:r>
      <w:proofErr w:type="spellEnd"/>
      <w:r w:rsidRPr="00881B68">
        <w:rPr>
          <w:rFonts w:eastAsia="Times New Roman"/>
        </w:rPr>
        <w:t>. Il megabecquerel (</w:t>
      </w:r>
      <w:proofErr w:type="spellStart"/>
      <w:r w:rsidRPr="00881B68">
        <w:rPr>
          <w:rFonts w:eastAsia="Times New Roman"/>
        </w:rPr>
        <w:t>MBq</w:t>
      </w:r>
      <w:proofErr w:type="spellEnd"/>
      <w:r w:rsidRPr="00881B68">
        <w:rPr>
          <w:rFonts w:eastAsia="Times New Roman"/>
        </w:rPr>
        <w:t>) è l’unità di misura della radioattività.</w:t>
      </w:r>
    </w:p>
    <w:p w:rsidR="00332166" w:rsidRPr="00881B68" w:rsidRDefault="00332166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</w:p>
    <w:p w:rsidR="00F43E9B" w:rsidRPr="00881B68" w:rsidRDefault="00F43E9B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  <w:r w:rsidRPr="00881B68">
        <w:rPr>
          <w:rFonts w:asciiTheme="minorHAnsi" w:eastAsiaTheme="minorEastAsia" w:hAnsiTheme="minorHAnsi" w:cs="Calibri"/>
          <w:sz w:val="22"/>
          <w:szCs w:val="22"/>
        </w:rPr>
        <w:t xml:space="preserve">Maggiori dettagli sulla sicurezza d’uso di </w:t>
      </w:r>
      <w:r w:rsidR="008F60AB" w:rsidRPr="00881B68">
        <w:rPr>
          <w:rFonts w:asciiTheme="minorHAnsi" w:eastAsiaTheme="minorEastAsia" w:hAnsiTheme="minorHAnsi" w:cs="Calibri"/>
          <w:b/>
          <w:sz w:val="22"/>
          <w:szCs w:val="22"/>
        </w:rPr>
        <w:t>SODIO FLUORURO (</w:t>
      </w:r>
      <w:r w:rsidR="008F60AB" w:rsidRPr="002734C4">
        <w:rPr>
          <w:rFonts w:asciiTheme="minorHAnsi" w:eastAsiaTheme="minorEastAsia" w:hAnsiTheme="minorHAnsi" w:cs="Calibri"/>
          <w:b/>
          <w:sz w:val="22"/>
          <w:szCs w:val="22"/>
          <w:vertAlign w:val="superscript"/>
        </w:rPr>
        <w:t>18</w:t>
      </w:r>
      <w:r w:rsidR="008F60AB" w:rsidRPr="00881B68">
        <w:rPr>
          <w:rFonts w:asciiTheme="minorHAnsi" w:eastAsiaTheme="minorEastAsia" w:hAnsiTheme="minorHAnsi" w:cs="Calibri"/>
          <w:b/>
          <w:sz w:val="22"/>
          <w:szCs w:val="22"/>
        </w:rPr>
        <w:t>F) ITEL</w:t>
      </w:r>
      <w:r w:rsidRPr="00881B68">
        <w:rPr>
          <w:rFonts w:asciiTheme="minorHAnsi" w:eastAsiaTheme="minorEastAsia" w:hAnsiTheme="minorHAnsi" w:cs="Calibri"/>
          <w:sz w:val="22"/>
          <w:szCs w:val="22"/>
        </w:rPr>
        <w:t xml:space="preserve"> sono riportati nel foglio illustrativo</w:t>
      </w:r>
      <w:r w:rsidR="00E84D38" w:rsidRPr="00881B68">
        <w:rPr>
          <w:rFonts w:asciiTheme="minorHAnsi" w:eastAsiaTheme="minorEastAsia" w:hAnsiTheme="minorHAnsi" w:cs="Calibri"/>
          <w:sz w:val="22"/>
          <w:szCs w:val="22"/>
        </w:rPr>
        <w:t xml:space="preserve"> </w:t>
      </w:r>
      <w:r w:rsidR="000C6F36" w:rsidRPr="00881B68">
        <w:rPr>
          <w:rFonts w:asciiTheme="minorHAnsi" w:eastAsia="Calibri" w:hAnsiTheme="minorHAnsi" w:cs="Calibri"/>
          <w:color w:val="000000"/>
        </w:rPr>
        <w:t>(</w:t>
      </w:r>
      <w:hyperlink r:id="rId10" w:history="1">
        <w:r w:rsidR="000C6F36" w:rsidRPr="00881B68">
          <w:rPr>
            <w:rStyle w:val="Collegamentoipertestuale"/>
            <w:rFonts w:asciiTheme="minorHAnsi" w:eastAsia="Calibri" w:hAnsiTheme="minorHAnsi" w:cs="Calibri"/>
            <w:sz w:val="22"/>
            <w:szCs w:val="22"/>
          </w:rPr>
          <w:t>https://farmaci.agenziafarmaco.gov.it/bancadatifarmaci</w:t>
        </w:r>
      </w:hyperlink>
      <w:r w:rsidR="000C6F36" w:rsidRPr="00881B68">
        <w:rPr>
          <w:rFonts w:asciiTheme="minorHAnsi" w:eastAsia="Calibri" w:hAnsiTheme="minorHAnsi" w:cs="Calibri"/>
        </w:rPr>
        <w:t>)</w:t>
      </w:r>
      <w:r w:rsidRPr="00881B68">
        <w:rPr>
          <w:rFonts w:asciiTheme="minorHAnsi" w:eastAsiaTheme="minorEastAsia" w:hAnsiTheme="minorHAnsi" w:cs="Calibri"/>
          <w:sz w:val="22"/>
          <w:szCs w:val="22"/>
        </w:rPr>
        <w:t>.</w:t>
      </w:r>
    </w:p>
    <w:p w:rsidR="00881B68" w:rsidRPr="00881B68" w:rsidRDefault="00881B68" w:rsidP="003928A0">
      <w:pPr>
        <w:pStyle w:val="PreformattatoHTML"/>
        <w:jc w:val="both"/>
        <w:rPr>
          <w:rFonts w:asciiTheme="minorHAnsi" w:eastAsiaTheme="minorEastAsia" w:hAnsiTheme="minorHAnsi" w:cs="Calibri"/>
          <w:sz w:val="22"/>
          <w:szCs w:val="22"/>
        </w:rPr>
      </w:pPr>
    </w:p>
    <w:p w:rsidR="00BB2AF8" w:rsidRPr="00881B6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 w:rsidRPr="00881B68">
        <w:rPr>
          <w:rFonts w:eastAsia="Calibri" w:cs="Calibri"/>
          <w:b/>
          <w:bCs/>
          <w:color w:val="000000"/>
        </w:rPr>
        <w:t xml:space="preserve">3) COME FUNZIONA </w:t>
      </w:r>
      <w:r w:rsidR="008F60AB" w:rsidRPr="00881B68">
        <w:rPr>
          <w:rFonts w:eastAsia="Calibri" w:cs="Calibri"/>
          <w:b/>
          <w:color w:val="000000"/>
        </w:rPr>
        <w:t>SODIO FLUORURO (</w:t>
      </w:r>
      <w:r w:rsidR="008F60AB" w:rsidRPr="002734C4">
        <w:rPr>
          <w:rFonts w:eastAsia="Calibri" w:cs="Calibri"/>
          <w:b/>
          <w:color w:val="000000"/>
          <w:vertAlign w:val="superscript"/>
        </w:rPr>
        <w:t>18</w:t>
      </w:r>
      <w:r w:rsidR="008F60AB" w:rsidRPr="00881B68">
        <w:rPr>
          <w:rFonts w:eastAsia="Calibri" w:cs="Calibri"/>
          <w:b/>
          <w:color w:val="000000"/>
        </w:rPr>
        <w:t>F) ITEL</w:t>
      </w:r>
      <w:r w:rsidR="00881B68" w:rsidRPr="00881B68">
        <w:rPr>
          <w:rFonts w:eastAsia="Calibri" w:cs="Calibri"/>
          <w:b/>
          <w:bCs/>
          <w:color w:val="000000"/>
        </w:rPr>
        <w:t>?</w:t>
      </w:r>
    </w:p>
    <w:p w:rsidR="00881B68" w:rsidRPr="00881B68" w:rsidRDefault="00881B6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</w:p>
    <w:p w:rsidR="00C444C0" w:rsidRPr="00881B68" w:rsidRDefault="00EE26CC" w:rsidP="00881B68">
      <w:pPr>
        <w:widowControl w:val="0"/>
        <w:spacing w:after="0" w:line="240" w:lineRule="auto"/>
        <w:jc w:val="both"/>
        <w:rPr>
          <w:rFonts w:cs="Calibri"/>
        </w:rPr>
      </w:pPr>
      <w:r w:rsidRPr="00881B68">
        <w:rPr>
          <w:b/>
        </w:rPr>
        <w:t>S</w:t>
      </w:r>
      <w:r w:rsidRPr="00881B68">
        <w:rPr>
          <w:rFonts w:eastAsia="Calibri" w:cs="Calibri"/>
          <w:b/>
          <w:color w:val="000000"/>
        </w:rPr>
        <w:t>odio Fluoruro (</w:t>
      </w:r>
      <w:r w:rsidRPr="00881B68">
        <w:rPr>
          <w:rFonts w:eastAsia="Calibri" w:cs="Calibri"/>
          <w:b/>
          <w:color w:val="000000"/>
          <w:vertAlign w:val="superscript"/>
        </w:rPr>
        <w:t>18</w:t>
      </w:r>
      <w:r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Pr="00881B68">
        <w:rPr>
          <w:rFonts w:eastAsia="Calibri" w:cs="Calibri"/>
          <w:b/>
          <w:color w:val="000000"/>
        </w:rPr>
        <w:t>Itel</w:t>
      </w:r>
      <w:proofErr w:type="spellEnd"/>
      <w:r w:rsidR="00BB2AF8" w:rsidRPr="00881B68">
        <w:rPr>
          <w:rFonts w:cs="Calibri"/>
        </w:rPr>
        <w:t>,</w:t>
      </w:r>
      <w:r w:rsidR="00C444C0" w:rsidRPr="00881B68">
        <w:rPr>
          <w:rFonts w:cs="Calibri"/>
        </w:rPr>
        <w:t xml:space="preserve"> il cui codice ATC è V09IX06, contiene il principio attivo Sodio Fluoruro (</w:t>
      </w:r>
      <w:r w:rsidR="00C444C0" w:rsidRPr="00A1396E">
        <w:rPr>
          <w:rFonts w:cs="Calibri"/>
          <w:vertAlign w:val="superscript"/>
        </w:rPr>
        <w:t>18</w:t>
      </w:r>
      <w:r w:rsidR="00C444C0" w:rsidRPr="00881B68">
        <w:rPr>
          <w:rFonts w:cs="Calibri"/>
        </w:rPr>
        <w:t xml:space="preserve">F) e viene impiegato per la diagnosi nella Tomografia ad emissioni di Positroni (PET). </w:t>
      </w:r>
    </w:p>
    <w:p w:rsidR="00C444C0" w:rsidRPr="00881B68" w:rsidRDefault="00C444C0" w:rsidP="00881B68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881B68">
        <w:rPr>
          <w:rFonts w:cs="Calibri"/>
        </w:rPr>
        <w:t xml:space="preserve">Questo medicinale è un </w:t>
      </w:r>
      <w:proofErr w:type="spellStart"/>
      <w:r w:rsidRPr="00881B68">
        <w:rPr>
          <w:rFonts w:cs="Calibri"/>
        </w:rPr>
        <w:t>radiofarmaco</w:t>
      </w:r>
      <w:proofErr w:type="spellEnd"/>
      <w:r w:rsidRPr="00881B68">
        <w:rPr>
          <w:rFonts w:cs="Calibri"/>
        </w:rPr>
        <w:t xml:space="preserve"> usato solo a scopo diagnostico. </w:t>
      </w:r>
      <w:r w:rsidR="00EE26CC" w:rsidRPr="00881B68">
        <w:rPr>
          <w:b/>
        </w:rPr>
        <w:t>S</w:t>
      </w:r>
      <w:r w:rsidR="00EE26CC" w:rsidRPr="00881B68">
        <w:rPr>
          <w:rFonts w:eastAsia="Calibri" w:cs="Calibri"/>
          <w:b/>
          <w:color w:val="000000"/>
        </w:rPr>
        <w:t>odio Fluoruro (</w:t>
      </w:r>
      <w:r w:rsidR="00EE26CC" w:rsidRPr="00881B68">
        <w:rPr>
          <w:rFonts w:eastAsia="Calibri" w:cs="Calibri"/>
          <w:b/>
          <w:color w:val="000000"/>
          <w:vertAlign w:val="superscript"/>
        </w:rPr>
        <w:t>18</w:t>
      </w:r>
      <w:r w:rsidR="00EE26CC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EE26CC" w:rsidRPr="00881B68">
        <w:rPr>
          <w:rFonts w:eastAsia="Calibri" w:cs="Calibri"/>
          <w:b/>
          <w:color w:val="000000"/>
        </w:rPr>
        <w:t>Itel</w:t>
      </w:r>
      <w:proofErr w:type="spellEnd"/>
      <w:r w:rsidR="00EE26CC" w:rsidRPr="00881B68">
        <w:rPr>
          <w:color w:val="000000"/>
        </w:rPr>
        <w:t xml:space="preserve"> </w:t>
      </w:r>
      <w:r w:rsidRPr="00881B68">
        <w:rPr>
          <w:rFonts w:cs="Calibri"/>
        </w:rPr>
        <w:t>è impiegato per la diagnosi nell’esame di Tomografia ad Emissione di Positroni (PET) e viene somministrato prima dell’esecuzione di tale esame.</w:t>
      </w:r>
    </w:p>
    <w:p w:rsidR="00C444C0" w:rsidRPr="00881B68" w:rsidRDefault="00C444C0" w:rsidP="00881B68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881B68">
        <w:rPr>
          <w:rFonts w:cs="Calibri"/>
        </w:rPr>
        <w:t xml:space="preserve">La sostanza attiva in </w:t>
      </w:r>
      <w:r w:rsidR="00EE26CC" w:rsidRPr="00881B68">
        <w:rPr>
          <w:b/>
        </w:rPr>
        <w:t>S</w:t>
      </w:r>
      <w:r w:rsidR="00EE26CC" w:rsidRPr="00881B68">
        <w:rPr>
          <w:rFonts w:eastAsia="Calibri" w:cs="Calibri"/>
          <w:b/>
          <w:color w:val="000000"/>
        </w:rPr>
        <w:t>odio Fluoruro (</w:t>
      </w:r>
      <w:r w:rsidR="00EE26CC" w:rsidRPr="00881B68">
        <w:rPr>
          <w:rFonts w:eastAsia="Calibri" w:cs="Calibri"/>
          <w:b/>
          <w:color w:val="000000"/>
          <w:vertAlign w:val="superscript"/>
        </w:rPr>
        <w:t>18</w:t>
      </w:r>
      <w:r w:rsidR="00EE26CC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EE26CC" w:rsidRPr="00881B68">
        <w:rPr>
          <w:rFonts w:eastAsia="Calibri" w:cs="Calibri"/>
          <w:b/>
          <w:color w:val="000000"/>
        </w:rPr>
        <w:t>Itel</w:t>
      </w:r>
      <w:proofErr w:type="spellEnd"/>
      <w:r w:rsidR="00EE26CC" w:rsidRPr="00881B68">
        <w:rPr>
          <w:color w:val="000000"/>
        </w:rPr>
        <w:t xml:space="preserve"> </w:t>
      </w:r>
      <w:r w:rsidRPr="00881B68">
        <w:rPr>
          <w:rFonts w:cs="Calibri"/>
        </w:rPr>
        <w:t>(per mostrare il metabolismo osseo) è rilevata mediante PET ed è mostrata come una foto.</w:t>
      </w:r>
    </w:p>
    <w:p w:rsidR="00BB2AF8" w:rsidRPr="00881B68" w:rsidRDefault="00BB2AF8" w:rsidP="00881B68">
      <w:pPr>
        <w:autoSpaceDE w:val="0"/>
        <w:autoSpaceDN w:val="0"/>
        <w:adjustRightInd w:val="0"/>
        <w:spacing w:after="0" w:line="240" w:lineRule="auto"/>
        <w:rPr>
          <w:iCs/>
        </w:rPr>
      </w:pPr>
    </w:p>
    <w:p w:rsidR="00BB2AF8" w:rsidRPr="00881B68" w:rsidRDefault="00BB2AF8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  <w:r w:rsidRPr="00881B68">
        <w:rPr>
          <w:rFonts w:eastAsia="Calibri" w:cs="Calibri"/>
          <w:b/>
          <w:bCs/>
        </w:rPr>
        <w:t xml:space="preserve">4) COME È STATO STUDIATO </w:t>
      </w:r>
      <w:r w:rsidR="008F60AB" w:rsidRPr="00881B68">
        <w:rPr>
          <w:rFonts w:cs="Calibri"/>
          <w:b/>
        </w:rPr>
        <w:t>SODIO FLUORURO (</w:t>
      </w:r>
      <w:r w:rsidR="008F60AB" w:rsidRPr="002734C4">
        <w:rPr>
          <w:rFonts w:cs="Calibri"/>
          <w:b/>
          <w:vertAlign w:val="superscript"/>
        </w:rPr>
        <w:t>18</w:t>
      </w:r>
      <w:r w:rsidR="008F60AB" w:rsidRPr="00881B68">
        <w:rPr>
          <w:rFonts w:cs="Calibri"/>
          <w:b/>
        </w:rPr>
        <w:t>F) ITEL</w:t>
      </w:r>
      <w:r w:rsidRPr="00881B68">
        <w:rPr>
          <w:rFonts w:eastAsia="Calibri" w:cs="Calibri"/>
          <w:b/>
          <w:bCs/>
        </w:rPr>
        <w:t>?</w:t>
      </w:r>
    </w:p>
    <w:p w:rsidR="00881B68" w:rsidRPr="00881B68" w:rsidRDefault="00881B68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E84D38" w:rsidRPr="00881B68" w:rsidRDefault="00F96473" w:rsidP="00881B68">
      <w:pPr>
        <w:widowControl w:val="0"/>
        <w:spacing w:after="0" w:line="240" w:lineRule="auto"/>
        <w:jc w:val="both"/>
      </w:pPr>
      <w:r w:rsidRPr="00881B68">
        <w:t xml:space="preserve">Sono stati presentati numerosi riferimenti bibliografici che dimostrano la sicurezza e l’efficacia del </w:t>
      </w:r>
      <w:r w:rsidR="00C31626" w:rsidRPr="00881B68">
        <w:rPr>
          <w:rFonts w:cs="Calibri"/>
        </w:rPr>
        <w:t>Sodio Fluoruro (18F)</w:t>
      </w:r>
      <w:r w:rsidR="00E84D38" w:rsidRPr="00881B68">
        <w:t>.</w:t>
      </w:r>
      <w:r w:rsidR="00C31626" w:rsidRPr="00881B68">
        <w:t xml:space="preserve"> </w:t>
      </w:r>
      <w:r w:rsidR="00D167E9" w:rsidRPr="00881B68">
        <w:t>Essendo stato introdotto</w:t>
      </w:r>
      <w:r w:rsidR="00C31626" w:rsidRPr="00881B68">
        <w:t xml:space="preserve"> l’uso nella pratica clinica dal 1962, e autorizzato </w:t>
      </w:r>
      <w:r w:rsidR="00D167E9" w:rsidRPr="00881B68">
        <w:t xml:space="preserve">in Europa </w:t>
      </w:r>
      <w:r w:rsidR="00C31626" w:rsidRPr="00881B68">
        <w:t xml:space="preserve">dal 2008, </w:t>
      </w:r>
      <w:r w:rsidR="00EE26CC" w:rsidRPr="00881B68">
        <w:t xml:space="preserve">il </w:t>
      </w:r>
      <w:proofErr w:type="spellStart"/>
      <w:r w:rsidR="00EE26CC" w:rsidRPr="00881B68">
        <w:t>radiofarmaco</w:t>
      </w:r>
      <w:proofErr w:type="spellEnd"/>
      <w:r w:rsidR="00EE26CC" w:rsidRPr="00881B68">
        <w:t xml:space="preserve"> </w:t>
      </w:r>
      <w:r w:rsidR="00C31626" w:rsidRPr="00881B68">
        <w:t>può essere considerato di uso clinico consolidato.</w:t>
      </w:r>
    </w:p>
    <w:p w:rsidR="006B311C" w:rsidRPr="00881B68" w:rsidRDefault="006B311C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BB2AF8" w:rsidRPr="00881B68" w:rsidRDefault="00BB2AF8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881B68">
        <w:rPr>
          <w:rFonts w:eastAsia="Calibri" w:cs="Calibri"/>
          <w:b/>
          <w:bCs/>
        </w:rPr>
        <w:t xml:space="preserve">5) QUAL È IL RAPPORTO BENEFICIO/RISCHIO </w:t>
      </w:r>
      <w:proofErr w:type="spellStart"/>
      <w:r w:rsidRPr="00881B68">
        <w:rPr>
          <w:rFonts w:eastAsia="Calibri" w:cs="Calibri"/>
          <w:b/>
          <w:bCs/>
        </w:rPr>
        <w:t>DI</w:t>
      </w:r>
      <w:proofErr w:type="spellEnd"/>
      <w:r w:rsidRPr="00881B68">
        <w:rPr>
          <w:rFonts w:eastAsia="Calibri" w:cs="Calibri"/>
          <w:b/>
          <w:bCs/>
        </w:rPr>
        <w:t xml:space="preserve"> </w:t>
      </w:r>
      <w:r w:rsidR="008F60AB" w:rsidRPr="00881B68">
        <w:rPr>
          <w:rFonts w:eastAsia="Calibri" w:cs="Calibri"/>
          <w:b/>
          <w:color w:val="000000"/>
        </w:rPr>
        <w:t>SODIO FLUORURO (</w:t>
      </w:r>
      <w:r w:rsidR="008F60AB" w:rsidRPr="002734C4">
        <w:rPr>
          <w:rFonts w:eastAsia="Calibri" w:cs="Calibri"/>
          <w:b/>
          <w:color w:val="000000"/>
          <w:vertAlign w:val="superscript"/>
        </w:rPr>
        <w:t>18</w:t>
      </w:r>
      <w:r w:rsidR="008F60AB" w:rsidRPr="00881B68">
        <w:rPr>
          <w:rFonts w:eastAsia="Calibri" w:cs="Calibri"/>
          <w:b/>
          <w:color w:val="000000"/>
        </w:rPr>
        <w:t>F) ITEL</w:t>
      </w:r>
      <w:r w:rsidRPr="00881B68">
        <w:rPr>
          <w:rFonts w:eastAsia="Calibri" w:cs="Calibri"/>
          <w:b/>
        </w:rPr>
        <w:t>?</w:t>
      </w:r>
      <w:r w:rsidRPr="00881B68">
        <w:rPr>
          <w:rFonts w:eastAsia="Calibri" w:cs="Calibri"/>
        </w:rPr>
        <w:t xml:space="preserve"> </w:t>
      </w:r>
    </w:p>
    <w:p w:rsidR="00EE26CC" w:rsidRPr="00881B68" w:rsidRDefault="00EE26CC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3E39D9" w:rsidRPr="00881B68" w:rsidRDefault="00E84D38" w:rsidP="00881B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881B68">
        <w:rPr>
          <w:rFonts w:eastAsia="Calibri" w:cs="Calibri"/>
        </w:rPr>
        <w:t xml:space="preserve">Sulla base dei dati di letteratura sull’efficacia e la sicurezza del </w:t>
      </w:r>
      <w:r w:rsidR="00C31626" w:rsidRPr="00881B68">
        <w:rPr>
          <w:rFonts w:cs="Calibri"/>
        </w:rPr>
        <w:t>Sodio Fluoruro (</w:t>
      </w:r>
      <w:r w:rsidR="00C31626" w:rsidRPr="00A1396E">
        <w:rPr>
          <w:rFonts w:cs="Calibri"/>
          <w:vertAlign w:val="superscript"/>
        </w:rPr>
        <w:t>18</w:t>
      </w:r>
      <w:r w:rsidR="00C31626" w:rsidRPr="00881B68">
        <w:rPr>
          <w:rFonts w:cs="Calibri"/>
        </w:rPr>
        <w:t>F)</w:t>
      </w:r>
      <w:r w:rsidRPr="00881B68">
        <w:rPr>
          <w:rFonts w:eastAsia="Calibri" w:cs="Calibri"/>
        </w:rPr>
        <w:t xml:space="preserve"> si ritiene che il Rapporto Beneficio/Rischio del medicinale </w:t>
      </w:r>
      <w:r w:rsidR="00E6388D" w:rsidRPr="00881B68">
        <w:rPr>
          <w:rFonts w:eastAsia="Calibri" w:cs="Calibri"/>
        </w:rPr>
        <w:t>sia positivo</w:t>
      </w:r>
      <w:r w:rsidRPr="00881B68">
        <w:rPr>
          <w:rFonts w:eastAsia="Calibri" w:cs="Calibri"/>
        </w:rPr>
        <w:t xml:space="preserve">. </w:t>
      </w:r>
    </w:p>
    <w:p w:rsidR="003E39D9" w:rsidRPr="00881B68" w:rsidRDefault="00E6388D" w:rsidP="00881B68">
      <w:pPr>
        <w:autoSpaceDE w:val="0"/>
        <w:autoSpaceDN w:val="0"/>
        <w:adjustRightInd w:val="0"/>
        <w:spacing w:before="120" w:after="0" w:line="240" w:lineRule="auto"/>
        <w:jc w:val="both"/>
        <w:rPr>
          <w:rFonts w:cs="Times New Roman"/>
          <w:color w:val="000000"/>
        </w:rPr>
      </w:pPr>
      <w:r w:rsidRPr="00881B68">
        <w:t>È</w:t>
      </w:r>
      <w:r w:rsidR="00D167E9" w:rsidRPr="00881B68">
        <w:rPr>
          <w:rFonts w:cs="Times New Roman"/>
          <w:color w:val="000000"/>
        </w:rPr>
        <w:t xml:space="preserve"> </w:t>
      </w:r>
      <w:r w:rsidR="00D167E9" w:rsidRPr="00881B68">
        <w:t xml:space="preserve">previsto che le reazioni </w:t>
      </w:r>
      <w:r w:rsidR="003E39D9" w:rsidRPr="00881B68">
        <w:t xml:space="preserve">avverse </w:t>
      </w:r>
      <w:r w:rsidR="00D167E9" w:rsidRPr="00881B68">
        <w:t xml:space="preserve">alle radiazioni ionizzanti </w:t>
      </w:r>
      <w:r w:rsidR="003E39D9" w:rsidRPr="00881B68">
        <w:t>si verifichino con una bassa probabilità</w:t>
      </w:r>
      <w:r w:rsidR="00D167E9" w:rsidRPr="00881B68">
        <w:t xml:space="preserve"> alle dosi somministrate</w:t>
      </w:r>
      <w:r w:rsidR="003E39D9" w:rsidRPr="00881B68">
        <w:t>.</w:t>
      </w:r>
      <w:r w:rsidR="00D167E9" w:rsidRPr="00881B68">
        <w:t xml:space="preserve"> Per ciascun paziente, l’esposizione alla radiazione deve essere giustificabile dal probabile beneficio. L’attività somministrata deve in ogni caso essere la più bassa possibile per ottenere le informazioni diagnostiche richieste.</w:t>
      </w:r>
    </w:p>
    <w:p w:rsidR="00E84D38" w:rsidRPr="00881B68" w:rsidRDefault="00943785" w:rsidP="00881B68">
      <w:pPr>
        <w:autoSpaceDE w:val="0"/>
        <w:autoSpaceDN w:val="0"/>
        <w:adjustRightInd w:val="0"/>
        <w:spacing w:before="120" w:after="0" w:line="240" w:lineRule="auto"/>
        <w:jc w:val="both"/>
        <w:rPr>
          <w:rFonts w:eastAsia="Calibri" w:cs="Calibri"/>
        </w:rPr>
      </w:pPr>
      <w:r w:rsidRPr="00881B68">
        <w:rPr>
          <w:rFonts w:eastAsia="Calibri" w:cs="Calibri"/>
        </w:rPr>
        <w:t xml:space="preserve">Per l’elenco completo degli effetti indesiderati rilevati con </w:t>
      </w:r>
      <w:r w:rsidR="008F60AB" w:rsidRPr="00881B68">
        <w:rPr>
          <w:rFonts w:eastAsia="Calibri" w:cs="Calibri"/>
        </w:rPr>
        <w:t>SODIO FLUORURO (</w:t>
      </w:r>
      <w:r w:rsidR="008F60AB" w:rsidRPr="00A1396E">
        <w:rPr>
          <w:rFonts w:eastAsia="Calibri" w:cs="Calibri"/>
          <w:vertAlign w:val="superscript"/>
        </w:rPr>
        <w:t>18</w:t>
      </w:r>
      <w:r w:rsidR="008F60AB" w:rsidRPr="00881B68">
        <w:rPr>
          <w:rFonts w:eastAsia="Calibri" w:cs="Calibri"/>
        </w:rPr>
        <w:t>F) ITEL</w:t>
      </w:r>
      <w:r w:rsidRPr="00881B68">
        <w:rPr>
          <w:rFonts w:eastAsia="Calibri" w:cs="Calibri"/>
        </w:rPr>
        <w:t xml:space="preserve"> si rimanda al foglio </w:t>
      </w:r>
      <w:r w:rsidR="00E84D38" w:rsidRPr="00881B68">
        <w:rPr>
          <w:rFonts w:eastAsia="Calibri" w:cs="Calibri"/>
        </w:rPr>
        <w:t>illustrativo (</w:t>
      </w:r>
      <w:hyperlink r:id="rId11" w:history="1">
        <w:r w:rsidR="00E84D38" w:rsidRPr="00881B68">
          <w:rPr>
            <w:rStyle w:val="Collegamentoipertestuale"/>
            <w:rFonts w:cs="Calibri"/>
          </w:rPr>
          <w:t>https://farmaci.agenziafarmaco.gov.it/bancadatifarmaci</w:t>
        </w:r>
      </w:hyperlink>
      <w:r w:rsidR="00E84D38" w:rsidRPr="00881B68">
        <w:rPr>
          <w:rFonts w:eastAsia="Calibri" w:cs="Calibri"/>
        </w:rPr>
        <w:t>).</w:t>
      </w:r>
    </w:p>
    <w:p w:rsidR="00BB2AF8" w:rsidRPr="00881B68" w:rsidRDefault="00BB2AF8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EE26CC" w:rsidRPr="00881B68" w:rsidRDefault="00BB2AF8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  <w:r w:rsidRPr="00881B68">
        <w:rPr>
          <w:rFonts w:eastAsia="Calibri" w:cs="Calibri"/>
          <w:b/>
          <w:bCs/>
        </w:rPr>
        <w:t xml:space="preserve">6) PERCHE’ </w:t>
      </w:r>
      <w:r w:rsidR="008F60AB" w:rsidRPr="00881B68">
        <w:rPr>
          <w:rFonts w:eastAsia="Calibri" w:cs="Calibri"/>
          <w:b/>
          <w:color w:val="000000"/>
        </w:rPr>
        <w:t>SODIO FLUORURO (</w:t>
      </w:r>
      <w:r w:rsidR="008F60AB" w:rsidRPr="002734C4">
        <w:rPr>
          <w:rFonts w:eastAsia="Calibri" w:cs="Calibri"/>
          <w:b/>
          <w:color w:val="000000"/>
          <w:vertAlign w:val="superscript"/>
        </w:rPr>
        <w:t>18</w:t>
      </w:r>
      <w:r w:rsidR="008F60AB" w:rsidRPr="00881B68">
        <w:rPr>
          <w:rFonts w:eastAsia="Calibri" w:cs="Calibri"/>
          <w:b/>
          <w:color w:val="000000"/>
        </w:rPr>
        <w:t>F) ITEL</w:t>
      </w:r>
      <w:r w:rsidR="007170D7" w:rsidRPr="00881B68">
        <w:rPr>
          <w:rFonts w:eastAsia="Calibri" w:cs="Calibri"/>
          <w:b/>
          <w:color w:val="000000"/>
        </w:rPr>
        <w:t xml:space="preserve"> </w:t>
      </w:r>
      <w:r w:rsidR="00E6388D" w:rsidRPr="00881B68">
        <w:rPr>
          <w:rFonts w:eastAsia="Calibri" w:cs="Calibri"/>
          <w:b/>
          <w:bCs/>
        </w:rPr>
        <w:t>È</w:t>
      </w:r>
      <w:r w:rsidRPr="00881B68">
        <w:rPr>
          <w:rFonts w:eastAsia="Calibri" w:cs="Calibri"/>
          <w:b/>
          <w:bCs/>
        </w:rPr>
        <w:t xml:space="preserve"> STATO APPROVATO?</w:t>
      </w:r>
    </w:p>
    <w:p w:rsidR="00EE26CC" w:rsidRPr="00881B68" w:rsidRDefault="00EE26CC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BB2AF8" w:rsidRPr="00881B68" w:rsidRDefault="00BB2AF8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881B68">
        <w:rPr>
          <w:rFonts w:eastAsia="Calibri" w:cs="Calibri"/>
        </w:rPr>
        <w:t xml:space="preserve">La </w:t>
      </w:r>
      <w:r w:rsidRPr="00881B68">
        <w:rPr>
          <w:rFonts w:eastAsia="Calibri" w:cs="Calibri"/>
          <w:color w:val="000000"/>
        </w:rPr>
        <w:t>Commissione Tecnico-Scientifica (CTS)</w:t>
      </w:r>
      <w:r w:rsidRPr="00881B68">
        <w:rPr>
          <w:rFonts w:eastAsia="Calibri" w:cs="Calibri"/>
        </w:rPr>
        <w:t xml:space="preserve">, nella riunione del </w:t>
      </w:r>
      <w:r w:rsidR="00634366" w:rsidRPr="00881B68">
        <w:rPr>
          <w:rFonts w:eastAsia="Calibri" w:cs="Calibri"/>
        </w:rPr>
        <w:t xml:space="preserve">11-14 </w:t>
      </w:r>
      <w:r w:rsidR="00EE26CC" w:rsidRPr="00881B68">
        <w:rPr>
          <w:rFonts w:eastAsia="Calibri" w:cs="Calibri"/>
        </w:rPr>
        <w:t>febbraio</w:t>
      </w:r>
      <w:r w:rsidR="005409DE" w:rsidRPr="00881B68">
        <w:rPr>
          <w:rFonts w:eastAsia="Calibri" w:cs="Calibri"/>
        </w:rPr>
        <w:t xml:space="preserve"> </w:t>
      </w:r>
      <w:r w:rsidR="00634366" w:rsidRPr="00881B68">
        <w:rPr>
          <w:rFonts w:eastAsia="Calibri" w:cs="Calibri"/>
        </w:rPr>
        <w:t>del 2020</w:t>
      </w:r>
      <w:r w:rsidRPr="00881B68">
        <w:rPr>
          <w:rFonts w:eastAsia="Calibri" w:cs="Calibri"/>
        </w:rPr>
        <w:t xml:space="preserve">, ha concluso che, conformemente ai requisiti della normativa vigente, i benefici di </w:t>
      </w:r>
      <w:r w:rsidR="00EE26CC" w:rsidRPr="00881B68">
        <w:rPr>
          <w:b/>
        </w:rPr>
        <w:t>S</w:t>
      </w:r>
      <w:r w:rsidR="00EE26CC" w:rsidRPr="00881B68">
        <w:rPr>
          <w:rFonts w:eastAsia="Calibri" w:cs="Calibri"/>
          <w:b/>
          <w:color w:val="000000"/>
        </w:rPr>
        <w:t>odio Fluoruro (</w:t>
      </w:r>
      <w:r w:rsidR="00EE26CC" w:rsidRPr="00881B68">
        <w:rPr>
          <w:rFonts w:eastAsia="Calibri" w:cs="Calibri"/>
          <w:b/>
          <w:color w:val="000000"/>
          <w:vertAlign w:val="superscript"/>
        </w:rPr>
        <w:t>18</w:t>
      </w:r>
      <w:r w:rsidR="00EE26CC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EE26CC" w:rsidRPr="00881B68">
        <w:rPr>
          <w:rFonts w:eastAsia="Calibri" w:cs="Calibri"/>
          <w:b/>
          <w:color w:val="000000"/>
        </w:rPr>
        <w:t>Itel</w:t>
      </w:r>
      <w:proofErr w:type="spellEnd"/>
      <w:r w:rsidR="00EE26CC" w:rsidRPr="00881B68">
        <w:rPr>
          <w:color w:val="000000"/>
        </w:rPr>
        <w:t xml:space="preserve"> </w:t>
      </w:r>
      <w:r w:rsidRPr="00881B68">
        <w:rPr>
          <w:rFonts w:eastAsia="Calibri" w:cs="Calibri"/>
        </w:rPr>
        <w:t>sono superiori ai rischi individuati. La CTS ha, inoltre, definito le modalità di prescrizione di cui al punto 2) di questo Riassunto e la classe di rimborsabilità del medicinale</w:t>
      </w:r>
      <w:r w:rsidR="007170D7" w:rsidRPr="00881B68">
        <w:rPr>
          <w:rFonts w:eastAsia="Calibri" w:cs="Calibri"/>
          <w:sz w:val="20"/>
        </w:rPr>
        <w:t xml:space="preserve"> </w:t>
      </w:r>
      <w:r w:rsidRPr="00881B68">
        <w:rPr>
          <w:rFonts w:eastAsia="Calibri" w:cs="Calibri"/>
        </w:rPr>
        <w:t>(</w:t>
      </w:r>
      <w:r w:rsidR="005A1023" w:rsidRPr="00881B68">
        <w:rPr>
          <w:rFonts w:eastAsia="Calibri" w:cs="Calibri"/>
        </w:rPr>
        <w:t>H/OSP</w:t>
      </w:r>
      <w:r w:rsidRPr="00881B68">
        <w:rPr>
          <w:rFonts w:eastAsia="Calibri" w:cs="Calibri"/>
        </w:rPr>
        <w:t xml:space="preserve">). </w:t>
      </w:r>
    </w:p>
    <w:p w:rsidR="00BB2AF8" w:rsidRPr="00881B68" w:rsidRDefault="00BB2AF8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881B68" w:rsidRDefault="004241AC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</w:rPr>
      </w:pPr>
      <w:r w:rsidRPr="00881B68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881B68">
        <w:rPr>
          <w:rFonts w:eastAsia="Calibri" w:cs="Calibri"/>
          <w:b/>
          <w:bCs/>
        </w:rPr>
        <w:t>DI</w:t>
      </w:r>
      <w:proofErr w:type="spellEnd"/>
      <w:r w:rsidRPr="00881B68">
        <w:rPr>
          <w:rFonts w:eastAsia="Calibri" w:cs="Calibri"/>
          <w:b/>
          <w:bCs/>
        </w:rPr>
        <w:t xml:space="preserve"> </w:t>
      </w:r>
      <w:r w:rsidR="008F60AB" w:rsidRPr="00881B68">
        <w:rPr>
          <w:rFonts w:eastAsia="Calibri" w:cs="Calibri"/>
          <w:b/>
          <w:color w:val="000000"/>
        </w:rPr>
        <w:t>SODIO FLUORURO (</w:t>
      </w:r>
      <w:r w:rsidR="008F60AB" w:rsidRPr="002734C4">
        <w:rPr>
          <w:rFonts w:eastAsia="Calibri" w:cs="Calibri"/>
          <w:b/>
          <w:color w:val="000000"/>
          <w:vertAlign w:val="superscript"/>
        </w:rPr>
        <w:t>18</w:t>
      </w:r>
      <w:r w:rsidR="008F60AB" w:rsidRPr="00881B68">
        <w:rPr>
          <w:rFonts w:eastAsia="Calibri" w:cs="Calibri"/>
          <w:b/>
          <w:color w:val="000000"/>
        </w:rPr>
        <w:t>F) ITEL</w:t>
      </w:r>
      <w:r w:rsidRPr="00881B68">
        <w:rPr>
          <w:rFonts w:eastAsia="Calibri" w:cs="Calibri"/>
          <w:b/>
          <w:bCs/>
          <w:color w:val="000000"/>
        </w:rPr>
        <w:t>?</w:t>
      </w:r>
    </w:p>
    <w:p w:rsidR="00EE26CC" w:rsidRPr="00881B68" w:rsidRDefault="00EE26CC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881B68" w:rsidRDefault="00F85989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881B68">
        <w:rPr>
          <w:rFonts w:eastAsia="Calibri" w:cs="Calibri"/>
        </w:rPr>
        <w:t xml:space="preserve">Il titolare </w:t>
      </w:r>
      <w:r w:rsidR="004241AC" w:rsidRPr="00881B68">
        <w:rPr>
          <w:rFonts w:eastAsia="Calibri" w:cs="Calibri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</w:t>
      </w:r>
      <w:r w:rsidR="00FE1A5E" w:rsidRPr="00881B68">
        <w:rPr>
          <w:rFonts w:eastAsia="Calibri" w:cs="Calibri"/>
        </w:rPr>
        <w:t>a</w:t>
      </w:r>
      <w:r w:rsidR="004241AC" w:rsidRPr="00881B68">
        <w:rPr>
          <w:rFonts w:eastAsia="Calibri" w:cs="Calibri"/>
        </w:rPr>
        <w:t xml:space="preserve"> identificare, caratterizzare, prevenire o minimizzare i rischi correlati a </w:t>
      </w:r>
      <w:r w:rsidR="00EE26CC" w:rsidRPr="00881B68">
        <w:rPr>
          <w:b/>
        </w:rPr>
        <w:t>S</w:t>
      </w:r>
      <w:r w:rsidR="00EE26CC" w:rsidRPr="00881B68">
        <w:rPr>
          <w:rFonts w:eastAsia="Calibri" w:cs="Calibri"/>
          <w:b/>
          <w:color w:val="000000"/>
        </w:rPr>
        <w:t>odio Fluoruro (</w:t>
      </w:r>
      <w:r w:rsidR="00EE26CC" w:rsidRPr="00881B68">
        <w:rPr>
          <w:rFonts w:eastAsia="Calibri" w:cs="Calibri"/>
          <w:b/>
          <w:color w:val="000000"/>
          <w:vertAlign w:val="superscript"/>
        </w:rPr>
        <w:t>18</w:t>
      </w:r>
      <w:r w:rsidR="00EE26CC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EE26CC" w:rsidRPr="00881B68">
        <w:rPr>
          <w:rFonts w:eastAsia="Calibri" w:cs="Calibri"/>
          <w:b/>
          <w:color w:val="000000"/>
        </w:rPr>
        <w:t>Itel</w:t>
      </w:r>
      <w:proofErr w:type="spellEnd"/>
      <w:r w:rsidR="004241AC" w:rsidRPr="00881B68">
        <w:rPr>
          <w:rFonts w:eastAsia="Calibri" w:cs="Calibri"/>
        </w:rPr>
        <w:t>.</w:t>
      </w:r>
    </w:p>
    <w:p w:rsidR="004241AC" w:rsidRPr="00881B68" w:rsidRDefault="004241AC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881B68" w:rsidRDefault="004241AC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881B68">
        <w:rPr>
          <w:rFonts w:eastAsia="Calibri" w:cs="Calibri"/>
          <w:b/>
          <w:bCs/>
        </w:rPr>
        <w:t xml:space="preserve">8) ALTRE INFORMAZIONI RELATIVE A </w:t>
      </w:r>
      <w:r w:rsidR="008F60AB" w:rsidRPr="00881B68">
        <w:rPr>
          <w:rFonts w:eastAsia="Calibri" w:cs="Calibri"/>
          <w:b/>
          <w:color w:val="000000"/>
        </w:rPr>
        <w:t>SODIO FLUORURO (</w:t>
      </w:r>
      <w:r w:rsidR="008F60AB" w:rsidRPr="002734C4">
        <w:rPr>
          <w:rFonts w:eastAsia="Calibri" w:cs="Calibri"/>
          <w:b/>
          <w:color w:val="000000"/>
          <w:vertAlign w:val="superscript"/>
        </w:rPr>
        <w:t>18</w:t>
      </w:r>
      <w:r w:rsidR="008F60AB" w:rsidRPr="00881B68">
        <w:rPr>
          <w:rFonts w:eastAsia="Calibri" w:cs="Calibri"/>
          <w:b/>
          <w:color w:val="000000"/>
        </w:rPr>
        <w:t>F) ITEL</w:t>
      </w:r>
    </w:p>
    <w:p w:rsidR="00EE26CC" w:rsidRPr="00881B68" w:rsidRDefault="00EE26CC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E5A39" w:rsidRPr="00881B68" w:rsidRDefault="005A1023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881B68">
        <w:rPr>
          <w:rFonts w:eastAsia="Calibri" w:cs="Calibri"/>
          <w:bCs/>
          <w:iCs/>
        </w:rPr>
        <w:t xml:space="preserve">Il </w:t>
      </w:r>
      <w:r w:rsidRPr="00B955C8">
        <w:rPr>
          <w:rFonts w:eastAsia="Calibri" w:cs="Calibri"/>
          <w:b/>
          <w:bCs/>
          <w:iCs/>
        </w:rPr>
        <w:t>7 agosto 2020</w:t>
      </w:r>
      <w:r w:rsidRPr="00881B68">
        <w:rPr>
          <w:rFonts w:eastAsia="Calibri" w:cs="Calibri"/>
          <w:bCs/>
          <w:iCs/>
        </w:rPr>
        <w:t xml:space="preserve"> </w:t>
      </w:r>
      <w:r w:rsidR="004241AC" w:rsidRPr="00881B68">
        <w:rPr>
          <w:rFonts w:eastAsia="Calibri" w:cs="Calibri"/>
          <w:bCs/>
          <w:iCs/>
        </w:rPr>
        <w:t>l’AIFA ha rilasciato l’autorizzazione all’immissione in commercio d</w:t>
      </w:r>
      <w:r w:rsidR="00FE1A5E">
        <w:rPr>
          <w:rFonts w:eastAsia="Calibri" w:cs="Calibri"/>
          <w:bCs/>
          <w:iCs/>
        </w:rPr>
        <w:t>el</w:t>
      </w:r>
      <w:r w:rsidR="004241AC" w:rsidRPr="00881B68">
        <w:rPr>
          <w:rFonts w:eastAsia="Calibri" w:cs="Calibri"/>
          <w:bCs/>
          <w:iCs/>
        </w:rPr>
        <w:t xml:space="preserve"> </w:t>
      </w:r>
      <w:r w:rsidR="00EE26CC" w:rsidRPr="00881B68">
        <w:rPr>
          <w:b/>
        </w:rPr>
        <w:t>S</w:t>
      </w:r>
      <w:r w:rsidR="00EE26CC" w:rsidRPr="00881B68">
        <w:rPr>
          <w:rFonts w:eastAsia="Calibri" w:cs="Calibri"/>
          <w:b/>
          <w:color w:val="000000"/>
        </w:rPr>
        <w:t>odio Fluoruro (</w:t>
      </w:r>
      <w:r w:rsidR="00EE26CC" w:rsidRPr="00881B68">
        <w:rPr>
          <w:rFonts w:eastAsia="Calibri" w:cs="Calibri"/>
          <w:b/>
          <w:color w:val="000000"/>
          <w:vertAlign w:val="superscript"/>
        </w:rPr>
        <w:t>18</w:t>
      </w:r>
      <w:r w:rsidR="00EE26CC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EE26CC" w:rsidRPr="00881B68">
        <w:rPr>
          <w:rFonts w:eastAsia="Calibri" w:cs="Calibri"/>
          <w:b/>
          <w:color w:val="000000"/>
        </w:rPr>
        <w:t>Itel</w:t>
      </w:r>
      <w:proofErr w:type="spellEnd"/>
    </w:p>
    <w:p w:rsidR="004E5A39" w:rsidRPr="00881B68" w:rsidRDefault="004E5A39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881B68">
        <w:rPr>
          <w:rFonts w:eastAsia="Calibri" w:cs="Calibri"/>
        </w:rPr>
        <w:t xml:space="preserve">La Relazione Pubblica di Valutazione completa segue questo Riassunto. </w:t>
      </w:r>
    </w:p>
    <w:p w:rsidR="004241AC" w:rsidRPr="00881B68" w:rsidRDefault="004241AC" w:rsidP="00881B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881B68">
        <w:rPr>
          <w:rFonts w:eastAsia="Calibri" w:cs="Calibri"/>
        </w:rPr>
        <w:t xml:space="preserve">Per maggiori informazioni riguardo il trattamento con </w:t>
      </w:r>
      <w:r w:rsidR="00EE26CC" w:rsidRPr="00881B68">
        <w:rPr>
          <w:b/>
        </w:rPr>
        <w:t>S</w:t>
      </w:r>
      <w:r w:rsidR="00EE26CC" w:rsidRPr="00881B68">
        <w:rPr>
          <w:rFonts w:eastAsia="Calibri" w:cs="Calibri"/>
          <w:b/>
          <w:color w:val="000000"/>
        </w:rPr>
        <w:t>odio Fluoruro (</w:t>
      </w:r>
      <w:r w:rsidR="00EE26CC" w:rsidRPr="00881B68">
        <w:rPr>
          <w:rFonts w:eastAsia="Calibri" w:cs="Calibri"/>
          <w:b/>
          <w:color w:val="000000"/>
          <w:vertAlign w:val="superscript"/>
        </w:rPr>
        <w:t>18</w:t>
      </w:r>
      <w:r w:rsidR="00EE26CC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EE26CC" w:rsidRPr="00881B68">
        <w:rPr>
          <w:rFonts w:eastAsia="Calibri" w:cs="Calibri"/>
          <w:b/>
          <w:color w:val="000000"/>
        </w:rPr>
        <w:t>Itel</w:t>
      </w:r>
      <w:proofErr w:type="spellEnd"/>
      <w:r w:rsidR="00EE26CC" w:rsidRPr="00881B68">
        <w:rPr>
          <w:color w:val="000000"/>
        </w:rPr>
        <w:t xml:space="preserve"> </w:t>
      </w:r>
      <w:r w:rsidRPr="00881B68">
        <w:rPr>
          <w:rFonts w:eastAsia="Calibri" w:cs="Calibri"/>
        </w:rPr>
        <w:t>si può leggere il foglio illustrativo</w:t>
      </w:r>
      <w:r w:rsidR="00D20170" w:rsidRPr="00881B68">
        <w:rPr>
          <w:rFonts w:eastAsia="Calibri" w:cs="Calibri"/>
        </w:rPr>
        <w:t xml:space="preserve"> </w:t>
      </w:r>
      <w:r w:rsidR="00567615" w:rsidRPr="00881B68">
        <w:rPr>
          <w:rFonts w:eastAsia="Calibri" w:cs="Calibri"/>
        </w:rPr>
        <w:t>(</w:t>
      </w:r>
      <w:hyperlink r:id="rId12" w:history="1">
        <w:r w:rsidR="00567615" w:rsidRPr="00881B68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567615" w:rsidRPr="00881B68">
        <w:rPr>
          <w:rFonts w:eastAsia="Calibri" w:cs="Calibri"/>
        </w:rPr>
        <w:t xml:space="preserve">) </w:t>
      </w:r>
      <w:r w:rsidRPr="00881B68">
        <w:rPr>
          <w:rFonts w:eastAsia="Calibri" w:cs="Calibri"/>
        </w:rPr>
        <w:t xml:space="preserve">o contattare il medico o </w:t>
      </w:r>
      <w:r w:rsidR="009B03DB" w:rsidRPr="00881B68">
        <w:rPr>
          <w:rFonts w:eastAsia="Calibri" w:cs="Calibri"/>
        </w:rPr>
        <w:t xml:space="preserve">il </w:t>
      </w:r>
      <w:r w:rsidRPr="00881B68">
        <w:rPr>
          <w:rFonts w:eastAsia="Calibri" w:cs="Calibri"/>
        </w:rPr>
        <w:t xml:space="preserve">farmacista. </w:t>
      </w:r>
    </w:p>
    <w:p w:rsidR="004241AC" w:rsidRPr="00881B68" w:rsidRDefault="004241AC" w:rsidP="00881B68">
      <w:pPr>
        <w:spacing w:after="0" w:line="240" w:lineRule="auto"/>
        <w:jc w:val="both"/>
        <w:rPr>
          <w:rFonts w:eastAsia="Calibri" w:cs="Calibri"/>
        </w:rPr>
      </w:pPr>
    </w:p>
    <w:p w:rsidR="004241AC" w:rsidRPr="00881B68" w:rsidRDefault="004241AC" w:rsidP="00881B68">
      <w:pPr>
        <w:spacing w:after="0" w:line="240" w:lineRule="auto"/>
        <w:jc w:val="both"/>
        <w:rPr>
          <w:rFonts w:eastAsia="Calibri" w:cs="Calibri"/>
        </w:rPr>
      </w:pPr>
      <w:r w:rsidRPr="00881B68">
        <w:rPr>
          <w:rFonts w:eastAsia="Calibri" w:cs="Calibri"/>
        </w:rPr>
        <w:lastRenderedPageBreak/>
        <w:t xml:space="preserve">Questo riassunto è stato redatto in </w:t>
      </w:r>
      <w:r w:rsidR="00B1186F" w:rsidRPr="00881B68">
        <w:rPr>
          <w:rFonts w:eastAsia="Calibri" w:cs="Calibri"/>
        </w:rPr>
        <w:t xml:space="preserve">data </w:t>
      </w:r>
      <w:r w:rsidR="00264369" w:rsidRPr="00881B68">
        <w:rPr>
          <w:rFonts w:eastAsia="Calibri" w:cs="Calibri"/>
        </w:rPr>
        <w:t>01/12/2020</w:t>
      </w:r>
      <w:r w:rsidRPr="00881B68">
        <w:rPr>
          <w:rFonts w:eastAsia="Calibri" w:cs="Calibri"/>
        </w:rPr>
        <w:t xml:space="preserve"> </w:t>
      </w:r>
    </w:p>
    <w:p w:rsidR="007170D7" w:rsidRPr="00881B68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Pr="00881B68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Pr="00881B68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Pr="00881B68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Pr="00881B68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Pr="00881B68" w:rsidRDefault="00222523" w:rsidP="004E5A39">
      <w:pPr>
        <w:spacing w:after="0" w:line="240" w:lineRule="auto"/>
        <w:jc w:val="center"/>
        <w:rPr>
          <w:b/>
          <w:sz w:val="28"/>
        </w:rPr>
      </w:pPr>
      <w:r w:rsidRPr="00881B68">
        <w:rPr>
          <w:rFonts w:cs="Calibri"/>
          <w:b/>
          <w:noProof/>
          <w:color w:val="808080"/>
        </w:rPr>
        <w:drawing>
          <wp:inline distT="0" distB="0" distL="0" distR="0">
            <wp:extent cx="2878454" cy="1073149"/>
            <wp:effectExtent l="19049" t="0" r="0" b="0"/>
            <wp:docPr id="3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0D7" w:rsidRPr="00881B68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4E5A39" w:rsidRPr="00881B68" w:rsidRDefault="004E5A39" w:rsidP="004E5A39">
      <w:pPr>
        <w:spacing w:after="0" w:line="240" w:lineRule="auto"/>
        <w:jc w:val="center"/>
        <w:rPr>
          <w:b/>
          <w:sz w:val="32"/>
          <w:szCs w:val="32"/>
        </w:rPr>
      </w:pPr>
      <w:r w:rsidRPr="00881B68">
        <w:rPr>
          <w:b/>
          <w:sz w:val="32"/>
          <w:szCs w:val="32"/>
        </w:rPr>
        <w:t xml:space="preserve">RELAZIONE PUBBLICA </w:t>
      </w:r>
      <w:proofErr w:type="spellStart"/>
      <w:r w:rsidRPr="00881B68">
        <w:rPr>
          <w:b/>
          <w:sz w:val="32"/>
          <w:szCs w:val="32"/>
        </w:rPr>
        <w:t>DI</w:t>
      </w:r>
      <w:proofErr w:type="spellEnd"/>
      <w:r w:rsidRPr="00881B68">
        <w:rPr>
          <w:b/>
          <w:sz w:val="32"/>
          <w:szCs w:val="32"/>
        </w:rPr>
        <w:t xml:space="preserve"> VALUTAZIONE</w:t>
      </w:r>
    </w:p>
    <w:p w:rsidR="004E5A39" w:rsidRPr="00881B68" w:rsidRDefault="004E5A39" w:rsidP="004E5A39">
      <w:pPr>
        <w:spacing w:after="0" w:line="240" w:lineRule="auto"/>
        <w:jc w:val="center"/>
        <w:rPr>
          <w:b/>
        </w:rPr>
      </w:pPr>
    </w:p>
    <w:p w:rsidR="004E5A39" w:rsidRPr="00881B68" w:rsidRDefault="004E5A39" w:rsidP="004E5A39">
      <w:pPr>
        <w:spacing w:after="0" w:line="240" w:lineRule="auto"/>
        <w:jc w:val="center"/>
        <w:rPr>
          <w:b/>
        </w:rPr>
      </w:pPr>
    </w:p>
    <w:p w:rsidR="004E5A39" w:rsidRPr="00881B68" w:rsidRDefault="004E5A39" w:rsidP="004E5A39">
      <w:pPr>
        <w:spacing w:after="0" w:line="240" w:lineRule="auto"/>
        <w:jc w:val="center"/>
        <w:rPr>
          <w:b/>
        </w:rPr>
      </w:pPr>
    </w:p>
    <w:p w:rsidR="004E5A39" w:rsidRPr="00881B68" w:rsidRDefault="004E5A39" w:rsidP="004E5A39">
      <w:pPr>
        <w:spacing w:after="0" w:line="240" w:lineRule="auto"/>
        <w:jc w:val="center"/>
        <w:rPr>
          <w:b/>
        </w:rPr>
      </w:pPr>
    </w:p>
    <w:p w:rsidR="004E5A39" w:rsidRPr="00881B68" w:rsidRDefault="004E5A39" w:rsidP="004E5A39">
      <w:pPr>
        <w:spacing w:after="0" w:line="240" w:lineRule="auto"/>
        <w:jc w:val="center"/>
        <w:rPr>
          <w:b/>
          <w:sz w:val="28"/>
          <w:szCs w:val="28"/>
        </w:rPr>
      </w:pPr>
      <w:r w:rsidRPr="00881B68">
        <w:rPr>
          <w:b/>
          <w:sz w:val="28"/>
          <w:szCs w:val="28"/>
        </w:rPr>
        <w:t>INDICE</w:t>
      </w:r>
    </w:p>
    <w:p w:rsidR="004E5A39" w:rsidRPr="00881B68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881B68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881B68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881B68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  <w:sz w:val="28"/>
          <w:szCs w:val="28"/>
        </w:rPr>
      </w:pPr>
      <w:r w:rsidRPr="00881B68">
        <w:rPr>
          <w:b/>
          <w:sz w:val="28"/>
          <w:szCs w:val="28"/>
        </w:rPr>
        <w:t>INTRODUZIONE</w:t>
      </w:r>
    </w:p>
    <w:p w:rsidR="004E5A39" w:rsidRPr="00881B68" w:rsidRDefault="004E5A39" w:rsidP="004E5A39">
      <w:pPr>
        <w:spacing w:after="0" w:line="240" w:lineRule="auto"/>
        <w:jc w:val="both"/>
        <w:rPr>
          <w:sz w:val="28"/>
          <w:szCs w:val="28"/>
        </w:rPr>
      </w:pPr>
    </w:p>
    <w:p w:rsidR="004E5A39" w:rsidRPr="00881B68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881B68">
        <w:rPr>
          <w:b/>
          <w:sz w:val="28"/>
          <w:szCs w:val="28"/>
        </w:rPr>
        <w:t xml:space="preserve">ASPETTI </w:t>
      </w:r>
      <w:proofErr w:type="spellStart"/>
      <w:r w:rsidRPr="00881B68">
        <w:rPr>
          <w:b/>
          <w:sz w:val="28"/>
          <w:szCs w:val="28"/>
        </w:rPr>
        <w:t>DI</w:t>
      </w:r>
      <w:proofErr w:type="spellEnd"/>
      <w:r w:rsidRPr="00881B68">
        <w:rPr>
          <w:b/>
          <w:sz w:val="28"/>
          <w:szCs w:val="28"/>
        </w:rPr>
        <w:t xml:space="preserve"> QUALITA’</w:t>
      </w:r>
    </w:p>
    <w:p w:rsidR="004E5A39" w:rsidRPr="00881B68" w:rsidRDefault="004E5A39" w:rsidP="004E5A39">
      <w:pPr>
        <w:pStyle w:val="Paragrafoelenco"/>
        <w:rPr>
          <w:b/>
          <w:sz w:val="28"/>
          <w:szCs w:val="28"/>
        </w:rPr>
      </w:pPr>
    </w:p>
    <w:p w:rsidR="004E5A39" w:rsidRPr="00881B68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881B68">
        <w:rPr>
          <w:b/>
          <w:sz w:val="28"/>
          <w:szCs w:val="28"/>
        </w:rPr>
        <w:t>ASPETTI NON CLINICI</w:t>
      </w:r>
    </w:p>
    <w:p w:rsidR="004E5A39" w:rsidRPr="00881B68" w:rsidRDefault="004E5A39" w:rsidP="004E5A39">
      <w:pPr>
        <w:pStyle w:val="Paragrafoelenco"/>
        <w:rPr>
          <w:b/>
          <w:sz w:val="28"/>
          <w:szCs w:val="28"/>
        </w:rPr>
      </w:pPr>
    </w:p>
    <w:p w:rsidR="004E5A39" w:rsidRPr="00881B68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881B68">
        <w:rPr>
          <w:b/>
          <w:sz w:val="28"/>
          <w:szCs w:val="28"/>
        </w:rPr>
        <w:t>ASPETTI CLINICI</w:t>
      </w:r>
    </w:p>
    <w:p w:rsidR="004E5A39" w:rsidRPr="00881B68" w:rsidRDefault="004E5A39" w:rsidP="004E5A39">
      <w:pPr>
        <w:pStyle w:val="Paragrafoelenco"/>
        <w:rPr>
          <w:b/>
          <w:sz w:val="28"/>
          <w:szCs w:val="28"/>
        </w:rPr>
      </w:pPr>
    </w:p>
    <w:p w:rsidR="004E5A39" w:rsidRPr="00881B68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881B68">
        <w:rPr>
          <w:b/>
          <w:sz w:val="28"/>
          <w:szCs w:val="28"/>
        </w:rPr>
        <w:t>CONSULTAZIONE SUL FOGLIO ILLUSTRATIVO</w:t>
      </w:r>
    </w:p>
    <w:p w:rsidR="004E5A39" w:rsidRPr="00881B68" w:rsidRDefault="004E5A39" w:rsidP="004E5A39">
      <w:pPr>
        <w:pStyle w:val="Paragrafoelenco"/>
        <w:spacing w:after="0" w:line="240" w:lineRule="auto"/>
        <w:ind w:left="1080"/>
        <w:jc w:val="both"/>
        <w:rPr>
          <w:b/>
          <w:sz w:val="28"/>
          <w:szCs w:val="28"/>
        </w:rPr>
      </w:pPr>
    </w:p>
    <w:p w:rsidR="004E5A39" w:rsidRPr="00881B68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  <w:sz w:val="28"/>
          <w:szCs w:val="28"/>
        </w:rPr>
      </w:pPr>
      <w:r w:rsidRPr="00881B68">
        <w:rPr>
          <w:b/>
          <w:sz w:val="28"/>
          <w:szCs w:val="28"/>
        </w:rPr>
        <w:t>CONCLUSIONI, VALUTAZIONE DEL RAPPORTO BENEFICIO/RISCHIO E RACCOMANDAZIONI</w:t>
      </w:r>
    </w:p>
    <w:p w:rsidR="004E5A39" w:rsidRPr="00881B68" w:rsidRDefault="004E5A39" w:rsidP="004E5A39">
      <w:pPr>
        <w:rPr>
          <w:sz w:val="28"/>
          <w:szCs w:val="28"/>
        </w:rPr>
      </w:pPr>
    </w:p>
    <w:p w:rsidR="004E5A39" w:rsidRPr="00881B68" w:rsidRDefault="004E5A39" w:rsidP="004E5A39"/>
    <w:p w:rsidR="004E5A39" w:rsidRPr="00881B68" w:rsidRDefault="004E5A39" w:rsidP="004E5A39"/>
    <w:p w:rsidR="004E5A39" w:rsidRPr="00881B68" w:rsidRDefault="004E5A39" w:rsidP="004E5A39"/>
    <w:p w:rsidR="004E5A39" w:rsidRPr="00881B68" w:rsidRDefault="004E5A39" w:rsidP="004E5A39"/>
    <w:p w:rsidR="00C444C0" w:rsidRPr="00881B68" w:rsidRDefault="00C444C0" w:rsidP="004E5A39"/>
    <w:p w:rsidR="004E5A39" w:rsidRPr="00A1396E" w:rsidRDefault="00981ECA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881B68">
        <w:rPr>
          <w:b/>
        </w:rPr>
        <w:t>I</w:t>
      </w:r>
      <w:r w:rsidR="004E5A39" w:rsidRPr="00881B68">
        <w:rPr>
          <w:b/>
          <w:sz w:val="24"/>
          <w:szCs w:val="24"/>
        </w:rPr>
        <w:t>NTRODUZIONE</w:t>
      </w:r>
    </w:p>
    <w:p w:rsidR="00FE1A5E" w:rsidRDefault="00FE1A5E" w:rsidP="00FE1A5E">
      <w:pPr>
        <w:pStyle w:val="Paragrafoelenco"/>
        <w:spacing w:after="0" w:line="240" w:lineRule="auto"/>
        <w:ind w:left="1800"/>
        <w:rPr>
          <w:b/>
          <w:sz w:val="24"/>
          <w:szCs w:val="24"/>
        </w:rPr>
      </w:pPr>
    </w:p>
    <w:p w:rsidR="00FE1A5E" w:rsidRPr="00881B68" w:rsidRDefault="00FE1A5E" w:rsidP="00A1396E">
      <w:pPr>
        <w:pStyle w:val="Paragrafoelenco"/>
        <w:spacing w:after="0" w:line="240" w:lineRule="auto"/>
        <w:ind w:left="1800"/>
        <w:rPr>
          <w:b/>
        </w:rPr>
      </w:pPr>
    </w:p>
    <w:p w:rsidR="004E5A39" w:rsidRPr="00881B68" w:rsidRDefault="004E5A39" w:rsidP="00D65622">
      <w:pPr>
        <w:spacing w:after="0" w:line="240" w:lineRule="auto"/>
      </w:pPr>
      <w:r w:rsidRPr="00881B68">
        <w:t xml:space="preserve">Sulla base dei dati di qualità, sicurezza ed efficacia, l’AIFA ha rilasciato l’autorizzazione all’immissione in commercio (AIC) per il medicinale </w:t>
      </w:r>
      <w:r w:rsidR="00380477" w:rsidRPr="00881B68">
        <w:rPr>
          <w:b/>
        </w:rPr>
        <w:t>S</w:t>
      </w:r>
      <w:r w:rsidR="00380477" w:rsidRPr="00881B68">
        <w:rPr>
          <w:rFonts w:eastAsia="Calibri" w:cs="Calibri"/>
          <w:b/>
          <w:color w:val="000000"/>
        </w:rPr>
        <w:t>odio Fluoruro (</w:t>
      </w:r>
      <w:r w:rsidR="00380477" w:rsidRPr="00881B68">
        <w:rPr>
          <w:rFonts w:eastAsia="Calibri" w:cs="Calibri"/>
          <w:b/>
          <w:color w:val="000000"/>
          <w:vertAlign w:val="superscript"/>
        </w:rPr>
        <w:t>18</w:t>
      </w:r>
      <w:r w:rsidR="00380477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380477" w:rsidRPr="00881B68">
        <w:rPr>
          <w:rFonts w:eastAsia="Calibri" w:cs="Calibri"/>
          <w:b/>
          <w:color w:val="000000"/>
        </w:rPr>
        <w:t>Itel</w:t>
      </w:r>
      <w:proofErr w:type="spellEnd"/>
      <w:r w:rsidR="007170D7" w:rsidRPr="00881B68">
        <w:rPr>
          <w:rFonts w:eastAsia="Calibri" w:cs="Calibri"/>
          <w:bCs/>
          <w:iCs/>
        </w:rPr>
        <w:t xml:space="preserve"> </w:t>
      </w:r>
      <w:r w:rsidRPr="00881B68">
        <w:rPr>
          <w:rFonts w:eastAsia="Calibri" w:cs="Calibri"/>
          <w:bCs/>
          <w:iCs/>
        </w:rPr>
        <w:t xml:space="preserve">il </w:t>
      </w:r>
      <w:r w:rsidR="00380477" w:rsidRPr="00B955C8">
        <w:rPr>
          <w:rFonts w:eastAsia="Calibri" w:cs="Calibri"/>
          <w:b/>
          <w:bCs/>
          <w:iCs/>
        </w:rPr>
        <w:t>7 agosto 2020</w:t>
      </w:r>
      <w:r w:rsidR="00380477" w:rsidRPr="00881B68">
        <w:rPr>
          <w:rFonts w:eastAsia="Calibri" w:cs="Calibri"/>
          <w:bCs/>
          <w:iCs/>
        </w:rPr>
        <w:t xml:space="preserve"> (GU 28 – 08 – 2020)</w:t>
      </w:r>
      <w:r w:rsidR="00D65622" w:rsidRPr="00881B68">
        <w:rPr>
          <w:rFonts w:eastAsia="Calibri" w:cs="Calibri"/>
          <w:bCs/>
          <w:iCs/>
        </w:rPr>
        <w:t>.</w:t>
      </w:r>
    </w:p>
    <w:p w:rsidR="004E5A39" w:rsidRPr="00881B68" w:rsidRDefault="004E5A39" w:rsidP="00EF6711">
      <w:pPr>
        <w:spacing w:after="0" w:line="240" w:lineRule="auto"/>
        <w:jc w:val="both"/>
      </w:pPr>
    </w:p>
    <w:p w:rsidR="00981ECA" w:rsidRPr="00881B68" w:rsidRDefault="00981ECA" w:rsidP="00EF6711">
      <w:pPr>
        <w:spacing w:after="0" w:line="240" w:lineRule="auto"/>
        <w:jc w:val="both"/>
        <w:rPr>
          <w:rFonts w:eastAsia="Times New Roman"/>
        </w:rPr>
      </w:pPr>
      <w:r w:rsidRPr="00881B68">
        <w:rPr>
          <w:rFonts w:eastAsia="Times New Roman"/>
        </w:rPr>
        <w:t xml:space="preserve">Il </w:t>
      </w:r>
      <w:r w:rsidRPr="00881B68">
        <w:rPr>
          <w:b/>
        </w:rPr>
        <w:t>S</w:t>
      </w:r>
      <w:r w:rsidRPr="00881B68">
        <w:rPr>
          <w:rFonts w:eastAsia="Calibri" w:cs="Calibri"/>
          <w:b/>
          <w:color w:val="000000"/>
        </w:rPr>
        <w:t>odio Fluoruro (</w:t>
      </w:r>
      <w:r w:rsidRPr="00881B68">
        <w:rPr>
          <w:rFonts w:eastAsia="Calibri" w:cs="Calibri"/>
          <w:b/>
          <w:color w:val="000000"/>
          <w:vertAlign w:val="superscript"/>
        </w:rPr>
        <w:t>18</w:t>
      </w:r>
      <w:r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Pr="00881B68">
        <w:rPr>
          <w:rFonts w:eastAsia="Calibri" w:cs="Calibri"/>
          <w:b/>
          <w:color w:val="000000"/>
        </w:rPr>
        <w:t>Itel</w:t>
      </w:r>
      <w:proofErr w:type="spellEnd"/>
      <w:r w:rsidRPr="00881B68">
        <w:rPr>
          <w:rFonts w:eastAsia="Times New Roman"/>
        </w:rPr>
        <w:t xml:space="preserve"> è un </w:t>
      </w:r>
      <w:proofErr w:type="spellStart"/>
      <w:r w:rsidRPr="00881B68">
        <w:rPr>
          <w:rFonts w:eastAsia="Times New Roman"/>
        </w:rPr>
        <w:t>radiofarmaco</w:t>
      </w:r>
      <w:proofErr w:type="spellEnd"/>
      <w:r w:rsidRPr="00881B68">
        <w:rPr>
          <w:rFonts w:eastAsia="Times New Roman"/>
        </w:rPr>
        <w:t xml:space="preserve"> usato solo a scopo diagnostico.</w:t>
      </w:r>
    </w:p>
    <w:p w:rsidR="00981ECA" w:rsidRPr="00881B68" w:rsidRDefault="00981ECA" w:rsidP="00EF6711">
      <w:pPr>
        <w:spacing w:after="0" w:line="240" w:lineRule="auto"/>
        <w:jc w:val="both"/>
      </w:pPr>
    </w:p>
    <w:p w:rsidR="004E5A39" w:rsidRPr="00881B68" w:rsidRDefault="008C741F" w:rsidP="00EF6711">
      <w:pPr>
        <w:spacing w:after="0" w:line="240" w:lineRule="auto"/>
        <w:jc w:val="both"/>
      </w:pPr>
      <w:r w:rsidRPr="00881B68">
        <w:t xml:space="preserve">La domanda </w:t>
      </w:r>
      <w:r w:rsidR="00A87812" w:rsidRPr="00881B68">
        <w:t>della</w:t>
      </w:r>
      <w:r w:rsidRPr="00881B68">
        <w:t xml:space="preserve"> Ditta Titolare per la richiesta dell’Autorizzazione all’Immissione in Commercio (AIC) del medicinale </w:t>
      </w:r>
      <w:r w:rsidR="00981ECA" w:rsidRPr="00881B68">
        <w:rPr>
          <w:b/>
        </w:rPr>
        <w:t>S</w:t>
      </w:r>
      <w:r w:rsidR="00981ECA" w:rsidRPr="00881B68">
        <w:rPr>
          <w:rFonts w:eastAsia="Calibri" w:cs="Calibri"/>
          <w:b/>
          <w:color w:val="000000"/>
        </w:rPr>
        <w:t>odio Fluoruro (</w:t>
      </w:r>
      <w:r w:rsidR="00981ECA" w:rsidRPr="00881B68">
        <w:rPr>
          <w:rFonts w:eastAsia="Calibri" w:cs="Calibri"/>
          <w:b/>
          <w:color w:val="000000"/>
          <w:vertAlign w:val="superscript"/>
        </w:rPr>
        <w:t>18</w:t>
      </w:r>
      <w:r w:rsidR="00981ECA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981ECA" w:rsidRPr="00881B68">
        <w:rPr>
          <w:rFonts w:eastAsia="Calibri" w:cs="Calibri"/>
          <w:b/>
          <w:color w:val="000000"/>
        </w:rPr>
        <w:t>Itel</w:t>
      </w:r>
      <w:proofErr w:type="spellEnd"/>
      <w:r w:rsidR="00A87812" w:rsidRPr="00881B68">
        <w:t>,</w:t>
      </w:r>
      <w:r w:rsidRPr="00881B68">
        <w:t xml:space="preserve"> </w:t>
      </w:r>
      <w:r w:rsidR="004E5A39" w:rsidRPr="00881B68">
        <w:t>è stat</w:t>
      </w:r>
      <w:r w:rsidRPr="00881B68">
        <w:t>a presentata ai sensi dell’</w:t>
      </w:r>
      <w:r w:rsidR="00981ECA" w:rsidRPr="00881B68">
        <w:rPr>
          <w:rFonts w:cstheme="minorHAnsi"/>
          <w:color w:val="000000"/>
        </w:rPr>
        <w:t>art. 10(1)</w:t>
      </w:r>
      <w:r w:rsidRPr="00881B68">
        <w:rPr>
          <w:rFonts w:cstheme="minorHAnsi"/>
          <w:color w:val="000000"/>
        </w:rPr>
        <w:t xml:space="preserve"> </w:t>
      </w:r>
      <w:r w:rsidR="004E5A39" w:rsidRPr="00881B68">
        <w:t xml:space="preserve">della Direttiva 2001/83/EU </w:t>
      </w:r>
      <w:proofErr w:type="spellStart"/>
      <w:r w:rsidR="004E5A39" w:rsidRPr="00881B68">
        <w:t>s.m.i.</w:t>
      </w:r>
      <w:proofErr w:type="spellEnd"/>
      <w:r w:rsidR="00981ECA" w:rsidRPr="00881B68">
        <w:t>, pertanto si tratta di medicinale generico.</w:t>
      </w:r>
      <w:r w:rsidR="00264369" w:rsidRPr="00881B68">
        <w:t xml:space="preserve"> </w:t>
      </w:r>
      <w:r w:rsidR="00264369" w:rsidRPr="00881B68">
        <w:rPr>
          <w:rFonts w:cs="Arial"/>
        </w:rPr>
        <w:t xml:space="preserve">Il medicinale di riferimento è </w:t>
      </w:r>
      <w:proofErr w:type="spellStart"/>
      <w:r w:rsidR="00264369" w:rsidRPr="00881B68">
        <w:rPr>
          <w:rFonts w:cs="Arial"/>
        </w:rPr>
        <w:t>IASOflu</w:t>
      </w:r>
      <w:proofErr w:type="spellEnd"/>
      <w:r w:rsidR="00264369" w:rsidRPr="00881B68">
        <w:rPr>
          <w:rFonts w:cs="Arial"/>
        </w:rPr>
        <w:t xml:space="preserve"> 2 </w:t>
      </w:r>
      <w:proofErr w:type="spellStart"/>
      <w:r w:rsidR="00264369" w:rsidRPr="00881B68">
        <w:rPr>
          <w:rFonts w:cs="Arial"/>
        </w:rPr>
        <w:t>GBq</w:t>
      </w:r>
      <w:proofErr w:type="spellEnd"/>
      <w:r w:rsidR="00264369" w:rsidRPr="00881B68">
        <w:rPr>
          <w:rFonts w:cs="Arial"/>
        </w:rPr>
        <w:t>/ml</w:t>
      </w:r>
      <w:r w:rsidR="00264369" w:rsidRPr="00881B68">
        <w:rPr>
          <w:rFonts w:cs="Arial"/>
          <w:b/>
        </w:rPr>
        <w:t xml:space="preserve"> </w:t>
      </w:r>
      <w:r w:rsidR="00264369" w:rsidRPr="00881B68">
        <w:rPr>
          <w:rFonts w:cs="Arial"/>
        </w:rPr>
        <w:t>soluzione iniettabile</w:t>
      </w:r>
      <w:r w:rsidR="00A1396E">
        <w:rPr>
          <w:rFonts w:cs="Arial"/>
          <w:b/>
        </w:rPr>
        <w:t xml:space="preserve">, </w:t>
      </w:r>
      <w:r w:rsidR="00264369" w:rsidRPr="00881B68">
        <w:rPr>
          <w:rFonts w:cs="Arial"/>
        </w:rPr>
        <w:t>autorizzato con procedura di mutuo riconoscimento, FR/H/394/2, del 21/07/2008</w:t>
      </w:r>
      <w:r w:rsidR="00B06B3E" w:rsidRPr="00881B68">
        <w:rPr>
          <w:rFonts w:cs="Arial"/>
        </w:rPr>
        <w:t xml:space="preserve"> e successivamente</w:t>
      </w:r>
      <w:r w:rsidR="00264369" w:rsidRPr="00881B68">
        <w:rPr>
          <w:rFonts w:cs="Arial"/>
        </w:rPr>
        <w:t xml:space="preserve"> autorizzato in Italia </w:t>
      </w:r>
      <w:r w:rsidR="00B06B3E" w:rsidRPr="00881B68">
        <w:rPr>
          <w:rFonts w:cs="Arial"/>
        </w:rPr>
        <w:t>il</w:t>
      </w:r>
      <w:r w:rsidR="00264369" w:rsidRPr="00881B68">
        <w:rPr>
          <w:rFonts w:cs="Arial"/>
        </w:rPr>
        <w:t xml:space="preserve"> 30/10/2013, con il nome di </w:t>
      </w:r>
      <w:proofErr w:type="spellStart"/>
      <w:r w:rsidR="00264369" w:rsidRPr="00A1396E">
        <w:rPr>
          <w:rFonts w:cs="Arial"/>
          <w:bCs/>
        </w:rPr>
        <w:t>IASONfluoride</w:t>
      </w:r>
      <w:proofErr w:type="spellEnd"/>
      <w:r w:rsidR="00264369" w:rsidRPr="00881B68">
        <w:rPr>
          <w:rFonts w:cs="Arial"/>
        </w:rPr>
        <w:t xml:space="preserve"> </w:t>
      </w:r>
      <w:r w:rsidR="00264369" w:rsidRPr="00881B68">
        <w:rPr>
          <w:color w:val="000000"/>
        </w:rPr>
        <w:t xml:space="preserve">2,0 </w:t>
      </w:r>
      <w:proofErr w:type="spellStart"/>
      <w:r w:rsidR="00264369" w:rsidRPr="00881B68">
        <w:rPr>
          <w:color w:val="000000"/>
        </w:rPr>
        <w:t>GBq</w:t>
      </w:r>
      <w:proofErr w:type="spellEnd"/>
      <w:r w:rsidR="00264369" w:rsidRPr="00881B68">
        <w:rPr>
          <w:color w:val="000000"/>
        </w:rPr>
        <w:t>/ml soluzione iniettabile</w:t>
      </w:r>
      <w:r w:rsidR="00264369" w:rsidRPr="00881B68">
        <w:rPr>
          <w:rFonts w:cs="Arial"/>
        </w:rPr>
        <w:t>.</w:t>
      </w:r>
    </w:p>
    <w:p w:rsidR="004E5A39" w:rsidRPr="00881B68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</w:rPr>
      </w:pPr>
    </w:p>
    <w:p w:rsidR="00A87812" w:rsidRPr="00881B68" w:rsidRDefault="00981ECA" w:rsidP="00A87812">
      <w:pPr>
        <w:widowControl w:val="0"/>
        <w:spacing w:after="0" w:line="240" w:lineRule="auto"/>
        <w:jc w:val="both"/>
      </w:pPr>
      <w:r w:rsidRPr="00881B68">
        <w:rPr>
          <w:b/>
        </w:rPr>
        <w:t>S</w:t>
      </w:r>
      <w:r w:rsidRPr="00881B68">
        <w:rPr>
          <w:rFonts w:eastAsia="Calibri" w:cs="Calibri"/>
          <w:b/>
          <w:color w:val="000000"/>
        </w:rPr>
        <w:t>odio Fluoruro (</w:t>
      </w:r>
      <w:r w:rsidRPr="00881B68">
        <w:rPr>
          <w:rFonts w:eastAsia="Calibri" w:cs="Calibri"/>
          <w:b/>
          <w:color w:val="000000"/>
          <w:vertAlign w:val="superscript"/>
        </w:rPr>
        <w:t>18</w:t>
      </w:r>
      <w:r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Pr="00881B68">
        <w:rPr>
          <w:rFonts w:eastAsia="Calibri" w:cs="Calibri"/>
          <w:b/>
          <w:color w:val="000000"/>
        </w:rPr>
        <w:t>Itel</w:t>
      </w:r>
      <w:proofErr w:type="spellEnd"/>
      <w:r w:rsidR="00A87812" w:rsidRPr="00881B68">
        <w:rPr>
          <w:rFonts w:eastAsia="Calibri" w:cs="Calibri"/>
          <w:bCs/>
          <w:color w:val="000000"/>
        </w:rPr>
        <w:t xml:space="preserve">, il cui codice ATC è </w:t>
      </w:r>
      <w:r w:rsidRPr="00881B68">
        <w:rPr>
          <w:color w:val="000000"/>
        </w:rPr>
        <w:t>V09IX06</w:t>
      </w:r>
      <w:r w:rsidR="00A87812" w:rsidRPr="00881B68">
        <w:t>,</w:t>
      </w:r>
      <w:r w:rsidR="00A87812" w:rsidRPr="00881B68">
        <w:rPr>
          <w:rFonts w:eastAsia="DejaVuSans" w:cs="DejaVuSans"/>
        </w:rPr>
        <w:t xml:space="preserve"> </w:t>
      </w:r>
      <w:r w:rsidR="00A87812" w:rsidRPr="00881B68">
        <w:rPr>
          <w:rFonts w:eastAsia="Calibri" w:cs="Calibri"/>
          <w:color w:val="000000"/>
        </w:rPr>
        <w:t>contiene il principio attivo</w:t>
      </w:r>
      <w:r w:rsidRPr="00881B68">
        <w:rPr>
          <w:color w:val="000000"/>
        </w:rPr>
        <w:t xml:space="preserve"> Sodio Fluoruro (</w:t>
      </w:r>
      <w:r w:rsidRPr="00881B68">
        <w:rPr>
          <w:color w:val="000000"/>
          <w:vertAlign w:val="superscript"/>
        </w:rPr>
        <w:t>18</w:t>
      </w:r>
      <w:r w:rsidRPr="00881B68">
        <w:rPr>
          <w:color w:val="000000"/>
        </w:rPr>
        <w:t xml:space="preserve">F) e viene impiegato per la diagnosi </w:t>
      </w:r>
      <w:r w:rsidR="00FF18D3" w:rsidRPr="00881B68">
        <w:rPr>
          <w:color w:val="000000"/>
        </w:rPr>
        <w:t>nella Tomografia ad emissioni di Positroni (PET)</w:t>
      </w:r>
      <w:r w:rsidR="00A87812" w:rsidRPr="00881B68">
        <w:t xml:space="preserve">. </w:t>
      </w:r>
    </w:p>
    <w:p w:rsidR="00FF18D3" w:rsidRPr="00881B68" w:rsidRDefault="00A87812" w:rsidP="00FF18D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</w:rPr>
      </w:pPr>
      <w:r w:rsidRPr="00881B68">
        <w:rPr>
          <w:rFonts w:cs="Arial"/>
          <w:color w:val="000000"/>
          <w:shd w:val="clear" w:color="auto" w:fill="FFFFFF"/>
        </w:rPr>
        <w:t xml:space="preserve"> </w:t>
      </w:r>
      <w:r w:rsidRPr="00881B68">
        <w:rPr>
          <w:rFonts w:cs="Arial"/>
          <w:color w:val="000000"/>
          <w:shd w:val="clear" w:color="auto" w:fill="FFFFFF"/>
        </w:rPr>
        <w:br/>
      </w:r>
      <w:r w:rsidR="00FF18D3" w:rsidRPr="00881B68">
        <w:rPr>
          <w:rFonts w:eastAsia="Calibri" w:cs="Calibri"/>
          <w:color w:val="000000"/>
        </w:rPr>
        <w:t>La tomografia ad emissione di positroni (PET) con sodio fluoruro (</w:t>
      </w:r>
      <w:r w:rsidR="00FF18D3" w:rsidRPr="00A1396E">
        <w:rPr>
          <w:rFonts w:eastAsia="Calibri" w:cs="Calibri"/>
          <w:color w:val="000000"/>
          <w:vertAlign w:val="superscript"/>
        </w:rPr>
        <w:t>18</w:t>
      </w:r>
      <w:r w:rsidR="00FF18D3" w:rsidRPr="00881B68">
        <w:rPr>
          <w:rFonts w:eastAsia="Calibri" w:cs="Calibri"/>
          <w:color w:val="000000"/>
        </w:rPr>
        <w:t xml:space="preserve">F) è indicata per le immagini funzionali nelle malattie in cui il target diagnostico sia l’alterata attività </w:t>
      </w:r>
      <w:proofErr w:type="spellStart"/>
      <w:r w:rsidR="00FF18D3" w:rsidRPr="00881B68">
        <w:rPr>
          <w:rFonts w:eastAsia="Calibri" w:cs="Calibri"/>
          <w:color w:val="000000"/>
        </w:rPr>
        <w:t>osteogenica</w:t>
      </w:r>
      <w:proofErr w:type="spellEnd"/>
      <w:r w:rsidR="00FF18D3" w:rsidRPr="00881B68">
        <w:rPr>
          <w:rFonts w:eastAsia="Calibri" w:cs="Calibri"/>
          <w:color w:val="000000"/>
        </w:rPr>
        <w:t>.</w:t>
      </w:r>
    </w:p>
    <w:p w:rsidR="00B06B3E" w:rsidRPr="00881B68" w:rsidRDefault="00B06B3E" w:rsidP="00FF18D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</w:rPr>
      </w:pPr>
    </w:p>
    <w:p w:rsidR="00FF18D3" w:rsidRDefault="00FF18D3" w:rsidP="00FF18D3">
      <w:pPr>
        <w:autoSpaceDE w:val="0"/>
        <w:autoSpaceDN w:val="0"/>
        <w:adjustRightInd w:val="0"/>
        <w:spacing w:after="0"/>
        <w:rPr>
          <w:rFonts w:eastAsia="Calibri" w:cs="Calibri"/>
          <w:color w:val="000000"/>
        </w:rPr>
      </w:pPr>
      <w:r w:rsidRPr="00881B68">
        <w:rPr>
          <w:rFonts w:eastAsia="Calibri" w:cs="Calibri"/>
          <w:color w:val="000000"/>
        </w:rPr>
        <w:t>Le seguenti indicazioni sono state documentate in modo particolare:</w:t>
      </w:r>
    </w:p>
    <w:p w:rsidR="00A1396E" w:rsidRPr="00881B68" w:rsidRDefault="00A1396E" w:rsidP="00FF18D3">
      <w:pPr>
        <w:autoSpaceDE w:val="0"/>
        <w:autoSpaceDN w:val="0"/>
        <w:adjustRightInd w:val="0"/>
        <w:spacing w:after="0"/>
        <w:rPr>
          <w:rFonts w:eastAsia="Calibri" w:cs="Calibri"/>
          <w:color w:val="000000"/>
        </w:rPr>
      </w:pPr>
    </w:p>
    <w:p w:rsidR="00FF18D3" w:rsidRPr="00881B68" w:rsidRDefault="00FF18D3" w:rsidP="00FF18D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eastAsia="Calibri" w:cs="Calibri"/>
          <w:color w:val="000000"/>
        </w:rPr>
      </w:pPr>
      <w:r w:rsidRPr="00881B68">
        <w:rPr>
          <w:rFonts w:eastAsia="Calibri" w:cs="Calibri"/>
          <w:color w:val="000000"/>
        </w:rPr>
        <w:t>Rilevazione e localizzazione delle metastasi ossee in caso di cancro negli adulti.</w:t>
      </w:r>
    </w:p>
    <w:p w:rsidR="00FF18D3" w:rsidRPr="00881B68" w:rsidRDefault="00FF18D3" w:rsidP="00FF18D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 w:rsidRPr="00881B68">
        <w:rPr>
          <w:rFonts w:eastAsia="Calibri" w:cs="Calibri"/>
          <w:color w:val="000000"/>
        </w:rPr>
        <w:t>Come supporto nella valutazione del dolore alla schiena di origine ambigua negli adulti, quando le modalità di immagini convenzionali non sono conclusive.</w:t>
      </w:r>
    </w:p>
    <w:p w:rsidR="00FF18D3" w:rsidRPr="00881B68" w:rsidRDefault="00FF18D3" w:rsidP="00FF18D3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eastAsia="Calibri" w:cs="Calibri"/>
          <w:color w:val="000000"/>
        </w:rPr>
      </w:pPr>
      <w:r w:rsidRPr="00881B68">
        <w:rPr>
          <w:rFonts w:eastAsia="Calibri" w:cs="Calibri"/>
          <w:color w:val="000000"/>
        </w:rPr>
        <w:t>Come supporto nella rilevazione della presenza di lesioni ossee correlate al sospetto di</w:t>
      </w:r>
    </w:p>
    <w:p w:rsidR="00FF18D3" w:rsidRPr="00881B68" w:rsidRDefault="00FF18D3" w:rsidP="00FF18D3">
      <w:pPr>
        <w:pStyle w:val="Paragrafoelenco"/>
        <w:autoSpaceDE w:val="0"/>
        <w:autoSpaceDN w:val="0"/>
        <w:adjustRightInd w:val="0"/>
        <w:spacing w:after="0"/>
        <w:rPr>
          <w:rFonts w:eastAsia="Calibri" w:cs="Calibri"/>
          <w:color w:val="000000"/>
        </w:rPr>
      </w:pPr>
      <w:r w:rsidRPr="00881B68">
        <w:rPr>
          <w:rFonts w:eastAsia="Calibri" w:cs="Calibri"/>
          <w:color w:val="000000"/>
        </w:rPr>
        <w:t>abuso su bambini.</w:t>
      </w:r>
    </w:p>
    <w:p w:rsidR="00FF18D3" w:rsidRPr="00881B68" w:rsidRDefault="00FF18D3" w:rsidP="00FF18D3">
      <w:pPr>
        <w:pStyle w:val="Paragrafoelenco"/>
        <w:autoSpaceDE w:val="0"/>
        <w:autoSpaceDN w:val="0"/>
        <w:adjustRightInd w:val="0"/>
        <w:spacing w:after="0"/>
        <w:rPr>
          <w:rFonts w:cs="Times New Roman"/>
          <w:color w:val="000000"/>
        </w:rPr>
      </w:pPr>
    </w:p>
    <w:p w:rsidR="00B06B3E" w:rsidRPr="00881B68" w:rsidRDefault="0042214D" w:rsidP="00090041">
      <w:pPr>
        <w:widowControl w:val="0"/>
        <w:spacing w:after="0" w:line="240" w:lineRule="auto"/>
        <w:jc w:val="both"/>
      </w:pPr>
      <w:r w:rsidRPr="00881B68">
        <w:t xml:space="preserve">A supporto della richiesta di AIC di </w:t>
      </w:r>
      <w:r w:rsidR="00FF18D3" w:rsidRPr="00881B68">
        <w:rPr>
          <w:b/>
        </w:rPr>
        <w:t>S</w:t>
      </w:r>
      <w:r w:rsidR="00FF18D3" w:rsidRPr="00881B68">
        <w:rPr>
          <w:rFonts w:eastAsia="Calibri" w:cs="Calibri"/>
          <w:b/>
          <w:color w:val="000000"/>
        </w:rPr>
        <w:t>odio Fluoruro (</w:t>
      </w:r>
      <w:r w:rsidR="00FF18D3" w:rsidRPr="00881B68">
        <w:rPr>
          <w:rFonts w:eastAsia="Calibri" w:cs="Calibri"/>
          <w:b/>
          <w:color w:val="000000"/>
          <w:vertAlign w:val="superscript"/>
        </w:rPr>
        <w:t>18</w:t>
      </w:r>
      <w:r w:rsidR="00FF18D3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FF18D3" w:rsidRPr="00881B68">
        <w:rPr>
          <w:rFonts w:eastAsia="Calibri" w:cs="Calibri"/>
          <w:b/>
          <w:color w:val="000000"/>
        </w:rPr>
        <w:t>Itel</w:t>
      </w:r>
      <w:proofErr w:type="spellEnd"/>
      <w:r w:rsidR="00FF18D3" w:rsidRPr="00881B68">
        <w:rPr>
          <w:rFonts w:eastAsia="Times New Roman"/>
        </w:rPr>
        <w:t xml:space="preserve"> </w:t>
      </w:r>
      <w:r w:rsidRPr="00881B68">
        <w:t>non sono stati condotti nuovi studi non clinici e clinici, approccio accettabile per un medicinale</w:t>
      </w:r>
      <w:r w:rsidR="00FF18D3" w:rsidRPr="00881B68">
        <w:t xml:space="preserve"> generico</w:t>
      </w:r>
      <w:r w:rsidRPr="00881B68">
        <w:t>.</w:t>
      </w:r>
    </w:p>
    <w:p w:rsidR="00FF18D3" w:rsidRPr="00881B68" w:rsidRDefault="00FF18D3" w:rsidP="00090041">
      <w:pPr>
        <w:widowControl w:val="0"/>
        <w:spacing w:after="0" w:line="240" w:lineRule="auto"/>
        <w:jc w:val="both"/>
        <w:rPr>
          <w:rFonts w:cs="Arial"/>
          <w:color w:val="000000"/>
        </w:rPr>
      </w:pPr>
      <w:r w:rsidRPr="00881B68">
        <w:rPr>
          <w:snapToGrid w:val="0"/>
        </w:rPr>
        <w:t xml:space="preserve">Non sono stati presentati studi di </w:t>
      </w:r>
      <w:proofErr w:type="spellStart"/>
      <w:r w:rsidRPr="00881B68">
        <w:rPr>
          <w:snapToGrid w:val="0"/>
        </w:rPr>
        <w:t>bioequivalenza</w:t>
      </w:r>
      <w:proofErr w:type="spellEnd"/>
      <w:r w:rsidRPr="00881B68">
        <w:rPr>
          <w:snapToGrid w:val="0"/>
        </w:rPr>
        <w:t xml:space="preserve"> in quanto</w:t>
      </w:r>
      <w:r w:rsidR="00090041" w:rsidRPr="00881B68">
        <w:rPr>
          <w:snapToGrid w:val="0"/>
        </w:rPr>
        <w:t xml:space="preserve"> </w:t>
      </w:r>
      <w:r w:rsidRPr="00881B68">
        <w:rPr>
          <w:snapToGrid w:val="0"/>
        </w:rPr>
        <w:t xml:space="preserve">non richiesti </w:t>
      </w:r>
      <w:r w:rsidR="005A1023" w:rsidRPr="00881B68">
        <w:rPr>
          <w:snapToGrid w:val="0"/>
        </w:rPr>
        <w:t>quando</w:t>
      </w:r>
      <w:r w:rsidRPr="00881B68">
        <w:rPr>
          <w:snapToGrid w:val="0"/>
        </w:rPr>
        <w:t xml:space="preserve"> il medicinale viene somministrato per via parenterale come soluzione acquosa contenente la stessa sostanza attiva alla stessa concentrazione del medicinale di riferimento. </w:t>
      </w:r>
      <w:r w:rsidRPr="00881B68">
        <w:rPr>
          <w:rFonts w:cs="Arial"/>
          <w:color w:val="000000"/>
        </w:rPr>
        <w:t xml:space="preserve"> </w:t>
      </w:r>
    </w:p>
    <w:p w:rsidR="0042214D" w:rsidRPr="00881B68" w:rsidRDefault="0042214D" w:rsidP="00EF6711">
      <w:pPr>
        <w:spacing w:after="0" w:line="240" w:lineRule="auto"/>
        <w:jc w:val="both"/>
      </w:pPr>
    </w:p>
    <w:p w:rsidR="004E5A39" w:rsidRPr="00881B68" w:rsidRDefault="005A1023" w:rsidP="00EF6711">
      <w:pPr>
        <w:spacing w:after="0" w:line="240" w:lineRule="auto"/>
        <w:jc w:val="both"/>
      </w:pPr>
      <w:r w:rsidRPr="00881B68">
        <w:t>L’</w:t>
      </w:r>
      <w:r w:rsidR="004E5A39" w:rsidRPr="00881B68">
        <w:t>officin</w:t>
      </w:r>
      <w:r w:rsidRPr="00881B68">
        <w:t>a di</w:t>
      </w:r>
      <w:r w:rsidR="004E5A39" w:rsidRPr="00881B68">
        <w:t xml:space="preserve"> produzione </w:t>
      </w:r>
      <w:r w:rsidRPr="00881B68">
        <w:t>è</w:t>
      </w:r>
      <w:r w:rsidR="004E5A39" w:rsidRPr="00881B68">
        <w:t xml:space="preserve"> conform</w:t>
      </w:r>
      <w:r w:rsidRPr="00881B68">
        <w:t>e</w:t>
      </w:r>
      <w:r w:rsidR="004E5A39" w:rsidRPr="00881B68">
        <w:t xml:space="preserve"> alle linee guida di Buona Pratica di Fabbricazione (</w:t>
      </w:r>
      <w:proofErr w:type="spellStart"/>
      <w:r w:rsidR="004E5A39" w:rsidRPr="00881B68">
        <w:rPr>
          <w:i/>
        </w:rPr>
        <w:t>Good</w:t>
      </w:r>
      <w:proofErr w:type="spellEnd"/>
      <w:r w:rsidR="004E5A39" w:rsidRPr="00881B68">
        <w:rPr>
          <w:i/>
        </w:rPr>
        <w:t xml:space="preserve"> Manufacturing </w:t>
      </w:r>
      <w:proofErr w:type="spellStart"/>
      <w:r w:rsidR="004E5A39" w:rsidRPr="00881B68">
        <w:rPr>
          <w:i/>
        </w:rPr>
        <w:t>Practice</w:t>
      </w:r>
      <w:proofErr w:type="spellEnd"/>
      <w:r w:rsidRPr="00881B68">
        <w:t xml:space="preserve"> - GMP). L’</w:t>
      </w:r>
      <w:r w:rsidR="004E5A39" w:rsidRPr="00881B68">
        <w:t xml:space="preserve">autorità </w:t>
      </w:r>
      <w:proofErr w:type="spellStart"/>
      <w:r w:rsidR="004E5A39" w:rsidRPr="00881B68">
        <w:t>regolator</w:t>
      </w:r>
      <w:r w:rsidRPr="00881B68">
        <w:t>ia</w:t>
      </w:r>
      <w:proofErr w:type="spellEnd"/>
      <w:r w:rsidR="004E5A39" w:rsidRPr="00881B68">
        <w:t xml:space="preserve"> competent</w:t>
      </w:r>
      <w:r w:rsidRPr="00881B68">
        <w:t>e</w:t>
      </w:r>
      <w:r w:rsidR="004E5A39" w:rsidRPr="00881B68">
        <w:t xml:space="preserve"> ha rilasciato i</w:t>
      </w:r>
      <w:r w:rsidRPr="00881B68">
        <w:t>l certificato</w:t>
      </w:r>
      <w:r w:rsidR="004E5A39" w:rsidRPr="00881B68">
        <w:t xml:space="preserve"> GMP per i</w:t>
      </w:r>
      <w:r w:rsidRPr="00881B68">
        <w:t>l sito</w:t>
      </w:r>
      <w:r w:rsidR="004E5A39" w:rsidRPr="00881B68">
        <w:t xml:space="preserve"> di produzione sul territorio dell’Unione Europea.</w:t>
      </w:r>
    </w:p>
    <w:p w:rsidR="004E5A39" w:rsidRPr="00881B68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881B68" w:rsidRDefault="004E5A39" w:rsidP="00EF6711">
      <w:pPr>
        <w:spacing w:after="0" w:line="240" w:lineRule="auto"/>
        <w:jc w:val="both"/>
      </w:pPr>
      <w:r w:rsidRPr="00881B68">
        <w:t xml:space="preserve">Il sistema di Farmacovigilanza descritto dal titolare dell’AIC è conforme ai requisiti previsti dalla normativa corrente. </w:t>
      </w:r>
      <w:r w:rsidR="00FE1A5E" w:rsidRPr="00881B68">
        <w:t>È</w:t>
      </w:r>
      <w:r w:rsidRPr="00881B68">
        <w:t xml:space="preserve"> stato presentato un Piano di gestione del rischio (</w:t>
      </w:r>
      <w:proofErr w:type="spellStart"/>
      <w:r w:rsidRPr="00881B68">
        <w:rPr>
          <w:i/>
        </w:rPr>
        <w:t>Risk</w:t>
      </w:r>
      <w:proofErr w:type="spellEnd"/>
      <w:r w:rsidRPr="00881B68">
        <w:rPr>
          <w:i/>
        </w:rPr>
        <w:t xml:space="preserve"> Management </w:t>
      </w:r>
      <w:proofErr w:type="spellStart"/>
      <w:r w:rsidRPr="00881B68">
        <w:rPr>
          <w:i/>
        </w:rPr>
        <w:t>Plan</w:t>
      </w:r>
      <w:proofErr w:type="spellEnd"/>
      <w:r w:rsidRPr="00881B68">
        <w:t xml:space="preserve"> – RMP)</w:t>
      </w:r>
      <w:r w:rsidR="00FE1A5E">
        <w:t xml:space="preserve">, </w:t>
      </w:r>
      <w:r w:rsidR="00A1396E">
        <w:t xml:space="preserve">ritenuto </w:t>
      </w:r>
      <w:r w:rsidR="00A1396E" w:rsidRPr="00881B68">
        <w:t>accettabile</w:t>
      </w:r>
      <w:r w:rsidRPr="00881B68">
        <w:t>.</w:t>
      </w:r>
    </w:p>
    <w:p w:rsidR="004E5A39" w:rsidRPr="00881B68" w:rsidRDefault="004E5A39" w:rsidP="00EF6711">
      <w:pPr>
        <w:spacing w:after="0" w:line="240" w:lineRule="auto"/>
        <w:jc w:val="both"/>
      </w:pPr>
    </w:p>
    <w:p w:rsidR="004E5A39" w:rsidRPr="00881B68" w:rsidRDefault="004E5A39" w:rsidP="00EF6711">
      <w:pPr>
        <w:spacing w:after="0" w:line="240" w:lineRule="auto"/>
        <w:jc w:val="both"/>
      </w:pPr>
      <w:r w:rsidRPr="00881B68">
        <w:t xml:space="preserve">Il titolare di AIC ha presentato una adeguata giustificazione </w:t>
      </w:r>
      <w:r w:rsidR="00FE1A5E">
        <w:t xml:space="preserve">circa </w:t>
      </w:r>
      <w:r w:rsidR="00FE1A5E" w:rsidRPr="00881B68">
        <w:t xml:space="preserve">la </w:t>
      </w:r>
      <w:r w:rsidRPr="00881B68">
        <w:t xml:space="preserve">non presentazione della Valutazione del Rischio ambientale; questo approccio è accettabile in quanto </w:t>
      </w:r>
      <w:r w:rsidR="008F60AB" w:rsidRPr="00881B68">
        <w:rPr>
          <w:rFonts w:eastAsia="Calibri" w:cs="Calibri"/>
          <w:color w:val="000000"/>
        </w:rPr>
        <w:t>SODIO FLUORURO (</w:t>
      </w:r>
      <w:r w:rsidR="008F60AB" w:rsidRPr="00A1396E">
        <w:rPr>
          <w:rFonts w:eastAsia="Calibri" w:cs="Calibri"/>
          <w:color w:val="000000"/>
          <w:vertAlign w:val="superscript"/>
        </w:rPr>
        <w:t>18F</w:t>
      </w:r>
      <w:r w:rsidR="008F60AB" w:rsidRPr="00881B68">
        <w:rPr>
          <w:rFonts w:eastAsia="Calibri" w:cs="Calibri"/>
          <w:color w:val="000000"/>
        </w:rPr>
        <w:t>) ITEL</w:t>
      </w:r>
      <w:r w:rsidR="00265B61" w:rsidRPr="00881B68">
        <w:t xml:space="preserve"> </w:t>
      </w:r>
      <w:r w:rsidRPr="00881B68">
        <w:t xml:space="preserve">contiene </w:t>
      </w:r>
      <w:r w:rsidR="00265B61" w:rsidRPr="00881B68">
        <w:t xml:space="preserve">un </w:t>
      </w:r>
      <w:r w:rsidRPr="00881B68">
        <w:t>principi</w:t>
      </w:r>
      <w:r w:rsidR="00265B61" w:rsidRPr="00881B68">
        <w:t>o</w:t>
      </w:r>
      <w:r w:rsidRPr="00881B68">
        <w:t xml:space="preserve"> attiv</w:t>
      </w:r>
      <w:r w:rsidR="00265B61" w:rsidRPr="00881B68">
        <w:t>o</w:t>
      </w:r>
      <w:r w:rsidRPr="00881B68">
        <w:t xml:space="preserve"> not</w:t>
      </w:r>
      <w:r w:rsidR="00265B61" w:rsidRPr="00881B68">
        <w:t>o</w:t>
      </w:r>
      <w:r w:rsidRPr="00881B68">
        <w:t xml:space="preserve"> present</w:t>
      </w:r>
      <w:r w:rsidR="00265B61" w:rsidRPr="00881B68">
        <w:t>e</w:t>
      </w:r>
      <w:r w:rsidRPr="00881B68">
        <w:t xml:space="preserve"> in medicinali autorizzati</w:t>
      </w:r>
      <w:r w:rsidR="005A1023" w:rsidRPr="00881B68">
        <w:t xml:space="preserve"> per le stesse indicazioni</w:t>
      </w:r>
      <w:r w:rsidRPr="00881B68">
        <w:t>; inoltre, non sono presenti componenti geneticamente modificati; il metodo di produzione e la formulazione del medicinale non presentano problematiche di carattere ambientale.</w:t>
      </w:r>
    </w:p>
    <w:p w:rsidR="004E5A39" w:rsidRPr="00881B68" w:rsidRDefault="004E5A39" w:rsidP="00EF6711">
      <w:pPr>
        <w:spacing w:after="0" w:line="240" w:lineRule="auto"/>
        <w:jc w:val="both"/>
      </w:pPr>
    </w:p>
    <w:p w:rsidR="004E5A39" w:rsidRDefault="004E5A39" w:rsidP="00EF6711">
      <w:pPr>
        <w:spacing w:after="0" w:line="240" w:lineRule="auto"/>
        <w:jc w:val="both"/>
      </w:pPr>
    </w:p>
    <w:p w:rsidR="00FE1A5E" w:rsidRPr="00881B68" w:rsidRDefault="00FE1A5E" w:rsidP="00EF6711">
      <w:pPr>
        <w:spacing w:after="0" w:line="240" w:lineRule="auto"/>
        <w:jc w:val="both"/>
      </w:pPr>
    </w:p>
    <w:p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881B68">
        <w:rPr>
          <w:b/>
          <w:sz w:val="24"/>
          <w:szCs w:val="24"/>
        </w:rPr>
        <w:t xml:space="preserve">ASPETTI </w:t>
      </w:r>
      <w:proofErr w:type="spellStart"/>
      <w:r w:rsidRPr="00881B68">
        <w:rPr>
          <w:b/>
          <w:sz w:val="24"/>
          <w:szCs w:val="24"/>
        </w:rPr>
        <w:t>DI</w:t>
      </w:r>
      <w:proofErr w:type="spellEnd"/>
      <w:r w:rsidRPr="00881B68">
        <w:rPr>
          <w:b/>
          <w:sz w:val="24"/>
          <w:szCs w:val="24"/>
        </w:rPr>
        <w:t xml:space="preserve"> QUALITA’</w:t>
      </w:r>
    </w:p>
    <w:p w:rsidR="00FE1A5E" w:rsidRPr="00881B68" w:rsidRDefault="00FE1A5E" w:rsidP="00A1396E">
      <w:pPr>
        <w:pStyle w:val="Paragrafoelenco"/>
        <w:spacing w:after="0" w:line="240" w:lineRule="auto"/>
        <w:ind w:left="1800"/>
        <w:jc w:val="both"/>
        <w:rPr>
          <w:b/>
          <w:sz w:val="24"/>
          <w:szCs w:val="24"/>
        </w:rPr>
      </w:pPr>
    </w:p>
    <w:p w:rsidR="00247F0A" w:rsidRPr="00881B68" w:rsidRDefault="00247F0A" w:rsidP="00EF6711">
      <w:pPr>
        <w:spacing w:after="0" w:line="240" w:lineRule="auto"/>
        <w:jc w:val="both"/>
        <w:rPr>
          <w:b/>
        </w:rPr>
      </w:pPr>
    </w:p>
    <w:p w:rsidR="004E5A39" w:rsidRPr="00881B68" w:rsidRDefault="004E5A39" w:rsidP="00EF6711">
      <w:pPr>
        <w:spacing w:after="0" w:line="240" w:lineRule="auto"/>
        <w:jc w:val="both"/>
      </w:pPr>
      <w:r w:rsidRPr="00881B68">
        <w:rPr>
          <w:b/>
        </w:rPr>
        <w:t xml:space="preserve">II.1 PRINCIPIO ATTIVO </w:t>
      </w:r>
      <w:r w:rsidR="00062243" w:rsidRPr="00881B68">
        <w:rPr>
          <w:rFonts w:eastAsia="Calibri" w:cs="Times New Roman"/>
          <w:sz w:val="24"/>
        </w:rPr>
        <w:t>Sodio Fluoruro (</w:t>
      </w:r>
      <w:r w:rsidR="00062243" w:rsidRPr="00881B68">
        <w:rPr>
          <w:rFonts w:eastAsia="Calibri" w:cs="Times New Roman"/>
          <w:sz w:val="24"/>
          <w:vertAlign w:val="superscript"/>
        </w:rPr>
        <w:t>18</w:t>
      </w:r>
      <w:r w:rsidR="00062243" w:rsidRPr="00881B68">
        <w:rPr>
          <w:rFonts w:eastAsia="Calibri" w:cs="Times New Roman"/>
          <w:sz w:val="24"/>
        </w:rPr>
        <w:t>F)</w:t>
      </w:r>
    </w:p>
    <w:p w:rsidR="00062243" w:rsidRPr="00881B68" w:rsidRDefault="00062243" w:rsidP="00575C97">
      <w:pPr>
        <w:rPr>
          <w:rFonts w:eastAsia="Calibri" w:cs="Times New Roman"/>
          <w:sz w:val="24"/>
        </w:rPr>
      </w:pPr>
    </w:p>
    <w:p w:rsidR="00575C97" w:rsidRPr="00881B68" w:rsidRDefault="00062243" w:rsidP="00575C97">
      <w:pPr>
        <w:rPr>
          <w:sz w:val="24"/>
          <w:szCs w:val="24"/>
          <w:lang w:val="en-US"/>
        </w:rPr>
      </w:pPr>
      <w:r w:rsidRPr="00881B68">
        <w:rPr>
          <w:rFonts w:eastAsia="Calibri" w:cs="Times New Roman"/>
          <w:sz w:val="24"/>
          <w:lang w:val="en-US"/>
        </w:rPr>
        <w:t>Sodium Fluoride</w:t>
      </w:r>
      <w:r w:rsidR="00FE1A5E">
        <w:rPr>
          <w:rFonts w:eastAsia="Calibri" w:cs="Times New Roman"/>
          <w:sz w:val="24"/>
          <w:lang w:val="en-US"/>
        </w:rPr>
        <w:t xml:space="preserve"> </w:t>
      </w:r>
      <w:r w:rsidRPr="00881B68">
        <w:rPr>
          <w:rFonts w:eastAsia="Calibri" w:cs="Times New Roman"/>
          <w:sz w:val="24"/>
          <w:lang w:val="en-GB"/>
        </w:rPr>
        <w:t>(</w:t>
      </w:r>
      <w:r w:rsidRPr="00881B68">
        <w:rPr>
          <w:rFonts w:eastAsia="Calibri" w:cs="Times New Roman"/>
          <w:sz w:val="24"/>
          <w:vertAlign w:val="superscript"/>
          <w:lang w:val="en-GB"/>
        </w:rPr>
        <w:t>18</w:t>
      </w:r>
      <w:r w:rsidRPr="00881B68">
        <w:rPr>
          <w:rFonts w:eastAsia="Calibri" w:cs="Times New Roman"/>
          <w:sz w:val="24"/>
          <w:lang w:val="en-GB"/>
        </w:rPr>
        <w:t>F)</w:t>
      </w:r>
    </w:p>
    <w:p w:rsidR="00062243" w:rsidRPr="00881B68" w:rsidRDefault="00062243" w:rsidP="00575C97">
      <w:pPr>
        <w:rPr>
          <w:rFonts w:cs="Arial"/>
          <w:b/>
          <w:noProof/>
          <w:lang w:val="en-US"/>
        </w:rPr>
      </w:pPr>
      <w:r w:rsidRPr="00881B68">
        <w:rPr>
          <w:rFonts w:eastAsia="Calibri" w:cs="Times New Roman"/>
          <w:bCs/>
          <w:sz w:val="24"/>
          <w:lang w:val="en-US"/>
        </w:rPr>
        <w:t>[</w:t>
      </w:r>
      <w:r w:rsidRPr="00881B68">
        <w:rPr>
          <w:rFonts w:eastAsia="Calibri" w:cs="Times New Roman"/>
          <w:bCs/>
          <w:sz w:val="24"/>
          <w:vertAlign w:val="superscript"/>
          <w:lang w:val="en-US"/>
        </w:rPr>
        <w:t>18</w:t>
      </w:r>
      <w:r w:rsidRPr="00881B68">
        <w:rPr>
          <w:rFonts w:eastAsia="Calibri" w:cs="Times New Roman"/>
          <w:bCs/>
          <w:sz w:val="24"/>
          <w:lang w:val="en-US"/>
        </w:rPr>
        <w:t>F]</w:t>
      </w:r>
      <w:proofErr w:type="spellStart"/>
      <w:r w:rsidRPr="00881B68">
        <w:rPr>
          <w:rFonts w:eastAsia="Calibri" w:cs="Times New Roman"/>
          <w:bCs/>
          <w:sz w:val="24"/>
          <w:lang w:val="en-US"/>
        </w:rPr>
        <w:t>NaF</w:t>
      </w:r>
      <w:proofErr w:type="spellEnd"/>
    </w:p>
    <w:p w:rsidR="00575C97" w:rsidRPr="00881B68" w:rsidRDefault="00575C97" w:rsidP="00575C97">
      <w:pPr>
        <w:rPr>
          <w:lang w:val="en-US"/>
        </w:rPr>
      </w:pPr>
      <w:r w:rsidRPr="00881B68">
        <w:rPr>
          <w:lang w:val="en-US"/>
        </w:rPr>
        <w:t xml:space="preserve">C.A.S Registry N0: </w:t>
      </w:r>
      <w:r w:rsidR="00062243" w:rsidRPr="00881B68">
        <w:rPr>
          <w:rFonts w:eastAsia="Calibri" w:cs="Times New Roman"/>
          <w:sz w:val="24"/>
          <w:lang w:val="en-GB"/>
        </w:rPr>
        <w:t>22554-99-0</w:t>
      </w:r>
    </w:p>
    <w:p w:rsidR="004E5A39" w:rsidRPr="00881B68" w:rsidRDefault="00A1396E" w:rsidP="00575C97">
      <w:r w:rsidRPr="00881B68">
        <w:t>Aspetto: Soluzione</w:t>
      </w:r>
      <w:r w:rsidR="00062243" w:rsidRPr="00881B68">
        <w:t xml:space="preserve"> incolore, chiara</w:t>
      </w:r>
    </w:p>
    <w:p w:rsidR="00575C97" w:rsidRPr="00881B68" w:rsidRDefault="00575C97" w:rsidP="00575C97">
      <w:pPr>
        <w:spacing w:after="0" w:line="240" w:lineRule="auto"/>
        <w:jc w:val="both"/>
        <w:rPr>
          <w:rFonts w:cs="Arial"/>
          <w:b/>
          <w:lang w:val="pt-BR"/>
        </w:rPr>
      </w:pPr>
    </w:p>
    <w:p w:rsidR="00265B61" w:rsidRPr="00881B68" w:rsidRDefault="00265B61" w:rsidP="00265B61">
      <w:pPr>
        <w:spacing w:after="0" w:line="240" w:lineRule="auto"/>
        <w:jc w:val="both"/>
      </w:pPr>
      <w:r w:rsidRPr="00881B68">
        <w:t xml:space="preserve">Il principio attivo </w:t>
      </w:r>
      <w:r w:rsidR="00CC52A3" w:rsidRPr="00881B68">
        <w:t>è</w:t>
      </w:r>
      <w:r w:rsidRPr="00881B68">
        <w:t xml:space="preserve"> presente in Farmacopea Europea; il produttore </w:t>
      </w:r>
      <w:r w:rsidR="00062243" w:rsidRPr="00881B68">
        <w:t xml:space="preserve">non </w:t>
      </w:r>
      <w:r w:rsidRPr="00881B68">
        <w:t>ha presentato</w:t>
      </w:r>
      <w:r w:rsidR="00062243" w:rsidRPr="00881B68">
        <w:t xml:space="preserve"> </w:t>
      </w:r>
      <w:r w:rsidRPr="00881B68">
        <w:t xml:space="preserve">un ASMF. </w:t>
      </w:r>
    </w:p>
    <w:p w:rsidR="00062243" w:rsidRPr="00881B68" w:rsidRDefault="00FE1A5E" w:rsidP="00265B61">
      <w:pPr>
        <w:spacing w:after="0" w:line="240" w:lineRule="auto"/>
        <w:jc w:val="both"/>
      </w:pPr>
      <w:r w:rsidRPr="00881B68">
        <w:t>La sostanza radioattiva</w:t>
      </w:r>
      <w:r w:rsidR="00062243" w:rsidRPr="00881B68">
        <w:t xml:space="preserve"> non viene isolata durante il processo di produzione, la sintesi e la formulazione nel prodotto finito sono parti di un processo in continuo.</w:t>
      </w:r>
    </w:p>
    <w:p w:rsidR="00062243" w:rsidRPr="00881B68" w:rsidRDefault="00062243" w:rsidP="00265B61">
      <w:pPr>
        <w:spacing w:after="0" w:line="240" w:lineRule="auto"/>
        <w:jc w:val="both"/>
      </w:pPr>
      <w:r w:rsidRPr="00881B68">
        <w:t>La produzione avviene mediante il bombardamento con protoni dell’acqua arricchita con ossigeno-18.</w:t>
      </w:r>
    </w:p>
    <w:p w:rsidR="00062243" w:rsidRPr="00881B68" w:rsidRDefault="00062243" w:rsidP="00265B61">
      <w:pPr>
        <w:spacing w:after="0" w:line="240" w:lineRule="auto"/>
        <w:jc w:val="both"/>
      </w:pPr>
      <w:r w:rsidRPr="00881B68">
        <w:t>Avviene la seguente reazione nucleare:</w:t>
      </w:r>
    </w:p>
    <w:p w:rsidR="00062243" w:rsidRPr="00881B68" w:rsidRDefault="00062243" w:rsidP="00062243">
      <w:pPr>
        <w:spacing w:before="240" w:after="0"/>
        <w:ind w:left="567" w:hanging="567"/>
        <w:jc w:val="center"/>
        <w:rPr>
          <w:rFonts w:eastAsia="Calibri" w:cs="Times New Roman"/>
          <w:sz w:val="24"/>
        </w:rPr>
      </w:pPr>
      <w:r w:rsidRPr="00881B68">
        <w:rPr>
          <w:rFonts w:eastAsia="Calibri" w:cs="Times New Roman"/>
          <w:sz w:val="24"/>
          <w:vertAlign w:val="superscript"/>
        </w:rPr>
        <w:t>18</w:t>
      </w:r>
      <w:r w:rsidRPr="00881B68">
        <w:rPr>
          <w:rFonts w:eastAsia="Calibri" w:cs="Times New Roman"/>
          <w:sz w:val="24"/>
        </w:rPr>
        <w:t>O(p,n) →</w:t>
      </w:r>
      <w:r w:rsidRPr="00881B68">
        <w:rPr>
          <w:rFonts w:eastAsia="Calibri" w:cs="Times New Roman"/>
          <w:sz w:val="24"/>
          <w:vertAlign w:val="superscript"/>
        </w:rPr>
        <w:t>18</w:t>
      </w:r>
      <w:r w:rsidRPr="00881B68">
        <w:rPr>
          <w:rFonts w:eastAsia="Calibri" w:cs="Times New Roman"/>
          <w:sz w:val="24"/>
        </w:rPr>
        <w:t>F</w:t>
      </w:r>
    </w:p>
    <w:p w:rsidR="00062243" w:rsidRPr="00881B68" w:rsidRDefault="00062243" w:rsidP="00265B61">
      <w:pPr>
        <w:spacing w:after="0" w:line="240" w:lineRule="auto"/>
        <w:jc w:val="both"/>
      </w:pPr>
    </w:p>
    <w:p w:rsidR="0040048A" w:rsidRPr="00881B68" w:rsidRDefault="0040048A" w:rsidP="0040048A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/>
          <w:lang w:eastAsia="en-GB"/>
        </w:rPr>
      </w:pPr>
      <w:r w:rsidRPr="00881B68">
        <w:t>Il sodio fluoruro (</w:t>
      </w:r>
      <w:r w:rsidRPr="00881B68">
        <w:rPr>
          <w:vertAlign w:val="superscript"/>
        </w:rPr>
        <w:t>18</w:t>
      </w:r>
      <w:r w:rsidRPr="00881B68">
        <w:t>F) si ottiene in modo completamente</w:t>
      </w:r>
      <w:r w:rsidRPr="00881B68">
        <w:rPr>
          <w:rFonts w:eastAsia="TimesNewRoman"/>
          <w:lang w:eastAsia="en-GB"/>
        </w:rPr>
        <w:t xml:space="preserve"> automatizzato in un </w:t>
      </w:r>
      <w:proofErr w:type="spellStart"/>
      <w:r w:rsidRPr="00881B68">
        <w:rPr>
          <w:rFonts w:eastAsia="TimesNewRoman"/>
          <w:lang w:eastAsia="en-GB"/>
        </w:rPr>
        <w:t>FAST</w:t>
      </w:r>
      <w:r w:rsidR="009F7CB1">
        <w:rPr>
          <w:rFonts w:eastAsia="TimesNewRoman"/>
          <w:lang w:eastAsia="en-GB"/>
        </w:rPr>
        <w:t>lab</w:t>
      </w:r>
      <w:proofErr w:type="spellEnd"/>
      <w:r w:rsidRPr="00881B68">
        <w:rPr>
          <w:rFonts w:eastAsia="TimesNewRoman"/>
          <w:lang w:eastAsia="en-GB"/>
        </w:rPr>
        <w:t xml:space="preserve"> </w:t>
      </w:r>
      <w:proofErr w:type="spellStart"/>
      <w:r w:rsidRPr="00881B68">
        <w:rPr>
          <w:rFonts w:eastAsia="TimesNewRoman"/>
          <w:lang w:eastAsia="en-GB"/>
        </w:rPr>
        <w:t>Synthesizer</w:t>
      </w:r>
      <w:proofErr w:type="spellEnd"/>
      <w:r w:rsidRPr="00881B68">
        <w:rPr>
          <w:rFonts w:eastAsia="TimesNewRoman"/>
          <w:lang w:eastAsia="en-GB"/>
        </w:rPr>
        <w:t xml:space="preserve"> + </w:t>
      </w:r>
      <w:proofErr w:type="spellStart"/>
      <w:r w:rsidRPr="00881B68">
        <w:rPr>
          <w:rFonts w:eastAsia="TimesNewRoman"/>
          <w:lang w:eastAsia="en-GB"/>
        </w:rPr>
        <w:t>FAST</w:t>
      </w:r>
      <w:r w:rsidR="009F7CB1">
        <w:rPr>
          <w:rFonts w:eastAsia="TimesNewRoman"/>
          <w:lang w:eastAsia="en-GB"/>
        </w:rPr>
        <w:t>lab</w:t>
      </w:r>
      <w:proofErr w:type="spellEnd"/>
      <w:r w:rsidRPr="00881B68">
        <w:rPr>
          <w:rFonts w:eastAsia="TimesNewRoman"/>
          <w:lang w:eastAsia="en-GB"/>
        </w:rPr>
        <w:t xml:space="preserve"> Cassette (prodotti da GE </w:t>
      </w:r>
      <w:proofErr w:type="spellStart"/>
      <w:r w:rsidRPr="00881B68">
        <w:rPr>
          <w:rFonts w:eastAsia="TimesNewRoman"/>
          <w:lang w:eastAsia="en-GB"/>
        </w:rPr>
        <w:t>Healthcare</w:t>
      </w:r>
      <w:proofErr w:type="spellEnd"/>
      <w:r w:rsidRPr="00881B68">
        <w:rPr>
          <w:rFonts w:eastAsia="TimesNewRoman"/>
          <w:lang w:eastAsia="en-GB"/>
        </w:rPr>
        <w:t xml:space="preserve">).  </w:t>
      </w:r>
    </w:p>
    <w:p w:rsidR="0040048A" w:rsidRPr="00881B68" w:rsidRDefault="0040048A" w:rsidP="00265B61">
      <w:pPr>
        <w:spacing w:after="0" w:line="240" w:lineRule="auto"/>
        <w:jc w:val="both"/>
      </w:pPr>
    </w:p>
    <w:p w:rsidR="0040048A" w:rsidRPr="00881B68" w:rsidRDefault="0040048A" w:rsidP="00265B61">
      <w:pPr>
        <w:spacing w:after="0" w:line="240" w:lineRule="auto"/>
        <w:jc w:val="both"/>
      </w:pPr>
    </w:p>
    <w:p w:rsidR="0040048A" w:rsidRPr="00881B68" w:rsidRDefault="00137DE0" w:rsidP="0040048A">
      <w:pPr>
        <w:tabs>
          <w:tab w:val="left" w:pos="0"/>
        </w:tabs>
        <w:spacing w:before="120" w:after="0"/>
        <w:ind w:left="567" w:hanging="567"/>
        <w:jc w:val="center"/>
        <w:rPr>
          <w:rFonts w:eastAsia="Calibri" w:cs="Times New Roman"/>
        </w:rPr>
      </w:pPr>
      <w:r>
        <w:rPr>
          <w:rFonts w:eastAsia="Calibri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ttore 2 313" o:spid="_x0000_s1026" type="#_x0000_t32" style="position:absolute;left:0;text-align:left;margin-left:247.15pt;margin-top:13.05pt;width:33pt;height:0;z-index:251660288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" strokecolor="black [3213]">
            <v:stroke endarrow="block"/>
            <o:lock v:ext="edit" shapetype="f"/>
          </v:shape>
        </w:pict>
      </w:r>
      <w:proofErr w:type="spellStart"/>
      <w:r w:rsidR="0040048A" w:rsidRPr="00881B68">
        <w:rPr>
          <w:rFonts w:eastAsia="Calibri" w:cs="Times New Roman"/>
          <w:sz w:val="24"/>
        </w:rPr>
        <w:t>Na</w:t>
      </w:r>
      <w:r w:rsidR="0040048A" w:rsidRPr="00881B68">
        <w:rPr>
          <w:rFonts w:eastAsia="Calibri" w:cs="Times New Roman"/>
          <w:sz w:val="24"/>
          <w:vertAlign w:val="superscript"/>
        </w:rPr>
        <w:t>+</w:t>
      </w:r>
      <w:proofErr w:type="spellEnd"/>
      <w:r w:rsidR="0040048A" w:rsidRPr="00881B68">
        <w:rPr>
          <w:rFonts w:eastAsia="Calibri" w:cs="Times New Roman"/>
          <w:sz w:val="24"/>
        </w:rPr>
        <w:t xml:space="preserve"> Cl</w:t>
      </w:r>
      <w:r w:rsidR="0040048A" w:rsidRPr="00881B68">
        <w:rPr>
          <w:rFonts w:eastAsia="Calibri" w:cs="Times New Roman"/>
          <w:sz w:val="24"/>
          <w:vertAlign w:val="superscript"/>
        </w:rPr>
        <w:t xml:space="preserve">- </w:t>
      </w:r>
      <w:r w:rsidR="0040048A" w:rsidRPr="00881B68">
        <w:rPr>
          <w:rFonts w:eastAsia="Calibri" w:cs="Times New Roman"/>
          <w:sz w:val="24"/>
        </w:rPr>
        <w:t>+ [</w:t>
      </w:r>
      <w:r w:rsidR="0040048A" w:rsidRPr="00881B68">
        <w:rPr>
          <w:rFonts w:eastAsia="Calibri" w:cs="Times New Roman"/>
          <w:sz w:val="24"/>
          <w:vertAlign w:val="superscript"/>
        </w:rPr>
        <w:t>18</w:t>
      </w:r>
      <w:r w:rsidR="0040048A" w:rsidRPr="00881B68">
        <w:rPr>
          <w:rFonts w:eastAsia="Calibri" w:cs="Times New Roman"/>
          <w:sz w:val="24"/>
        </w:rPr>
        <w:t>F</w:t>
      </w:r>
      <w:r w:rsidR="0040048A" w:rsidRPr="00881B68">
        <w:rPr>
          <w:rFonts w:eastAsia="Calibri" w:cs="Times New Roman"/>
          <w:sz w:val="24"/>
          <w:vertAlign w:val="superscript"/>
        </w:rPr>
        <w:t>-</w:t>
      </w:r>
      <w:r w:rsidR="0040048A" w:rsidRPr="00881B68">
        <w:rPr>
          <w:rFonts w:eastAsia="Calibri" w:cs="Times New Roman"/>
          <w:sz w:val="24"/>
        </w:rPr>
        <w:t xml:space="preserve">]           </w:t>
      </w:r>
      <w:r w:rsidR="00A1396E" w:rsidRPr="00881B68">
        <w:rPr>
          <w:rFonts w:eastAsia="Calibri" w:cs="Times New Roman"/>
          <w:sz w:val="24"/>
        </w:rPr>
        <w:t xml:space="preserve">  </w:t>
      </w:r>
      <w:r w:rsidR="00A1396E">
        <w:rPr>
          <w:rFonts w:eastAsia="Calibri" w:cs="Times New Roman"/>
          <w:sz w:val="24"/>
        </w:rPr>
        <w:t xml:space="preserve">        </w:t>
      </w:r>
      <w:r w:rsidR="00A1396E" w:rsidRPr="00881B68">
        <w:rPr>
          <w:rFonts w:eastAsia="Calibri" w:cs="Times New Roman"/>
          <w:sz w:val="24"/>
        </w:rPr>
        <w:t>[</w:t>
      </w:r>
      <w:r w:rsidR="0040048A" w:rsidRPr="00881B68">
        <w:rPr>
          <w:rFonts w:eastAsia="Calibri" w:cs="Times New Roman"/>
          <w:sz w:val="24"/>
          <w:vertAlign w:val="superscript"/>
        </w:rPr>
        <w:t>18</w:t>
      </w:r>
      <w:r w:rsidR="0040048A" w:rsidRPr="00881B68">
        <w:rPr>
          <w:rFonts w:eastAsia="Calibri" w:cs="Times New Roman"/>
          <w:sz w:val="24"/>
        </w:rPr>
        <w:t>F]</w:t>
      </w:r>
      <w:proofErr w:type="spellStart"/>
      <w:r w:rsidR="0040048A" w:rsidRPr="00881B68">
        <w:rPr>
          <w:rFonts w:eastAsia="Calibri" w:cs="Times New Roman"/>
          <w:sz w:val="24"/>
        </w:rPr>
        <w:t>NaF</w:t>
      </w:r>
      <w:proofErr w:type="spellEnd"/>
    </w:p>
    <w:p w:rsidR="0040048A" w:rsidRPr="00881B68" w:rsidRDefault="0040048A" w:rsidP="00265B61">
      <w:pPr>
        <w:spacing w:after="0" w:line="240" w:lineRule="auto"/>
        <w:jc w:val="both"/>
      </w:pPr>
    </w:p>
    <w:p w:rsidR="00FE1A5E" w:rsidRDefault="00265B61" w:rsidP="00FE1A5E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  <w:lang w:eastAsia="en-GB"/>
        </w:rPr>
      </w:pPr>
      <w:r w:rsidRPr="00881B68">
        <w:t>La sintesi del principio attivo è stata adeguatamente descritta a partire da idonei materiali di partenza; sono utilizzati appropriati controlli di processo e intermedi di sintesi.</w:t>
      </w:r>
      <w:r w:rsidR="00FE1A5E" w:rsidRPr="00FE1A5E">
        <w:rPr>
          <w:bCs/>
          <w:iCs/>
          <w:lang w:eastAsia="en-GB"/>
        </w:rPr>
        <w:t xml:space="preserve"> </w:t>
      </w:r>
    </w:p>
    <w:p w:rsidR="00FE1A5E" w:rsidRPr="00881B68" w:rsidRDefault="00FE1A5E" w:rsidP="00FE1A5E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  <w:lang w:eastAsia="en-GB"/>
        </w:rPr>
      </w:pPr>
      <w:r w:rsidRPr="00881B68">
        <w:rPr>
          <w:bCs/>
          <w:iCs/>
          <w:lang w:eastAsia="en-GB"/>
        </w:rPr>
        <w:t xml:space="preserve">Poiché il processo di produzione dall’irraggiamento alla </w:t>
      </w:r>
      <w:proofErr w:type="spellStart"/>
      <w:r w:rsidRPr="00881B68">
        <w:rPr>
          <w:bCs/>
          <w:iCs/>
          <w:lang w:eastAsia="en-GB"/>
        </w:rPr>
        <w:t>dispensazione</w:t>
      </w:r>
      <w:proofErr w:type="spellEnd"/>
      <w:r w:rsidRPr="00881B68">
        <w:rPr>
          <w:bCs/>
          <w:iCs/>
          <w:lang w:eastAsia="en-GB"/>
        </w:rPr>
        <w:t xml:space="preserve"> avviene in continuo, i controlli vengono effettuati sul prodotto finito; non è definito un contenitore dove il materiale viene conservato e non sono necessari studi di stabilità in quanto la soluzione è immediatamente processata per generare il prodotto finito. </w:t>
      </w:r>
    </w:p>
    <w:p w:rsidR="00265B61" w:rsidRPr="00881B68" w:rsidRDefault="00265B61" w:rsidP="00265B61">
      <w:pPr>
        <w:spacing w:after="0" w:line="240" w:lineRule="auto"/>
        <w:jc w:val="both"/>
      </w:pPr>
      <w:r w:rsidRPr="00881B68">
        <w:t>I materiali e i reagenti utilizzati nella sintesi sono di qualità adeguata.</w:t>
      </w:r>
    </w:p>
    <w:p w:rsidR="00265B61" w:rsidRDefault="00265B61" w:rsidP="00FA4AC9">
      <w:pPr>
        <w:spacing w:after="0" w:line="240" w:lineRule="auto"/>
        <w:jc w:val="both"/>
      </w:pPr>
      <w:r w:rsidRPr="00881B68">
        <w:t>I materiali, gli intermedi, i reagenti utilizzati nella sintesi non sono di origine umana, biologica o geneticamente modificata</w:t>
      </w:r>
      <w:r w:rsidR="00FA4AC9" w:rsidRPr="00881B68">
        <w:t>.</w:t>
      </w:r>
    </w:p>
    <w:p w:rsidR="00881B68" w:rsidRPr="00881B68" w:rsidRDefault="00881B68" w:rsidP="00FA4AC9">
      <w:pPr>
        <w:spacing w:after="0" w:line="240" w:lineRule="auto"/>
        <w:jc w:val="both"/>
      </w:pPr>
    </w:p>
    <w:p w:rsidR="005711A1" w:rsidRPr="00881B68" w:rsidRDefault="005711A1" w:rsidP="003559CD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  <w:lang w:eastAsia="en-GB"/>
        </w:rPr>
      </w:pPr>
    </w:p>
    <w:p w:rsidR="003559CD" w:rsidRPr="00881B68" w:rsidRDefault="003559CD" w:rsidP="00FA4AC9">
      <w:pPr>
        <w:spacing w:after="0" w:line="240" w:lineRule="auto"/>
        <w:jc w:val="both"/>
      </w:pPr>
    </w:p>
    <w:p w:rsidR="004E5A39" w:rsidRDefault="004E5A39" w:rsidP="00EF6711">
      <w:pPr>
        <w:spacing w:after="0" w:line="240" w:lineRule="auto"/>
        <w:jc w:val="both"/>
        <w:rPr>
          <w:b/>
          <w:sz w:val="24"/>
          <w:szCs w:val="24"/>
        </w:rPr>
      </w:pPr>
      <w:r w:rsidRPr="00881B68">
        <w:rPr>
          <w:b/>
        </w:rPr>
        <w:t xml:space="preserve">II.2 </w:t>
      </w:r>
      <w:r w:rsidRPr="00881B68">
        <w:rPr>
          <w:b/>
          <w:sz w:val="24"/>
          <w:szCs w:val="24"/>
        </w:rPr>
        <w:t>PRODOTTO FINITO</w:t>
      </w:r>
    </w:p>
    <w:p w:rsidR="00881B68" w:rsidRDefault="00881B68" w:rsidP="00EF6711">
      <w:pPr>
        <w:spacing w:after="0" w:line="240" w:lineRule="auto"/>
        <w:jc w:val="both"/>
        <w:rPr>
          <w:b/>
        </w:rPr>
      </w:pPr>
    </w:p>
    <w:p w:rsidR="00CF03A5" w:rsidRPr="00881B68" w:rsidRDefault="00CF03A5" w:rsidP="00EF6711">
      <w:pPr>
        <w:spacing w:after="0" w:line="240" w:lineRule="auto"/>
        <w:jc w:val="both"/>
        <w:rPr>
          <w:b/>
        </w:rPr>
      </w:pPr>
    </w:p>
    <w:p w:rsidR="004E5A39" w:rsidRPr="00881B68" w:rsidRDefault="004E5A39" w:rsidP="00EF6711">
      <w:pPr>
        <w:spacing w:after="0" w:line="240" w:lineRule="auto"/>
        <w:jc w:val="both"/>
        <w:rPr>
          <w:b/>
        </w:rPr>
      </w:pPr>
      <w:r w:rsidRPr="00881B68">
        <w:rPr>
          <w:b/>
        </w:rPr>
        <w:t>Descrizione e composizione</w:t>
      </w:r>
    </w:p>
    <w:p w:rsidR="00881B68" w:rsidRDefault="00881B68" w:rsidP="00881B68">
      <w:pPr>
        <w:spacing w:after="0" w:line="240" w:lineRule="auto"/>
        <w:jc w:val="both"/>
        <w:rPr>
          <w:b/>
        </w:rPr>
      </w:pPr>
    </w:p>
    <w:p w:rsidR="0009772C" w:rsidRPr="00881B68" w:rsidRDefault="00881B68" w:rsidP="00881B68">
      <w:pPr>
        <w:spacing w:after="0" w:line="240" w:lineRule="auto"/>
        <w:jc w:val="both"/>
      </w:pPr>
      <w:r w:rsidRPr="00FF18D3">
        <w:rPr>
          <w:b/>
        </w:rPr>
        <w:t>S</w:t>
      </w:r>
      <w:r w:rsidRPr="00FF18D3">
        <w:rPr>
          <w:rFonts w:eastAsia="Calibri" w:cs="Calibri"/>
          <w:b/>
          <w:color w:val="000000"/>
        </w:rPr>
        <w:t>odio Fluoruro (</w:t>
      </w:r>
      <w:r w:rsidRPr="00FF18D3">
        <w:rPr>
          <w:rFonts w:eastAsia="Calibri" w:cs="Calibri"/>
          <w:b/>
          <w:color w:val="000000"/>
          <w:vertAlign w:val="superscript"/>
        </w:rPr>
        <w:t>18</w:t>
      </w:r>
      <w:r w:rsidRPr="00FF18D3">
        <w:rPr>
          <w:rFonts w:eastAsia="Calibri" w:cs="Calibri"/>
          <w:b/>
          <w:color w:val="000000"/>
        </w:rPr>
        <w:t xml:space="preserve">F) </w:t>
      </w:r>
      <w:proofErr w:type="spellStart"/>
      <w:r w:rsidRPr="00FF18D3">
        <w:rPr>
          <w:rFonts w:eastAsia="Calibri" w:cs="Calibri"/>
          <w:b/>
          <w:color w:val="000000"/>
        </w:rPr>
        <w:t>Itel</w:t>
      </w:r>
      <w:proofErr w:type="spellEnd"/>
      <w:r>
        <w:rPr>
          <w:color w:val="000000"/>
        </w:rPr>
        <w:t xml:space="preserve"> </w:t>
      </w:r>
      <w:r w:rsidR="00FA4AC9" w:rsidRPr="00881B68">
        <w:t xml:space="preserve">2 </w:t>
      </w:r>
      <w:proofErr w:type="spellStart"/>
      <w:r w:rsidR="00FA4AC9" w:rsidRPr="00881B68">
        <w:t>GBq</w:t>
      </w:r>
      <w:proofErr w:type="spellEnd"/>
      <w:r w:rsidR="00FA4AC9" w:rsidRPr="00881B68">
        <w:t>/</w:t>
      </w:r>
      <w:proofErr w:type="spellStart"/>
      <w:r w:rsidR="00FA4AC9" w:rsidRPr="00881B68">
        <w:t>mL</w:t>
      </w:r>
      <w:proofErr w:type="spellEnd"/>
      <w:r w:rsidR="00FA4AC9" w:rsidRPr="00881B68">
        <w:t xml:space="preserve"> soluzione iniettabile </w:t>
      </w:r>
      <w:r w:rsidR="00FA4AC9" w:rsidRPr="00881B68">
        <w:rPr>
          <w:rFonts w:eastAsia="Calibri" w:cs="Calibri"/>
          <w:color w:val="000000"/>
        </w:rPr>
        <w:t xml:space="preserve">è disponibile in </w:t>
      </w:r>
      <w:r>
        <w:t xml:space="preserve">1 flaconcino </w:t>
      </w:r>
      <w:proofErr w:type="spellStart"/>
      <w:r w:rsidR="00CF03A5">
        <w:t>multidose</w:t>
      </w:r>
      <w:proofErr w:type="spellEnd"/>
      <w:r>
        <w:t xml:space="preserve"> </w:t>
      </w:r>
      <w:r w:rsidR="00FA4AC9" w:rsidRPr="00881B68">
        <w:t>da 10 ml</w:t>
      </w:r>
      <w:r>
        <w:t>.</w:t>
      </w:r>
    </w:p>
    <w:p w:rsidR="004F5969" w:rsidRPr="00881B68" w:rsidRDefault="004E5A39" w:rsidP="00FA4AC9">
      <w:pPr>
        <w:autoSpaceDE w:val="0"/>
        <w:autoSpaceDN w:val="0"/>
        <w:adjustRightInd w:val="0"/>
        <w:spacing w:before="120" w:after="0"/>
        <w:rPr>
          <w:rFonts w:cs="Times New Roman"/>
          <w:color w:val="000000"/>
        </w:rPr>
      </w:pPr>
      <w:r w:rsidRPr="00881B68">
        <w:lastRenderedPageBreak/>
        <w:t xml:space="preserve">Gli eccipienti sono </w:t>
      </w:r>
      <w:r w:rsidR="00FA4AC9" w:rsidRPr="00881B68">
        <w:t>Sodio cloruro e Acqua per preparazioni iniettabili</w:t>
      </w:r>
      <w:r w:rsidR="00FA4AC9" w:rsidRPr="00881B68">
        <w:rPr>
          <w:rFonts w:cs="Times New Roman"/>
          <w:color w:val="000000"/>
        </w:rPr>
        <w:t xml:space="preserve"> e </w:t>
      </w:r>
      <w:r w:rsidRPr="00881B68">
        <w:t>sono conformi alla relativa monografia di Farmacopea Europea</w:t>
      </w:r>
      <w:r w:rsidR="004F5969" w:rsidRPr="00881B68">
        <w:rPr>
          <w:rFonts w:cs="Arial"/>
        </w:rPr>
        <w:t>.</w:t>
      </w:r>
    </w:p>
    <w:p w:rsidR="004E5A39" w:rsidRPr="00881B68" w:rsidRDefault="004E5A39" w:rsidP="004F5969">
      <w:pPr>
        <w:pBdr>
          <w:bottom w:val="single" w:sz="6" w:space="0" w:color="EDEDED"/>
        </w:pBdr>
        <w:shd w:val="clear" w:color="auto" w:fill="FFFFFF"/>
        <w:spacing w:before="100" w:beforeAutospacing="1" w:after="0" w:afterAutospacing="1" w:line="240" w:lineRule="auto"/>
        <w:jc w:val="both"/>
        <w:textAlignment w:val="top"/>
      </w:pPr>
      <w:r w:rsidRPr="00881B68">
        <w:t>Nessun eccipiente è ottenuto da organismi geneticamente modificati; non sono presenti eccipienti mai utilizzati nell’uomo.</w:t>
      </w:r>
    </w:p>
    <w:p w:rsidR="004E5A39" w:rsidRDefault="004E5A39" w:rsidP="00EF6711">
      <w:pPr>
        <w:spacing w:after="0" w:line="240" w:lineRule="auto"/>
        <w:jc w:val="both"/>
        <w:rPr>
          <w:b/>
        </w:rPr>
      </w:pPr>
      <w:r w:rsidRPr="00881B68">
        <w:rPr>
          <w:b/>
        </w:rPr>
        <w:t>Sviluppo farmaceutico</w:t>
      </w:r>
    </w:p>
    <w:p w:rsidR="00CF03A5" w:rsidRPr="00881B68" w:rsidRDefault="00CF03A5" w:rsidP="00EF6711">
      <w:pPr>
        <w:spacing w:after="0" w:line="240" w:lineRule="auto"/>
        <w:jc w:val="both"/>
        <w:rPr>
          <w:b/>
        </w:rPr>
      </w:pPr>
    </w:p>
    <w:p w:rsidR="004E5A39" w:rsidRPr="00881B68" w:rsidRDefault="004E5A39" w:rsidP="00EF6711">
      <w:pPr>
        <w:spacing w:after="0" w:line="240" w:lineRule="auto"/>
        <w:jc w:val="both"/>
      </w:pPr>
      <w:r w:rsidRPr="00881B68">
        <w:t>Sono stati forniti dettagli dello sviluppo farmaceutico e questi sono stati ritenuti soddisfacenti.</w:t>
      </w:r>
    </w:p>
    <w:p w:rsidR="004E5A39" w:rsidRPr="00881B68" w:rsidRDefault="004E5A39" w:rsidP="00EF6711">
      <w:pPr>
        <w:spacing w:after="0" w:line="240" w:lineRule="auto"/>
        <w:jc w:val="both"/>
      </w:pPr>
    </w:p>
    <w:p w:rsidR="004E5A39" w:rsidRDefault="004E5A39" w:rsidP="00EF6711">
      <w:pPr>
        <w:spacing w:after="0" w:line="240" w:lineRule="auto"/>
        <w:jc w:val="both"/>
        <w:rPr>
          <w:b/>
        </w:rPr>
      </w:pPr>
      <w:r w:rsidRPr="00881B68">
        <w:rPr>
          <w:b/>
        </w:rPr>
        <w:t>Produzione</w:t>
      </w:r>
    </w:p>
    <w:p w:rsidR="00CF03A5" w:rsidRPr="00881B68" w:rsidRDefault="00CF03A5" w:rsidP="00EF6711">
      <w:pPr>
        <w:spacing w:after="0" w:line="240" w:lineRule="auto"/>
        <w:jc w:val="both"/>
        <w:rPr>
          <w:b/>
        </w:rPr>
      </w:pPr>
    </w:p>
    <w:p w:rsidR="004E5A39" w:rsidRDefault="004E5A39" w:rsidP="00EF6711">
      <w:pPr>
        <w:spacing w:after="0" w:line="240" w:lineRule="auto"/>
        <w:jc w:val="both"/>
      </w:pPr>
      <w:r w:rsidRPr="00881B68">
        <w:t>Sono stati forniti una descrizione del metodo di produzione e la relativa flow-chart.</w:t>
      </w:r>
    </w:p>
    <w:p w:rsidR="00881B68" w:rsidRPr="00881B68" w:rsidRDefault="00881B68" w:rsidP="00EF6711">
      <w:pPr>
        <w:spacing w:after="0" w:line="240" w:lineRule="auto"/>
        <w:jc w:val="both"/>
      </w:pPr>
    </w:p>
    <w:p w:rsidR="004E5A39" w:rsidRPr="00881B68" w:rsidRDefault="004E5A39" w:rsidP="00EF6711">
      <w:pPr>
        <w:spacing w:after="0" w:line="240" w:lineRule="auto"/>
        <w:jc w:val="both"/>
      </w:pPr>
      <w:r w:rsidRPr="00881B68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881B68" w:rsidRDefault="004E5A39" w:rsidP="00EF6711">
      <w:pPr>
        <w:spacing w:after="0" w:line="240" w:lineRule="auto"/>
        <w:jc w:val="both"/>
      </w:pPr>
    </w:p>
    <w:p w:rsidR="004E5A39" w:rsidRDefault="004E5A39" w:rsidP="00EF6711">
      <w:pPr>
        <w:spacing w:after="0" w:line="240" w:lineRule="auto"/>
        <w:jc w:val="both"/>
        <w:rPr>
          <w:b/>
        </w:rPr>
      </w:pPr>
      <w:r w:rsidRPr="00881B68">
        <w:rPr>
          <w:b/>
        </w:rPr>
        <w:t>Specifiche del prodotto finito</w:t>
      </w:r>
    </w:p>
    <w:p w:rsidR="00CF03A5" w:rsidRPr="00881B68" w:rsidRDefault="00CF03A5" w:rsidP="00EF6711">
      <w:pPr>
        <w:spacing w:after="0" w:line="240" w:lineRule="auto"/>
        <w:jc w:val="both"/>
        <w:rPr>
          <w:b/>
        </w:rPr>
      </w:pPr>
    </w:p>
    <w:p w:rsidR="004E5A39" w:rsidRPr="00881B68" w:rsidRDefault="004E5A39" w:rsidP="00B85D01">
      <w:pPr>
        <w:autoSpaceDE w:val="0"/>
        <w:autoSpaceDN w:val="0"/>
        <w:adjustRightInd w:val="0"/>
        <w:spacing w:after="0" w:line="240" w:lineRule="auto"/>
      </w:pPr>
      <w:r w:rsidRPr="00881B68">
        <w:t xml:space="preserve">Sono state fornite adeguate specifiche di controllo per il prodotto finito </w:t>
      </w:r>
      <w:r w:rsidR="00B85D01" w:rsidRPr="00881B68">
        <w:t xml:space="preserve">in linea con la monografia di farmacopea Europea relativa a </w:t>
      </w:r>
      <w:proofErr w:type="spellStart"/>
      <w:r w:rsidR="00B85D01" w:rsidRPr="00881B68">
        <w:t>sodium</w:t>
      </w:r>
      <w:proofErr w:type="spellEnd"/>
      <w:r w:rsidR="00B85D01" w:rsidRPr="00881B68">
        <w:t xml:space="preserve"> </w:t>
      </w:r>
      <w:proofErr w:type="spellStart"/>
      <w:r w:rsidR="00B85D01" w:rsidRPr="00881B68">
        <w:t>fluoride</w:t>
      </w:r>
      <w:proofErr w:type="spellEnd"/>
      <w:r w:rsidR="00B85D01" w:rsidRPr="00881B68">
        <w:t xml:space="preserve"> (</w:t>
      </w:r>
      <w:r w:rsidR="00B85D01" w:rsidRPr="00881B68">
        <w:rPr>
          <w:vertAlign w:val="superscript"/>
        </w:rPr>
        <w:t>18</w:t>
      </w:r>
      <w:r w:rsidR="00B85D01" w:rsidRPr="00881B68">
        <w:t xml:space="preserve">F) </w:t>
      </w:r>
      <w:proofErr w:type="spellStart"/>
      <w:r w:rsidR="00B85D01" w:rsidRPr="00881B68">
        <w:t>injections</w:t>
      </w:r>
      <w:proofErr w:type="spellEnd"/>
      <w:r w:rsidR="00B85D01" w:rsidRPr="00881B68">
        <w:t>.</w:t>
      </w:r>
      <w:r w:rsidRPr="00881B68">
        <w:t xml:space="preserve"> I metodi analitici sono stati descritti e adeguatamente convalidati. Sono stati forniti, inoltre, dati analitici per </w:t>
      </w:r>
      <w:r w:rsidR="00BA0ACD" w:rsidRPr="00881B68">
        <w:t>il</w:t>
      </w:r>
      <w:r w:rsidRPr="00881B68">
        <w:t xml:space="preserve"> prodotto finito: questi dati dimostrano che i lotti prodotti sono in accordo </w:t>
      </w:r>
      <w:r w:rsidR="00CF03A5">
        <w:t xml:space="preserve">con </w:t>
      </w:r>
      <w:r w:rsidRPr="00881B68">
        <w:t>le specifiche proposte. Sono stati forniti, infine, certificati analitici per gli standard di riferimento utilizzati.</w:t>
      </w:r>
    </w:p>
    <w:p w:rsidR="004E5A39" w:rsidRPr="00881B68" w:rsidRDefault="004E5A39" w:rsidP="00EF6711">
      <w:pPr>
        <w:spacing w:after="0" w:line="240" w:lineRule="auto"/>
        <w:jc w:val="both"/>
        <w:rPr>
          <w:b/>
        </w:rPr>
      </w:pPr>
    </w:p>
    <w:p w:rsidR="004E5A39" w:rsidRDefault="004E5A39" w:rsidP="00EF6711">
      <w:pPr>
        <w:spacing w:after="0" w:line="240" w:lineRule="auto"/>
        <w:jc w:val="both"/>
        <w:rPr>
          <w:b/>
        </w:rPr>
      </w:pPr>
      <w:r w:rsidRPr="00881B68">
        <w:rPr>
          <w:b/>
        </w:rPr>
        <w:t>Contenitore</w:t>
      </w:r>
    </w:p>
    <w:p w:rsidR="00881B68" w:rsidRPr="00881B68" w:rsidRDefault="00881B68" w:rsidP="00EF6711">
      <w:pPr>
        <w:spacing w:after="0" w:line="240" w:lineRule="auto"/>
        <w:jc w:val="both"/>
        <w:rPr>
          <w:b/>
        </w:rPr>
      </w:pPr>
    </w:p>
    <w:p w:rsidR="00B85D01" w:rsidRPr="00881B68" w:rsidRDefault="00B06B3E" w:rsidP="00B06B3E">
      <w:pPr>
        <w:spacing w:after="0" w:line="240" w:lineRule="auto"/>
        <w:jc w:val="both"/>
      </w:pPr>
      <w:r w:rsidRPr="00881B68">
        <w:rPr>
          <w:b/>
        </w:rPr>
        <w:t>S</w:t>
      </w:r>
      <w:r w:rsidRPr="00881B68">
        <w:rPr>
          <w:rFonts w:eastAsia="Calibri" w:cs="Calibri"/>
          <w:b/>
          <w:color w:val="000000"/>
        </w:rPr>
        <w:t>odio Fluoruro (</w:t>
      </w:r>
      <w:r w:rsidRPr="00881B68">
        <w:rPr>
          <w:rFonts w:eastAsia="Calibri" w:cs="Calibri"/>
          <w:b/>
          <w:color w:val="000000"/>
          <w:vertAlign w:val="superscript"/>
        </w:rPr>
        <w:t>18</w:t>
      </w:r>
      <w:r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Pr="00881B68">
        <w:rPr>
          <w:rFonts w:eastAsia="Calibri" w:cs="Calibri"/>
          <w:b/>
          <w:color w:val="000000"/>
        </w:rPr>
        <w:t>Itel</w:t>
      </w:r>
      <w:proofErr w:type="spellEnd"/>
      <w:r w:rsidRPr="00881B68">
        <w:rPr>
          <w:rFonts w:eastAsia="Times New Roman"/>
        </w:rPr>
        <w:t xml:space="preserve"> </w:t>
      </w:r>
      <w:r w:rsidR="004E5A39" w:rsidRPr="00881B68">
        <w:t xml:space="preserve">è </w:t>
      </w:r>
      <w:r w:rsidR="009E1EDF" w:rsidRPr="00881B68">
        <w:t xml:space="preserve">disponibile in </w:t>
      </w:r>
      <w:r w:rsidRPr="00881B68">
        <w:t xml:space="preserve">flaconcino </w:t>
      </w:r>
      <w:proofErr w:type="spellStart"/>
      <w:r w:rsidR="00A1396E" w:rsidRPr="00881B68">
        <w:t>multidose</w:t>
      </w:r>
      <w:proofErr w:type="spellEnd"/>
      <w:r w:rsidR="00CF03A5" w:rsidRPr="00881B68">
        <w:t xml:space="preserve"> da</w:t>
      </w:r>
      <w:r w:rsidR="00B85D01" w:rsidRPr="00881B68">
        <w:t xml:space="preserve"> 10 ml</w:t>
      </w:r>
      <w:r w:rsidRPr="00881B68">
        <w:t>.</w:t>
      </w:r>
    </w:p>
    <w:p w:rsidR="004E5A39" w:rsidRPr="00881B68" w:rsidRDefault="004E5A39" w:rsidP="00EF6711">
      <w:pPr>
        <w:spacing w:after="0" w:line="240" w:lineRule="auto"/>
        <w:jc w:val="both"/>
      </w:pPr>
      <w:r w:rsidRPr="00881B68">
        <w:t>Sono state fornite specifiche e certificati analitici per tutti i componenti del confezionamento primario, che è adeguato per il medicinale.</w:t>
      </w:r>
    </w:p>
    <w:p w:rsidR="00BA0ACD" w:rsidRPr="00881B68" w:rsidRDefault="00BA0ACD" w:rsidP="00EF6711">
      <w:pPr>
        <w:spacing w:after="0" w:line="240" w:lineRule="auto"/>
        <w:jc w:val="both"/>
      </w:pPr>
    </w:p>
    <w:p w:rsidR="004E5A39" w:rsidRDefault="004E5A39" w:rsidP="00881B68">
      <w:pPr>
        <w:spacing w:after="0" w:line="240" w:lineRule="auto"/>
        <w:jc w:val="both"/>
        <w:rPr>
          <w:b/>
        </w:rPr>
      </w:pPr>
      <w:r w:rsidRPr="00881B68">
        <w:rPr>
          <w:b/>
        </w:rPr>
        <w:t>Stabilità</w:t>
      </w:r>
    </w:p>
    <w:p w:rsidR="00881B68" w:rsidRPr="00881B68" w:rsidRDefault="00881B68" w:rsidP="00881B68">
      <w:pPr>
        <w:spacing w:after="0" w:line="240" w:lineRule="auto"/>
        <w:jc w:val="both"/>
        <w:rPr>
          <w:b/>
        </w:rPr>
      </w:pPr>
    </w:p>
    <w:p w:rsidR="004E5A39" w:rsidRPr="00881B68" w:rsidRDefault="004E5A39" w:rsidP="00881B68">
      <w:pPr>
        <w:spacing w:line="240" w:lineRule="auto"/>
      </w:pPr>
      <w:r w:rsidRPr="00881B68">
        <w:t xml:space="preserve">Studi di stabilità sul prodotto finito sono stati condotti in accordo alle correnti linee guida e i risultati sono entro i limiti delle specifiche autorizzate. </w:t>
      </w:r>
      <w:r w:rsidR="00B85D01" w:rsidRPr="00881B68">
        <w:t xml:space="preserve">Sono stati presenti i dati relativi agli studi condotti su 5 lotti per 14 ore (1 ora in più rispetto alla </w:t>
      </w:r>
      <w:proofErr w:type="spellStart"/>
      <w:r w:rsidR="00B85D01" w:rsidRPr="00881B68">
        <w:t>shelf</w:t>
      </w:r>
      <w:proofErr w:type="spellEnd"/>
      <w:r w:rsidR="00B85D01" w:rsidRPr="00881B68">
        <w:t xml:space="preserve"> life proposta)</w:t>
      </w:r>
      <w:r w:rsidR="00CF03A5">
        <w:t>,</w:t>
      </w:r>
      <w:r w:rsidR="00B85D01" w:rsidRPr="00881B68">
        <w:t xml:space="preserve"> come </w:t>
      </w:r>
      <w:proofErr w:type="spellStart"/>
      <w:r w:rsidR="00B85D01" w:rsidRPr="00881B68">
        <w:t>worst</w:t>
      </w:r>
      <w:proofErr w:type="spellEnd"/>
      <w:r w:rsidR="00B85D01" w:rsidRPr="00881B68">
        <w:t xml:space="preserve"> </w:t>
      </w:r>
      <w:r w:rsidR="00CF03A5" w:rsidRPr="00881B68">
        <w:t>case, alla</w:t>
      </w:r>
      <w:r w:rsidR="00B85D01" w:rsidRPr="00881B68">
        <w:t xml:space="preserve"> massima e minima radioattività. La validità autorizzata è </w:t>
      </w:r>
      <w:r w:rsidR="00B85D01" w:rsidRPr="00881B68">
        <w:rPr>
          <w:i/>
          <w:color w:val="000000"/>
        </w:rPr>
        <w:t>13 ore dalla data e ora di fine della produzione (ART) e 8 ore dopo il primo utilizzo</w:t>
      </w:r>
      <w:r w:rsidR="00B85D01" w:rsidRPr="00881B68">
        <w:rPr>
          <w:b/>
          <w:i/>
          <w:color w:val="000000"/>
        </w:rPr>
        <w:t>.</w:t>
      </w:r>
      <w:r w:rsidR="000808A3" w:rsidRPr="00881B68">
        <w:t xml:space="preserve"> </w:t>
      </w:r>
    </w:p>
    <w:p w:rsidR="009E1EDF" w:rsidRPr="00881B68" w:rsidRDefault="009E1EDF" w:rsidP="00EF6711">
      <w:pPr>
        <w:spacing w:after="0" w:line="240" w:lineRule="auto"/>
        <w:jc w:val="both"/>
      </w:pPr>
    </w:p>
    <w:p w:rsidR="004E5A39" w:rsidRDefault="004E5A39" w:rsidP="00EF6711">
      <w:pPr>
        <w:spacing w:after="0" w:line="240" w:lineRule="auto"/>
        <w:jc w:val="both"/>
        <w:rPr>
          <w:b/>
        </w:rPr>
      </w:pPr>
      <w:r w:rsidRPr="00881B68">
        <w:rPr>
          <w:b/>
        </w:rPr>
        <w:t>II.3 Discussione sugli aspetti di qualità</w:t>
      </w:r>
    </w:p>
    <w:p w:rsidR="00CF03A5" w:rsidRPr="00881B68" w:rsidRDefault="00CF03A5" w:rsidP="00EF6711">
      <w:pPr>
        <w:spacing w:after="0" w:line="240" w:lineRule="auto"/>
        <w:jc w:val="both"/>
        <w:rPr>
          <w:b/>
        </w:rPr>
      </w:pPr>
    </w:p>
    <w:p w:rsidR="004E5A39" w:rsidRPr="00881B68" w:rsidRDefault="004E5A39" w:rsidP="00EF6711">
      <w:pPr>
        <w:spacing w:after="0" w:line="240" w:lineRule="auto"/>
        <w:jc w:val="both"/>
      </w:pPr>
      <w:r w:rsidRPr="00881B68">
        <w:t xml:space="preserve">Tutte le criticità evidenziate nel corso della valutazione sono state risolte e la qualità di </w:t>
      </w:r>
      <w:r w:rsidR="00B06B3E" w:rsidRPr="00881B68">
        <w:rPr>
          <w:b/>
        </w:rPr>
        <w:t>S</w:t>
      </w:r>
      <w:r w:rsidR="00B06B3E" w:rsidRPr="00881B68">
        <w:rPr>
          <w:rFonts w:eastAsia="Calibri" w:cs="Calibri"/>
          <w:b/>
          <w:color w:val="000000"/>
        </w:rPr>
        <w:t>odio Fluoruro (</w:t>
      </w:r>
      <w:r w:rsidR="00B06B3E" w:rsidRPr="00881B68">
        <w:rPr>
          <w:rFonts w:eastAsia="Calibri" w:cs="Calibri"/>
          <w:b/>
          <w:color w:val="000000"/>
          <w:vertAlign w:val="superscript"/>
        </w:rPr>
        <w:t>18</w:t>
      </w:r>
      <w:r w:rsidR="00B06B3E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B06B3E" w:rsidRPr="00881B68">
        <w:rPr>
          <w:rFonts w:eastAsia="Calibri" w:cs="Calibri"/>
          <w:b/>
          <w:color w:val="000000"/>
        </w:rPr>
        <w:t>Itel</w:t>
      </w:r>
      <w:proofErr w:type="spellEnd"/>
      <w:r w:rsidR="000808A3" w:rsidRPr="00881B68">
        <w:rPr>
          <w:rFonts w:eastAsia="Calibri" w:cs="Calibri"/>
          <w:color w:val="000000"/>
        </w:rPr>
        <w:t xml:space="preserve"> </w:t>
      </w:r>
      <w:r w:rsidRPr="00881B68">
        <w:t xml:space="preserve">è considerata adeguata. Non ci sono obiezioni per l’approvazione di </w:t>
      </w:r>
      <w:r w:rsidR="00B06B3E" w:rsidRPr="00881B68">
        <w:rPr>
          <w:b/>
        </w:rPr>
        <w:t>S</w:t>
      </w:r>
      <w:r w:rsidR="00B06B3E" w:rsidRPr="00881B68">
        <w:rPr>
          <w:rFonts w:eastAsia="Calibri" w:cs="Calibri"/>
          <w:b/>
          <w:color w:val="000000"/>
        </w:rPr>
        <w:t>odio Fluoruro (</w:t>
      </w:r>
      <w:r w:rsidR="00B06B3E" w:rsidRPr="00881B68">
        <w:rPr>
          <w:rFonts w:eastAsia="Calibri" w:cs="Calibri"/>
          <w:b/>
          <w:color w:val="000000"/>
          <w:vertAlign w:val="superscript"/>
        </w:rPr>
        <w:t>18</w:t>
      </w:r>
      <w:r w:rsidR="00B06B3E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B06B3E" w:rsidRPr="00881B68">
        <w:rPr>
          <w:rFonts w:eastAsia="Calibri" w:cs="Calibri"/>
          <w:b/>
          <w:color w:val="000000"/>
        </w:rPr>
        <w:t>Itel</w:t>
      </w:r>
      <w:proofErr w:type="spellEnd"/>
      <w:r w:rsidR="00B06B3E" w:rsidRPr="00881B68">
        <w:rPr>
          <w:rFonts w:eastAsia="Times New Roman"/>
        </w:rPr>
        <w:t xml:space="preserve"> </w:t>
      </w:r>
      <w:r w:rsidRPr="00881B68">
        <w:t>dal punto di vista chimico-farmaceutico.</w:t>
      </w:r>
    </w:p>
    <w:p w:rsidR="004E5A39" w:rsidRPr="00881B68" w:rsidRDefault="004E5A39" w:rsidP="00EF6711">
      <w:pPr>
        <w:spacing w:after="0" w:line="240" w:lineRule="auto"/>
        <w:jc w:val="both"/>
      </w:pPr>
    </w:p>
    <w:p w:rsidR="004E5A39" w:rsidRDefault="004E5A39" w:rsidP="00EF6711">
      <w:pPr>
        <w:spacing w:after="0" w:line="240" w:lineRule="auto"/>
        <w:jc w:val="both"/>
      </w:pPr>
    </w:p>
    <w:p w:rsidR="00A1396E" w:rsidRPr="00881B68" w:rsidRDefault="00A1396E" w:rsidP="00EF6711">
      <w:pPr>
        <w:spacing w:after="0" w:line="240" w:lineRule="auto"/>
        <w:jc w:val="both"/>
      </w:pPr>
      <w:bookmarkStart w:id="1" w:name="_GoBack"/>
      <w:bookmarkEnd w:id="1"/>
    </w:p>
    <w:p w:rsidR="004E5A39" w:rsidRPr="00881B68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881B68">
        <w:rPr>
          <w:b/>
          <w:sz w:val="24"/>
          <w:szCs w:val="24"/>
        </w:rPr>
        <w:t>ASPETTI NON CLINICI</w:t>
      </w:r>
    </w:p>
    <w:p w:rsidR="00B06B3E" w:rsidRPr="00881B68" w:rsidRDefault="00B06B3E" w:rsidP="00B06B3E">
      <w:pPr>
        <w:pStyle w:val="Paragrafoelenco"/>
        <w:spacing w:after="0" w:line="240" w:lineRule="auto"/>
        <w:ind w:left="1800"/>
        <w:jc w:val="both"/>
        <w:rPr>
          <w:b/>
          <w:sz w:val="24"/>
          <w:szCs w:val="24"/>
        </w:rPr>
      </w:pPr>
    </w:p>
    <w:p w:rsidR="004E5A39" w:rsidRPr="00881B68" w:rsidRDefault="004E5A39" w:rsidP="00EF6711">
      <w:pPr>
        <w:spacing w:after="0" w:line="240" w:lineRule="auto"/>
        <w:jc w:val="both"/>
      </w:pPr>
      <w:r w:rsidRPr="00881B68">
        <w:t xml:space="preserve">Non sono stati condotti specifici studi non clinici, in quanto </w:t>
      </w:r>
      <w:r w:rsidR="00B06B3E" w:rsidRPr="00881B68">
        <w:rPr>
          <w:b/>
        </w:rPr>
        <w:t>S</w:t>
      </w:r>
      <w:r w:rsidR="00B06B3E" w:rsidRPr="00881B68">
        <w:rPr>
          <w:rFonts w:eastAsia="Calibri" w:cs="Calibri"/>
          <w:b/>
          <w:color w:val="000000"/>
        </w:rPr>
        <w:t>odio Fluoruro (</w:t>
      </w:r>
      <w:r w:rsidR="00B06B3E" w:rsidRPr="00881B68">
        <w:rPr>
          <w:rFonts w:eastAsia="Calibri" w:cs="Calibri"/>
          <w:b/>
          <w:color w:val="000000"/>
          <w:vertAlign w:val="superscript"/>
        </w:rPr>
        <w:t>18</w:t>
      </w:r>
      <w:r w:rsidR="00B06B3E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B06B3E" w:rsidRPr="00881B68">
        <w:rPr>
          <w:rFonts w:eastAsia="Calibri" w:cs="Calibri"/>
          <w:b/>
          <w:color w:val="000000"/>
        </w:rPr>
        <w:t>Itel</w:t>
      </w:r>
      <w:proofErr w:type="spellEnd"/>
      <w:r w:rsidR="00B06B3E" w:rsidRPr="00881B68">
        <w:rPr>
          <w:rFonts w:eastAsia="Times New Roman"/>
        </w:rPr>
        <w:t xml:space="preserve"> </w:t>
      </w:r>
      <w:r w:rsidRPr="00881B68">
        <w:t xml:space="preserve">contiene </w:t>
      </w:r>
      <w:r w:rsidR="00BA0ACD" w:rsidRPr="00881B68">
        <w:t>un</w:t>
      </w:r>
      <w:r w:rsidRPr="00881B68">
        <w:t xml:space="preserve"> principi</w:t>
      </w:r>
      <w:r w:rsidR="00BA0ACD" w:rsidRPr="00881B68">
        <w:t>o</w:t>
      </w:r>
      <w:r w:rsidRPr="00881B68">
        <w:t xml:space="preserve"> attiv</w:t>
      </w:r>
      <w:r w:rsidR="00BA0ACD" w:rsidRPr="00881B68">
        <w:t>o</w:t>
      </w:r>
      <w:r w:rsidRPr="00881B68">
        <w:t xml:space="preserve"> not</w:t>
      </w:r>
      <w:r w:rsidR="00BA0ACD" w:rsidRPr="00881B68">
        <w:t>o</w:t>
      </w:r>
      <w:r w:rsidRPr="00881B68">
        <w:t xml:space="preserve"> </w:t>
      </w:r>
      <w:r w:rsidR="00467D2B" w:rsidRPr="00881B68">
        <w:t>e di uso consolidato</w:t>
      </w:r>
      <w:r w:rsidR="00AB2614" w:rsidRPr="00881B68">
        <w:t>.</w:t>
      </w:r>
      <w:r w:rsidR="000808A3" w:rsidRPr="00881B68">
        <w:t xml:space="preserve"> Il richiedente l’AIC ha presentato una </w:t>
      </w:r>
      <w:proofErr w:type="spellStart"/>
      <w:r w:rsidR="000808A3" w:rsidRPr="00881B68">
        <w:t>overview</w:t>
      </w:r>
      <w:proofErr w:type="spellEnd"/>
      <w:r w:rsidR="000808A3" w:rsidRPr="00881B68">
        <w:t xml:space="preserve"> redatta da un esperto </w:t>
      </w:r>
      <w:r w:rsidR="000808A3" w:rsidRPr="00881B68">
        <w:lastRenderedPageBreak/>
        <w:t xml:space="preserve">qualificato che ha fornito una approfondita rassegna dei </w:t>
      </w:r>
      <w:r w:rsidR="00AB2614" w:rsidRPr="00881B68">
        <w:t xml:space="preserve">più recenti </w:t>
      </w:r>
      <w:r w:rsidR="000808A3" w:rsidRPr="00881B68">
        <w:t xml:space="preserve">dati bibliografici farmacologici, farmacocinetici e tossicologici </w:t>
      </w:r>
      <w:r w:rsidR="00467D2B" w:rsidRPr="00881B68">
        <w:t xml:space="preserve">relativi al principio attivo </w:t>
      </w:r>
      <w:r w:rsidR="00AB2614" w:rsidRPr="00881B68">
        <w:t>Sodio Fluoruro (</w:t>
      </w:r>
      <w:r w:rsidR="00AB2614" w:rsidRPr="00881B68">
        <w:rPr>
          <w:vertAlign w:val="superscript"/>
        </w:rPr>
        <w:t>18</w:t>
      </w:r>
      <w:r w:rsidR="00AB2614" w:rsidRPr="00881B68">
        <w:t>F)</w:t>
      </w:r>
      <w:r w:rsidR="00467D2B" w:rsidRPr="00881B68">
        <w:t>.</w:t>
      </w:r>
    </w:p>
    <w:p w:rsidR="004E5A39" w:rsidRPr="00881B68" w:rsidRDefault="004E5A39" w:rsidP="00EF6711">
      <w:pPr>
        <w:spacing w:after="0" w:line="240" w:lineRule="auto"/>
        <w:jc w:val="both"/>
      </w:pPr>
      <w:r w:rsidRPr="00881B68">
        <w:t xml:space="preserve">Non ci sono obiezioni per l’approvazione </w:t>
      </w:r>
      <w:r w:rsidR="009E1EDF" w:rsidRPr="00881B68">
        <w:t xml:space="preserve">di </w:t>
      </w:r>
      <w:r w:rsidR="00B06B3E" w:rsidRPr="00881B68">
        <w:rPr>
          <w:b/>
        </w:rPr>
        <w:t>S</w:t>
      </w:r>
      <w:r w:rsidR="00B06B3E" w:rsidRPr="00881B68">
        <w:rPr>
          <w:rFonts w:eastAsia="Calibri" w:cs="Calibri"/>
          <w:b/>
          <w:color w:val="000000"/>
        </w:rPr>
        <w:t>odio Fluoruro (</w:t>
      </w:r>
      <w:r w:rsidR="00B06B3E" w:rsidRPr="00881B68">
        <w:rPr>
          <w:rFonts w:eastAsia="Calibri" w:cs="Calibri"/>
          <w:b/>
          <w:color w:val="000000"/>
          <w:vertAlign w:val="superscript"/>
        </w:rPr>
        <w:t>18</w:t>
      </w:r>
      <w:r w:rsidR="00B06B3E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B06B3E" w:rsidRPr="00881B68">
        <w:rPr>
          <w:rFonts w:eastAsia="Calibri" w:cs="Calibri"/>
          <w:b/>
          <w:color w:val="000000"/>
        </w:rPr>
        <w:t>Itel</w:t>
      </w:r>
      <w:proofErr w:type="spellEnd"/>
      <w:r w:rsidR="00B06B3E" w:rsidRPr="00881B68">
        <w:rPr>
          <w:rFonts w:eastAsia="Times New Roman"/>
        </w:rPr>
        <w:t xml:space="preserve"> </w:t>
      </w:r>
      <w:r w:rsidRPr="00881B68">
        <w:t>dal punto di vista non clinico.</w:t>
      </w:r>
    </w:p>
    <w:p w:rsidR="004E5A39" w:rsidRPr="00881B68" w:rsidRDefault="004E5A39" w:rsidP="00EF6711">
      <w:pPr>
        <w:spacing w:after="0" w:line="240" w:lineRule="auto"/>
        <w:jc w:val="both"/>
      </w:pPr>
    </w:p>
    <w:p w:rsidR="004E5A39" w:rsidRPr="00881B68" w:rsidRDefault="004E5A39" w:rsidP="00EF6711">
      <w:pPr>
        <w:spacing w:after="0" w:line="240" w:lineRule="auto"/>
        <w:jc w:val="both"/>
      </w:pPr>
    </w:p>
    <w:p w:rsidR="004E5A39" w:rsidRPr="00881B68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881B68">
        <w:rPr>
          <w:b/>
          <w:sz w:val="24"/>
          <w:szCs w:val="24"/>
        </w:rPr>
        <w:t>ASPETTI CLINICI</w:t>
      </w:r>
    </w:p>
    <w:p w:rsidR="00B06B3E" w:rsidRPr="00881B68" w:rsidRDefault="00B06B3E" w:rsidP="00B06B3E">
      <w:pPr>
        <w:pStyle w:val="Paragrafoelenco"/>
        <w:spacing w:after="0" w:line="240" w:lineRule="auto"/>
        <w:ind w:left="1800"/>
        <w:jc w:val="both"/>
        <w:rPr>
          <w:b/>
          <w:sz w:val="24"/>
          <w:szCs w:val="24"/>
        </w:rPr>
      </w:pPr>
    </w:p>
    <w:p w:rsidR="009F7CB1" w:rsidRPr="00881B68" w:rsidRDefault="00CF03A5" w:rsidP="009F7CB1">
      <w:pPr>
        <w:widowControl w:val="0"/>
        <w:spacing w:after="0" w:line="240" w:lineRule="auto"/>
        <w:jc w:val="both"/>
      </w:pPr>
      <w:r w:rsidRPr="00881B68">
        <w:rPr>
          <w:b/>
        </w:rPr>
        <w:t>S</w:t>
      </w:r>
      <w:r w:rsidRPr="00881B68">
        <w:rPr>
          <w:rFonts w:eastAsia="Calibri" w:cs="Calibri"/>
          <w:b/>
          <w:color w:val="000000"/>
        </w:rPr>
        <w:t>odio Fluoruro (</w:t>
      </w:r>
      <w:r w:rsidRPr="00881B68">
        <w:rPr>
          <w:rFonts w:eastAsia="Calibri" w:cs="Calibri"/>
          <w:b/>
          <w:color w:val="000000"/>
          <w:vertAlign w:val="superscript"/>
        </w:rPr>
        <w:t>18</w:t>
      </w:r>
      <w:r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Pr="00881B68">
        <w:rPr>
          <w:rFonts w:eastAsia="Calibri" w:cs="Calibri"/>
          <w:b/>
          <w:color w:val="000000"/>
        </w:rPr>
        <w:t>Itel</w:t>
      </w:r>
      <w:proofErr w:type="spellEnd"/>
      <w:r w:rsidRPr="00881B68" w:rsidDel="00CF03A5">
        <w:rPr>
          <w:rFonts w:eastAsia="Calibri" w:cs="Calibri"/>
          <w:color w:val="000000"/>
        </w:rPr>
        <w:t xml:space="preserve"> </w:t>
      </w:r>
      <w:r w:rsidR="00265B61" w:rsidRPr="00881B68">
        <w:t xml:space="preserve">è utilizzato </w:t>
      </w:r>
      <w:r w:rsidR="009F7CB1" w:rsidRPr="00881B68">
        <w:rPr>
          <w:color w:val="000000"/>
        </w:rPr>
        <w:t>per la diagnosi nella Tomografia ad emissione di Positroni (PET)</w:t>
      </w:r>
      <w:r w:rsidR="009F7CB1" w:rsidRPr="00881B68">
        <w:t xml:space="preserve">. </w:t>
      </w:r>
    </w:p>
    <w:p w:rsidR="00597EE3" w:rsidRPr="00881B68" w:rsidRDefault="00597EE3" w:rsidP="00597EE3">
      <w:pPr>
        <w:widowControl w:val="0"/>
        <w:spacing w:after="0" w:line="240" w:lineRule="auto"/>
        <w:jc w:val="both"/>
      </w:pPr>
    </w:p>
    <w:p w:rsidR="004E5A39" w:rsidRDefault="004E5A39" w:rsidP="00EF6711">
      <w:pPr>
        <w:spacing w:after="0" w:line="240" w:lineRule="auto"/>
        <w:ind w:right="6"/>
        <w:jc w:val="both"/>
        <w:rPr>
          <w:b/>
        </w:rPr>
      </w:pPr>
      <w:r w:rsidRPr="00881B68">
        <w:rPr>
          <w:b/>
        </w:rPr>
        <w:t>Posologia e modalità di somministrazione</w:t>
      </w:r>
    </w:p>
    <w:p w:rsidR="00CF03A5" w:rsidRPr="00881B68" w:rsidRDefault="00CF03A5" w:rsidP="00EF6711">
      <w:pPr>
        <w:spacing w:after="0" w:line="240" w:lineRule="auto"/>
        <w:ind w:right="6"/>
        <w:jc w:val="both"/>
        <w:rPr>
          <w:b/>
        </w:rPr>
      </w:pPr>
    </w:p>
    <w:p w:rsidR="004E5A39" w:rsidRPr="00881B68" w:rsidRDefault="004E5A39" w:rsidP="00EF6711">
      <w:pPr>
        <w:spacing w:after="0" w:line="240" w:lineRule="auto"/>
        <w:ind w:right="6"/>
        <w:jc w:val="both"/>
        <w:rPr>
          <w:rFonts w:eastAsia="Calibri" w:cs="Calibri"/>
        </w:rPr>
      </w:pPr>
      <w:r w:rsidRPr="00881B68">
        <w:t>Le informazioni sulla posologia e sulle modalità di somministrazione sono riportate nel Riassunto delle Caratteristiche del Prodotto pubblicato sul sito dell’Agenzia Italiana del Farmaco - AIFA /</w:t>
      </w:r>
      <w:r w:rsidRPr="00881B68">
        <w:rPr>
          <w:rFonts w:eastAsia="Calibri" w:cs="Calibri"/>
        </w:rPr>
        <w:t>(</w:t>
      </w:r>
      <w:hyperlink r:id="rId13" w:history="1">
        <w:r w:rsidRPr="00881B68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881B68">
        <w:rPr>
          <w:rFonts w:eastAsia="Calibri" w:cs="Calibri"/>
        </w:rPr>
        <w:t>).</w:t>
      </w:r>
    </w:p>
    <w:p w:rsidR="004E5A39" w:rsidRPr="00881B68" w:rsidRDefault="004E5A39" w:rsidP="00EF6711">
      <w:pPr>
        <w:spacing w:after="0" w:line="240" w:lineRule="auto"/>
        <w:ind w:right="6"/>
        <w:jc w:val="both"/>
        <w:rPr>
          <w:rFonts w:eastAsia="Calibri" w:cs="Calibri"/>
        </w:rPr>
      </w:pPr>
    </w:p>
    <w:p w:rsidR="005049A1" w:rsidRDefault="005049A1" w:rsidP="005049A1">
      <w:pPr>
        <w:spacing w:after="0" w:line="240" w:lineRule="auto"/>
        <w:jc w:val="both"/>
        <w:rPr>
          <w:rFonts w:cs="Arial"/>
          <w:b/>
        </w:rPr>
      </w:pPr>
      <w:r w:rsidRPr="00881B68">
        <w:rPr>
          <w:rFonts w:cs="Arial"/>
          <w:b/>
        </w:rPr>
        <w:t>Efficacia e sicurezza clinica</w:t>
      </w:r>
    </w:p>
    <w:p w:rsidR="00881B68" w:rsidRPr="00881B68" w:rsidRDefault="00881B68" w:rsidP="005049A1">
      <w:pPr>
        <w:spacing w:after="0" w:line="240" w:lineRule="auto"/>
        <w:jc w:val="both"/>
        <w:rPr>
          <w:rFonts w:cs="Arial"/>
          <w:b/>
        </w:rPr>
      </w:pPr>
    </w:p>
    <w:p w:rsidR="005049A1" w:rsidRPr="00881B68" w:rsidRDefault="005049A1" w:rsidP="005049A1">
      <w:pPr>
        <w:spacing w:after="0" w:line="240" w:lineRule="auto"/>
        <w:jc w:val="both"/>
        <w:rPr>
          <w:rFonts w:cs="Arial"/>
        </w:rPr>
      </w:pPr>
      <w:r w:rsidRPr="00881B68"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B06B3E" w:rsidRPr="00881B68">
        <w:rPr>
          <w:b/>
        </w:rPr>
        <w:t>S</w:t>
      </w:r>
      <w:r w:rsidR="00B06B3E" w:rsidRPr="00881B68">
        <w:rPr>
          <w:rFonts w:eastAsia="Calibri" w:cs="Calibri"/>
          <w:b/>
          <w:color w:val="000000"/>
        </w:rPr>
        <w:t>odio Fluoruro (</w:t>
      </w:r>
      <w:r w:rsidR="00B06B3E" w:rsidRPr="00881B68">
        <w:rPr>
          <w:rFonts w:eastAsia="Calibri" w:cs="Calibri"/>
          <w:b/>
          <w:color w:val="000000"/>
          <w:vertAlign w:val="superscript"/>
        </w:rPr>
        <w:t>18</w:t>
      </w:r>
      <w:r w:rsidR="00B06B3E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B06B3E" w:rsidRPr="00881B68">
        <w:rPr>
          <w:rFonts w:eastAsia="Calibri" w:cs="Calibri"/>
          <w:b/>
          <w:color w:val="000000"/>
        </w:rPr>
        <w:t>Itel</w:t>
      </w:r>
      <w:proofErr w:type="spellEnd"/>
      <w:r w:rsidR="00B06B3E" w:rsidRPr="00881B68">
        <w:rPr>
          <w:rFonts w:eastAsia="Times New Roman"/>
        </w:rPr>
        <w:t xml:space="preserve"> </w:t>
      </w:r>
      <w:r w:rsidRPr="00881B68">
        <w:rPr>
          <w:rFonts w:cs="Arial"/>
        </w:rPr>
        <w:t>è ben conosciuto</w:t>
      </w:r>
      <w:r w:rsidR="001618FF" w:rsidRPr="00881B68">
        <w:rPr>
          <w:rFonts w:cs="Arial"/>
        </w:rPr>
        <w:t xml:space="preserve"> e pertanto a supporto dell’AIC sono stati presentati dati di letteratura</w:t>
      </w:r>
      <w:r w:rsidRPr="00881B68">
        <w:rPr>
          <w:rFonts w:cs="Arial"/>
        </w:rPr>
        <w:t xml:space="preserve">. </w:t>
      </w:r>
    </w:p>
    <w:p w:rsidR="006727BD" w:rsidRPr="00881B68" w:rsidRDefault="006727BD" w:rsidP="006727BD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highlight w:val="green"/>
        </w:rPr>
      </w:pPr>
    </w:p>
    <w:p w:rsidR="004E5A39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881B68">
        <w:rPr>
          <w:b/>
        </w:rPr>
        <w:t>Piano di Valutazione del Rischio (</w:t>
      </w:r>
      <w:proofErr w:type="spellStart"/>
      <w:r w:rsidRPr="00881B68">
        <w:rPr>
          <w:b/>
          <w:i/>
        </w:rPr>
        <w:t>Risk</w:t>
      </w:r>
      <w:proofErr w:type="spellEnd"/>
      <w:r w:rsidRPr="00881B68">
        <w:rPr>
          <w:b/>
          <w:i/>
        </w:rPr>
        <w:t xml:space="preserve"> Management </w:t>
      </w:r>
      <w:proofErr w:type="spellStart"/>
      <w:r w:rsidRPr="00881B68">
        <w:rPr>
          <w:b/>
          <w:i/>
        </w:rPr>
        <w:t>Plan</w:t>
      </w:r>
      <w:proofErr w:type="spellEnd"/>
      <w:r w:rsidRPr="00881B68">
        <w:rPr>
          <w:b/>
        </w:rPr>
        <w:t xml:space="preserve"> - RMP)</w:t>
      </w:r>
    </w:p>
    <w:p w:rsidR="00881B68" w:rsidRPr="00881B68" w:rsidRDefault="00881B68" w:rsidP="00EF6711">
      <w:pPr>
        <w:pStyle w:val="Paragrafoelenco"/>
        <w:spacing w:after="0" w:line="240" w:lineRule="auto"/>
        <w:ind w:left="0"/>
        <w:jc w:val="both"/>
        <w:rPr>
          <w:b/>
        </w:rPr>
      </w:pPr>
    </w:p>
    <w:p w:rsidR="00265B61" w:rsidRPr="00881B68" w:rsidRDefault="00CF03A5" w:rsidP="00EC2A89">
      <w:pPr>
        <w:pStyle w:val="Paragrafoelenco"/>
        <w:spacing w:after="0" w:line="240" w:lineRule="auto"/>
        <w:ind w:left="0"/>
        <w:jc w:val="both"/>
        <w:rPr>
          <w:highlight w:val="yellow"/>
        </w:rPr>
      </w:pPr>
      <w:r w:rsidRPr="00881B68">
        <w:t>È</w:t>
      </w:r>
      <w:r w:rsidR="004E5A39" w:rsidRPr="00881B68">
        <w:t xml:space="preserve"> stato presentato un RMP in accordo a quanto previsto dalla Direttiva 2001/83/EU </w:t>
      </w:r>
      <w:proofErr w:type="spellStart"/>
      <w:r w:rsidR="004E5A39" w:rsidRPr="00881B68">
        <w:t>s.m.i.</w:t>
      </w:r>
      <w:proofErr w:type="spellEnd"/>
      <w:r w:rsidR="004E5A39" w:rsidRPr="00881B68">
        <w:t xml:space="preserve"> che descrive le attività di farmacovigilanza e gli interventi definiti al fine di identificare, caratterizzare, prevenire o minimizzare i rischi collegati all’uso di </w:t>
      </w:r>
      <w:r w:rsidR="00B06B3E" w:rsidRPr="00881B68">
        <w:rPr>
          <w:b/>
        </w:rPr>
        <w:t>S</w:t>
      </w:r>
      <w:r w:rsidR="00B06B3E" w:rsidRPr="00881B68">
        <w:rPr>
          <w:rFonts w:eastAsia="Calibri" w:cs="Calibri"/>
          <w:b/>
          <w:color w:val="000000"/>
        </w:rPr>
        <w:t>odio Fluoruro (</w:t>
      </w:r>
      <w:r w:rsidR="00B06B3E" w:rsidRPr="00881B68">
        <w:rPr>
          <w:rFonts w:eastAsia="Calibri" w:cs="Calibri"/>
          <w:b/>
          <w:color w:val="000000"/>
          <w:vertAlign w:val="superscript"/>
        </w:rPr>
        <w:t>18</w:t>
      </w:r>
      <w:r w:rsidR="00B06B3E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B06B3E" w:rsidRPr="00881B68">
        <w:rPr>
          <w:rFonts w:eastAsia="Calibri" w:cs="Calibri"/>
          <w:b/>
          <w:color w:val="000000"/>
        </w:rPr>
        <w:t>Itel</w:t>
      </w:r>
      <w:proofErr w:type="spellEnd"/>
      <w:r w:rsidR="00B06B3E" w:rsidRPr="00881B68">
        <w:rPr>
          <w:rFonts w:eastAsia="Calibri" w:cs="Calibri"/>
          <w:b/>
          <w:color w:val="000000"/>
        </w:rPr>
        <w:t>.</w:t>
      </w:r>
    </w:p>
    <w:p w:rsidR="004E5A39" w:rsidRDefault="004E5A39" w:rsidP="00EF6711">
      <w:pPr>
        <w:pStyle w:val="Paragrafoelenco"/>
        <w:spacing w:after="0" w:line="240" w:lineRule="auto"/>
        <w:ind w:left="0"/>
        <w:jc w:val="both"/>
      </w:pPr>
      <w:r w:rsidRPr="00881B68">
        <w:t xml:space="preserve">Azioni </w:t>
      </w:r>
      <w:proofErr w:type="spellStart"/>
      <w:r w:rsidRPr="00881B68">
        <w:t>routinarie</w:t>
      </w:r>
      <w:proofErr w:type="spellEnd"/>
      <w:r w:rsidRPr="00881B68">
        <w:t xml:space="preserve"> di farmacovigilanza e di minimizzazione del rischio sono proposte per tutte le problematiche di sicurezza.</w:t>
      </w:r>
      <w:r w:rsidR="005C3F9D" w:rsidRPr="00881B68">
        <w:t xml:space="preserve"> </w:t>
      </w:r>
      <w:r w:rsidRPr="00881B68">
        <w:t xml:space="preserve">Oltre le misure previste nel Riassunto delle caratteristiche del prodotto </w:t>
      </w:r>
      <w:r w:rsidR="005C3F9D" w:rsidRPr="00881B68">
        <w:t xml:space="preserve">per </w:t>
      </w:r>
      <w:r w:rsidR="00B06B3E" w:rsidRPr="00881B68">
        <w:rPr>
          <w:b/>
        </w:rPr>
        <w:t>S</w:t>
      </w:r>
      <w:r w:rsidR="00B06B3E" w:rsidRPr="00881B68">
        <w:rPr>
          <w:rFonts w:eastAsia="Calibri" w:cs="Calibri"/>
          <w:b/>
          <w:color w:val="000000"/>
        </w:rPr>
        <w:t>odio Fluoruro (</w:t>
      </w:r>
      <w:r w:rsidR="00B06B3E" w:rsidRPr="00881B68">
        <w:rPr>
          <w:rFonts w:eastAsia="Calibri" w:cs="Calibri"/>
          <w:b/>
          <w:color w:val="000000"/>
          <w:vertAlign w:val="superscript"/>
        </w:rPr>
        <w:t>18</w:t>
      </w:r>
      <w:r w:rsidR="00B06B3E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B06B3E" w:rsidRPr="00881B68">
        <w:rPr>
          <w:rFonts w:eastAsia="Calibri" w:cs="Calibri"/>
          <w:b/>
          <w:color w:val="000000"/>
        </w:rPr>
        <w:t>Itel</w:t>
      </w:r>
      <w:proofErr w:type="spellEnd"/>
      <w:r w:rsidR="005C3F9D" w:rsidRPr="00881B68">
        <w:t xml:space="preserve"> </w:t>
      </w:r>
      <w:r w:rsidRPr="00881B68">
        <w:t>non sono previste attività addizionali di minimizzazione del rischio</w:t>
      </w:r>
      <w:r w:rsidR="005C3F9D" w:rsidRPr="00881B68">
        <w:t>.</w:t>
      </w:r>
    </w:p>
    <w:p w:rsidR="00881B68" w:rsidRDefault="00881B68" w:rsidP="00EF6711">
      <w:pPr>
        <w:pStyle w:val="Paragrafoelenco"/>
        <w:spacing w:after="0" w:line="240" w:lineRule="auto"/>
        <w:ind w:left="0"/>
        <w:jc w:val="both"/>
      </w:pPr>
    </w:p>
    <w:p w:rsidR="00CF03A5" w:rsidRDefault="00CF03A5" w:rsidP="00EF6711">
      <w:pPr>
        <w:pStyle w:val="Paragrafoelenco"/>
        <w:spacing w:after="0" w:line="240" w:lineRule="auto"/>
        <w:ind w:left="0"/>
        <w:jc w:val="both"/>
      </w:pPr>
    </w:p>
    <w:p w:rsidR="0099256B" w:rsidRPr="00881B68" w:rsidRDefault="0099256B" w:rsidP="00EF6711">
      <w:pPr>
        <w:pStyle w:val="Paragrafoelenco"/>
        <w:spacing w:after="0" w:line="240" w:lineRule="auto"/>
        <w:ind w:left="0"/>
        <w:jc w:val="both"/>
      </w:pPr>
    </w:p>
    <w:tbl>
      <w:tblPr>
        <w:tblW w:w="43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605"/>
        <w:gridCol w:w="6090"/>
      </w:tblGrid>
      <w:tr w:rsidR="00C11612" w:rsidRPr="00494426" w:rsidTr="00A44F44">
        <w:trPr>
          <w:jc w:val="center"/>
        </w:trPr>
        <w:tc>
          <w:tcPr>
            <w:tcW w:w="1498" w:type="pct"/>
            <w:shd w:val="clear" w:color="auto" w:fill="auto"/>
          </w:tcPr>
          <w:p w:rsidR="00C11612" w:rsidRPr="00494426" w:rsidRDefault="00C11612" w:rsidP="00A44F44">
            <w:pPr>
              <w:pStyle w:val="TabletextrowsAgency"/>
              <w:spacing w:line="240" w:lineRule="auto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494426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Rischi importanti identificati</w:t>
            </w:r>
          </w:p>
        </w:tc>
        <w:tc>
          <w:tcPr>
            <w:tcW w:w="3502" w:type="pct"/>
            <w:shd w:val="clear" w:color="auto" w:fill="auto"/>
          </w:tcPr>
          <w:p w:rsidR="00C11612" w:rsidRPr="00A67EE1" w:rsidRDefault="00C11612" w:rsidP="00A44F44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A67EE1">
              <w:rPr>
                <w:rFonts w:asciiTheme="minorHAnsi" w:hAnsiTheme="minorHAnsi" w:cs="Times New Roman"/>
                <w:color w:val="000000"/>
                <w:sz w:val="22"/>
                <w:szCs w:val="22"/>
                <w:lang w:val="it-IT"/>
              </w:rPr>
              <w:t xml:space="preserve">Esposizione a radiazioni ionizzanti: induzione del cancro e potenziale sviluppo di difetti ereditari. </w:t>
            </w:r>
          </w:p>
          <w:p w:rsidR="00C11612" w:rsidRPr="00A67EE1" w:rsidRDefault="00C11612" w:rsidP="00A44F44">
            <w:pPr>
              <w:pStyle w:val="TabletextrowsAgency"/>
              <w:autoSpaceDE w:val="0"/>
              <w:autoSpaceDN w:val="0"/>
              <w:adjustRightInd w:val="0"/>
              <w:spacing w:line="240" w:lineRule="auto"/>
              <w:ind w:left="360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</w:p>
          <w:p w:rsidR="00C11612" w:rsidRPr="00A67EE1" w:rsidRDefault="00C11612" w:rsidP="00A44F44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A67EE1">
              <w:rPr>
                <w:rFonts w:asciiTheme="minorHAnsi" w:hAnsiTheme="minorHAnsi" w:cs="Times New Roman"/>
                <w:color w:val="000000"/>
                <w:sz w:val="22"/>
                <w:szCs w:val="22"/>
                <w:lang w:val="it-IT"/>
              </w:rPr>
              <w:t>Uso in gravidanza/esposizione del feto alla radiazione.</w:t>
            </w:r>
          </w:p>
        </w:tc>
      </w:tr>
      <w:tr w:rsidR="00C11612" w:rsidRPr="00494426" w:rsidTr="00A44F44">
        <w:trPr>
          <w:jc w:val="center"/>
        </w:trPr>
        <w:tc>
          <w:tcPr>
            <w:tcW w:w="14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1612" w:rsidRPr="00494426" w:rsidRDefault="00C11612" w:rsidP="00A44F44">
            <w:pPr>
              <w:pStyle w:val="TabletextrowsAgency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en-GB"/>
              </w:rPr>
            </w:pPr>
            <w:proofErr w:type="spellStart"/>
            <w:r w:rsidRPr="00494426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Rischi</w:t>
            </w:r>
            <w:proofErr w:type="spellEnd"/>
            <w:r w:rsidRPr="00494426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94426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importanti</w:t>
            </w:r>
            <w:proofErr w:type="spellEnd"/>
            <w:r w:rsidRPr="00494426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94426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potenziali</w:t>
            </w:r>
            <w:proofErr w:type="spellEnd"/>
          </w:p>
        </w:tc>
        <w:tc>
          <w:tcPr>
            <w:tcW w:w="3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11612" w:rsidRPr="00A67EE1" w:rsidRDefault="00C11612" w:rsidP="00A44F44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A67EE1">
              <w:rPr>
                <w:rFonts w:asciiTheme="minorHAnsi" w:hAnsiTheme="minorHAnsi" w:cs="Times New Roman"/>
                <w:color w:val="000000"/>
                <w:sz w:val="22"/>
                <w:szCs w:val="22"/>
                <w:lang w:val="it-IT"/>
              </w:rPr>
              <w:t>Ipersensibilità alla sostanza attiva o ad uno qualsiasi degli eccipienti</w:t>
            </w:r>
            <w:r w:rsidRPr="00A67EE1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.</w:t>
            </w:r>
          </w:p>
          <w:p w:rsidR="00C11612" w:rsidRPr="00A67EE1" w:rsidRDefault="00C11612" w:rsidP="00A44F44">
            <w:pPr>
              <w:pStyle w:val="TabletextrowsAgency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</w:pPr>
            <w:r w:rsidRPr="00A67EE1"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Allattamento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  <w:lang w:val="it-IT" w:eastAsia="it-IT"/>
              </w:rPr>
              <w:t>.</w:t>
            </w:r>
          </w:p>
        </w:tc>
      </w:tr>
      <w:tr w:rsidR="00C11612" w:rsidRPr="00494426" w:rsidTr="00A44F44">
        <w:trPr>
          <w:jc w:val="center"/>
        </w:trPr>
        <w:tc>
          <w:tcPr>
            <w:tcW w:w="149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11612" w:rsidRPr="00494426" w:rsidRDefault="00C11612" w:rsidP="00A44F44">
            <w:pPr>
              <w:pStyle w:val="TabletextrowsAgency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en-GB"/>
              </w:rPr>
            </w:pPr>
            <w:proofErr w:type="spellStart"/>
            <w:r w:rsidRPr="00494426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Informazioni</w:t>
            </w:r>
            <w:proofErr w:type="spellEnd"/>
            <w:r w:rsidRPr="00494426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494426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>mancanti</w:t>
            </w:r>
            <w:proofErr w:type="spellEnd"/>
          </w:p>
        </w:tc>
        <w:tc>
          <w:tcPr>
            <w:tcW w:w="3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612" w:rsidRPr="002171D6" w:rsidRDefault="00C11612" w:rsidP="00A44F44">
            <w:pPr>
              <w:pStyle w:val="TabletextrowsAgency"/>
              <w:numPr>
                <w:ilvl w:val="0"/>
                <w:numId w:val="7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it-IT" w:eastAsia="en-GB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Utilizzo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nella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popolazione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pediatrica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C11612" w:rsidRPr="002171D6" w:rsidRDefault="00C11612" w:rsidP="00A44F44">
            <w:pPr>
              <w:pStyle w:val="TabletextrowsAgency"/>
              <w:numPr>
                <w:ilvl w:val="0"/>
                <w:numId w:val="7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it-IT" w:eastAsia="en-GB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Effetto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sulla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fertilità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C11612" w:rsidRPr="00494426" w:rsidRDefault="00C11612" w:rsidP="00A44F44">
            <w:pPr>
              <w:pStyle w:val="TabletextrowsAgency"/>
              <w:numPr>
                <w:ilvl w:val="0"/>
                <w:numId w:val="7"/>
              </w:numPr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val="it-IT" w:eastAsia="en-GB"/>
              </w:rPr>
            </w:pPr>
            <w:r w:rsidRPr="002171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Interazione con altri medicinali e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alt</w:t>
            </w:r>
            <w:r w:rsidRPr="002171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</w:t>
            </w:r>
            <w:r w:rsidRPr="002171D6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forme di interazione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.</w:t>
            </w:r>
          </w:p>
        </w:tc>
      </w:tr>
    </w:tbl>
    <w:p w:rsidR="0099256B" w:rsidRDefault="0099256B" w:rsidP="00EF6711">
      <w:pPr>
        <w:pStyle w:val="Paragrafoelenco"/>
        <w:spacing w:after="0" w:line="240" w:lineRule="auto"/>
        <w:ind w:left="0"/>
        <w:jc w:val="both"/>
      </w:pPr>
    </w:p>
    <w:p w:rsidR="00CF03A5" w:rsidRPr="00881B68" w:rsidRDefault="00CF03A5" w:rsidP="00EF6711">
      <w:pPr>
        <w:pStyle w:val="Paragrafoelenco"/>
        <w:spacing w:after="0" w:line="240" w:lineRule="auto"/>
        <w:ind w:left="0"/>
        <w:jc w:val="both"/>
      </w:pPr>
    </w:p>
    <w:p w:rsidR="0099256B" w:rsidRPr="00881B68" w:rsidRDefault="0099256B" w:rsidP="00EF6711">
      <w:pPr>
        <w:pStyle w:val="Paragrafoelenco"/>
        <w:spacing w:after="0" w:line="240" w:lineRule="auto"/>
        <w:ind w:left="0"/>
        <w:jc w:val="both"/>
      </w:pPr>
    </w:p>
    <w:p w:rsidR="004E5A39" w:rsidRPr="00881B68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881B68">
        <w:rPr>
          <w:b/>
        </w:rPr>
        <w:t>Conclusioni</w:t>
      </w:r>
    </w:p>
    <w:p w:rsidR="004E5A39" w:rsidRDefault="004E5A39" w:rsidP="00EF6711">
      <w:pPr>
        <w:pStyle w:val="Paragrafoelenco"/>
        <w:spacing w:after="0" w:line="240" w:lineRule="auto"/>
        <w:ind w:left="0"/>
        <w:jc w:val="both"/>
      </w:pPr>
      <w:r w:rsidRPr="00881B68">
        <w:t xml:space="preserve">Per la richiesta di AIC di </w:t>
      </w:r>
      <w:r w:rsidR="00B06B3E" w:rsidRPr="00881B68">
        <w:rPr>
          <w:b/>
        </w:rPr>
        <w:t>S</w:t>
      </w:r>
      <w:r w:rsidR="00B06B3E" w:rsidRPr="00881B68">
        <w:rPr>
          <w:rFonts w:eastAsia="Calibri" w:cs="Calibri"/>
          <w:b/>
          <w:color w:val="000000"/>
        </w:rPr>
        <w:t>odio Fluoruro (</w:t>
      </w:r>
      <w:r w:rsidR="00B06B3E" w:rsidRPr="00881B68">
        <w:rPr>
          <w:rFonts w:eastAsia="Calibri" w:cs="Calibri"/>
          <w:b/>
          <w:color w:val="000000"/>
          <w:vertAlign w:val="superscript"/>
        </w:rPr>
        <w:t>18</w:t>
      </w:r>
      <w:r w:rsidR="00B06B3E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B06B3E" w:rsidRPr="00881B68">
        <w:rPr>
          <w:rFonts w:eastAsia="Calibri" w:cs="Calibri"/>
          <w:b/>
          <w:color w:val="000000"/>
        </w:rPr>
        <w:t>Itel</w:t>
      </w:r>
      <w:proofErr w:type="spellEnd"/>
      <w:r w:rsidR="00B06B3E" w:rsidRPr="00881B68">
        <w:rPr>
          <w:rFonts w:eastAsia="Times New Roman"/>
        </w:rPr>
        <w:t xml:space="preserve"> </w:t>
      </w:r>
      <w:r w:rsidRPr="00881B68">
        <w:t>sono state presentate sufficienti informazioni cliniche.</w:t>
      </w:r>
      <w:r w:rsidR="005C3F9D" w:rsidRPr="00881B68">
        <w:t xml:space="preserve"> </w:t>
      </w:r>
      <w:r w:rsidRPr="00881B68">
        <w:t xml:space="preserve">Il rapporto beneficio/rischio di </w:t>
      </w:r>
      <w:r w:rsidR="00B06B3E" w:rsidRPr="00881B68">
        <w:rPr>
          <w:b/>
        </w:rPr>
        <w:t>S</w:t>
      </w:r>
      <w:r w:rsidR="00B06B3E" w:rsidRPr="00881B68">
        <w:rPr>
          <w:rFonts w:eastAsia="Calibri" w:cs="Calibri"/>
          <w:b/>
          <w:color w:val="000000"/>
        </w:rPr>
        <w:t>odio Fluoruro (</w:t>
      </w:r>
      <w:r w:rsidR="00B06B3E" w:rsidRPr="00881B68">
        <w:rPr>
          <w:rFonts w:eastAsia="Calibri" w:cs="Calibri"/>
          <w:b/>
          <w:color w:val="000000"/>
          <w:vertAlign w:val="superscript"/>
        </w:rPr>
        <w:t>18</w:t>
      </w:r>
      <w:r w:rsidR="00B06B3E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B06B3E" w:rsidRPr="00881B68">
        <w:rPr>
          <w:rFonts w:eastAsia="Calibri" w:cs="Calibri"/>
          <w:b/>
          <w:color w:val="000000"/>
        </w:rPr>
        <w:t>Itel</w:t>
      </w:r>
      <w:proofErr w:type="spellEnd"/>
      <w:r w:rsidR="00B06B3E" w:rsidRPr="00881B68">
        <w:rPr>
          <w:rFonts w:eastAsia="Times New Roman"/>
        </w:rPr>
        <w:t xml:space="preserve"> </w:t>
      </w:r>
      <w:r w:rsidRPr="00881B68">
        <w:t>è considerato favorevole dal punto di vista clinico.</w:t>
      </w:r>
    </w:p>
    <w:p w:rsidR="00A1396E" w:rsidRPr="00881B68" w:rsidRDefault="00A1396E" w:rsidP="00EF6711">
      <w:pPr>
        <w:pStyle w:val="Paragrafoelenco"/>
        <w:spacing w:after="0" w:line="240" w:lineRule="auto"/>
        <w:ind w:left="0"/>
        <w:jc w:val="both"/>
      </w:pPr>
    </w:p>
    <w:p w:rsidR="004E5A39" w:rsidRDefault="004E5A39" w:rsidP="00EF6711">
      <w:pPr>
        <w:pStyle w:val="Paragrafoelenco"/>
        <w:spacing w:after="0" w:line="240" w:lineRule="auto"/>
        <w:ind w:left="0"/>
        <w:jc w:val="both"/>
      </w:pPr>
    </w:p>
    <w:p w:rsidR="00CF03A5" w:rsidRDefault="00CF03A5" w:rsidP="00EF6711">
      <w:pPr>
        <w:pStyle w:val="Paragrafoelenco"/>
        <w:spacing w:after="0" w:line="240" w:lineRule="auto"/>
        <w:ind w:left="0"/>
        <w:jc w:val="both"/>
      </w:pPr>
    </w:p>
    <w:p w:rsidR="00CF03A5" w:rsidRDefault="00CF03A5" w:rsidP="00EF6711">
      <w:pPr>
        <w:pStyle w:val="Paragrafoelenco"/>
        <w:spacing w:after="0" w:line="240" w:lineRule="auto"/>
        <w:ind w:left="0"/>
        <w:jc w:val="both"/>
      </w:pPr>
    </w:p>
    <w:p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  <w:sz w:val="24"/>
          <w:szCs w:val="24"/>
        </w:rPr>
      </w:pPr>
      <w:r w:rsidRPr="00881B68">
        <w:rPr>
          <w:b/>
          <w:sz w:val="24"/>
          <w:szCs w:val="24"/>
        </w:rPr>
        <w:t>CONSULTAZIONE SUL FOGLIO ILLUSTRATIVO</w:t>
      </w:r>
    </w:p>
    <w:p w:rsidR="002734C4" w:rsidRPr="00881B68" w:rsidRDefault="002734C4" w:rsidP="002734C4">
      <w:pPr>
        <w:pStyle w:val="Paragrafoelenco"/>
        <w:spacing w:after="0" w:line="240" w:lineRule="auto"/>
        <w:ind w:left="1800"/>
        <w:jc w:val="both"/>
        <w:rPr>
          <w:b/>
          <w:sz w:val="24"/>
          <w:szCs w:val="24"/>
        </w:rPr>
      </w:pPr>
    </w:p>
    <w:p w:rsidR="004E5A39" w:rsidRPr="00881B68" w:rsidRDefault="004E5A39" w:rsidP="00EF6711">
      <w:pPr>
        <w:spacing w:after="0" w:line="240" w:lineRule="auto"/>
        <w:jc w:val="both"/>
      </w:pPr>
      <w:r w:rsidRPr="00881B68">
        <w:t xml:space="preserve">Il foglio illustrativo è stato sottoposto al test di leggibilità in accordo ai requisiti dell’art. 59(3) e 61(1) della direttiva 2001/83/EU </w:t>
      </w:r>
      <w:proofErr w:type="spellStart"/>
      <w:r w:rsidRPr="00881B68">
        <w:t>s.m.i.</w:t>
      </w:r>
      <w:proofErr w:type="spellEnd"/>
      <w:r w:rsidRPr="00881B68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E5A39" w:rsidRPr="00881B68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Default="004E5A39" w:rsidP="00EF6711">
      <w:pPr>
        <w:spacing w:after="0" w:line="240" w:lineRule="auto"/>
        <w:jc w:val="both"/>
      </w:pPr>
    </w:p>
    <w:p w:rsidR="00A1396E" w:rsidRPr="00881B68" w:rsidRDefault="00A1396E" w:rsidP="00EF6711">
      <w:pPr>
        <w:spacing w:after="0" w:line="240" w:lineRule="auto"/>
        <w:jc w:val="both"/>
      </w:pPr>
    </w:p>
    <w:p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81B68">
        <w:rPr>
          <w:b/>
        </w:rPr>
        <w:t>CONCLUSIONI, VALUTAZIONE DEL RAPPORTO BENEFICIO/RISCHIO E RACCOMANDAZIONI</w:t>
      </w:r>
    </w:p>
    <w:p w:rsidR="002734C4" w:rsidRPr="00881B68" w:rsidRDefault="002734C4" w:rsidP="002734C4">
      <w:pPr>
        <w:pStyle w:val="Paragrafoelenco"/>
        <w:spacing w:after="0" w:line="240" w:lineRule="auto"/>
        <w:ind w:left="1800"/>
        <w:jc w:val="both"/>
        <w:rPr>
          <w:b/>
        </w:rPr>
      </w:pPr>
    </w:p>
    <w:p w:rsidR="004E5A39" w:rsidRDefault="004E5A39" w:rsidP="00EF6711">
      <w:pPr>
        <w:spacing w:after="0" w:line="240" w:lineRule="auto"/>
        <w:jc w:val="both"/>
      </w:pPr>
      <w:r w:rsidRPr="00881B68">
        <w:t xml:space="preserve">La qualità di </w:t>
      </w:r>
      <w:r w:rsidR="00B06B3E" w:rsidRPr="00881B68">
        <w:rPr>
          <w:b/>
        </w:rPr>
        <w:t>S</w:t>
      </w:r>
      <w:r w:rsidR="00B06B3E" w:rsidRPr="00881B68">
        <w:rPr>
          <w:rFonts w:eastAsia="Calibri" w:cs="Calibri"/>
          <w:b/>
          <w:color w:val="000000"/>
        </w:rPr>
        <w:t>odio Fluoruro (</w:t>
      </w:r>
      <w:r w:rsidR="00B06B3E" w:rsidRPr="00881B68">
        <w:rPr>
          <w:rFonts w:eastAsia="Calibri" w:cs="Calibri"/>
          <w:b/>
          <w:color w:val="000000"/>
          <w:vertAlign w:val="superscript"/>
        </w:rPr>
        <w:t>18</w:t>
      </w:r>
      <w:r w:rsidR="00B06B3E" w:rsidRPr="00881B68">
        <w:rPr>
          <w:rFonts w:eastAsia="Calibri" w:cs="Calibri"/>
          <w:b/>
          <w:color w:val="000000"/>
        </w:rPr>
        <w:t xml:space="preserve">F) </w:t>
      </w:r>
      <w:proofErr w:type="spellStart"/>
      <w:r w:rsidR="00B06B3E" w:rsidRPr="00881B68">
        <w:rPr>
          <w:rFonts w:eastAsia="Calibri" w:cs="Calibri"/>
          <w:b/>
          <w:color w:val="000000"/>
        </w:rPr>
        <w:t>Itel</w:t>
      </w:r>
      <w:proofErr w:type="spellEnd"/>
      <w:r w:rsidR="00B06B3E" w:rsidRPr="00881B68">
        <w:rPr>
          <w:rFonts w:eastAsia="Times New Roman"/>
        </w:rPr>
        <w:t xml:space="preserve"> </w:t>
      </w:r>
      <w:r w:rsidRPr="00881B68">
        <w:t>è accettabile e non sono state rilevate criticità da un punto di vista non clinico e clinico.</w:t>
      </w:r>
      <w:r w:rsidR="00597EE3" w:rsidRPr="00881B68">
        <w:t xml:space="preserve"> </w:t>
      </w:r>
      <w:r w:rsidRPr="00881B68">
        <w:t>Il rapporto beneficio/rischio è considerato positivo.</w:t>
      </w:r>
    </w:p>
    <w:p w:rsidR="00A1396E" w:rsidRPr="00881B68" w:rsidRDefault="00A1396E" w:rsidP="00EF6711">
      <w:pPr>
        <w:spacing w:after="0" w:line="240" w:lineRule="auto"/>
        <w:jc w:val="both"/>
      </w:pPr>
    </w:p>
    <w:p w:rsidR="00CE62A1" w:rsidRPr="00881B68" w:rsidRDefault="004E5A39" w:rsidP="00EF6711">
      <w:pPr>
        <w:spacing w:after="0" w:line="240" w:lineRule="auto"/>
        <w:jc w:val="both"/>
        <w:rPr>
          <w:rFonts w:eastAsia="Calibri" w:cs="Calibri"/>
        </w:rPr>
      </w:pPr>
      <w:r w:rsidRPr="00881B68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881B68">
        <w:rPr>
          <w:rFonts w:eastAsia="Calibri" w:cs="Calibri"/>
        </w:rPr>
        <w:t>(</w:t>
      </w:r>
      <w:hyperlink r:id="rId14" w:history="1">
        <w:r w:rsidRPr="00881B68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881B68">
        <w:rPr>
          <w:rFonts w:eastAsia="Calibri" w:cs="Calibri"/>
        </w:rPr>
        <w:t>).</w:t>
      </w:r>
    </w:p>
    <w:sectPr w:rsidR="00CE62A1" w:rsidRPr="00881B68" w:rsidSect="00EF671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E8E" w:rsidRDefault="00FF5E8E" w:rsidP="00E95587">
      <w:pPr>
        <w:spacing w:after="0" w:line="240" w:lineRule="auto"/>
      </w:pPr>
      <w:r>
        <w:separator/>
      </w:r>
    </w:p>
  </w:endnote>
  <w:endnote w:type="continuationSeparator" w:id="0">
    <w:p w:rsidR="00FF5E8E" w:rsidRDefault="00FF5E8E" w:rsidP="00E9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3D4" w:rsidRDefault="004F43D4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Pagina </w:t>
    </w:r>
    <w:r w:rsidR="00137DE0">
      <w:rPr>
        <w:rStyle w:val="Numeropagina"/>
        <w:rFonts w:ascii="Calibri" w:hAnsi="Calibri"/>
        <w:sz w:val="16"/>
        <w:szCs w:val="16"/>
      </w:rPr>
      <w:fldChar w:fldCharType="begin"/>
    </w:r>
    <w:r>
      <w:rPr>
        <w:rStyle w:val="Numeropagina"/>
        <w:rFonts w:ascii="Calibri" w:hAnsi="Calibri"/>
        <w:sz w:val="16"/>
        <w:szCs w:val="16"/>
      </w:rPr>
      <w:instrText xml:space="preserve"> PAGE </w:instrText>
    </w:r>
    <w:r w:rsidR="00137DE0">
      <w:rPr>
        <w:rStyle w:val="Numeropagina"/>
        <w:rFonts w:ascii="Calibri" w:hAnsi="Calibri"/>
        <w:sz w:val="16"/>
        <w:szCs w:val="16"/>
      </w:rPr>
      <w:fldChar w:fldCharType="separate"/>
    </w:r>
    <w:r w:rsidR="00B955C8">
      <w:rPr>
        <w:rStyle w:val="Numeropagina"/>
        <w:rFonts w:ascii="Calibri" w:hAnsi="Calibri"/>
        <w:noProof/>
        <w:sz w:val="16"/>
        <w:szCs w:val="16"/>
      </w:rPr>
      <w:t>9</w:t>
    </w:r>
    <w:r w:rsidR="00137DE0">
      <w:rPr>
        <w:rStyle w:val="Numeropagina"/>
        <w:rFonts w:ascii="Calibri" w:hAnsi="Calibri"/>
        <w:sz w:val="16"/>
        <w:szCs w:val="16"/>
      </w:rPr>
      <w:fldChar w:fldCharType="end"/>
    </w:r>
    <w:r>
      <w:rPr>
        <w:rStyle w:val="Numeropagina"/>
        <w:rFonts w:ascii="Calibri" w:hAnsi="Calibri"/>
        <w:sz w:val="16"/>
        <w:szCs w:val="16"/>
      </w:rPr>
      <w:t xml:space="preserve"> di </w:t>
    </w:r>
    <w:r w:rsidR="004F43D4">
      <w:rPr>
        <w:rStyle w:val="Numeropagina"/>
        <w:rFonts w:ascii="Calibri" w:hAnsi="Calibri"/>
        <w:sz w:val="16"/>
        <w:szCs w:val="16"/>
      </w:rPr>
      <w:t>9</w:t>
    </w:r>
  </w:p>
  <w:p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</w:p>
  <w:p w:rsidR="00E95587" w:rsidRDefault="00E95587" w:rsidP="00E95587">
    <w:pPr>
      <w:pStyle w:val="Pidipagina"/>
      <w:jc w:val="right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2849" cy="790574"/>
          <wp:effectExtent l="0" t="0" r="0" b="0"/>
          <wp:wrapNone/>
          <wp:docPr id="1" name="Immagine 2" descr="AIFA18_Def_Piede_No_I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" descr="AIFA18_Def_Piede_No_In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75628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95587" w:rsidRDefault="00E95587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3D4" w:rsidRDefault="004F43D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E8E" w:rsidRDefault="00FF5E8E" w:rsidP="00E95587">
      <w:pPr>
        <w:spacing w:after="0" w:line="240" w:lineRule="auto"/>
      </w:pPr>
      <w:r>
        <w:separator/>
      </w:r>
    </w:p>
  </w:footnote>
  <w:footnote w:type="continuationSeparator" w:id="0">
    <w:p w:rsidR="00FF5E8E" w:rsidRDefault="00FF5E8E" w:rsidP="00E95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3D4" w:rsidRDefault="004F43D4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3D4" w:rsidRDefault="004F43D4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3D4" w:rsidRDefault="004F43D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7FB5"/>
    <w:multiLevelType w:val="hybridMultilevel"/>
    <w:tmpl w:val="0C5A3A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B72EE8"/>
    <w:multiLevelType w:val="hybridMultilevel"/>
    <w:tmpl w:val="59E066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937D1B"/>
    <w:multiLevelType w:val="hybridMultilevel"/>
    <w:tmpl w:val="9AE2420C"/>
    <w:lvl w:ilvl="0" w:tplc="A240DB5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97EC5"/>
    <w:multiLevelType w:val="hybridMultilevel"/>
    <w:tmpl w:val="EA1A8666"/>
    <w:lvl w:ilvl="0" w:tplc="D0AA8484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  <w:lang w:val="en-US"/>
      </w:rPr>
    </w:lvl>
    <w:lvl w:ilvl="1" w:tplc="6764D4A8">
      <w:numFmt w:val="bullet"/>
      <w:lvlText w:val="•"/>
      <w:lvlJc w:val="left"/>
      <w:pPr>
        <w:ind w:left="1481" w:hanging="360"/>
      </w:pPr>
      <w:rPr>
        <w:rFonts w:ascii="Times New Roman" w:eastAsia="Arial Unicode MS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4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1B45B6"/>
    <w:multiLevelType w:val="hybridMultilevel"/>
    <w:tmpl w:val="23AE0B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B476C5B"/>
    <w:multiLevelType w:val="multilevel"/>
    <w:tmpl w:val="7BD06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6237A2"/>
    <w:multiLevelType w:val="hybridMultilevel"/>
    <w:tmpl w:val="1F6E0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5"/>
  </w:num>
  <w:num w:numId="6">
    <w:abstractNumId w:val="9"/>
  </w:num>
  <w:num w:numId="7">
    <w:abstractNumId w:val="0"/>
  </w:num>
  <w:num w:numId="8">
    <w:abstractNumId w:val="7"/>
  </w:num>
  <w:num w:numId="9">
    <w:abstractNumId w:val="1"/>
  </w:num>
  <w:num w:numId="10">
    <w:abstractNumId w:val="2"/>
  </w:num>
  <w:num w:numId="11">
    <w:abstractNumId w:val="1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241AC"/>
    <w:rsid w:val="00013020"/>
    <w:rsid w:val="00014743"/>
    <w:rsid w:val="0001619B"/>
    <w:rsid w:val="00022511"/>
    <w:rsid w:val="00023CEA"/>
    <w:rsid w:val="00044466"/>
    <w:rsid w:val="00062243"/>
    <w:rsid w:val="00062636"/>
    <w:rsid w:val="0006488F"/>
    <w:rsid w:val="000808A3"/>
    <w:rsid w:val="00090041"/>
    <w:rsid w:val="0009772C"/>
    <w:rsid w:val="000A4BA1"/>
    <w:rsid w:val="000B7AC8"/>
    <w:rsid w:val="000C6F36"/>
    <w:rsid w:val="000E1F86"/>
    <w:rsid w:val="000E4494"/>
    <w:rsid w:val="000F658F"/>
    <w:rsid w:val="00111E9E"/>
    <w:rsid w:val="001178D8"/>
    <w:rsid w:val="00125ED8"/>
    <w:rsid w:val="00137DE0"/>
    <w:rsid w:val="001460CA"/>
    <w:rsid w:val="001618FF"/>
    <w:rsid w:val="00165074"/>
    <w:rsid w:val="00194D8F"/>
    <w:rsid w:val="001C15DF"/>
    <w:rsid w:val="001F2FB6"/>
    <w:rsid w:val="00222523"/>
    <w:rsid w:val="00243EDF"/>
    <w:rsid w:val="00247F0A"/>
    <w:rsid w:val="00264369"/>
    <w:rsid w:val="00265B61"/>
    <w:rsid w:val="002734C4"/>
    <w:rsid w:val="00277A0E"/>
    <w:rsid w:val="00287BDC"/>
    <w:rsid w:val="002F2543"/>
    <w:rsid w:val="002F4000"/>
    <w:rsid w:val="00300BEA"/>
    <w:rsid w:val="003061E0"/>
    <w:rsid w:val="0032291E"/>
    <w:rsid w:val="00330A82"/>
    <w:rsid w:val="00332166"/>
    <w:rsid w:val="003514DF"/>
    <w:rsid w:val="0035195E"/>
    <w:rsid w:val="003559CD"/>
    <w:rsid w:val="00367CE0"/>
    <w:rsid w:val="00371290"/>
    <w:rsid w:val="00380477"/>
    <w:rsid w:val="003928A0"/>
    <w:rsid w:val="003B123F"/>
    <w:rsid w:val="003C489D"/>
    <w:rsid w:val="003E39D9"/>
    <w:rsid w:val="0040048A"/>
    <w:rsid w:val="0042214D"/>
    <w:rsid w:val="00423A97"/>
    <w:rsid w:val="004241AC"/>
    <w:rsid w:val="00432C60"/>
    <w:rsid w:val="004349F7"/>
    <w:rsid w:val="004609F8"/>
    <w:rsid w:val="00466209"/>
    <w:rsid w:val="00467D2B"/>
    <w:rsid w:val="00494426"/>
    <w:rsid w:val="004B20A8"/>
    <w:rsid w:val="004C43BE"/>
    <w:rsid w:val="004E5A39"/>
    <w:rsid w:val="004F43D4"/>
    <w:rsid w:val="004F5969"/>
    <w:rsid w:val="00500ACA"/>
    <w:rsid w:val="005049A1"/>
    <w:rsid w:val="00504FC1"/>
    <w:rsid w:val="00520216"/>
    <w:rsid w:val="005409DE"/>
    <w:rsid w:val="0056372C"/>
    <w:rsid w:val="00567615"/>
    <w:rsid w:val="005711A1"/>
    <w:rsid w:val="00575C97"/>
    <w:rsid w:val="005950D6"/>
    <w:rsid w:val="00597EE3"/>
    <w:rsid w:val="005A1023"/>
    <w:rsid w:val="005C3F9D"/>
    <w:rsid w:val="00621AE2"/>
    <w:rsid w:val="00634366"/>
    <w:rsid w:val="00642D6A"/>
    <w:rsid w:val="0064646C"/>
    <w:rsid w:val="00654D9E"/>
    <w:rsid w:val="00664931"/>
    <w:rsid w:val="0066693D"/>
    <w:rsid w:val="006727BD"/>
    <w:rsid w:val="006970E2"/>
    <w:rsid w:val="006B311C"/>
    <w:rsid w:val="006B3E12"/>
    <w:rsid w:val="006D7B8C"/>
    <w:rsid w:val="00716DF5"/>
    <w:rsid w:val="007170D7"/>
    <w:rsid w:val="007221B6"/>
    <w:rsid w:val="0074089C"/>
    <w:rsid w:val="00745E21"/>
    <w:rsid w:val="00766E26"/>
    <w:rsid w:val="007722E1"/>
    <w:rsid w:val="00793ABA"/>
    <w:rsid w:val="00797416"/>
    <w:rsid w:val="007C0E5E"/>
    <w:rsid w:val="007C5C9B"/>
    <w:rsid w:val="00823F4C"/>
    <w:rsid w:val="00825E32"/>
    <w:rsid w:val="00851296"/>
    <w:rsid w:val="008547B3"/>
    <w:rsid w:val="008819D4"/>
    <w:rsid w:val="00881B68"/>
    <w:rsid w:val="0088216F"/>
    <w:rsid w:val="008A6FEC"/>
    <w:rsid w:val="008B60D7"/>
    <w:rsid w:val="008C3D30"/>
    <w:rsid w:val="008C741F"/>
    <w:rsid w:val="008D10A9"/>
    <w:rsid w:val="008D1529"/>
    <w:rsid w:val="008F60AB"/>
    <w:rsid w:val="00920D99"/>
    <w:rsid w:val="00943785"/>
    <w:rsid w:val="00957832"/>
    <w:rsid w:val="00981ECA"/>
    <w:rsid w:val="0099256B"/>
    <w:rsid w:val="009A23DE"/>
    <w:rsid w:val="009A260F"/>
    <w:rsid w:val="009A3E48"/>
    <w:rsid w:val="009B03DB"/>
    <w:rsid w:val="009D3446"/>
    <w:rsid w:val="009E0140"/>
    <w:rsid w:val="009E1EDF"/>
    <w:rsid w:val="009E2BC0"/>
    <w:rsid w:val="009F1411"/>
    <w:rsid w:val="009F3867"/>
    <w:rsid w:val="009F7CB1"/>
    <w:rsid w:val="00A01AB1"/>
    <w:rsid w:val="00A05D07"/>
    <w:rsid w:val="00A1396E"/>
    <w:rsid w:val="00A17450"/>
    <w:rsid w:val="00A40FF3"/>
    <w:rsid w:val="00A62D2A"/>
    <w:rsid w:val="00A62D55"/>
    <w:rsid w:val="00A65BEE"/>
    <w:rsid w:val="00A87812"/>
    <w:rsid w:val="00A908B9"/>
    <w:rsid w:val="00A966D1"/>
    <w:rsid w:val="00AB0F1E"/>
    <w:rsid w:val="00AB2614"/>
    <w:rsid w:val="00B023E9"/>
    <w:rsid w:val="00B06B3E"/>
    <w:rsid w:val="00B1186F"/>
    <w:rsid w:val="00B13A02"/>
    <w:rsid w:val="00B2068E"/>
    <w:rsid w:val="00B30431"/>
    <w:rsid w:val="00B44DF6"/>
    <w:rsid w:val="00B83FAE"/>
    <w:rsid w:val="00B85D01"/>
    <w:rsid w:val="00B955C8"/>
    <w:rsid w:val="00BA0ACD"/>
    <w:rsid w:val="00BA0AFB"/>
    <w:rsid w:val="00BB2AF8"/>
    <w:rsid w:val="00BB7B54"/>
    <w:rsid w:val="00BC74C2"/>
    <w:rsid w:val="00BE7CDB"/>
    <w:rsid w:val="00BF55B9"/>
    <w:rsid w:val="00BF7A42"/>
    <w:rsid w:val="00C11612"/>
    <w:rsid w:val="00C2565A"/>
    <w:rsid w:val="00C31626"/>
    <w:rsid w:val="00C42AAC"/>
    <w:rsid w:val="00C444C0"/>
    <w:rsid w:val="00C66597"/>
    <w:rsid w:val="00CC1D20"/>
    <w:rsid w:val="00CC52A3"/>
    <w:rsid w:val="00CC7AFF"/>
    <w:rsid w:val="00CE62A1"/>
    <w:rsid w:val="00CF03A5"/>
    <w:rsid w:val="00CF3612"/>
    <w:rsid w:val="00D031E9"/>
    <w:rsid w:val="00D04741"/>
    <w:rsid w:val="00D145F0"/>
    <w:rsid w:val="00D167E9"/>
    <w:rsid w:val="00D20170"/>
    <w:rsid w:val="00D212AA"/>
    <w:rsid w:val="00D25B21"/>
    <w:rsid w:val="00D27199"/>
    <w:rsid w:val="00D60600"/>
    <w:rsid w:val="00D65622"/>
    <w:rsid w:val="00D96199"/>
    <w:rsid w:val="00DB359A"/>
    <w:rsid w:val="00DE633C"/>
    <w:rsid w:val="00E0025E"/>
    <w:rsid w:val="00E10D6C"/>
    <w:rsid w:val="00E15084"/>
    <w:rsid w:val="00E43089"/>
    <w:rsid w:val="00E6388D"/>
    <w:rsid w:val="00E77DD7"/>
    <w:rsid w:val="00E83F8D"/>
    <w:rsid w:val="00E84D38"/>
    <w:rsid w:val="00E95587"/>
    <w:rsid w:val="00EC20D3"/>
    <w:rsid w:val="00EC2A89"/>
    <w:rsid w:val="00EC3589"/>
    <w:rsid w:val="00EC4F2F"/>
    <w:rsid w:val="00ED2355"/>
    <w:rsid w:val="00EE26CC"/>
    <w:rsid w:val="00EF062E"/>
    <w:rsid w:val="00EF6711"/>
    <w:rsid w:val="00F26F36"/>
    <w:rsid w:val="00F43E9B"/>
    <w:rsid w:val="00F66767"/>
    <w:rsid w:val="00F85989"/>
    <w:rsid w:val="00F96473"/>
    <w:rsid w:val="00FA2702"/>
    <w:rsid w:val="00FA49B4"/>
    <w:rsid w:val="00FA4AC9"/>
    <w:rsid w:val="00FE1A5E"/>
    <w:rsid w:val="00FE7C52"/>
    <w:rsid w:val="00FF18D3"/>
    <w:rsid w:val="00FF5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Connettore 2 31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3ED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587"/>
  </w:style>
  <w:style w:type="paragraph" w:styleId="Pidipagina">
    <w:name w:val="footer"/>
    <w:basedOn w:val="Normale"/>
    <w:link w:val="PidipaginaCarattere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587"/>
  </w:style>
  <w:style w:type="character" w:styleId="Numeropagina">
    <w:name w:val="page number"/>
    <w:basedOn w:val="Carpredefinitoparagrafo"/>
    <w:rsid w:val="00E95587"/>
  </w:style>
  <w:style w:type="character" w:styleId="Rimandocommento">
    <w:name w:val="annotation reference"/>
    <w:basedOn w:val="Carpredefinitoparagrafo"/>
    <w:uiPriority w:val="99"/>
    <w:semiHidden/>
    <w:unhideWhenUsed/>
    <w:rsid w:val="00432C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2C6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2C6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2C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2C60"/>
    <w:rPr>
      <w:b/>
      <w:bCs/>
      <w:sz w:val="20"/>
      <w:szCs w:val="20"/>
    </w:rPr>
  </w:style>
  <w:style w:type="paragraph" w:customStyle="1" w:styleId="Testo1">
    <w:name w:val="Testo 1"/>
    <w:basedOn w:val="Normale"/>
    <w:link w:val="Testo1Carattere"/>
    <w:qFormat/>
    <w:rsid w:val="00044466"/>
    <w:pPr>
      <w:widowControl w:val="0"/>
      <w:spacing w:before="120" w:after="120" w:line="240" w:lineRule="auto"/>
    </w:pPr>
    <w:rPr>
      <w:rFonts w:ascii="Times New Roman" w:eastAsia="Arial Unicode MS" w:hAnsi="Times New Roman" w:cs="Times New Roman"/>
      <w:color w:val="000000"/>
      <w:sz w:val="24"/>
      <w:szCs w:val="21"/>
      <w:lang w:val="en-GB" w:eastAsia="en-US"/>
    </w:rPr>
  </w:style>
  <w:style w:type="character" w:customStyle="1" w:styleId="Testo1Carattere">
    <w:name w:val="Testo 1 Carattere"/>
    <w:link w:val="Testo1"/>
    <w:locked/>
    <w:rsid w:val="00044466"/>
    <w:rPr>
      <w:rFonts w:ascii="Times New Roman" w:eastAsia="Arial Unicode MS" w:hAnsi="Times New Roman" w:cs="Times New Roman"/>
      <w:color w:val="000000"/>
      <w:sz w:val="24"/>
      <w:szCs w:val="21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farmaci.agenziafarmaco.gov.it/bancadatifarmaci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farmaci.agenziafarmaco.gov.it/bancadatifarmaci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farmaci.agenziafarmaco.gov.it/bancadatifarmaci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hyperlink" Target="https://farmaci.agenziafarmaco.gov.it/bancadatifarmaci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0B971-5D14-49E5-8687-48BBD5328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2508</Words>
  <Characters>14296</Characters>
  <Application>Microsoft Office Word</Application>
  <DocSecurity>0</DocSecurity>
  <Lines>119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2</cp:revision>
  <dcterms:created xsi:type="dcterms:W3CDTF">2020-12-03T10:11:00Z</dcterms:created>
  <dcterms:modified xsi:type="dcterms:W3CDTF">2020-12-03T10:11:00Z</dcterms:modified>
</cp:coreProperties>
</file>