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26548" w:rsidP="004241AC">
      <w:pPr>
        <w:spacing w:after="0" w:line="240" w:lineRule="auto"/>
        <w:jc w:val="center"/>
        <w:rPr>
          <w:lang w:val="en-US"/>
        </w:rPr>
      </w:pPr>
      <w:r w:rsidRPr="00326548">
        <w:rPr>
          <w:noProof/>
          <w:lang w:eastAsia="it-IT"/>
        </w:rPr>
        <w:drawing>
          <wp:inline distT="0" distB="0" distL="0" distR="0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1C7AD0" w:rsidRDefault="00B53B58" w:rsidP="00B32D81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Riassunto della Relazione Pubblica </w:t>
      </w:r>
      <w:r w:rsidR="004241AC" w:rsidRPr="001C7AD0">
        <w:rPr>
          <w:b/>
          <w:sz w:val="28"/>
        </w:rPr>
        <w:t>di Valutazione</w:t>
      </w:r>
    </w:p>
    <w:p w:rsidR="00B32D81" w:rsidRDefault="00B32D81" w:rsidP="00B32D81">
      <w:pPr>
        <w:spacing w:after="0" w:line="240" w:lineRule="auto"/>
        <w:jc w:val="center"/>
        <w:rPr>
          <w:b/>
        </w:rPr>
      </w:pPr>
    </w:p>
    <w:p w:rsidR="009F0F0B" w:rsidRPr="00B32D81" w:rsidRDefault="009F0F0B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DA1945" w:rsidRPr="00C051DB" w:rsidRDefault="00AA4A56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TADALAFIL ABC</w:t>
      </w:r>
    </w:p>
    <w:p w:rsidR="004241AC" w:rsidRPr="00C051DB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C051DB">
        <w:rPr>
          <w:snapToGrid w:val="0"/>
        </w:rPr>
        <w:t>(</w:t>
      </w:r>
      <w:r w:rsidR="00A21D75">
        <w:rPr>
          <w:snapToGrid w:val="0"/>
        </w:rPr>
        <w:t>tadalafil</w:t>
      </w:r>
      <w:r w:rsidR="004241AC" w:rsidRPr="00C051DB">
        <w:rPr>
          <w:snapToGrid w:val="0"/>
        </w:rPr>
        <w:t>)</w:t>
      </w:r>
    </w:p>
    <w:p w:rsidR="00A15887" w:rsidRDefault="00A15887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15887" w:rsidRPr="00C051DB" w:rsidRDefault="00A15887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21D75" w:rsidRPr="00A21D75" w:rsidRDefault="00AA4A56" w:rsidP="00A21D75">
      <w:pPr>
        <w:spacing w:after="0" w:line="240" w:lineRule="auto"/>
        <w:jc w:val="center"/>
        <w:rPr>
          <w:b/>
        </w:rPr>
      </w:pPr>
      <w:r w:rsidRPr="00AA4A56">
        <w:rPr>
          <w:b/>
        </w:rPr>
        <w:t>ABC FARMACEUTICI S.P.A.</w:t>
      </w:r>
      <w:r>
        <w:rPr>
          <w:b/>
        </w:rPr>
        <w:t xml:space="preserve"> </w:t>
      </w:r>
    </w:p>
    <w:p w:rsidR="009F0F0B" w:rsidRDefault="00A21D75" w:rsidP="00B32D81">
      <w:pPr>
        <w:spacing w:after="0" w:line="240" w:lineRule="auto"/>
        <w:jc w:val="center"/>
        <w:rPr>
          <w:b/>
        </w:rPr>
      </w:pPr>
      <w:r>
        <w:rPr>
          <w:b/>
        </w:rPr>
        <w:t xml:space="preserve"> </w:t>
      </w:r>
    </w:p>
    <w:p w:rsidR="00FF3972" w:rsidRDefault="00FF3972" w:rsidP="00B32D81">
      <w:pPr>
        <w:spacing w:after="0" w:line="240" w:lineRule="auto"/>
        <w:jc w:val="center"/>
        <w:rPr>
          <w:b/>
        </w:rPr>
      </w:pPr>
    </w:p>
    <w:p w:rsidR="00AE7D76" w:rsidRPr="00AE7D76" w:rsidRDefault="004241AC" w:rsidP="00AE7D76">
      <w:pPr>
        <w:jc w:val="center"/>
        <w:rPr>
          <w:b/>
        </w:rPr>
      </w:pPr>
      <w:r w:rsidRPr="00B32D81">
        <w:rPr>
          <w:b/>
        </w:rPr>
        <w:t xml:space="preserve">Numero di AIC: </w:t>
      </w:r>
      <w:r w:rsidR="00AA4A56" w:rsidRPr="00AA4A56">
        <w:rPr>
          <w:b/>
        </w:rPr>
        <w:t>045643</w:t>
      </w:r>
      <w:r w:rsidR="00A21D75">
        <w:rPr>
          <w:b/>
        </w:rPr>
        <w:t xml:space="preserve"> </w:t>
      </w:r>
      <w:r w:rsidR="00AA4A56">
        <w:rPr>
          <w:b/>
        </w:rPr>
        <w:t xml:space="preserve"> </w:t>
      </w:r>
    </w:p>
    <w:bookmarkEnd w:id="0"/>
    <w:p w:rsidR="00B32D81" w:rsidRPr="00B32D81" w:rsidRDefault="00F80DE9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>
        <w:rPr>
          <w:rFonts w:eastAsia="Calibri" w:cs="Calibri"/>
          <w:b/>
          <w:color w:val="000000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>Public Assessment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r w:rsidR="00AA4A56">
        <w:rPr>
          <w:rFonts w:cs="Times New Roman"/>
          <w:bCs/>
          <w:color w:val="000000"/>
        </w:rPr>
        <w:t>TADALAFIL ABC</w:t>
      </w:r>
      <w:r w:rsidR="00FF3972">
        <w:rPr>
          <w:rFonts w:cs="Times New Roman"/>
          <w:bCs/>
          <w:color w:val="000000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r w:rsidR="00AA4A56">
        <w:rPr>
          <w:rFonts w:eastAsia="Calibri" w:cs="Calibri"/>
          <w:color w:val="000000"/>
          <w:lang w:eastAsia="it-IT"/>
        </w:rPr>
        <w:t xml:space="preserve">TADALAFIL </w:t>
      </w:r>
      <w:r w:rsidR="00ED3654">
        <w:rPr>
          <w:rFonts w:eastAsia="Calibri" w:cs="Calibri"/>
          <w:color w:val="000000"/>
          <w:lang w:eastAsia="it-IT"/>
        </w:rPr>
        <w:t xml:space="preserve"> </w:t>
      </w:r>
      <w:r w:rsidR="00AA4A56">
        <w:rPr>
          <w:rFonts w:eastAsia="Calibri" w:cs="Calibri"/>
          <w:color w:val="000000"/>
          <w:lang w:eastAsia="it-IT"/>
        </w:rPr>
        <w:t>ABC</w:t>
      </w:r>
      <w:r w:rsidR="00FF3972" w:rsidRPr="00FF3972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è stato valutato dalla Commissione Tecnico-Scientifica (CTS) e sue le condizioni </w:t>
      </w:r>
      <w:r w:rsidR="005D53B9" w:rsidRPr="00B32D81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r w:rsidR="00AA4A56">
        <w:rPr>
          <w:rFonts w:eastAsia="Calibri" w:cs="Calibri"/>
          <w:color w:val="000000"/>
          <w:lang w:eastAsia="it-IT"/>
        </w:rPr>
        <w:t>TADALAFIL ABC</w:t>
      </w:r>
      <w:r w:rsidR="00FF3972">
        <w:rPr>
          <w:rFonts w:eastAsia="Calibri" w:cs="Calibri"/>
          <w:color w:val="000000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AA4A56">
        <w:rPr>
          <w:rFonts w:eastAsia="Calibri" w:cs="Calibri"/>
          <w:color w:val="000000"/>
          <w:lang w:eastAsia="it-IT"/>
        </w:rPr>
        <w:t>TADALAFIL ABC</w:t>
      </w:r>
      <w:r w:rsidR="00FF3972" w:rsidRPr="00FF3972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AA4A56">
        <w:rPr>
          <w:rFonts w:eastAsia="Calibri" w:cs="Calibri"/>
          <w:b/>
          <w:color w:val="000000"/>
          <w:lang w:eastAsia="it-IT"/>
        </w:rPr>
        <w:t>TADALAFIL ABC</w:t>
      </w:r>
      <w:r w:rsidR="00FF3972" w:rsidRPr="00FF3972">
        <w:rPr>
          <w:rFonts w:eastAsia="Calibri" w:cs="Calibri"/>
          <w:b/>
          <w:color w:val="000000"/>
          <w:lang w:eastAsia="it-IT"/>
        </w:rPr>
        <w:t xml:space="preserve"> </w:t>
      </w:r>
      <w:r w:rsidR="003A0AA5" w:rsidRPr="00B32D81">
        <w:rPr>
          <w:rFonts w:eastAsia="Calibri" w:cs="Calibri"/>
          <w:b/>
          <w:bCs/>
          <w:color w:val="000000"/>
          <w:lang w:eastAsia="it-IT"/>
        </w:rPr>
        <w:t>E A COSA SERVE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53B58" w:rsidRDefault="00AA4A56" w:rsidP="004A317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TADALAFIL ABC</w:t>
      </w:r>
      <w:r w:rsidR="00FF3972" w:rsidRPr="00FF3972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B32D81">
        <w:rPr>
          <w:rFonts w:eastAsia="Calibri" w:cs="Calibri"/>
          <w:color w:val="000000"/>
          <w:lang w:eastAsia="it-IT"/>
        </w:rPr>
        <w:t>i</w:t>
      </w:r>
      <w:r w:rsidR="005F2D30">
        <w:rPr>
          <w:rFonts w:eastAsia="Calibri" w:cs="Calibri"/>
          <w:color w:val="000000"/>
          <w:lang w:eastAsia="it-IT"/>
        </w:rPr>
        <w:t>l</w:t>
      </w:r>
      <w:r w:rsidR="004241AC" w:rsidRPr="00B32D81">
        <w:rPr>
          <w:rFonts w:eastAsia="Calibri" w:cs="Calibri"/>
          <w:color w:val="000000"/>
          <w:lang w:eastAsia="it-IT"/>
        </w:rPr>
        <w:t xml:space="preserve"> principi</w:t>
      </w:r>
      <w:r w:rsidR="005F2D30">
        <w:rPr>
          <w:rFonts w:eastAsia="Calibri" w:cs="Calibri"/>
          <w:color w:val="000000"/>
          <w:lang w:eastAsia="it-IT"/>
        </w:rPr>
        <w:t>o</w:t>
      </w:r>
      <w:r w:rsidR="004241AC" w:rsidRPr="00B32D81">
        <w:rPr>
          <w:rFonts w:eastAsia="Calibri" w:cs="Calibri"/>
          <w:color w:val="000000"/>
          <w:lang w:eastAsia="it-IT"/>
        </w:rPr>
        <w:t xml:space="preserve"> attiv</w:t>
      </w:r>
      <w:r w:rsidR="005F2D30">
        <w:rPr>
          <w:rFonts w:eastAsia="Calibri" w:cs="Calibri"/>
          <w:color w:val="000000"/>
          <w:lang w:eastAsia="it-IT"/>
        </w:rPr>
        <w:t>o</w:t>
      </w:r>
      <w:r w:rsidR="00D8197E">
        <w:rPr>
          <w:rFonts w:eastAsia="Calibri" w:cs="Calibri"/>
          <w:color w:val="000000"/>
          <w:lang w:eastAsia="it-IT"/>
        </w:rPr>
        <w:t xml:space="preserve"> </w:t>
      </w:r>
      <w:r w:rsidR="00AE7D76">
        <w:rPr>
          <w:rFonts w:eastAsia="Calibri" w:cs="Calibri"/>
          <w:color w:val="000000"/>
          <w:lang w:eastAsia="it-IT"/>
        </w:rPr>
        <w:t>tadalafil</w:t>
      </w:r>
      <w:r w:rsidR="00E67A26">
        <w:rPr>
          <w:rFonts w:eastAsia="Calibri" w:cs="Calibri"/>
          <w:color w:val="000000"/>
          <w:lang w:eastAsia="it-IT"/>
        </w:rPr>
        <w:t xml:space="preserve"> ed è disponibile come</w:t>
      </w:r>
      <w:r w:rsidR="00D416F1">
        <w:rPr>
          <w:rFonts w:eastAsia="Calibri" w:cs="Calibri"/>
          <w:color w:val="000000"/>
          <w:lang w:eastAsia="it-IT"/>
        </w:rPr>
        <w:t xml:space="preserve"> compresse</w:t>
      </w:r>
      <w:r w:rsidR="00E67A26">
        <w:rPr>
          <w:rFonts w:eastAsia="Calibri" w:cs="Calibri"/>
          <w:color w:val="000000"/>
          <w:lang w:eastAsia="it-IT"/>
        </w:rPr>
        <w:t xml:space="preserve"> rivestite con film</w:t>
      </w:r>
      <w:r w:rsidR="00D416F1">
        <w:rPr>
          <w:rFonts w:eastAsia="Calibri" w:cs="Calibri"/>
          <w:color w:val="000000"/>
          <w:lang w:eastAsia="it-IT"/>
        </w:rPr>
        <w:t xml:space="preserve"> contenenti </w:t>
      </w:r>
      <w:r>
        <w:rPr>
          <w:rFonts w:eastAsia="Calibri" w:cs="Calibri"/>
          <w:color w:val="000000"/>
          <w:lang w:eastAsia="it-IT"/>
        </w:rPr>
        <w:t xml:space="preserve">2,5 mg, </w:t>
      </w:r>
      <w:r w:rsidR="00E67A26">
        <w:t>5</w:t>
      </w:r>
      <w:r>
        <w:t xml:space="preserve"> mg</w:t>
      </w:r>
      <w:r w:rsidR="00E67A26">
        <w:t>, 10</w:t>
      </w:r>
      <w:r>
        <w:t>mg</w:t>
      </w:r>
      <w:r w:rsidR="00E67A26">
        <w:t xml:space="preserve"> e</w:t>
      </w:r>
      <w:r w:rsidR="00E67A26" w:rsidRPr="009A305B">
        <w:t xml:space="preserve"> 20 </w:t>
      </w:r>
      <w:r w:rsidR="00E67A26">
        <w:rPr>
          <w:rFonts w:eastAsia="Calibri" w:cs="Calibri"/>
          <w:color w:val="000000"/>
          <w:lang w:eastAsia="it-IT"/>
        </w:rPr>
        <w:t>mg di principio attivo.</w:t>
      </w:r>
    </w:p>
    <w:p w:rsidR="00CF3ED2" w:rsidRDefault="00AA4A56" w:rsidP="00CF3ED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TADALAFIL ABC</w:t>
      </w:r>
      <w:r w:rsidR="004960F4" w:rsidRPr="004960F4">
        <w:rPr>
          <w:rFonts w:eastAsia="Calibri" w:cs="Calibri"/>
          <w:color w:val="000000"/>
          <w:lang w:eastAsia="it-IT"/>
        </w:rPr>
        <w:t xml:space="preserve"> </w:t>
      </w:r>
      <w:r w:rsidR="00CF3ED2">
        <w:rPr>
          <w:rFonts w:eastAsia="Calibri" w:cs="Calibri"/>
          <w:color w:val="000000"/>
          <w:lang w:eastAsia="it-IT"/>
        </w:rPr>
        <w:t xml:space="preserve">5 mg </w:t>
      </w:r>
      <w:r w:rsidR="004960F4" w:rsidRPr="004A3172">
        <w:rPr>
          <w:rFonts w:eastAsia="Calibri" w:cs="Calibri"/>
          <w:color w:val="000000"/>
          <w:lang w:eastAsia="it-IT"/>
        </w:rPr>
        <w:t>si usa per</w:t>
      </w:r>
      <w:r w:rsidR="00CF3ED2">
        <w:rPr>
          <w:rFonts w:eastAsia="Calibri" w:cs="Calibri"/>
          <w:color w:val="000000"/>
          <w:lang w:eastAsia="it-IT"/>
        </w:rPr>
        <w:t xml:space="preserve"> il trattamento:</w:t>
      </w:r>
    </w:p>
    <w:p w:rsidR="00CF3ED2" w:rsidRPr="00CF3ED2" w:rsidRDefault="00CF3ED2" w:rsidP="00CF3ED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- della </w:t>
      </w:r>
      <w:r w:rsidRPr="00CF3ED2">
        <w:rPr>
          <w:rFonts w:eastAsia="Calibri" w:cs="Calibri"/>
          <w:color w:val="000000"/>
          <w:lang w:eastAsia="it-IT"/>
        </w:rPr>
        <w:t>disfunzione erettile</w:t>
      </w:r>
      <w:r>
        <w:rPr>
          <w:rFonts w:eastAsia="Calibri" w:cs="Calibri"/>
          <w:color w:val="000000"/>
          <w:lang w:eastAsia="it-IT"/>
        </w:rPr>
        <w:t xml:space="preserve"> negli uomini: q</w:t>
      </w:r>
      <w:r w:rsidRPr="00CF3ED2">
        <w:rPr>
          <w:rFonts w:eastAsia="Calibri" w:cs="Calibri"/>
          <w:color w:val="000000"/>
          <w:lang w:eastAsia="it-IT"/>
        </w:rPr>
        <w:t xml:space="preserve">uesta condizione si verifica quando un uomo non riesce a raggiungere o a mantenere un’erezione </w:t>
      </w:r>
      <w:r w:rsidR="00AA4A56">
        <w:rPr>
          <w:rFonts w:eastAsia="Calibri" w:cs="Calibri"/>
          <w:color w:val="000000"/>
          <w:lang w:eastAsia="it-IT"/>
        </w:rPr>
        <w:t>idonea per un rapporto sessuale</w:t>
      </w:r>
      <w:r w:rsidR="00836558">
        <w:rPr>
          <w:rFonts w:eastAsia="Calibri" w:cs="Calibri"/>
          <w:color w:val="000000"/>
          <w:lang w:eastAsia="it-IT"/>
        </w:rPr>
        <w:t>;</w:t>
      </w:r>
    </w:p>
    <w:p w:rsidR="00CF3ED2" w:rsidRDefault="00CF3ED2" w:rsidP="00D8197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F3ED2">
        <w:rPr>
          <w:rFonts w:eastAsia="Calibri" w:cs="Calibri"/>
          <w:color w:val="000000"/>
          <w:lang w:eastAsia="it-IT"/>
        </w:rPr>
        <w:t xml:space="preserve">- </w:t>
      </w:r>
      <w:r>
        <w:rPr>
          <w:rFonts w:eastAsia="Calibri" w:cs="Calibri"/>
          <w:color w:val="000000"/>
          <w:lang w:eastAsia="it-IT"/>
        </w:rPr>
        <w:t xml:space="preserve">dei </w:t>
      </w:r>
      <w:r w:rsidRPr="00CF3ED2">
        <w:rPr>
          <w:rFonts w:eastAsia="Calibri" w:cs="Calibri"/>
          <w:color w:val="000000"/>
          <w:lang w:eastAsia="it-IT"/>
        </w:rPr>
        <w:t>sintomi urinari associati ad una condizione comune chiamat</w:t>
      </w:r>
      <w:r>
        <w:rPr>
          <w:rFonts w:eastAsia="Calibri" w:cs="Calibri"/>
          <w:color w:val="000000"/>
          <w:lang w:eastAsia="it-IT"/>
        </w:rPr>
        <w:t>a iperplasia prostatica benigna: q</w:t>
      </w:r>
      <w:r w:rsidRPr="00CF3ED2">
        <w:rPr>
          <w:rFonts w:eastAsia="Calibri" w:cs="Calibri"/>
          <w:color w:val="000000"/>
          <w:lang w:eastAsia="it-IT"/>
        </w:rPr>
        <w:t>uesta condizione si verifica quando la prostata ingrossa con l’età</w:t>
      </w:r>
      <w:r>
        <w:rPr>
          <w:rFonts w:eastAsia="Calibri" w:cs="Calibri"/>
          <w:color w:val="000000"/>
          <w:lang w:eastAsia="it-IT"/>
        </w:rPr>
        <w:t xml:space="preserve"> e i</w:t>
      </w:r>
      <w:r w:rsidRPr="00CF3ED2">
        <w:rPr>
          <w:rFonts w:eastAsia="Calibri" w:cs="Calibri"/>
          <w:color w:val="000000"/>
          <w:lang w:eastAsia="it-IT"/>
        </w:rPr>
        <w:t xml:space="preserve"> sintomi includono difficoltà a iniziare la minzione, sensazione di non svuotare completamente la vescica e una più frequente necessità di urinare anche durante la notte. </w:t>
      </w:r>
    </w:p>
    <w:p w:rsidR="00CF3ED2" w:rsidRDefault="00AA4A56" w:rsidP="00D8197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TADALAFIL ABC</w:t>
      </w:r>
      <w:r w:rsidR="00CF3ED2" w:rsidRPr="00CF3ED2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2,5 mg, </w:t>
      </w:r>
      <w:r w:rsidR="00CF3ED2">
        <w:rPr>
          <w:rFonts w:eastAsia="Calibri" w:cs="Calibri"/>
          <w:color w:val="000000"/>
          <w:lang w:eastAsia="it-IT"/>
        </w:rPr>
        <w:t>10 mg e 20 mg si usa per il trattamento</w:t>
      </w:r>
      <w:r w:rsidR="00CF3ED2" w:rsidRPr="00CF3ED2">
        <w:rPr>
          <w:rFonts w:eastAsia="Calibri" w:cs="Calibri"/>
          <w:color w:val="000000"/>
          <w:lang w:eastAsia="it-IT"/>
        </w:rPr>
        <w:t xml:space="preserve"> della disfunzione erettile negli uomini</w:t>
      </w:r>
      <w:r w:rsidR="00CF3ED2">
        <w:rPr>
          <w:rFonts w:eastAsia="Calibri" w:cs="Calibri"/>
          <w:color w:val="000000"/>
          <w:lang w:eastAsia="it-IT"/>
        </w:rPr>
        <w:t>.</w:t>
      </w:r>
    </w:p>
    <w:p w:rsidR="00B32D81" w:rsidRPr="00255431" w:rsidRDefault="00AA4A56" w:rsidP="00D8197E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TADALAFIL ABC</w:t>
      </w:r>
      <w:r w:rsidR="00A668D0">
        <w:rPr>
          <w:rFonts w:eastAsia="Calibri" w:cs="Calibri"/>
          <w:color w:val="000000"/>
          <w:lang w:eastAsia="it-IT"/>
        </w:rPr>
        <w:t xml:space="preserve"> </w:t>
      </w:r>
      <w:r w:rsidR="003A0AA5" w:rsidRPr="003A0AA5">
        <w:rPr>
          <w:rFonts w:eastAsia="Calibri" w:cs="Calibri"/>
          <w:color w:val="000000"/>
          <w:lang w:eastAsia="it-IT"/>
        </w:rPr>
        <w:t xml:space="preserve">è un “medicinale generico”, cioè è analogo </w:t>
      </w:r>
      <w:r w:rsidR="0041225F">
        <w:rPr>
          <w:rFonts w:eastAsia="Calibri" w:cs="Calibri"/>
          <w:color w:val="000000"/>
          <w:lang w:eastAsia="it-IT"/>
        </w:rPr>
        <w:t>del</w:t>
      </w:r>
      <w:r w:rsidR="003A0AA5" w:rsidRPr="003A0AA5">
        <w:rPr>
          <w:rFonts w:eastAsia="Calibri" w:cs="Calibri"/>
          <w:color w:val="000000"/>
          <w:lang w:eastAsia="it-IT"/>
        </w:rPr>
        <w:t xml:space="preserve"> “medicinale di riferimento” </w:t>
      </w:r>
      <w:r w:rsidR="00E67A26">
        <w:rPr>
          <w:rFonts w:eastAsia="Calibri" w:cs="Calibri"/>
          <w:color w:val="000000"/>
          <w:lang w:eastAsia="it-IT"/>
        </w:rPr>
        <w:t>Cialis</w:t>
      </w:r>
      <w:r w:rsidR="0041225F">
        <w:rPr>
          <w:rFonts w:eastAsia="Calibri" w:cstheme="minorHAnsi"/>
          <w:color w:val="000000"/>
          <w:lang w:eastAsia="it-IT"/>
        </w:rPr>
        <w:t>®</w:t>
      </w:r>
      <w:r w:rsidR="00A668D0">
        <w:rPr>
          <w:rFonts w:eastAsia="Calibri" w:cs="Calibri"/>
          <w:color w:val="000000"/>
          <w:lang w:eastAsia="it-IT"/>
        </w:rPr>
        <w:t xml:space="preserve">, </w:t>
      </w:r>
      <w:r w:rsidR="003A0AA5" w:rsidRPr="003A0AA5">
        <w:rPr>
          <w:rFonts w:eastAsia="Calibri" w:cs="Calibri"/>
          <w:color w:val="000000"/>
          <w:lang w:eastAsia="it-IT"/>
        </w:rPr>
        <w:t>già autorizzato in Italia</w:t>
      </w:r>
      <w:r w:rsidR="00A668D0">
        <w:rPr>
          <w:rFonts w:eastAsia="Calibri" w:cs="Calibri"/>
          <w:color w:val="000000"/>
          <w:lang w:eastAsia="it-IT"/>
        </w:rPr>
        <w:t>.</w:t>
      </w:r>
      <w:r w:rsidR="003A0AA5" w:rsidRPr="003A0AA5">
        <w:rPr>
          <w:rFonts w:eastAsia="Calibri" w:cs="Calibri"/>
          <w:color w:val="000000"/>
          <w:lang w:eastAsia="it-IT"/>
        </w:rPr>
        <w:t xml:space="preserve"> </w:t>
      </w:r>
      <w:r w:rsidR="00A668D0">
        <w:rPr>
          <w:rFonts w:eastAsia="Calibri" w:cs="Calibri"/>
          <w:color w:val="000000"/>
          <w:lang w:eastAsia="it-IT"/>
        </w:rPr>
        <w:t xml:space="preserve"> </w:t>
      </w:r>
    </w:p>
    <w:p w:rsidR="00255431" w:rsidRPr="00255431" w:rsidRDefault="00A668D0" w:rsidP="0025543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 </w:t>
      </w: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2) COME </w:t>
      </w:r>
      <w:r w:rsidR="0041225F" w:rsidRPr="00502AB1">
        <w:rPr>
          <w:rFonts w:eastAsia="Calibri" w:cs="Calibri"/>
          <w:b/>
          <w:bCs/>
          <w:color w:val="000000"/>
          <w:lang w:eastAsia="it-IT"/>
        </w:rPr>
        <w:t>È</w:t>
      </w:r>
      <w:r w:rsidRPr="00502AB1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AA4A56">
        <w:rPr>
          <w:rFonts w:eastAsia="Calibri" w:cs="Calibri"/>
          <w:b/>
          <w:color w:val="000000"/>
          <w:lang w:eastAsia="it-IT"/>
        </w:rPr>
        <w:t>TADALAFIL ABC</w:t>
      </w:r>
      <w:r w:rsidRPr="00502AB1">
        <w:rPr>
          <w:rFonts w:eastAsia="Calibri" w:cs="Calibri"/>
          <w:b/>
          <w:bCs/>
          <w:color w:val="000000"/>
          <w:lang w:eastAsia="it-IT"/>
        </w:rPr>
        <w:t>?</w:t>
      </w:r>
    </w:p>
    <w:p w:rsidR="00836558" w:rsidRPr="00836558" w:rsidRDefault="00AA4A56" w:rsidP="00836558">
      <w:pPr>
        <w:widowControl w:val="0"/>
        <w:rPr>
          <w:rFonts w:ascii="Calibri" w:eastAsia="Calibri" w:hAnsi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TADALAFIL ABC</w:t>
      </w:r>
      <w:r w:rsidR="00A668D0" w:rsidRPr="00A668D0">
        <w:rPr>
          <w:rFonts w:eastAsia="Calibri" w:cs="Calibri"/>
          <w:color w:val="000000"/>
          <w:lang w:eastAsia="it-IT"/>
        </w:rPr>
        <w:t xml:space="preserve"> </w:t>
      </w:r>
      <w:r w:rsidR="00836558" w:rsidRPr="00836558">
        <w:rPr>
          <w:rFonts w:ascii="Calibri" w:eastAsia="Calibri" w:hAnsi="Calibri" w:cs="Calibri"/>
          <w:color w:val="000000"/>
          <w:lang w:eastAsia="it-IT"/>
        </w:rPr>
        <w:t>può essere ottenuto solo su prescrizione da parte del medico (ricetta ripetibile).</w:t>
      </w:r>
    </w:p>
    <w:p w:rsidR="00836558" w:rsidRDefault="00467B27" w:rsidP="00836558">
      <w:pPr>
        <w:spacing w:after="0" w:line="240" w:lineRule="auto"/>
        <w:jc w:val="both"/>
        <w:rPr>
          <w:rFonts w:cs="Times New Roman"/>
        </w:rPr>
      </w:pPr>
      <w:r>
        <w:rPr>
          <w:rFonts w:eastAsia="Calibri" w:cs="Calibri"/>
          <w:color w:val="000000"/>
          <w:lang w:eastAsia="it-IT"/>
        </w:rPr>
        <w:t xml:space="preserve">L’uso di </w:t>
      </w:r>
      <w:r w:rsidR="00AA4A56">
        <w:rPr>
          <w:rFonts w:eastAsia="Calibri" w:cs="Calibri"/>
          <w:color w:val="000000"/>
          <w:lang w:eastAsia="it-IT"/>
        </w:rPr>
        <w:t>TADALAFIL ABC</w:t>
      </w:r>
      <w:r w:rsidR="00040526" w:rsidRPr="00040526">
        <w:rPr>
          <w:rFonts w:eastAsia="Calibri" w:cs="Calibri"/>
          <w:color w:val="000000"/>
          <w:lang w:eastAsia="it-IT"/>
        </w:rPr>
        <w:t xml:space="preserve"> </w:t>
      </w:r>
      <w:r w:rsidR="00AA4A56">
        <w:rPr>
          <w:rFonts w:eastAsia="Calibri" w:cs="Calibri"/>
          <w:color w:val="000000"/>
          <w:lang w:eastAsia="it-IT"/>
        </w:rPr>
        <w:t xml:space="preserve">2,5 mg, </w:t>
      </w:r>
      <w:r w:rsidR="00836558">
        <w:rPr>
          <w:rFonts w:eastAsia="Calibri" w:cs="Calibri"/>
          <w:color w:val="000000"/>
          <w:lang w:eastAsia="it-IT"/>
        </w:rPr>
        <w:t>5 mg, 10 mg e 20 mg</w:t>
      </w:r>
      <w:r w:rsidR="00040526">
        <w:rPr>
          <w:rFonts w:eastAsia="Calibri" w:cs="Calibri"/>
          <w:color w:val="000000"/>
          <w:lang w:eastAsia="it-IT"/>
        </w:rPr>
        <w:t xml:space="preserve"> compresse</w:t>
      </w:r>
      <w:r>
        <w:rPr>
          <w:rFonts w:eastAsia="Calibri" w:cs="Calibri"/>
          <w:color w:val="000000"/>
          <w:lang w:eastAsia="it-IT"/>
        </w:rPr>
        <w:t xml:space="preserve"> è</w:t>
      </w:r>
      <w:r>
        <w:rPr>
          <w:rFonts w:cs="Times New Roman"/>
        </w:rPr>
        <w:t xml:space="preserve"> raccomandato</w:t>
      </w:r>
      <w:r w:rsidRPr="006D593B">
        <w:rPr>
          <w:rFonts w:cs="Times New Roman"/>
        </w:rPr>
        <w:t xml:space="preserve"> negli </w:t>
      </w:r>
      <w:r w:rsidR="00836558">
        <w:rPr>
          <w:rFonts w:cs="Times New Roman"/>
        </w:rPr>
        <w:t xml:space="preserve">uomini </w:t>
      </w:r>
      <w:r w:rsidRPr="006D593B">
        <w:rPr>
          <w:rFonts w:cs="Times New Roman"/>
        </w:rPr>
        <w:t>adulti</w:t>
      </w:r>
      <w:r>
        <w:rPr>
          <w:rFonts w:cs="Times New Roman"/>
        </w:rPr>
        <w:t xml:space="preserve">. </w:t>
      </w:r>
    </w:p>
    <w:p w:rsidR="00836558" w:rsidRPr="00567350" w:rsidRDefault="00467B27" w:rsidP="00836558">
      <w:pPr>
        <w:spacing w:after="0"/>
        <w:jc w:val="both"/>
      </w:pPr>
      <w:r>
        <w:rPr>
          <w:rFonts w:cs="Times New Roman"/>
        </w:rPr>
        <w:t>La dose consigliata</w:t>
      </w:r>
      <w:r w:rsidR="00836558">
        <w:rPr>
          <w:rFonts w:cs="Times New Roman"/>
        </w:rPr>
        <w:t xml:space="preserve"> per il trattamento della </w:t>
      </w:r>
      <w:r w:rsidR="00836558" w:rsidRPr="00836558">
        <w:rPr>
          <w:rFonts w:cs="Times New Roman"/>
        </w:rPr>
        <w:t xml:space="preserve">disfunzione erettile negli uomini adulti è </w:t>
      </w:r>
      <w:r w:rsidR="00836558" w:rsidRPr="00836558">
        <w:t>10 mg da assumere prima di una prevista attività sessuale</w:t>
      </w:r>
      <w:r w:rsidR="00836558">
        <w:t>.</w:t>
      </w:r>
      <w:r w:rsidR="00836558" w:rsidRPr="00836558">
        <w:t xml:space="preserve"> </w:t>
      </w:r>
      <w:r w:rsidR="00836558" w:rsidRPr="00567350">
        <w:t xml:space="preserve">In quei pazienti in cui una dose di 10 mg di tadalafil non produce un effetto adeguato, può essere provata una dose di 20 mg. </w:t>
      </w:r>
      <w:r w:rsidR="00836558">
        <w:t xml:space="preserve"> </w:t>
      </w:r>
      <w:r w:rsidR="00836558" w:rsidRPr="00567350">
        <w:t>La massima frequenza di somministrazione è una volta al giorno.</w:t>
      </w:r>
    </w:p>
    <w:p w:rsidR="00836558" w:rsidRDefault="00836558" w:rsidP="00836558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lastRenderedPageBreak/>
        <w:t>N</w:t>
      </w:r>
      <w:r w:rsidRPr="00836558">
        <w:rPr>
          <w:rFonts w:eastAsia="Calibri" w:cs="Calibri"/>
          <w:color w:val="000000"/>
          <w:lang w:eastAsia="it-IT"/>
        </w:rPr>
        <w:t xml:space="preserve">on è consigliato per un continuo uso giornaliero. Nei pazienti che prevedono un uso frequente di </w:t>
      </w:r>
      <w:r w:rsidR="00AA4A56">
        <w:rPr>
          <w:rFonts w:eastAsia="Calibri" w:cs="Calibri"/>
          <w:color w:val="000000"/>
          <w:lang w:eastAsia="it-IT"/>
        </w:rPr>
        <w:t>TADALAFIL ABC</w:t>
      </w:r>
      <w:r>
        <w:rPr>
          <w:rFonts w:eastAsia="Calibri" w:cs="Calibri"/>
          <w:color w:val="000000"/>
          <w:lang w:eastAsia="it-IT"/>
        </w:rPr>
        <w:t xml:space="preserve"> </w:t>
      </w:r>
      <w:r w:rsidRPr="00836558">
        <w:rPr>
          <w:rFonts w:eastAsia="Calibri" w:cs="Calibri"/>
          <w:color w:val="000000"/>
          <w:lang w:eastAsia="it-IT"/>
        </w:rPr>
        <w:t>(ad esempio, almeno due volte a settimana) potrebbe essere considerato adatto uno schema di somministrazione una volta al</w:t>
      </w:r>
      <w:r>
        <w:rPr>
          <w:rFonts w:eastAsia="Calibri" w:cs="Calibri"/>
          <w:color w:val="000000"/>
          <w:lang w:eastAsia="it-IT"/>
        </w:rPr>
        <w:t xml:space="preserve"> giorno con i dosaggi più bassi. </w:t>
      </w:r>
      <w:r w:rsidRPr="00836558">
        <w:rPr>
          <w:rFonts w:eastAsia="Calibri" w:cs="Calibri"/>
          <w:color w:val="000000"/>
          <w:lang w:eastAsia="it-IT"/>
        </w:rPr>
        <w:t>In questi pazienti la dose raccomandata è 5 mg assunta una volta al giorno all’incirca nello stesso momento della giornata. La dose può essere diminuita a 2,5 mg una volta al giorno in base alla tollerabilità individuale.</w:t>
      </w:r>
    </w:p>
    <w:p w:rsidR="00836558" w:rsidRDefault="00836558" w:rsidP="00836558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836558" w:rsidRPr="00836558" w:rsidRDefault="00836558" w:rsidP="00836558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36558">
        <w:rPr>
          <w:rFonts w:eastAsia="Calibri" w:cs="Calibri"/>
          <w:color w:val="000000"/>
          <w:lang w:eastAsia="it-IT"/>
        </w:rPr>
        <w:t xml:space="preserve">La dose raccomandata </w:t>
      </w:r>
      <w:r>
        <w:rPr>
          <w:rFonts w:eastAsia="Calibri" w:cs="Calibri"/>
          <w:color w:val="000000"/>
          <w:lang w:eastAsia="it-IT"/>
        </w:rPr>
        <w:t>per il trattamento dell’i</w:t>
      </w:r>
      <w:r w:rsidRPr="00836558">
        <w:rPr>
          <w:rFonts w:eastAsia="Calibri" w:cs="Calibri"/>
          <w:color w:val="000000"/>
          <w:lang w:eastAsia="it-IT"/>
        </w:rPr>
        <w:t>perplasia prostatica benigna negli uomini adulti</w:t>
      </w:r>
      <w:r>
        <w:rPr>
          <w:rFonts w:eastAsia="Calibri" w:cs="Calibri"/>
          <w:color w:val="000000"/>
          <w:lang w:eastAsia="it-IT"/>
        </w:rPr>
        <w:t xml:space="preserve"> </w:t>
      </w:r>
      <w:r w:rsidRPr="00836558">
        <w:rPr>
          <w:rFonts w:eastAsia="Calibri" w:cs="Calibri"/>
          <w:color w:val="000000"/>
          <w:lang w:eastAsia="it-IT"/>
        </w:rPr>
        <w:t>è 5 mg da assumere ogni giorno all’incirca alla stessa ora indipendentemente dai pasti. Anche per gli uomini adulti in trattamento sia per l’iperplasia prostatica benigna che per la disfunzione erettile la dose raccomandata è 5 mg da assumere ogni giorno all’incirca alla stessa ora. I pazienti che non sono in grado di tollerare tadalafil 5 mg per il trattamento dell’iperplasia prostatica benigna devono considerare una terapia alternativa poiché l’efficacia di tadalafil 2,5 mg per il trattamento dell’iperplasia prostatica benigna non è stata dimostrata.</w:t>
      </w:r>
    </w:p>
    <w:p w:rsidR="00836558" w:rsidRPr="00836558" w:rsidRDefault="00836558" w:rsidP="00836558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67B27" w:rsidRPr="002A3F14" w:rsidRDefault="00467B27" w:rsidP="00467B2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</w:t>
      </w:r>
      <w:r>
        <w:rPr>
          <w:rFonts w:eastAsia="Calibri" w:cs="Calibri"/>
          <w:lang w:eastAsia="it-IT"/>
        </w:rPr>
        <w:t xml:space="preserve">alle dosi raccomandate per </w:t>
      </w:r>
      <w:r w:rsidR="00AA4A56">
        <w:rPr>
          <w:rFonts w:eastAsia="Calibri" w:cs="Calibri"/>
          <w:lang w:eastAsia="it-IT"/>
        </w:rPr>
        <w:t>TADALAFIL ABC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>
        <w:rPr>
          <w:rFonts w:eastAsia="Calibri" w:cs="Calibri"/>
          <w:lang w:eastAsia="it-IT"/>
        </w:rPr>
        <w:t xml:space="preserve"> (</w:t>
      </w:r>
      <w:hyperlink r:id="rId7" w:history="1">
        <w:r w:rsidR="001D797E" w:rsidRPr="001D797E">
          <w:rPr>
            <w:color w:val="0000FF"/>
            <w:u w:val="single"/>
          </w:rPr>
          <w:t>https://farmaci.agenziafarmaco.gov.it/bancadatifarmaci/home</w:t>
        </w:r>
      </w:hyperlink>
      <w:r>
        <w:rPr>
          <w:rFonts w:eastAsia="Calibri" w:cs="Calibri"/>
          <w:lang w:eastAsia="it-IT"/>
        </w:rPr>
        <w:t>)</w:t>
      </w:r>
      <w:r w:rsidRPr="002A3F14">
        <w:rPr>
          <w:rFonts w:eastAsia="Calibri" w:cs="Calibri"/>
          <w:lang w:eastAsia="it-IT"/>
        </w:rPr>
        <w:t xml:space="preserve">  o contattare il medico</w:t>
      </w:r>
      <w:r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67B27" w:rsidRPr="00AE3426" w:rsidRDefault="00467B27" w:rsidP="00467B2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  </w:t>
      </w: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AA4A56">
        <w:rPr>
          <w:rFonts w:eastAsia="Calibri" w:cs="Calibri"/>
          <w:b/>
          <w:color w:val="000000"/>
          <w:lang w:eastAsia="it-IT"/>
        </w:rPr>
        <w:t>TADALAFIL ABC</w:t>
      </w:r>
      <w:r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D416F1" w:rsidRDefault="00AA4A56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TADALAFIL ABC</w:t>
      </w:r>
      <w:r w:rsidR="00502AB1" w:rsidRPr="00255431">
        <w:rPr>
          <w:rFonts w:eastAsia="Calibri" w:cs="Calibri"/>
          <w:color w:val="000000"/>
          <w:lang w:eastAsia="it-IT"/>
        </w:rPr>
        <w:t xml:space="preserve">, il cui codice ATC è </w:t>
      </w:r>
      <w:r w:rsidR="00836558" w:rsidRPr="00567350">
        <w:t>G04BE08</w:t>
      </w:r>
      <w:r w:rsidR="00502AB1" w:rsidRPr="00255431">
        <w:rPr>
          <w:rFonts w:eastAsia="Calibri" w:cs="Calibri"/>
          <w:color w:val="000000"/>
          <w:lang w:eastAsia="it-IT"/>
        </w:rPr>
        <w:t>,</w:t>
      </w:r>
      <w:r w:rsidR="005A2741" w:rsidRPr="00255431">
        <w:rPr>
          <w:rFonts w:eastAsia="Calibri" w:cs="Calibri"/>
          <w:color w:val="000000"/>
          <w:lang w:eastAsia="it-IT"/>
        </w:rPr>
        <w:t xml:space="preserve"> </w:t>
      </w:r>
      <w:r w:rsidR="004241AC" w:rsidRPr="00502AB1">
        <w:rPr>
          <w:rFonts w:eastAsia="Calibri" w:cs="Calibri"/>
          <w:color w:val="000000"/>
          <w:lang w:eastAsia="it-IT"/>
        </w:rPr>
        <w:t>contiene i</w:t>
      </w:r>
      <w:r w:rsidR="005F2D30">
        <w:rPr>
          <w:rFonts w:eastAsia="Calibri" w:cs="Calibri"/>
          <w:color w:val="000000"/>
          <w:lang w:eastAsia="it-IT"/>
        </w:rPr>
        <w:t>l</w:t>
      </w:r>
      <w:r w:rsidR="004241AC" w:rsidRPr="00502AB1">
        <w:rPr>
          <w:rFonts w:eastAsia="Calibri" w:cs="Calibri"/>
          <w:color w:val="000000"/>
          <w:lang w:eastAsia="it-IT"/>
        </w:rPr>
        <w:t xml:space="preserve"> principi</w:t>
      </w:r>
      <w:r w:rsidR="005F2D30">
        <w:rPr>
          <w:rFonts w:eastAsia="Calibri" w:cs="Calibri"/>
          <w:color w:val="000000"/>
          <w:lang w:eastAsia="it-IT"/>
        </w:rPr>
        <w:t>o</w:t>
      </w:r>
      <w:r w:rsidR="004241AC" w:rsidRPr="00502AB1">
        <w:rPr>
          <w:rFonts w:eastAsia="Calibri" w:cs="Calibri"/>
          <w:color w:val="000000"/>
          <w:lang w:eastAsia="it-IT"/>
        </w:rPr>
        <w:t xml:space="preserve"> attiv</w:t>
      </w:r>
      <w:r w:rsidR="005F2D30">
        <w:rPr>
          <w:rFonts w:eastAsia="Calibri" w:cs="Calibri"/>
          <w:color w:val="000000"/>
          <w:lang w:eastAsia="it-IT"/>
        </w:rPr>
        <w:t>o</w:t>
      </w:r>
      <w:r w:rsidR="004241AC" w:rsidRPr="00502AB1">
        <w:rPr>
          <w:rFonts w:eastAsia="Calibri" w:cs="Calibri"/>
          <w:color w:val="000000"/>
          <w:lang w:eastAsia="it-IT"/>
        </w:rPr>
        <w:t xml:space="preserve"> </w:t>
      </w:r>
      <w:r w:rsidR="00882161">
        <w:rPr>
          <w:rFonts w:eastAsia="Calibri" w:cs="Calibri"/>
          <w:color w:val="000000"/>
          <w:lang w:eastAsia="it-IT"/>
        </w:rPr>
        <w:t>tadalafil</w:t>
      </w:r>
      <w:r w:rsidR="00D416F1">
        <w:rPr>
          <w:rFonts w:eastAsia="Calibri" w:cs="Calibri"/>
          <w:color w:val="000000"/>
          <w:lang w:eastAsia="it-IT"/>
        </w:rPr>
        <w:t>.</w:t>
      </w:r>
      <w:r w:rsidR="00D419A0">
        <w:rPr>
          <w:rFonts w:eastAsia="Calibri" w:cs="Calibri"/>
          <w:color w:val="000000"/>
          <w:lang w:eastAsia="it-IT"/>
        </w:rPr>
        <w:t xml:space="preserve"> </w:t>
      </w:r>
      <w:r w:rsidR="00D419A0" w:rsidRPr="00255431">
        <w:rPr>
          <w:rFonts w:eastAsia="Calibri" w:cs="Calibri"/>
          <w:color w:val="000000"/>
          <w:lang w:eastAsia="it-IT"/>
        </w:rPr>
        <w:t xml:space="preserve"> </w:t>
      </w:r>
      <w:r w:rsidR="00D416F1">
        <w:rPr>
          <w:rFonts w:eastAsia="Calibri" w:cs="Calibri"/>
          <w:color w:val="000000"/>
          <w:lang w:eastAsia="it-IT"/>
        </w:rPr>
        <w:t xml:space="preserve">Il </w:t>
      </w:r>
      <w:r w:rsidR="00882161">
        <w:rPr>
          <w:rFonts w:eastAsia="Calibri" w:cs="Calibri"/>
          <w:color w:val="000000"/>
          <w:lang w:eastAsia="it-IT"/>
        </w:rPr>
        <w:t>tadalafil</w:t>
      </w:r>
      <w:r w:rsidR="00D416F1" w:rsidRPr="00D416F1">
        <w:rPr>
          <w:rFonts w:eastAsia="Calibri" w:cs="Calibri"/>
          <w:color w:val="000000"/>
          <w:lang w:eastAsia="it-IT"/>
        </w:rPr>
        <w:t xml:space="preserve"> </w:t>
      </w:r>
      <w:r w:rsidR="000C3815" w:rsidRPr="000C3815">
        <w:rPr>
          <w:rFonts w:eastAsia="Calibri" w:cs="Calibri"/>
          <w:color w:val="000000"/>
          <w:lang w:eastAsia="it-IT"/>
        </w:rPr>
        <w:t xml:space="preserve">appartiene alla classe dei medicinali denominati inibitori della fosfodiesterasi di tipo 5. Dopo stimolazione sessuale </w:t>
      </w:r>
      <w:r>
        <w:rPr>
          <w:rFonts w:eastAsia="Calibri" w:cs="Calibri"/>
          <w:color w:val="000000"/>
          <w:lang w:eastAsia="it-IT"/>
        </w:rPr>
        <w:t>TADALAFIL ABC</w:t>
      </w:r>
      <w:r w:rsidR="000C3815" w:rsidRPr="000C3815">
        <w:rPr>
          <w:rFonts w:eastAsia="Calibri" w:cs="Calibri"/>
          <w:color w:val="000000"/>
          <w:lang w:eastAsia="it-IT"/>
        </w:rPr>
        <w:t xml:space="preserve"> aiuta a rilassare i vasi sanguigni nel pene, permettendo l’afflusso di sangue al pene. Il risultato è una migliore funzione erettile. </w:t>
      </w:r>
    </w:p>
    <w:p w:rsidR="00882161" w:rsidRDefault="0088216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02AB1">
        <w:rPr>
          <w:rFonts w:eastAsia="Calibri" w:cs="Calibri"/>
          <w:b/>
          <w:bCs/>
          <w:lang w:eastAsia="it-IT"/>
        </w:rPr>
        <w:t xml:space="preserve">4) COME È STATO STUDIATO </w:t>
      </w:r>
      <w:r w:rsidR="00AA4A56">
        <w:rPr>
          <w:rFonts w:eastAsia="Calibri" w:cs="Calibri"/>
          <w:b/>
          <w:color w:val="000000"/>
          <w:lang w:eastAsia="it-IT"/>
        </w:rPr>
        <w:t>TADALAFIL ABC</w:t>
      </w:r>
      <w:r w:rsidR="005A2741"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502AB1">
        <w:rPr>
          <w:rFonts w:eastAsia="Calibri" w:cs="Calibri"/>
          <w:b/>
          <w:bCs/>
          <w:lang w:eastAsia="it-IT"/>
        </w:rPr>
        <w:t xml:space="preserve"> </w:t>
      </w:r>
    </w:p>
    <w:p w:rsidR="002C6868" w:rsidRDefault="002C6868" w:rsidP="002C6868">
      <w:pPr>
        <w:spacing w:after="0" w:line="240" w:lineRule="auto"/>
        <w:jc w:val="both"/>
        <w:rPr>
          <w:rFonts w:ascii="Calibri" w:eastAsia="Calibri" w:hAnsi="Calibri" w:cs="Calibri"/>
          <w:color w:val="000000"/>
          <w:lang w:eastAsia="it-IT"/>
        </w:rPr>
      </w:pPr>
      <w:r w:rsidRPr="00255431">
        <w:rPr>
          <w:rFonts w:ascii="Calibri" w:eastAsia="Calibri" w:hAnsi="Calibri" w:cs="Calibri"/>
          <w:color w:val="000000"/>
          <w:lang w:eastAsia="it-IT"/>
        </w:rPr>
        <w:t xml:space="preserve">Poiché </w:t>
      </w:r>
      <w:r w:rsidR="00AA4A56">
        <w:rPr>
          <w:rFonts w:eastAsia="Calibri" w:cs="Calibri"/>
          <w:color w:val="000000"/>
          <w:lang w:eastAsia="it-IT"/>
        </w:rPr>
        <w:t>TADALAFIL ABC</w:t>
      </w:r>
      <w:r w:rsidRPr="00255431" w:rsidDel="000E20BD">
        <w:rPr>
          <w:rFonts w:ascii="Calibri" w:eastAsia="Calibri" w:hAnsi="Calibri" w:cs="Calibri"/>
          <w:color w:val="000000"/>
          <w:lang w:eastAsia="it-IT"/>
        </w:rPr>
        <w:t xml:space="preserve"> </w:t>
      </w:r>
      <w:r w:rsidRPr="00255431">
        <w:rPr>
          <w:rFonts w:ascii="Calibri" w:eastAsia="Calibri" w:hAnsi="Calibri" w:cs="Calibri"/>
          <w:color w:val="000000"/>
          <w:lang w:eastAsia="it-IT"/>
        </w:rPr>
        <w:t xml:space="preserve">è un medicinale generico, è stato sufficiente </w:t>
      </w:r>
      <w:r w:rsidR="00DE2447">
        <w:rPr>
          <w:rFonts w:ascii="Calibri" w:eastAsia="Calibri" w:hAnsi="Calibri" w:cs="Calibri"/>
          <w:color w:val="000000"/>
          <w:lang w:eastAsia="it-IT"/>
        </w:rPr>
        <w:t xml:space="preserve">per </w:t>
      </w:r>
      <w:r w:rsidR="00AA4A56">
        <w:rPr>
          <w:rFonts w:ascii="Calibri" w:eastAsia="Calibri" w:hAnsi="Calibri" w:cs="Calibri"/>
          <w:color w:val="000000"/>
          <w:lang w:eastAsia="it-IT"/>
        </w:rPr>
        <w:t>TADALAFIL ABC</w:t>
      </w:r>
      <w:r w:rsidR="00DE2447" w:rsidRPr="00DE2447">
        <w:rPr>
          <w:rFonts w:ascii="Calibri" w:eastAsia="Calibri" w:hAnsi="Calibri" w:cs="Calibri"/>
          <w:color w:val="000000"/>
          <w:lang w:eastAsia="it-IT"/>
        </w:rPr>
        <w:t xml:space="preserve"> </w:t>
      </w:r>
      <w:r w:rsidR="00DE2447">
        <w:rPr>
          <w:rFonts w:ascii="Calibri" w:eastAsia="Calibri" w:hAnsi="Calibri" w:cs="Calibri"/>
          <w:color w:val="000000"/>
          <w:lang w:eastAsia="it-IT"/>
        </w:rPr>
        <w:t xml:space="preserve">compresse </w:t>
      </w:r>
      <w:r w:rsidRPr="00255431">
        <w:rPr>
          <w:rFonts w:ascii="Calibri" w:eastAsia="Calibri" w:hAnsi="Calibri" w:cs="Calibri"/>
          <w:color w:val="000000"/>
          <w:lang w:eastAsia="it-IT"/>
        </w:rPr>
        <w:t xml:space="preserve">effettuare prove cliniche per determinare la bioequivalenza rispetto al medicinale di riferimento </w:t>
      </w:r>
      <w:r w:rsidR="000C3815">
        <w:rPr>
          <w:rFonts w:eastAsia="Calibri" w:cs="Calibri"/>
          <w:color w:val="000000"/>
          <w:lang w:eastAsia="it-IT"/>
        </w:rPr>
        <w:t>Cialis</w:t>
      </w:r>
      <w:r w:rsidR="00915A27">
        <w:rPr>
          <w:rFonts w:eastAsia="Calibri" w:cstheme="minorHAnsi"/>
          <w:color w:val="000000"/>
          <w:lang w:eastAsia="it-IT"/>
        </w:rPr>
        <w:t>®</w:t>
      </w:r>
      <w:r w:rsidR="00D416F1">
        <w:rPr>
          <w:rFonts w:eastAsia="Calibri" w:cs="Calibri"/>
          <w:color w:val="000000"/>
          <w:lang w:eastAsia="it-IT"/>
        </w:rPr>
        <w:t>.</w:t>
      </w:r>
      <w:r w:rsidRPr="00255431">
        <w:rPr>
          <w:rFonts w:ascii="Calibri" w:eastAsia="Calibri" w:hAnsi="Calibri" w:cs="Calibri"/>
          <w:color w:val="000000"/>
          <w:lang w:eastAsia="it-IT"/>
        </w:rPr>
        <w:t xml:space="preserve"> Due medicinali sono bioequivalenti quando producono gli stessi livelli di principio attivo nell’organismo. </w:t>
      </w:r>
    </w:p>
    <w:p w:rsidR="004241AC" w:rsidRPr="00B32D81" w:rsidRDefault="004241AC" w:rsidP="00DE244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5) QUAL È IL RAPPORTO BENEFICIO/RISCHIO </w:t>
      </w:r>
      <w:r w:rsidR="00D57289">
        <w:rPr>
          <w:rFonts w:eastAsia="Calibri" w:cs="Calibri"/>
          <w:b/>
          <w:bCs/>
          <w:lang w:eastAsia="it-IT"/>
        </w:rPr>
        <w:t>DI</w:t>
      </w:r>
      <w:r w:rsidR="00D57289" w:rsidRPr="00B32D81">
        <w:rPr>
          <w:rFonts w:eastAsia="Calibri" w:cs="Calibri"/>
          <w:b/>
          <w:bCs/>
          <w:lang w:eastAsia="it-IT"/>
        </w:rPr>
        <w:t xml:space="preserve"> </w:t>
      </w:r>
      <w:r w:rsidR="00AA4A56">
        <w:rPr>
          <w:rFonts w:eastAsia="Calibri" w:cs="Calibri"/>
          <w:b/>
          <w:color w:val="000000"/>
          <w:lang w:eastAsia="it-IT"/>
        </w:rPr>
        <w:t>TADALAFIL ABC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AA4A56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TADALAFIL ABC</w:t>
      </w:r>
      <w:r w:rsidR="00D416F1" w:rsidRPr="00D416F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è un medicinale </w:t>
      </w:r>
      <w:r w:rsidR="00013020" w:rsidRPr="00B32D81">
        <w:rPr>
          <w:rFonts w:eastAsia="Calibri" w:cs="Calibri"/>
          <w:lang w:eastAsia="it-IT"/>
        </w:rPr>
        <w:t>generico</w:t>
      </w:r>
      <w:r w:rsidR="00D57289">
        <w:rPr>
          <w:rFonts w:eastAsia="Calibri" w:cs="Calibri"/>
          <w:lang w:eastAsia="it-IT"/>
        </w:rPr>
        <w:t>,</w:t>
      </w:r>
      <w:r w:rsidR="004349A2" w:rsidRPr="00B32D81">
        <w:rPr>
          <w:rFonts w:eastAsia="Calibri" w:cs="Calibri"/>
          <w:lang w:eastAsia="it-IT"/>
        </w:rPr>
        <w:t xml:space="preserve"> </w:t>
      </w:r>
      <w:r w:rsidR="00915A27" w:rsidRPr="00B32D81">
        <w:rPr>
          <w:rFonts w:eastAsia="Calibri" w:cs="Calibri"/>
          <w:lang w:eastAsia="it-IT"/>
        </w:rPr>
        <w:t>pertanto</w:t>
      </w:r>
      <w:r w:rsidR="004241AC" w:rsidRPr="00B32D81">
        <w:rPr>
          <w:rFonts w:eastAsia="Calibri" w:cs="Calibri"/>
          <w:lang w:eastAsia="it-IT"/>
        </w:rPr>
        <w:t xml:space="preserve"> </w:t>
      </w:r>
      <w:r w:rsidR="00013020" w:rsidRPr="00B32D81">
        <w:rPr>
          <w:rFonts w:eastAsia="Calibri" w:cs="Calibri"/>
          <w:lang w:eastAsia="it-IT"/>
        </w:rPr>
        <w:t>i suoi</w:t>
      </w:r>
      <w:r w:rsidR="004241AC" w:rsidRPr="00B32D8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32D81">
        <w:rPr>
          <w:rFonts w:eastAsia="Calibri" w:cs="Calibri"/>
          <w:lang w:eastAsia="it-IT"/>
        </w:rPr>
        <w:t>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01302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6) PERCHE’ </w:t>
      </w:r>
      <w:r w:rsidR="00AA4A56">
        <w:rPr>
          <w:rFonts w:eastAsia="Calibri" w:cs="Calibri"/>
          <w:b/>
          <w:color w:val="000000"/>
          <w:lang w:eastAsia="it-IT"/>
        </w:rPr>
        <w:t>TADALAFIL ABC</w:t>
      </w:r>
      <w:r w:rsidR="00D416F1" w:rsidRPr="00D416F1">
        <w:rPr>
          <w:rFonts w:eastAsia="Calibri" w:cs="Calibri"/>
          <w:b/>
          <w:color w:val="000000"/>
          <w:lang w:eastAsia="it-IT"/>
        </w:rPr>
        <w:t xml:space="preserve"> </w:t>
      </w:r>
      <w:r w:rsidR="00915A27" w:rsidRPr="00B32D81">
        <w:rPr>
          <w:rFonts w:eastAsia="Calibri" w:cs="Calibri"/>
          <w:b/>
          <w:bCs/>
          <w:lang w:eastAsia="it-IT"/>
        </w:rPr>
        <w:t>È</w:t>
      </w:r>
      <w:r w:rsidRPr="00B32D81">
        <w:rPr>
          <w:rFonts w:eastAsia="Calibri" w:cs="Calibri"/>
          <w:b/>
          <w:bCs/>
          <w:lang w:eastAsia="it-IT"/>
        </w:rPr>
        <w:t xml:space="preserve"> STATO APPROVATO? </w:t>
      </w:r>
    </w:p>
    <w:p w:rsidR="004241AC" w:rsidRPr="00B32D81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00E7">
        <w:rPr>
          <w:rFonts w:eastAsia="Calibri" w:cs="Calibri"/>
          <w:lang w:eastAsia="it-IT"/>
        </w:rPr>
        <w:t xml:space="preserve">La </w:t>
      </w:r>
      <w:r>
        <w:rPr>
          <w:rFonts w:eastAsia="Calibri" w:cs="Calibri"/>
          <w:lang w:eastAsia="it-IT"/>
        </w:rPr>
        <w:t>Commissione Tecnico-Scientifica (CTS)</w:t>
      </w:r>
      <w:r w:rsidRPr="003F00E7">
        <w:rPr>
          <w:rFonts w:eastAsia="Calibri" w:cs="Calibri"/>
          <w:lang w:eastAsia="it-IT"/>
        </w:rPr>
        <w:t xml:space="preserve"> </w:t>
      </w:r>
      <w:r w:rsidR="00F80DE9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 xml:space="preserve"> </w:t>
      </w:r>
      <w:r w:rsidR="004241AC" w:rsidRPr="006312EE">
        <w:rPr>
          <w:rFonts w:eastAsia="Calibri" w:cs="Calibri"/>
          <w:lang w:eastAsia="it-IT"/>
        </w:rPr>
        <w:t>concluso che,</w:t>
      </w:r>
      <w:r w:rsidR="004241AC" w:rsidRPr="00B32D81">
        <w:rPr>
          <w:rFonts w:eastAsia="Calibri" w:cs="Calibri"/>
          <w:lang w:eastAsia="it-IT"/>
        </w:rPr>
        <w:t xml:space="preserve"> conformemente ai requisiti della normativa vigente, come nel caso </w:t>
      </w:r>
      <w:r w:rsidR="00D20170" w:rsidRPr="00B32D81">
        <w:rPr>
          <w:rFonts w:eastAsia="Calibri" w:cs="Calibri"/>
          <w:lang w:eastAsia="it-IT"/>
        </w:rPr>
        <w:t>del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D2017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 </w:t>
      </w:r>
      <w:bookmarkStart w:id="1" w:name="_Hlk39842273"/>
      <w:r w:rsidR="0041225F">
        <w:rPr>
          <w:rFonts w:eastAsia="Calibri" w:cs="Calibri"/>
          <w:lang w:eastAsia="it-IT"/>
        </w:rPr>
        <w:t>Cialis</w:t>
      </w:r>
      <w:r w:rsidR="00D36EE4">
        <w:rPr>
          <w:rFonts w:eastAsia="Calibri" w:cstheme="minorHAnsi"/>
          <w:color w:val="000000"/>
          <w:lang w:eastAsia="it-IT"/>
        </w:rPr>
        <w:t>®</w:t>
      </w:r>
      <w:bookmarkEnd w:id="1"/>
      <w:r w:rsidR="00156285" w:rsidRPr="00B32D81">
        <w:rPr>
          <w:rFonts w:eastAsia="Calibri" w:cs="Calibri"/>
          <w:color w:val="000000"/>
          <w:lang w:eastAsia="it-IT"/>
        </w:rPr>
        <w:t>,</w:t>
      </w:r>
      <w:r w:rsidR="004241AC" w:rsidRPr="00B32D81">
        <w:rPr>
          <w:rFonts w:eastAsia="Calibri" w:cs="Calibri"/>
          <w:lang w:eastAsia="it-IT"/>
        </w:rPr>
        <w:t xml:space="preserve"> i benefici di </w:t>
      </w:r>
      <w:r w:rsidR="00AA4A56">
        <w:rPr>
          <w:rFonts w:eastAsia="Calibri" w:cs="Calibri"/>
          <w:color w:val="000000"/>
          <w:lang w:eastAsia="it-IT"/>
        </w:rPr>
        <w:t>TADALAFIL ABC</w:t>
      </w:r>
      <w:r w:rsidRPr="00D416F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siano superiori ai rischi individuati. La CTS ha, inoltre, definito le modalità di prescrizione di cui al punto 2) di questo Riassunto e la classe di rimborsabilità del </w:t>
      </w:r>
      <w:r w:rsidR="004241AC" w:rsidRPr="00D57567">
        <w:rPr>
          <w:rFonts w:eastAsia="Calibri" w:cs="Calibri"/>
          <w:lang w:eastAsia="it-IT"/>
        </w:rPr>
        <w:t>medicinal</w:t>
      </w:r>
      <w:r w:rsidR="004241AC" w:rsidRPr="00915A27">
        <w:rPr>
          <w:rFonts w:eastAsia="Calibri" w:cs="Calibri"/>
          <w:lang w:eastAsia="it-IT"/>
        </w:rPr>
        <w:t>e</w:t>
      </w:r>
      <w:r w:rsidR="00D20170" w:rsidRPr="00915A27">
        <w:rPr>
          <w:rFonts w:eastAsia="Calibri" w:cs="Calibri"/>
          <w:lang w:eastAsia="it-IT"/>
        </w:rPr>
        <w:t xml:space="preserve"> </w:t>
      </w:r>
      <w:r w:rsidR="007935FE" w:rsidRPr="00915A27">
        <w:rPr>
          <w:rFonts w:eastAsia="Calibri" w:cs="Calibri"/>
          <w:lang w:eastAsia="it-IT"/>
        </w:rPr>
        <w:t>(</w:t>
      </w:r>
      <w:r w:rsidR="00915A27" w:rsidRPr="00915A27">
        <w:rPr>
          <w:rFonts w:eastAsia="Calibri" w:cs="Calibri"/>
          <w:lang w:eastAsia="it-IT"/>
        </w:rPr>
        <w:t>C</w:t>
      </w:r>
      <w:r w:rsidR="007935FE" w:rsidRPr="00915A27">
        <w:rPr>
          <w:rFonts w:eastAsia="Calibri" w:cs="Calibri"/>
          <w:lang w:eastAsia="it-IT"/>
        </w:rPr>
        <w:t>)</w:t>
      </w:r>
      <w:r w:rsidR="004241AC" w:rsidRPr="00915A27">
        <w:rPr>
          <w:rFonts w:eastAsia="Calibri" w:cs="Calibri"/>
          <w:lang w:eastAsia="it-IT"/>
        </w:rPr>
        <w:t>.</w:t>
      </w:r>
      <w:r w:rsidR="004241AC" w:rsidRPr="00B32D81">
        <w:rPr>
          <w:rFonts w:eastAsia="Calibri" w:cs="Calibri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AA4A56">
        <w:rPr>
          <w:rFonts w:eastAsia="Calibri" w:cs="Calibri"/>
          <w:b/>
          <w:color w:val="000000"/>
          <w:lang w:eastAsia="it-IT"/>
        </w:rPr>
        <w:t>TADALAFIL ABC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</w:t>
      </w:r>
      <w:r w:rsidR="00915A27" w:rsidRPr="002A3F14">
        <w:rPr>
          <w:rFonts w:eastAsia="Calibri" w:cs="Calibri"/>
          <w:lang w:eastAsia="it-IT"/>
        </w:rPr>
        <w:t>a</w:t>
      </w:r>
      <w:r w:rsidRPr="002A3F14">
        <w:rPr>
          <w:rFonts w:eastAsia="Calibri" w:cs="Calibri"/>
          <w:lang w:eastAsia="it-IT"/>
        </w:rPr>
        <w:t xml:space="preserve"> identificare, caratterizzare, prevenire o minimizzare i rischi correlati </w:t>
      </w:r>
      <w:r w:rsidR="004241AC" w:rsidRPr="00B32D81">
        <w:rPr>
          <w:rFonts w:eastAsia="Calibri" w:cs="Calibri"/>
          <w:lang w:eastAsia="it-IT"/>
        </w:rPr>
        <w:t xml:space="preserve">a </w:t>
      </w:r>
      <w:r w:rsidR="00AA4A56">
        <w:rPr>
          <w:rFonts w:eastAsia="Calibri" w:cs="Calibri"/>
          <w:color w:val="000000"/>
          <w:lang w:eastAsia="it-IT"/>
        </w:rPr>
        <w:t>TADALAFIL ABC</w:t>
      </w:r>
      <w:r w:rsidR="00D416F1">
        <w:rPr>
          <w:rFonts w:eastAsia="Calibri" w:cs="Calibri"/>
          <w:color w:val="000000"/>
          <w:lang w:eastAsia="it-IT"/>
        </w:rPr>
        <w:t>.</w:t>
      </w:r>
    </w:p>
    <w:p w:rsidR="00D416F1" w:rsidRPr="00B32D81" w:rsidRDefault="00D416F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092BA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>
        <w:rPr>
          <w:rFonts w:eastAsia="Calibri" w:cs="Calibri"/>
          <w:b/>
          <w:bCs/>
          <w:lang w:eastAsia="it-IT"/>
        </w:rPr>
        <w:t>8) ALTRE INFORMAZIONI RELATIVE A</w:t>
      </w:r>
      <w:r w:rsidR="004241AC" w:rsidRPr="00B32D81">
        <w:rPr>
          <w:rFonts w:eastAsia="Calibri" w:cs="Calibri"/>
          <w:b/>
          <w:bCs/>
          <w:lang w:eastAsia="it-IT"/>
        </w:rPr>
        <w:t xml:space="preserve"> </w:t>
      </w:r>
      <w:r w:rsidR="00AA4A56">
        <w:rPr>
          <w:rFonts w:eastAsia="Calibri" w:cs="Calibri"/>
          <w:b/>
          <w:color w:val="000000"/>
          <w:lang w:eastAsia="it-IT"/>
        </w:rPr>
        <w:t>TADALAFIL ABC</w:t>
      </w:r>
      <w:r w:rsidR="00D416F1" w:rsidRPr="00D416F1">
        <w:rPr>
          <w:rFonts w:eastAsia="Calibri" w:cs="Calibri"/>
          <w:b/>
          <w:color w:val="000000"/>
          <w:lang w:eastAsia="it-IT"/>
        </w:rPr>
        <w:t xml:space="preserve"> </w:t>
      </w:r>
    </w:p>
    <w:p w:rsidR="007935FE" w:rsidRDefault="000C3815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="00AA4A56" w:rsidRPr="002D248C">
        <w:rPr>
          <w:rFonts w:eastAsia="Calibri" w:cs="Calibri"/>
          <w:b/>
          <w:bCs/>
          <w:iCs/>
          <w:lang w:eastAsia="it-IT"/>
        </w:rPr>
        <w:t>12/02/2020</w:t>
      </w:r>
      <w:r w:rsidR="00674664">
        <w:rPr>
          <w:rFonts w:eastAsia="Calibri" w:cs="Calibri"/>
          <w:bCs/>
          <w:iCs/>
          <w:lang w:eastAsia="it-IT"/>
        </w:rPr>
        <w:t xml:space="preserve"> l’AIFA </w:t>
      </w:r>
      <w:r w:rsidR="00674664" w:rsidRPr="00CA3A1E">
        <w:rPr>
          <w:rFonts w:eastAsia="Calibri" w:cs="Calibri"/>
          <w:bCs/>
          <w:iCs/>
          <w:lang w:eastAsia="it-IT"/>
        </w:rPr>
        <w:t xml:space="preserve">ha rilasciato </w:t>
      </w:r>
      <w:r w:rsidR="004241AC" w:rsidRPr="00B32D81">
        <w:rPr>
          <w:rFonts w:eastAsia="Calibri" w:cs="Calibri"/>
          <w:bCs/>
          <w:iCs/>
          <w:lang w:eastAsia="it-IT"/>
        </w:rPr>
        <w:t xml:space="preserve">l’autorizzazione all’immissione in commercio di </w:t>
      </w:r>
      <w:r w:rsidR="00AA4A56">
        <w:rPr>
          <w:rFonts w:eastAsia="Calibri" w:cs="Calibri"/>
          <w:color w:val="000000"/>
          <w:lang w:eastAsia="it-IT"/>
        </w:rPr>
        <w:t>TADALAFIL ABC</w:t>
      </w:r>
      <w:r w:rsidR="00674664">
        <w:rPr>
          <w:rFonts w:eastAsia="Calibri" w:cs="Calibri"/>
          <w:color w:val="000000"/>
          <w:lang w:eastAsia="it-IT"/>
        </w:rPr>
        <w:t>.</w:t>
      </w:r>
    </w:p>
    <w:p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</w:t>
      </w:r>
      <w:r w:rsidR="00256B5A">
        <w:rPr>
          <w:rFonts w:eastAsia="Calibri" w:cs="Calibri"/>
          <w:lang w:eastAsia="it-IT"/>
        </w:rPr>
        <w:t xml:space="preserve">per </w:t>
      </w:r>
      <w:r w:rsidR="00AA4A56">
        <w:rPr>
          <w:rFonts w:eastAsia="Calibri" w:cs="Calibri"/>
          <w:lang w:eastAsia="it-IT"/>
        </w:rPr>
        <w:t>TADALAFIL ABC</w:t>
      </w:r>
      <w:r w:rsidR="00256B5A" w:rsidRPr="00256B5A">
        <w:rPr>
          <w:rFonts w:eastAsia="Calibri" w:cs="Calibri"/>
          <w:lang w:eastAsia="it-IT"/>
        </w:rPr>
        <w:t xml:space="preserve"> </w:t>
      </w:r>
      <w:r w:rsidR="00AA4A56">
        <w:rPr>
          <w:rFonts w:eastAsia="Calibri" w:cs="Calibri"/>
          <w:lang w:eastAsia="it-IT"/>
        </w:rPr>
        <w:t>2,5 mg,</w:t>
      </w:r>
      <w:r w:rsidR="00256B5A" w:rsidRPr="00256B5A">
        <w:rPr>
          <w:rFonts w:eastAsia="Calibri" w:cs="Calibri"/>
          <w:lang w:eastAsia="it-IT"/>
        </w:rPr>
        <w:t xml:space="preserve"> </w:t>
      </w:r>
      <w:r w:rsidR="000C3815">
        <w:rPr>
          <w:rFonts w:eastAsia="Calibri" w:cs="Calibri"/>
          <w:lang w:eastAsia="it-IT"/>
        </w:rPr>
        <w:t xml:space="preserve">5 mg, 10 mg e 20 mg </w:t>
      </w:r>
      <w:r>
        <w:rPr>
          <w:rFonts w:eastAsia="Calibri" w:cs="Calibri"/>
          <w:lang w:eastAsia="it-IT"/>
        </w:rPr>
        <w:t xml:space="preserve">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Per maggiori informazioni riguardo il trattamento con </w:t>
      </w:r>
      <w:r w:rsidR="00AA4A56">
        <w:rPr>
          <w:rFonts w:eastAsia="Calibri" w:cs="Calibri"/>
          <w:color w:val="000000"/>
          <w:lang w:eastAsia="it-IT"/>
        </w:rPr>
        <w:t>TADALAFIL ABC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915A27">
        <w:rPr>
          <w:rFonts w:eastAsia="Calibri" w:cs="Calibri"/>
          <w:lang w:eastAsia="it-IT"/>
        </w:rPr>
        <w:t>(</w:t>
      </w:r>
      <w:bookmarkStart w:id="2" w:name="_Hlk39842315"/>
      <w:r w:rsidR="00C160BD" w:rsidRPr="001D797E">
        <w:fldChar w:fldCharType="begin"/>
      </w:r>
      <w:r w:rsidR="00915A27" w:rsidRPr="001D797E">
        <w:instrText xml:space="preserve"> HYPERLINK "https://farmaci.agenziafarmaco.gov.it/bancadatifarmaci/home" </w:instrText>
      </w:r>
      <w:r w:rsidR="00C160BD" w:rsidRPr="001D797E">
        <w:fldChar w:fldCharType="separate"/>
      </w:r>
      <w:r w:rsidR="00915A27" w:rsidRPr="001D797E">
        <w:rPr>
          <w:color w:val="0000FF"/>
          <w:u w:val="single"/>
        </w:rPr>
        <w:t>https://farmaci.agenziafarmaco.gov.it/bancadatifarmaci/home</w:t>
      </w:r>
      <w:r w:rsidR="00C160BD" w:rsidRPr="001D797E">
        <w:fldChar w:fldCharType="end"/>
      </w:r>
      <w:bookmarkEnd w:id="2"/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>Questo riassunto è stato redatto in dat</w:t>
      </w:r>
      <w:r w:rsidRPr="009F0F0B">
        <w:rPr>
          <w:rFonts w:eastAsia="Calibri" w:cs="Calibri"/>
          <w:lang w:eastAsia="it-IT"/>
        </w:rPr>
        <w:t xml:space="preserve">a </w:t>
      </w:r>
      <w:r w:rsidR="00A9095A">
        <w:rPr>
          <w:rFonts w:eastAsia="Calibri" w:cs="Calibri"/>
          <w:lang w:eastAsia="it-IT"/>
        </w:rPr>
        <w:t>13</w:t>
      </w:r>
      <w:r w:rsidR="000C3815">
        <w:rPr>
          <w:rFonts w:eastAsia="Calibri" w:cs="Calibri"/>
          <w:lang w:eastAsia="it-IT"/>
        </w:rPr>
        <w:t>/</w:t>
      </w:r>
      <w:r w:rsidR="00915A27">
        <w:rPr>
          <w:rFonts w:eastAsia="Calibri" w:cs="Calibri"/>
          <w:lang w:eastAsia="it-IT"/>
        </w:rPr>
        <w:t>05</w:t>
      </w:r>
      <w:r w:rsidR="000C3815">
        <w:rPr>
          <w:rFonts w:eastAsia="Calibri" w:cs="Calibri"/>
          <w:lang w:eastAsia="it-IT"/>
        </w:rPr>
        <w:t>/2020</w:t>
      </w:r>
      <w:r w:rsidR="00C55B9A">
        <w:rPr>
          <w:rFonts w:eastAsia="Calibri" w:cs="Calibri"/>
          <w:lang w:eastAsia="it-IT"/>
        </w:rPr>
        <w:t>.</w:t>
      </w:r>
    </w:p>
    <w:p w:rsidR="005F2D30" w:rsidRDefault="005F2D30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lastRenderedPageBreak/>
        <w:t>RELAZIONE PUBBLICA DI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Default="00F80DE9" w:rsidP="00B32D81">
      <w:pPr>
        <w:spacing w:after="0" w:line="240" w:lineRule="auto"/>
      </w:pPr>
    </w:p>
    <w:p w:rsidR="00F80DE9" w:rsidRPr="00B32D81" w:rsidRDefault="00F80DE9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Default="00256B5A" w:rsidP="00B32D81">
      <w:pPr>
        <w:spacing w:after="0" w:line="240" w:lineRule="auto"/>
      </w:pPr>
    </w:p>
    <w:p w:rsidR="00256B5A" w:rsidRPr="00B32D81" w:rsidRDefault="00256B5A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1C7AD0" w:rsidRPr="00B32D81" w:rsidRDefault="001C7AD0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915A27" w:rsidRPr="00D97448" w:rsidRDefault="007C68D2" w:rsidP="00915A27">
      <w:pPr>
        <w:autoSpaceDE w:val="0"/>
        <w:autoSpaceDN w:val="0"/>
        <w:adjustRightInd w:val="0"/>
        <w:spacing w:after="0" w:line="240" w:lineRule="auto"/>
        <w:jc w:val="both"/>
      </w:pPr>
      <w:r w:rsidRPr="00B32D81">
        <w:t xml:space="preserve">Sulla base dei dati di qualità, sicurezza ed efficacia, l’AIFA ha rilasciato </w:t>
      </w:r>
      <w:r w:rsidR="00D36EE4" w:rsidRPr="00293095">
        <w:t>ad</w:t>
      </w:r>
      <w:r w:rsidR="00D57289" w:rsidRPr="00293095">
        <w:t xml:space="preserve"> </w:t>
      </w:r>
      <w:r w:rsidR="00491C85" w:rsidRPr="00491C85">
        <w:t>ABC Farmaceutici S.p.A.</w:t>
      </w:r>
    </w:p>
    <w:p w:rsidR="00256B5A" w:rsidRDefault="00F80DE9" w:rsidP="00256B5A">
      <w:pPr>
        <w:autoSpaceDE w:val="0"/>
        <w:autoSpaceDN w:val="0"/>
        <w:adjustRightInd w:val="0"/>
        <w:spacing w:after="0" w:line="240" w:lineRule="auto"/>
        <w:jc w:val="both"/>
      </w:pPr>
      <w:r w:rsidRPr="00F80DE9">
        <w:t xml:space="preserve"> </w:t>
      </w:r>
      <w:r w:rsidR="007C68D2" w:rsidRPr="00293095">
        <w:t>l’autorizzazione</w:t>
      </w:r>
      <w:r w:rsidR="007C68D2" w:rsidRPr="00B32D81">
        <w:t xml:space="preserve"> </w:t>
      </w:r>
      <w:r w:rsidR="007C68D2" w:rsidRPr="00CA29BF">
        <w:t xml:space="preserve">all’immissione in commercio (AIC) per il medicinale </w:t>
      </w:r>
      <w:r w:rsidR="00AA4A56">
        <w:t>TADALAFIL ABC</w:t>
      </w:r>
      <w:r w:rsidRPr="00F80DE9">
        <w:t xml:space="preserve"> </w:t>
      </w:r>
      <w:r w:rsidR="00AA4A56">
        <w:t xml:space="preserve">2,5 mg, </w:t>
      </w:r>
      <w:r w:rsidR="000C3815">
        <w:t>5</w:t>
      </w:r>
      <w:r w:rsidR="00256B5A" w:rsidRPr="00256B5A">
        <w:t xml:space="preserve"> mg</w:t>
      </w:r>
      <w:r w:rsidR="000C3815">
        <w:t>, 10 mg e 20 mg compresse rivestite con film</w:t>
      </w:r>
      <w:r w:rsidR="00256B5A">
        <w:t xml:space="preserve"> il </w:t>
      </w:r>
      <w:r w:rsidR="00AA4A56">
        <w:t>12/02/2020</w:t>
      </w:r>
      <w:r w:rsidR="000C3815">
        <w:t>.</w:t>
      </w:r>
    </w:p>
    <w:p w:rsidR="000C3815" w:rsidRPr="00502AB1" w:rsidRDefault="000C3815" w:rsidP="00256B5A">
      <w:pPr>
        <w:autoSpaceDE w:val="0"/>
        <w:autoSpaceDN w:val="0"/>
        <w:adjustRightInd w:val="0"/>
        <w:spacing w:after="0" w:line="240" w:lineRule="auto"/>
        <w:jc w:val="both"/>
      </w:pPr>
    </w:p>
    <w:p w:rsidR="007C68D2" w:rsidRDefault="00AA4A56" w:rsidP="00D27E58">
      <w:pPr>
        <w:autoSpaceDE w:val="0"/>
        <w:autoSpaceDN w:val="0"/>
        <w:adjustRightInd w:val="0"/>
        <w:spacing w:after="0" w:line="240" w:lineRule="auto"/>
        <w:jc w:val="both"/>
      </w:pPr>
      <w:r>
        <w:t>TADALAFIL ABC</w:t>
      </w:r>
      <w:r w:rsidR="00256B5A" w:rsidRPr="00256B5A">
        <w:t xml:space="preserve"> </w:t>
      </w:r>
      <w:r w:rsidR="007935FE" w:rsidRPr="00B8240C">
        <w:t xml:space="preserve">può essere ottenuto </w:t>
      </w:r>
      <w:r w:rsidR="00D27E58" w:rsidRPr="00D27E58">
        <w:t>solo su prescrizione da parte del medico (</w:t>
      </w:r>
      <w:r w:rsidR="00D27E58">
        <w:t>RR</w:t>
      </w:r>
      <w:r w:rsidR="00D27E58" w:rsidRPr="00D27E58">
        <w:t>).</w:t>
      </w:r>
    </w:p>
    <w:p w:rsidR="00D27E58" w:rsidRPr="00502AB1" w:rsidRDefault="00D27E58" w:rsidP="00D27E58">
      <w:pPr>
        <w:autoSpaceDE w:val="0"/>
        <w:autoSpaceDN w:val="0"/>
        <w:adjustRightInd w:val="0"/>
        <w:spacing w:after="0" w:line="240" w:lineRule="auto"/>
        <w:jc w:val="both"/>
      </w:pPr>
    </w:p>
    <w:p w:rsidR="00AD4E22" w:rsidRDefault="008845B5" w:rsidP="00502AB1">
      <w:pPr>
        <w:spacing w:after="0" w:line="240" w:lineRule="auto"/>
        <w:jc w:val="both"/>
      </w:pPr>
      <w:r w:rsidRPr="00502AB1">
        <w:t xml:space="preserve">Questa procedura è stata presentata ai sensi </w:t>
      </w:r>
      <w:r w:rsidRPr="00293095">
        <w:t>dell’art. 10(1) della Direttiva</w:t>
      </w:r>
      <w:r w:rsidRPr="00502AB1">
        <w:t xml:space="preserve"> 2001/83/EU s.m.i.</w:t>
      </w:r>
      <w:r>
        <w:t xml:space="preserve"> </w:t>
      </w:r>
    </w:p>
    <w:p w:rsidR="00D27E58" w:rsidRDefault="00D27E58" w:rsidP="00502AB1">
      <w:pPr>
        <w:spacing w:after="0" w:line="240" w:lineRule="auto"/>
        <w:jc w:val="both"/>
      </w:pPr>
    </w:p>
    <w:p w:rsidR="002C6868" w:rsidRPr="00B8240C" w:rsidRDefault="00AA4A56" w:rsidP="002C6868">
      <w:pPr>
        <w:widowControl w:val="0"/>
        <w:spacing w:after="0" w:line="240" w:lineRule="auto"/>
        <w:jc w:val="both"/>
      </w:pPr>
      <w:r>
        <w:t>TADALAFIL ABC</w:t>
      </w:r>
      <w:r w:rsidR="00256B5A" w:rsidRPr="00256B5A">
        <w:t xml:space="preserve"> </w:t>
      </w:r>
      <w:r w:rsidR="002C6868" w:rsidRPr="00B8240C">
        <w:t xml:space="preserve">è un medicinale </w:t>
      </w:r>
      <w:r w:rsidR="00E311A6">
        <w:t xml:space="preserve">generico </w:t>
      </w:r>
      <w:r w:rsidR="002C6868" w:rsidRPr="00B8240C">
        <w:t>contenente il principio attivo</w:t>
      </w:r>
      <w:r w:rsidR="00AD4E22" w:rsidRPr="00B8240C">
        <w:t xml:space="preserve"> </w:t>
      </w:r>
      <w:r w:rsidR="00D27E58">
        <w:t>tadalafil</w:t>
      </w:r>
      <w:r w:rsidR="002C6868" w:rsidRPr="00B8240C">
        <w:t xml:space="preserve">, presente nel medicinale di riferimento </w:t>
      </w:r>
      <w:r w:rsidR="00D27E58">
        <w:t>Cialis</w:t>
      </w:r>
      <w:bookmarkStart w:id="3" w:name="_Hlk39842360"/>
      <w:r w:rsidR="00D97448">
        <w:rPr>
          <w:rFonts w:cstheme="minorHAnsi"/>
        </w:rPr>
        <w:t>®</w:t>
      </w:r>
      <w:bookmarkEnd w:id="3"/>
      <w:r w:rsidR="002C6868" w:rsidRPr="00B8240C">
        <w:t xml:space="preserve">, autorizzato in Italia da più di </w:t>
      </w:r>
      <w:r w:rsidR="00D97448" w:rsidRPr="00B8240C">
        <w:t>dieci</w:t>
      </w:r>
      <w:r w:rsidR="002C6868" w:rsidRPr="00B8240C">
        <w:t xml:space="preserve"> anni.</w:t>
      </w:r>
    </w:p>
    <w:p w:rsidR="007C68D2" w:rsidRPr="00B8240C" w:rsidRDefault="007C68D2" w:rsidP="002D71A8">
      <w:pPr>
        <w:spacing w:after="0" w:line="240" w:lineRule="auto"/>
        <w:jc w:val="both"/>
      </w:pPr>
    </w:p>
    <w:p w:rsidR="00E0335B" w:rsidRDefault="002D71A8" w:rsidP="0039108A">
      <w:pPr>
        <w:spacing w:after="0" w:line="240" w:lineRule="auto"/>
        <w:jc w:val="both"/>
        <w:rPr>
          <w:bCs/>
        </w:rPr>
      </w:pPr>
      <w:r>
        <w:rPr>
          <w:bCs/>
        </w:rPr>
        <w:t xml:space="preserve">Il </w:t>
      </w:r>
      <w:r w:rsidR="00D27E58">
        <w:rPr>
          <w:bCs/>
        </w:rPr>
        <w:t>tadalafil</w:t>
      </w:r>
      <w:r>
        <w:rPr>
          <w:bCs/>
        </w:rPr>
        <w:t xml:space="preserve"> appartiene alla c</w:t>
      </w:r>
      <w:r w:rsidR="00E0335B">
        <w:rPr>
          <w:bCs/>
        </w:rPr>
        <w:t>ategoria farmaco</w:t>
      </w:r>
      <w:r w:rsidR="00D97448">
        <w:rPr>
          <w:bCs/>
        </w:rPr>
        <w:t>-</w:t>
      </w:r>
      <w:r w:rsidRPr="002D71A8">
        <w:rPr>
          <w:bCs/>
        </w:rPr>
        <w:t>terapeutica</w:t>
      </w:r>
      <w:r>
        <w:rPr>
          <w:bCs/>
        </w:rPr>
        <w:t xml:space="preserve"> degli</w:t>
      </w:r>
      <w:r w:rsidR="00E0335B">
        <w:rPr>
          <w:bCs/>
        </w:rPr>
        <w:t xml:space="preserve"> </w:t>
      </w:r>
      <w:r w:rsidR="00E0335B" w:rsidRPr="00E0335B">
        <w:rPr>
          <w:bCs/>
        </w:rPr>
        <w:t>inibitori della fosfodiesterasi di tipo 5</w:t>
      </w:r>
      <w:r w:rsidR="000D62DA" w:rsidRPr="00567350">
        <w:t>(PDE5)</w:t>
      </w:r>
      <w:r w:rsidR="00E0335B" w:rsidRPr="002D71A8">
        <w:rPr>
          <w:bCs/>
        </w:rPr>
        <w:t>, codice ATC:</w:t>
      </w:r>
      <w:r w:rsidR="00E0335B">
        <w:rPr>
          <w:bCs/>
        </w:rPr>
        <w:t xml:space="preserve"> </w:t>
      </w:r>
      <w:r w:rsidR="00E0335B" w:rsidRPr="00E0335B">
        <w:rPr>
          <w:bCs/>
        </w:rPr>
        <w:t>G04BE08</w:t>
      </w:r>
      <w:r w:rsidR="00E0335B" w:rsidRPr="002D71A8">
        <w:rPr>
          <w:bCs/>
        </w:rPr>
        <w:t>.</w:t>
      </w:r>
    </w:p>
    <w:p w:rsidR="0039108A" w:rsidRDefault="0039108A" w:rsidP="0039108A">
      <w:pPr>
        <w:spacing w:after="0" w:line="240" w:lineRule="auto"/>
        <w:jc w:val="both"/>
        <w:rPr>
          <w:bCs/>
        </w:rPr>
      </w:pPr>
    </w:p>
    <w:p w:rsidR="0039108A" w:rsidRPr="0039108A" w:rsidRDefault="002D71A8" w:rsidP="0039108A">
      <w:pPr>
        <w:spacing w:after="0" w:line="240" w:lineRule="auto"/>
        <w:jc w:val="both"/>
      </w:pPr>
      <w:r w:rsidRPr="002D71A8">
        <w:t xml:space="preserve">L’effetto del </w:t>
      </w:r>
      <w:r w:rsidR="00D27E58">
        <w:t>tadalafil</w:t>
      </w:r>
      <w:r w:rsidRPr="002D71A8">
        <w:t xml:space="preserve"> </w:t>
      </w:r>
      <w:r w:rsidR="000D62DA" w:rsidRPr="00567350">
        <w:t xml:space="preserve">nel trattamento della disfunzione erettile </w:t>
      </w:r>
      <w:r w:rsidRPr="002D71A8">
        <w:t xml:space="preserve">è riconducibile </w:t>
      </w:r>
      <w:r w:rsidR="000D62DA">
        <w:t xml:space="preserve">all’inibizione </w:t>
      </w:r>
      <w:r w:rsidR="000D62DA" w:rsidRPr="00567350">
        <w:t>della fosfodiesterasi di tipo 5</w:t>
      </w:r>
      <w:r w:rsidR="0039108A">
        <w:t xml:space="preserve"> (PDE5) </w:t>
      </w:r>
      <w:r w:rsidR="0039108A" w:rsidRPr="00567350">
        <w:t>guanosin monof</w:t>
      </w:r>
      <w:r w:rsidR="0039108A">
        <w:t>osfato ciclico (cGMP)-specifica</w:t>
      </w:r>
      <w:r w:rsidR="000D62DA">
        <w:t xml:space="preserve"> che provoca</w:t>
      </w:r>
      <w:r w:rsidR="0039108A" w:rsidRPr="0039108A">
        <w:t xml:space="preserve"> un aumento dei livelli di cGMP nel corpo cavernoso. Questo determina il rilassamento della muscolatura liscia e l’afflusso di sangue nel tessuto del pene, producendo così un’erezione. Il tadalafil non ha effetto nel trattamento della disfunzione erettile in assenza di stimolazione sessuale.</w:t>
      </w:r>
    </w:p>
    <w:p w:rsidR="000D62DA" w:rsidRPr="0039108A" w:rsidRDefault="000D62DA" w:rsidP="0039108A">
      <w:pPr>
        <w:pStyle w:val="Default"/>
        <w:spacing w:before="120" w:after="120"/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39108A">
        <w:rPr>
          <w:rFonts w:asciiTheme="minorHAnsi" w:eastAsiaTheme="minorHAnsi" w:hAnsiTheme="minorHAnsi" w:cstheme="minorBidi"/>
          <w:color w:val="auto"/>
          <w:sz w:val="22"/>
          <w:szCs w:val="22"/>
        </w:rPr>
        <w:t>L’effetto della inibizione della PDE5 sulla concentrazione di cGMP è stato osservato anche sulla muscolatura liscia della prostata, della vescica e del loro sistema vascolare. L’effetto di rilassamento vascolare che ne deriva aumenta la perfusione di sangue e questo potrebbe essere il meccanismo sulla base del quale i sintomi dell’iperplasia prostatica benigna sono ridotti. Questi effetti vascolari possono essere accompagnati dall’inibizione dell’attività del nervo afferente vescicale e dal rilassamento della muscolatura liscia della prostata e della vescica.</w:t>
      </w:r>
    </w:p>
    <w:p w:rsidR="00D27E58" w:rsidRDefault="00D27E58" w:rsidP="00256B5A">
      <w:pPr>
        <w:spacing w:after="0" w:line="240" w:lineRule="auto"/>
        <w:jc w:val="both"/>
      </w:pPr>
    </w:p>
    <w:p w:rsidR="00D27E58" w:rsidRPr="00D879F5" w:rsidRDefault="00491C85" w:rsidP="00D27E58">
      <w:pPr>
        <w:spacing w:after="0" w:line="240" w:lineRule="auto"/>
        <w:jc w:val="both"/>
      </w:pPr>
      <w:r w:rsidRPr="00491C85">
        <w:t xml:space="preserve">A supporto della domanda di autorizzazione del medicinale TADALAFIL ABC </w:t>
      </w:r>
      <w:bookmarkStart w:id="4" w:name="_Hlk39842384"/>
      <w:r w:rsidRPr="00491C85">
        <w:t xml:space="preserve">sono stati presentati 3 studi di bioequivalenza che hanno confrontato i profili farmacocinetici del medicinale test </w:t>
      </w:r>
      <w:r w:rsidRPr="00491C85">
        <w:rPr>
          <w:rFonts w:eastAsia="Calibri" w:cs="Calibri"/>
          <w:color w:val="000000"/>
          <w:lang w:eastAsia="it-IT"/>
        </w:rPr>
        <w:t>TADALAFIL ABC</w:t>
      </w:r>
      <w:r w:rsidRPr="00491C85">
        <w:t xml:space="preserve"> e quelli del medicinale di riferimento Cialis</w:t>
      </w:r>
      <w:r w:rsidRPr="00491C85">
        <w:rPr>
          <w:rFonts w:cstheme="minorHAnsi"/>
        </w:rPr>
        <w:t>®</w:t>
      </w:r>
      <w:r w:rsidRPr="00491C85">
        <w:t xml:space="preserve"> autorizzato in Italia.</w:t>
      </w:r>
      <w:bookmarkEnd w:id="4"/>
    </w:p>
    <w:p w:rsidR="00D879F5" w:rsidRPr="00D879F5" w:rsidRDefault="00D879F5" w:rsidP="00D27E58">
      <w:pPr>
        <w:spacing w:after="0" w:line="240" w:lineRule="auto"/>
        <w:jc w:val="both"/>
      </w:pPr>
    </w:p>
    <w:p w:rsidR="00D27E58" w:rsidRDefault="00491C85" w:rsidP="00D27E58">
      <w:pPr>
        <w:spacing w:after="0" w:line="240" w:lineRule="auto"/>
        <w:jc w:val="both"/>
      </w:pPr>
      <w:r w:rsidRPr="00491C85">
        <w:t>Gli studi di bioequivalenza sono stati condotti in conformità alle linee guida di Buona Pratica Clinica (</w:t>
      </w:r>
      <w:r w:rsidRPr="00491C85">
        <w:rPr>
          <w:i/>
        </w:rPr>
        <w:t>Good Clinical Practice</w:t>
      </w:r>
      <w:r w:rsidRPr="00491C85">
        <w:t xml:space="preserve"> - GCP).</w:t>
      </w:r>
    </w:p>
    <w:p w:rsidR="005A2DC6" w:rsidRPr="00AD2871" w:rsidRDefault="005A2DC6" w:rsidP="005A2DC6">
      <w:pPr>
        <w:spacing w:after="0" w:line="240" w:lineRule="auto"/>
        <w:contextualSpacing/>
        <w:jc w:val="both"/>
      </w:pPr>
    </w:p>
    <w:p w:rsidR="007935FE" w:rsidRPr="00AD2871" w:rsidRDefault="007C68D2" w:rsidP="00502AB1">
      <w:pPr>
        <w:spacing w:after="0" w:line="240" w:lineRule="auto"/>
        <w:contextualSpacing/>
        <w:jc w:val="both"/>
      </w:pPr>
      <w:r w:rsidRPr="00502AB1">
        <w:t xml:space="preserve">Poiché </w:t>
      </w:r>
      <w:r w:rsidR="00AA4A56">
        <w:t>TADALAFIL ABC</w:t>
      </w:r>
      <w:r w:rsidR="002D71A8" w:rsidRPr="002D71A8">
        <w:t xml:space="preserve"> </w:t>
      </w:r>
      <w:r w:rsidRPr="00502AB1">
        <w:t>contiene un principio attivo noto</w:t>
      </w:r>
      <w:r w:rsidR="00DC0AB6">
        <w:t>,</w:t>
      </w:r>
      <w:r w:rsidRPr="00502AB1">
        <w:t xml:space="preserve"> non sono stati forniti nuovi dati non clinici e clinici: questo approccio è accettabile poiché il medicinale di riferimento </w:t>
      </w:r>
      <w:r w:rsidR="00D27E58">
        <w:t>Cialis</w:t>
      </w:r>
      <w:bookmarkStart w:id="5" w:name="_Hlk39842403"/>
      <w:r w:rsidR="00D879F5">
        <w:rPr>
          <w:rFonts w:cstheme="minorHAnsi"/>
        </w:rPr>
        <w:t>®</w:t>
      </w:r>
      <w:bookmarkEnd w:id="5"/>
      <w:r w:rsidR="00D27E58">
        <w:t xml:space="preserve"> </w:t>
      </w:r>
      <w:r w:rsidRPr="00502AB1">
        <w:t xml:space="preserve">è autorizzato in Italia da oltre </w:t>
      </w:r>
      <w:r w:rsidR="00D879F5" w:rsidRPr="00502AB1">
        <w:t>dieci</w:t>
      </w:r>
      <w:r w:rsidRPr="00502AB1">
        <w:t xml:space="preserve"> anni</w:t>
      </w:r>
      <w:r w:rsidR="005A2DC6">
        <w:t>.</w:t>
      </w:r>
    </w:p>
    <w:p w:rsidR="007C68D2" w:rsidRPr="00502AB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r w:rsidRPr="00AD2871">
        <w:t>Good Manufacturing Practice</w:t>
      </w:r>
      <w:r w:rsidRPr="00B32D81">
        <w:t xml:space="preserve"> - GMP). Le autorità regolator</w:t>
      </w:r>
      <w:r w:rsidR="002C389F" w:rsidRPr="00B32D81">
        <w:t>i</w:t>
      </w:r>
      <w:r w:rsidRPr="00B32D81">
        <w:t>e competenti hanno rilasciato i certificati GMP per i siti di produzione sul territorio dell’Unione Europea.</w:t>
      </w:r>
    </w:p>
    <w:p w:rsidR="007C68D2" w:rsidRPr="00AD287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sistema di Farmacovigilanza descritto dal titolare dell’AIC è conforme ai requisiti previsti dalla normativa corrente. </w:t>
      </w:r>
      <w:r w:rsidR="00D879F5" w:rsidRPr="00B32D81">
        <w:t>È</w:t>
      </w:r>
      <w:r w:rsidRPr="00B32D81">
        <w:t xml:space="preserve"> stato presentato un Piano di gestione del rischio (</w:t>
      </w:r>
      <w:r w:rsidRPr="00AD2871">
        <w:t>Risk Management Plan</w:t>
      </w:r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Default="007C68D2" w:rsidP="00B32D81">
      <w:pPr>
        <w:spacing w:after="0" w:line="240" w:lineRule="auto"/>
        <w:jc w:val="both"/>
      </w:pPr>
      <w:r w:rsidRPr="00B32D81">
        <w:t xml:space="preserve">Il titolare di AIC ha presentato una adeguata giustificazione </w:t>
      </w:r>
      <w:r w:rsidR="00A048B7">
        <w:t>per la mancata</w:t>
      </w:r>
      <w:r w:rsidRPr="00B32D81">
        <w:t xml:space="preserve"> presentazione della Valutazione del Rischio ambientale; questo approccio è accettabile in quanto </w:t>
      </w:r>
      <w:r w:rsidR="00AA4A56">
        <w:t>TADALAFIL ABC</w:t>
      </w:r>
      <w:r w:rsidR="002D71A8" w:rsidRPr="002D71A8">
        <w:t xml:space="preserve"> </w:t>
      </w:r>
      <w:r w:rsidRPr="00B32D81">
        <w:t>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2D71A8" w:rsidRDefault="002D71A8" w:rsidP="00B32D81">
      <w:pPr>
        <w:spacing w:after="0" w:line="240" w:lineRule="auto"/>
        <w:jc w:val="both"/>
      </w:pPr>
    </w:p>
    <w:p w:rsidR="00D27E58" w:rsidRDefault="00D27E58" w:rsidP="00B32D81">
      <w:pPr>
        <w:spacing w:after="0" w:line="240" w:lineRule="auto"/>
        <w:jc w:val="both"/>
      </w:pPr>
    </w:p>
    <w:p w:rsidR="00D27E58" w:rsidRDefault="00D27E58" w:rsidP="00B32D81">
      <w:pPr>
        <w:spacing w:after="0" w:line="240" w:lineRule="auto"/>
        <w:jc w:val="both"/>
      </w:pPr>
    </w:p>
    <w:p w:rsidR="007C68D2" w:rsidRPr="006312EE" w:rsidRDefault="007C68D2" w:rsidP="00B32D81">
      <w:pPr>
        <w:spacing w:after="0" w:line="240" w:lineRule="auto"/>
        <w:jc w:val="both"/>
      </w:pPr>
    </w:p>
    <w:p w:rsidR="007C68D2" w:rsidRPr="006312EE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6312EE">
        <w:rPr>
          <w:b/>
        </w:rPr>
        <w:t>ASPETTI DI QUALITA’</w:t>
      </w:r>
    </w:p>
    <w:p w:rsidR="007C68D2" w:rsidRPr="006312EE" w:rsidRDefault="007C68D2" w:rsidP="00B32D81">
      <w:pPr>
        <w:spacing w:after="0" w:line="240" w:lineRule="auto"/>
        <w:jc w:val="both"/>
      </w:pPr>
      <w:r w:rsidRPr="006312EE">
        <w:rPr>
          <w:b/>
        </w:rPr>
        <w:t xml:space="preserve">II.1 PRINCIPIO ATTIVO </w:t>
      </w:r>
    </w:p>
    <w:p w:rsidR="00EB16E6" w:rsidRPr="00E25334" w:rsidRDefault="00EB16E6" w:rsidP="00E25334">
      <w:pPr>
        <w:spacing w:after="0" w:line="240" w:lineRule="auto"/>
        <w:jc w:val="both"/>
      </w:pPr>
      <w:smartTag w:uri="urn:schemas-microsoft-com:office:smarttags" w:element="place">
        <w:r w:rsidRPr="0039108A">
          <w:rPr>
            <w:u w:val="single"/>
          </w:rPr>
          <w:t>INN</w:t>
        </w:r>
      </w:smartTag>
      <w:r w:rsidRPr="00E25334">
        <w:t xml:space="preserve">: </w:t>
      </w:r>
      <w:r w:rsidR="00E77D88">
        <w:t>tadalafil</w:t>
      </w:r>
    </w:p>
    <w:p w:rsidR="00E927A4" w:rsidRDefault="007C68D2" w:rsidP="0039108A">
      <w:pPr>
        <w:spacing w:after="0" w:line="240" w:lineRule="auto"/>
        <w:jc w:val="both"/>
      </w:pPr>
      <w:r w:rsidRPr="00A048B7">
        <w:rPr>
          <w:u w:val="single"/>
        </w:rPr>
        <w:t>Nome chimico</w:t>
      </w:r>
      <w:r w:rsidRPr="006312EE">
        <w:t>:</w:t>
      </w:r>
      <w:r w:rsidR="0039108A">
        <w:t xml:space="preserve"> </w:t>
      </w:r>
      <w:r w:rsidR="0039108A" w:rsidRPr="0039108A">
        <w:t>(6</w:t>
      </w:r>
      <w:r w:rsidR="0039108A" w:rsidRPr="0039108A">
        <w:rPr>
          <w:i/>
          <w:iCs/>
        </w:rPr>
        <w:t>R</w:t>
      </w:r>
      <w:r w:rsidR="0039108A" w:rsidRPr="0039108A">
        <w:t>,12a</w:t>
      </w:r>
      <w:r w:rsidR="0039108A" w:rsidRPr="0039108A">
        <w:rPr>
          <w:i/>
          <w:iCs/>
        </w:rPr>
        <w:t>R</w:t>
      </w:r>
      <w:r w:rsidR="0039108A" w:rsidRPr="0039108A">
        <w:t>)-6-(1,3-Benzodioxol-5-yl)-2-methyl-2,3,6,7,12,12a-hexahydropyrazino[1’,2’:1,6]-pyrido [3,4-</w:t>
      </w:r>
      <w:r w:rsidR="0039108A" w:rsidRPr="0039108A">
        <w:rPr>
          <w:i/>
          <w:iCs/>
        </w:rPr>
        <w:t>b</w:t>
      </w:r>
      <w:r w:rsidR="0039108A" w:rsidRPr="0039108A">
        <w:t>] indole-1, 4-dione</w:t>
      </w:r>
    </w:p>
    <w:p w:rsidR="00700F7D" w:rsidRPr="00E25334" w:rsidRDefault="007C68D2" w:rsidP="00E25334">
      <w:pPr>
        <w:spacing w:after="0" w:line="240" w:lineRule="auto"/>
        <w:jc w:val="both"/>
      </w:pPr>
      <w:r w:rsidRPr="0039108A">
        <w:rPr>
          <w:u w:val="single"/>
        </w:rPr>
        <w:t>Struttura</w:t>
      </w:r>
      <w:r w:rsidRPr="006312EE">
        <w:t>:</w:t>
      </w:r>
      <w:r w:rsidR="00700F7D" w:rsidRPr="00E25334">
        <w:t xml:space="preserve"> </w:t>
      </w:r>
    </w:p>
    <w:p w:rsidR="00B12DF7" w:rsidRPr="00E25334" w:rsidRDefault="00F01566" w:rsidP="00E25334">
      <w:pPr>
        <w:spacing w:after="0" w:line="240" w:lineRule="auto"/>
        <w:jc w:val="both"/>
      </w:pPr>
      <w:r w:rsidRPr="00E25334">
        <w:t xml:space="preserve">  </w:t>
      </w:r>
    </w:p>
    <w:p w:rsidR="00E14380" w:rsidRPr="00E25334" w:rsidRDefault="00BB6BC0" w:rsidP="00E25334">
      <w:pPr>
        <w:spacing w:after="0" w:line="240" w:lineRule="auto"/>
        <w:jc w:val="both"/>
      </w:pPr>
      <w:r>
        <w:rPr>
          <w:noProof/>
          <w:lang w:eastAsia="it-IT"/>
        </w:rPr>
        <w:drawing>
          <wp:inline distT="0" distB="0" distL="0" distR="0">
            <wp:extent cx="1486658" cy="1163117"/>
            <wp:effectExtent l="19050" t="0" r="0" b="0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742" cy="1163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6E6" w:rsidRPr="00E25334" w:rsidRDefault="00700F7D" w:rsidP="00E25334">
      <w:pPr>
        <w:spacing w:after="0" w:line="240" w:lineRule="auto"/>
        <w:jc w:val="both"/>
      </w:pPr>
      <w:r w:rsidRPr="00A048B7">
        <w:rPr>
          <w:u w:val="single"/>
        </w:rPr>
        <w:t>F</w:t>
      </w:r>
      <w:r w:rsidR="00E14380" w:rsidRPr="00A048B7">
        <w:rPr>
          <w:u w:val="single"/>
        </w:rPr>
        <w:t>ormula molecolare</w:t>
      </w:r>
      <w:r w:rsidR="00E14380" w:rsidRPr="006312EE">
        <w:t>:</w:t>
      </w:r>
      <w:r w:rsidR="00E14380" w:rsidRPr="00E25334">
        <w:t xml:space="preserve"> </w:t>
      </w:r>
      <w:r w:rsidR="00E77D88">
        <w:t xml:space="preserve"> </w:t>
      </w:r>
      <w:r w:rsidR="0039108A">
        <w:rPr>
          <w:rFonts w:ascii="Times New Roman" w:hAnsi="Times New Roman" w:cs="Times New Roman"/>
          <w:sz w:val="24"/>
          <w:szCs w:val="24"/>
        </w:rPr>
        <w:t>C</w:t>
      </w:r>
      <w:r w:rsidR="0039108A">
        <w:rPr>
          <w:rFonts w:ascii="Times New Roman" w:hAnsi="Times New Roman" w:cs="Times New Roman"/>
          <w:sz w:val="16"/>
          <w:szCs w:val="16"/>
        </w:rPr>
        <w:t>22</w:t>
      </w:r>
      <w:r w:rsidR="0039108A">
        <w:rPr>
          <w:rFonts w:ascii="Times New Roman" w:hAnsi="Times New Roman" w:cs="Times New Roman"/>
          <w:sz w:val="24"/>
          <w:szCs w:val="24"/>
        </w:rPr>
        <w:t>H</w:t>
      </w:r>
      <w:r w:rsidR="0039108A">
        <w:rPr>
          <w:rFonts w:ascii="Times New Roman" w:hAnsi="Times New Roman" w:cs="Times New Roman"/>
          <w:sz w:val="16"/>
          <w:szCs w:val="16"/>
        </w:rPr>
        <w:t>19</w:t>
      </w:r>
      <w:r w:rsidR="0039108A">
        <w:rPr>
          <w:rFonts w:ascii="Times New Roman" w:hAnsi="Times New Roman" w:cs="Times New Roman"/>
          <w:sz w:val="24"/>
          <w:szCs w:val="24"/>
        </w:rPr>
        <w:t>N</w:t>
      </w:r>
      <w:r w:rsidR="0039108A">
        <w:rPr>
          <w:rFonts w:ascii="Times New Roman" w:hAnsi="Times New Roman" w:cs="Times New Roman"/>
          <w:sz w:val="16"/>
          <w:szCs w:val="16"/>
        </w:rPr>
        <w:t>3</w:t>
      </w:r>
      <w:r w:rsidR="0039108A">
        <w:rPr>
          <w:rFonts w:ascii="Times New Roman" w:hAnsi="Times New Roman" w:cs="Times New Roman"/>
          <w:sz w:val="24"/>
          <w:szCs w:val="24"/>
        </w:rPr>
        <w:t>O</w:t>
      </w:r>
      <w:r w:rsidR="0039108A">
        <w:rPr>
          <w:rFonts w:ascii="Times New Roman" w:hAnsi="Times New Roman" w:cs="Times New Roman"/>
          <w:sz w:val="16"/>
          <w:szCs w:val="16"/>
        </w:rPr>
        <w:t>4</w:t>
      </w:r>
    </w:p>
    <w:p w:rsidR="00EB16E6" w:rsidRPr="00DA4C20" w:rsidRDefault="00577B78" w:rsidP="00E25334">
      <w:pPr>
        <w:spacing w:after="0" w:line="240" w:lineRule="auto"/>
        <w:jc w:val="both"/>
      </w:pPr>
      <w:r w:rsidRPr="00577B78">
        <w:rPr>
          <w:u w:val="single"/>
        </w:rPr>
        <w:t>Peso molecolare</w:t>
      </w:r>
      <w:r w:rsidRPr="00577B78">
        <w:t xml:space="preserve">: </w:t>
      </w:r>
      <w:r w:rsidR="0039108A" w:rsidRPr="0039108A">
        <w:t>389.4</w:t>
      </w:r>
      <w:r w:rsidRPr="00577B78">
        <w:t xml:space="preserve"> </w:t>
      </w:r>
      <w:r w:rsidR="00E77D88">
        <w:t xml:space="preserve"> </w:t>
      </w:r>
    </w:p>
    <w:p w:rsidR="00E927A4" w:rsidRPr="00E927A4" w:rsidRDefault="00E25334" w:rsidP="00E25334">
      <w:pPr>
        <w:spacing w:after="0" w:line="240" w:lineRule="auto"/>
        <w:jc w:val="both"/>
      </w:pPr>
      <w:r w:rsidRPr="00A048B7">
        <w:rPr>
          <w:u w:val="single"/>
        </w:rPr>
        <w:t>Aspetto</w:t>
      </w:r>
      <w:r w:rsidR="00E927A4">
        <w:rPr>
          <w:u w:val="single"/>
        </w:rPr>
        <w:t xml:space="preserve">: </w:t>
      </w:r>
      <w:r w:rsidR="00E77D88">
        <w:t xml:space="preserve"> </w:t>
      </w:r>
      <w:r w:rsidR="00BB6BC0">
        <w:t>polvere bianca o quasi bianca</w:t>
      </w:r>
    </w:p>
    <w:p w:rsidR="00DD07C0" w:rsidRPr="00DD07C0" w:rsidRDefault="00DD07C0" w:rsidP="00DD07C0">
      <w:pPr>
        <w:spacing w:after="0" w:line="240" w:lineRule="auto"/>
        <w:jc w:val="both"/>
      </w:pPr>
      <w:r w:rsidRPr="00DD07C0">
        <w:rPr>
          <w:u w:val="single"/>
        </w:rPr>
        <w:t xml:space="preserve">Solubilità: </w:t>
      </w:r>
      <w:r w:rsidR="00E77D88">
        <w:t xml:space="preserve"> </w:t>
      </w:r>
      <w:r w:rsidR="00BB6BC0">
        <w:t xml:space="preserve">praticamente insolubile in acqua, molto solubile in dimetilsulfossido, leggermente solubile in metilen cloruro. </w:t>
      </w:r>
    </w:p>
    <w:p w:rsidR="00DD07C0" w:rsidRDefault="00DD07C0" w:rsidP="00DD07C0">
      <w:pPr>
        <w:spacing w:after="0" w:line="240" w:lineRule="auto"/>
        <w:jc w:val="both"/>
      </w:pPr>
      <w:r w:rsidRPr="00DD07C0">
        <w:rPr>
          <w:u w:val="single"/>
        </w:rPr>
        <w:t xml:space="preserve">Punto di fusione: </w:t>
      </w:r>
      <w:r w:rsidR="00BB6BC0" w:rsidRPr="00BB6BC0">
        <w:t>a circa 300°C.</w:t>
      </w:r>
      <w:r w:rsidR="00E77D88" w:rsidRPr="00BB6BC0">
        <w:t xml:space="preserve"> </w:t>
      </w:r>
    </w:p>
    <w:p w:rsidR="00BB6BC0" w:rsidRDefault="00BB6BC0" w:rsidP="00DD07C0">
      <w:pPr>
        <w:spacing w:after="0" w:line="240" w:lineRule="auto"/>
        <w:jc w:val="both"/>
      </w:pPr>
      <w:r w:rsidRPr="00BB6BC0">
        <w:rPr>
          <w:u w:val="single"/>
        </w:rPr>
        <w:t>Potere ottico specifico</w:t>
      </w:r>
      <w:r>
        <w:rPr>
          <w:u w:val="single"/>
        </w:rPr>
        <w:t xml:space="preserve"> (sostanza secca)</w:t>
      </w:r>
      <w:r>
        <w:t>: tra</w:t>
      </w:r>
      <w:r w:rsidRPr="00BB6BC0">
        <w:t xml:space="preserve"> +78.0°C </w:t>
      </w:r>
      <w:r>
        <w:t>e</w:t>
      </w:r>
      <w:r w:rsidRPr="00BB6BC0">
        <w:t xml:space="preserve"> +84.0°C</w:t>
      </w:r>
    </w:p>
    <w:p w:rsidR="00BB6BC0" w:rsidRDefault="00BB6BC0" w:rsidP="00DD07C0">
      <w:pPr>
        <w:spacing w:after="0" w:line="240" w:lineRule="auto"/>
        <w:jc w:val="both"/>
      </w:pPr>
      <w:r w:rsidRPr="00BB6BC0">
        <w:rPr>
          <w:u w:val="single"/>
        </w:rPr>
        <w:t>Isomerismo</w:t>
      </w:r>
      <w:r>
        <w:t>: R,R-isomero</w:t>
      </w:r>
    </w:p>
    <w:p w:rsidR="00BB6BC0" w:rsidRPr="00BB6BC0" w:rsidRDefault="00BB6BC0" w:rsidP="00DD07C0">
      <w:pPr>
        <w:spacing w:after="0" w:line="240" w:lineRule="auto"/>
        <w:jc w:val="both"/>
      </w:pPr>
      <w:r w:rsidRPr="00BB6BC0">
        <w:rPr>
          <w:u w:val="single"/>
        </w:rPr>
        <w:t>Polimorfismo</w:t>
      </w:r>
      <w:r>
        <w:t>: Forma I</w:t>
      </w:r>
    </w:p>
    <w:p w:rsidR="00E927A4" w:rsidRDefault="00502AB1" w:rsidP="00E927A4">
      <w:pPr>
        <w:spacing w:after="0" w:line="240" w:lineRule="auto"/>
        <w:jc w:val="both"/>
      </w:pPr>
      <w:r w:rsidRPr="00032587">
        <w:t xml:space="preserve">Il principio </w:t>
      </w:r>
      <w:r w:rsidR="00B70D8F">
        <w:t xml:space="preserve">attivo </w:t>
      </w:r>
      <w:r w:rsidR="00E77D88">
        <w:t>tadalafil</w:t>
      </w:r>
      <w:r w:rsidR="006E0162">
        <w:t xml:space="preserve"> usato nella produzione del medicinale è conforme alla monografia di </w:t>
      </w:r>
      <w:r w:rsidR="00E927A4">
        <w:t>Farmacopea Europea</w:t>
      </w:r>
      <w:r w:rsidR="006E0162">
        <w:t xml:space="preserve"> </w:t>
      </w:r>
      <w:r w:rsidR="00BB6BC0">
        <w:t>(2606</w:t>
      </w:r>
      <w:r w:rsidR="006E0162">
        <w:t>)</w:t>
      </w:r>
      <w:r w:rsidR="003D4AC2">
        <w:t>.</w:t>
      </w:r>
      <w:r w:rsidR="00E927A4">
        <w:t xml:space="preserve"> Per la produzione di </w:t>
      </w:r>
      <w:r w:rsidR="00AA4A56">
        <w:t>TADALAFIL ABC</w:t>
      </w:r>
      <w:r w:rsidR="00E927A4" w:rsidRPr="003B19FC">
        <w:t xml:space="preserve"> </w:t>
      </w:r>
      <w:r w:rsidR="00E927A4">
        <w:t>è proposto un produttore di sostanza attiva che è titolare di un CEP rilasciato dal Direttorato Europeo della Qualità dei medicinali (EDQM). Tutti gli aspetti della produzione e del controllo della sostanza attiva sono coperti dal CEP.</w:t>
      </w:r>
    </w:p>
    <w:p w:rsidR="00E927A4" w:rsidRPr="003B19FC" w:rsidRDefault="00E927A4" w:rsidP="00E927A4">
      <w:pPr>
        <w:spacing w:after="0" w:line="240" w:lineRule="auto"/>
        <w:jc w:val="both"/>
      </w:pPr>
    </w:p>
    <w:p w:rsidR="0032701C" w:rsidRPr="00DA4C20" w:rsidRDefault="00577B78" w:rsidP="00E14380">
      <w:pPr>
        <w:spacing w:after="0" w:line="240" w:lineRule="auto"/>
        <w:jc w:val="both"/>
        <w:rPr>
          <w:b/>
        </w:rPr>
      </w:pPr>
      <w:r w:rsidRPr="00577B78">
        <w:rPr>
          <w:b/>
        </w:rPr>
        <w:t xml:space="preserve"> </w:t>
      </w: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6312EE">
        <w:rPr>
          <w:b/>
        </w:rPr>
        <w:t>II.2 PROD</w:t>
      </w:r>
      <w:r w:rsidRPr="00B32D81">
        <w:rPr>
          <w:b/>
        </w:rPr>
        <w:t>OTTO FINITO</w:t>
      </w:r>
    </w:p>
    <w:p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Descrizione e composizione</w:t>
      </w:r>
    </w:p>
    <w:p w:rsidR="002349D8" w:rsidRPr="001B67E5" w:rsidRDefault="00AA4A56" w:rsidP="00E77D88">
      <w:pPr>
        <w:spacing w:after="0" w:line="240" w:lineRule="auto"/>
        <w:jc w:val="both"/>
      </w:pPr>
      <w:r>
        <w:t>TADALAFIL ABC</w:t>
      </w:r>
      <w:r w:rsidR="00E927A4">
        <w:t xml:space="preserve"> </w:t>
      </w:r>
      <w:r w:rsidR="007C68D2" w:rsidRPr="00186D72">
        <w:t xml:space="preserve">è disponibile come </w:t>
      </w:r>
      <w:r w:rsidR="00BB6BC0">
        <w:t xml:space="preserve">compresse rivestite con film nei dosaggi da </w:t>
      </w:r>
      <w:r>
        <w:t xml:space="preserve">2,5 mg, </w:t>
      </w:r>
      <w:r w:rsidR="00BB6BC0">
        <w:t>5 mg, 10 mg e 20 mg.</w:t>
      </w:r>
    </w:p>
    <w:p w:rsidR="007C68D2" w:rsidRPr="00CE5C72" w:rsidRDefault="00D16510" w:rsidP="00424DDF">
      <w:pPr>
        <w:spacing w:after="0" w:line="240" w:lineRule="auto"/>
        <w:jc w:val="both"/>
      </w:pPr>
      <w:r w:rsidRPr="00D16510">
        <w:t>Gli eccipienti utilizzati nell</w:t>
      </w:r>
      <w:r w:rsidR="00424DDF">
        <w:t>e formulazioni</w:t>
      </w:r>
      <w:r w:rsidRPr="00D16510">
        <w:t xml:space="preserve"> </w:t>
      </w:r>
      <w:r>
        <w:t>sono c</w:t>
      </w:r>
      <w:r w:rsidRPr="00213B3A">
        <w:t>onformi alla relativa monografia</w:t>
      </w:r>
      <w:r>
        <w:t xml:space="preserve"> di </w:t>
      </w:r>
      <w:r w:rsidRPr="00213B3A">
        <w:t>Farmacopea Europea</w:t>
      </w:r>
      <w:r w:rsidR="00BB6BC0">
        <w:t xml:space="preserve">. </w:t>
      </w:r>
      <w:r>
        <w:t xml:space="preserve"> </w:t>
      </w:r>
      <w:r w:rsidR="001E6EA4">
        <w:t>E’</w:t>
      </w:r>
      <w:r w:rsidR="00213B3A">
        <w:t xml:space="preserve"> stata fornita una dichiarazione relativa all’assenza del rischio BSE/TSE. </w:t>
      </w:r>
      <w:r w:rsidR="007C68D2" w:rsidRPr="00CE5C72">
        <w:t>Nessun eccipiente è ottenuto da organismi geneticamente modificati; non sono presenti eccipienti mai utilizzati nell’uomo.</w:t>
      </w:r>
    </w:p>
    <w:p w:rsidR="00F01FB3" w:rsidRDefault="00F01FB3" w:rsidP="00424DDF">
      <w:pPr>
        <w:spacing w:after="0" w:line="240" w:lineRule="auto"/>
        <w:contextualSpacing/>
        <w:jc w:val="both"/>
      </w:pPr>
    </w:p>
    <w:p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Sviluppo farmaceutico</w:t>
      </w:r>
    </w:p>
    <w:p w:rsidR="007C68D2" w:rsidRPr="00CE5C72" w:rsidRDefault="007C68D2" w:rsidP="00502AB1">
      <w:pPr>
        <w:spacing w:after="0" w:line="240" w:lineRule="auto"/>
        <w:jc w:val="both"/>
      </w:pPr>
      <w:r w:rsidRPr="00CE5C72">
        <w:t>Sono stati forniti dettagli dello sviluppo farmaceutico e questi sono stati ritenuti soddisfacenti.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t>Sono stati forniti dati comparativi relativi alle caratteristiche fisico-chimiche e al profilo di impurezze rispetto al medicinale di riferimento. I dati sono soddisfacenti.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Sono state fornite adeguate specifiche di controllo per il prodotto finito al rilascio e alla fine della validità. I metodi analitici sono stati descritti e adeguatamente convalidati. Sono stati forniti, inoltre, dati analitici per il </w:t>
      </w:r>
      <w:r w:rsidRPr="00B32D81">
        <w:lastRenderedPageBreak/>
        <w:t>prodotto finito: questi dati dimostrano che i lotti prodotti sono in accordo alle specifiche proposte. Sono stati forniti, infine, certificati analitici per gli standard di riferimento utilizzati.</w:t>
      </w:r>
    </w:p>
    <w:p w:rsidR="00F22BED" w:rsidRPr="00B32D81" w:rsidRDefault="00F22BED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:rsidR="007C68D2" w:rsidRPr="00B32D81" w:rsidRDefault="007C68D2" w:rsidP="00B32D81">
      <w:pPr>
        <w:spacing w:after="0" w:line="240" w:lineRule="auto"/>
        <w:jc w:val="both"/>
      </w:pPr>
      <w:r w:rsidRPr="00032587">
        <w:t>Sono</w:t>
      </w:r>
      <w:r w:rsidRPr="00B32D81">
        <w:t xml:space="preserve"> state fornite specifiche e certificati analitici per </w:t>
      </w:r>
      <w:r w:rsidR="008437AA">
        <w:t>i componenti dei confezionamenti primari</w:t>
      </w:r>
      <w:r w:rsidR="001B67E5">
        <w:t>.</w:t>
      </w:r>
      <w:r w:rsidR="008437AA">
        <w:t xml:space="preserve"> </w:t>
      </w:r>
    </w:p>
    <w:p w:rsidR="007C68D2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5D13CC" w:rsidRDefault="007C68D2" w:rsidP="005D13CC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</w:t>
      </w:r>
      <w:r w:rsidRPr="00502AB1">
        <w:t>entro i limiti delle specifiche autorizzate. Sulla base di questi risultati, è stato autorizzato un</w:t>
      </w:r>
      <w:r w:rsidR="00CE5C72">
        <w:t xml:space="preserve"> periodo di validità di </w:t>
      </w:r>
      <w:r w:rsidR="001B67E5">
        <w:t xml:space="preserve">3 anni </w:t>
      </w:r>
      <w:r w:rsidR="001E6EA4">
        <w:t xml:space="preserve">per </w:t>
      </w:r>
      <w:r w:rsidR="00AA4A56">
        <w:t>TADALAFIL ABC</w:t>
      </w:r>
      <w:r w:rsidR="001B67E5">
        <w:t>.</w:t>
      </w:r>
    </w:p>
    <w:p w:rsidR="001B67E5" w:rsidRPr="00B32D81" w:rsidRDefault="001B67E5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r w:rsidR="00AA4A56">
        <w:t>TADALAFIL ABC</w:t>
      </w:r>
      <w:r w:rsidR="001E6EA4">
        <w:t xml:space="preserve"> </w:t>
      </w:r>
      <w:r w:rsidRPr="00B32D81">
        <w:t xml:space="preserve">è considerata adeguata. Non ci sono obiezioni per l’approvazione di </w:t>
      </w:r>
      <w:r w:rsidR="00AA4A56">
        <w:t>TADALAFIL ABC</w:t>
      </w:r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r w:rsidR="00AA4A56">
        <w:t>TADALAFIL ABC</w:t>
      </w:r>
      <w:r w:rsidR="001E6EA4">
        <w:t xml:space="preserve"> </w:t>
      </w:r>
      <w:r w:rsidRPr="00B32D81">
        <w:t xml:space="preserve">contiene un principio attivo noto: questo approccio è accettabile poiché il medicinale di riferimento </w:t>
      </w:r>
      <w:r w:rsidR="00AA4A56">
        <w:t>TADALAFIL ABC</w:t>
      </w:r>
      <w:r w:rsidR="00A52DC4">
        <w:t xml:space="preserve"> </w:t>
      </w:r>
      <w:r w:rsidRPr="00B32D81">
        <w:t xml:space="preserve">è autorizzato in Italia da oltre </w:t>
      </w:r>
      <w:r w:rsidR="00D879F5" w:rsidRPr="00B32D81">
        <w:t>dieci</w:t>
      </w:r>
      <w:r w:rsidRPr="00B32D81">
        <w:t xml:space="preserve"> anni.</w:t>
      </w:r>
      <w:r w:rsidR="00353318">
        <w:t xml:space="preserve"> </w:t>
      </w:r>
      <w:r w:rsidRPr="00B32D81">
        <w:t>Non ci sono obiezioni per l’approvazione dal punto di vista non clinico.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333FD1" w:rsidRDefault="001E6EA4">
      <w:pPr>
        <w:keepNext/>
        <w:jc w:val="both"/>
        <w:rPr>
          <w:rFonts w:ascii="Calibri" w:eastAsia="Calibri" w:hAnsi="Calibri" w:cs="Times New Roman"/>
        </w:rPr>
      </w:pPr>
      <w:r w:rsidRPr="001E6EA4">
        <w:t xml:space="preserve">Non sono stati condotti specifici studi clinici, in quanto </w:t>
      </w:r>
      <w:bookmarkStart w:id="6" w:name="_Hlk39837123"/>
      <w:r w:rsidR="00AA4A56">
        <w:t>TADALAFIL ABC</w:t>
      </w:r>
      <w:r w:rsidRPr="001E6EA4">
        <w:t xml:space="preserve"> </w:t>
      </w:r>
      <w:bookmarkEnd w:id="6"/>
      <w:r w:rsidRPr="001E6EA4">
        <w:t xml:space="preserve">contiene un principio attivo noto: questo approccio è accettabile poiché il medicinale di riferimento </w:t>
      </w:r>
      <w:r w:rsidR="00AA4A56">
        <w:t>TADALAFIL ABC</w:t>
      </w:r>
      <w:r w:rsidRPr="001E6EA4">
        <w:t xml:space="preserve"> è autorizzato in Italia da oltre </w:t>
      </w:r>
      <w:r w:rsidR="00D879F5" w:rsidRPr="001E6EA4">
        <w:t>dieci</w:t>
      </w:r>
      <w:r w:rsidRPr="001E6EA4">
        <w:t xml:space="preserve"> anni. </w:t>
      </w:r>
      <w:r w:rsidR="005D13CC" w:rsidRPr="005D13CC">
        <w:rPr>
          <w:rFonts w:ascii="Calibri" w:eastAsia="Calibri" w:hAnsi="Calibri" w:cs="Times New Roman"/>
        </w:rPr>
        <w:t xml:space="preserve"> </w:t>
      </w:r>
    </w:p>
    <w:p w:rsidR="00D23062" w:rsidRPr="004C6066" w:rsidRDefault="00D23062" w:rsidP="00D23062">
      <w:pPr>
        <w:spacing w:after="0" w:line="240" w:lineRule="auto"/>
        <w:ind w:right="6"/>
        <w:jc w:val="both"/>
        <w:rPr>
          <w:b/>
        </w:rPr>
      </w:pPr>
      <w:bookmarkStart w:id="7" w:name="_Hlk39842457"/>
      <w:r w:rsidRPr="004C6066">
        <w:rPr>
          <w:b/>
        </w:rPr>
        <w:t>Posologia e modalità di somministrazione</w:t>
      </w:r>
    </w:p>
    <w:p w:rsidR="00D23062" w:rsidRPr="004C6066" w:rsidRDefault="00D23062" w:rsidP="00D2306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4C6066">
        <w:t xml:space="preserve">Le informazioni sulla posologia e sulle modalità di somministrazione sono riportate nel Riassunto delle Caratteristiche del Prodotto pubblicato sul sito dell’Agenzia Italiana del Farmaco - AIFA </w:t>
      </w:r>
      <w:r w:rsidRPr="004C6066">
        <w:rPr>
          <w:rFonts w:eastAsia="Calibri" w:cs="Calibri"/>
          <w:lang w:eastAsia="it-IT"/>
        </w:rPr>
        <w:t>(</w:t>
      </w:r>
      <w:hyperlink r:id="rId9" w:history="1">
        <w:r w:rsidRPr="001D797E">
          <w:rPr>
            <w:color w:val="0000FF"/>
            <w:u w:val="single"/>
          </w:rPr>
          <w:t>https://farmaci.agenziafarmaco.gov.it/bancadatifarmaci/home</w:t>
        </w:r>
      </w:hyperlink>
    </w:p>
    <w:p w:rsidR="00D23062" w:rsidRPr="004C6066" w:rsidRDefault="00D23062" w:rsidP="00D2306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D23062" w:rsidRPr="00D23062" w:rsidRDefault="00D23062" w:rsidP="00D2306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D23062">
        <w:rPr>
          <w:rFonts w:eastAsia="Calibri" w:cs="Calibri"/>
          <w:b/>
          <w:lang w:eastAsia="it-IT"/>
        </w:rPr>
        <w:t>Tossicologia</w:t>
      </w:r>
    </w:p>
    <w:p w:rsidR="00D23062" w:rsidRPr="00D23062" w:rsidRDefault="00D23062" w:rsidP="00D2306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D23062">
        <w:rPr>
          <w:rFonts w:eastAsia="Calibri" w:cs="Calibri"/>
          <w:lang w:eastAsia="it-IT"/>
        </w:rPr>
        <w:t xml:space="preserve">La tossicologia di </w:t>
      </w:r>
      <w:r w:rsidR="00491C85" w:rsidRPr="00491C85">
        <w:rPr>
          <w:rFonts w:ascii="Calibri" w:eastAsia="Calibri" w:hAnsi="Calibri" w:cs="Times New Roman"/>
        </w:rPr>
        <w:t>tadalafil</w:t>
      </w:r>
      <w:r w:rsidRPr="00D23062">
        <w:rPr>
          <w:rFonts w:ascii="Calibri" w:eastAsia="Calibri" w:hAnsi="Calibri" w:cs="Times New Roman"/>
        </w:rPr>
        <w:t xml:space="preserve"> </w:t>
      </w:r>
      <w:r w:rsidRPr="00D23062">
        <w:rPr>
          <w:rFonts w:eastAsia="Calibri" w:cs="Calibri"/>
          <w:lang w:eastAsia="it-IT"/>
        </w:rPr>
        <w:t>è ben conosciuta; non è stato necessario presentare ulteriori dati.</w:t>
      </w:r>
    </w:p>
    <w:p w:rsidR="00D23062" w:rsidRPr="00D23062" w:rsidRDefault="00D23062" w:rsidP="00D2306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D23062" w:rsidRPr="00D23062" w:rsidRDefault="00D23062" w:rsidP="00D2306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D23062">
        <w:rPr>
          <w:rFonts w:eastAsia="Times New Roman" w:cs="Times New Roman"/>
          <w:b/>
        </w:rPr>
        <w:t>Farmacologia clinica</w:t>
      </w:r>
    </w:p>
    <w:p w:rsidR="00333FD1" w:rsidRDefault="00D23062">
      <w:pPr>
        <w:keepNext/>
        <w:jc w:val="both"/>
        <w:rPr>
          <w:rFonts w:ascii="Calibri" w:eastAsia="Calibri" w:hAnsi="Calibri" w:cs="Times New Roman"/>
        </w:rPr>
      </w:pPr>
      <w:r w:rsidRPr="00D23062">
        <w:rPr>
          <w:rFonts w:eastAsia="Calibri" w:cs="Calibri"/>
          <w:lang w:eastAsia="it-IT"/>
        </w:rPr>
        <w:t xml:space="preserve">La farmacologia clinica di </w:t>
      </w:r>
      <w:r w:rsidR="00491C85" w:rsidRPr="00491C85">
        <w:rPr>
          <w:rFonts w:ascii="Calibri" w:eastAsia="Calibri" w:hAnsi="Calibri" w:cs="Times New Roman"/>
        </w:rPr>
        <w:t>tadalafil</w:t>
      </w:r>
      <w:r w:rsidRPr="00D23062">
        <w:rPr>
          <w:rFonts w:ascii="Calibri" w:eastAsia="Calibri" w:hAnsi="Calibri" w:cs="Times New Roman"/>
        </w:rPr>
        <w:t xml:space="preserve"> </w:t>
      </w:r>
      <w:r w:rsidRPr="00D23062">
        <w:rPr>
          <w:rFonts w:eastAsia="Calibri" w:cs="Calibri"/>
          <w:lang w:eastAsia="it-IT"/>
        </w:rPr>
        <w:t>è ben conosciuta.</w:t>
      </w:r>
      <w:r w:rsidRPr="00D23062">
        <w:t xml:space="preserve"> </w:t>
      </w:r>
      <w:r w:rsidRPr="00D23062">
        <w:rPr>
          <w:noProof/>
        </w:rPr>
        <w:t xml:space="preserve"> </w:t>
      </w:r>
      <w:r w:rsidR="00491C85" w:rsidRPr="00491C85">
        <w:rPr>
          <w:rFonts w:ascii="Calibri" w:eastAsia="Calibri" w:hAnsi="Calibri" w:cs="Times New Roman"/>
          <w:noProof/>
        </w:rPr>
        <w:t>TADALAFIL ABC</w:t>
      </w:r>
      <w:r w:rsidRPr="00D23062">
        <w:rPr>
          <w:rFonts w:ascii="Calibri" w:eastAsia="Calibri" w:hAnsi="Calibri" w:cs="Times New Roman"/>
          <w:noProof/>
        </w:rPr>
        <w:t xml:space="preserve"> </w:t>
      </w:r>
      <w:r w:rsidRPr="00D23062">
        <w:t xml:space="preserve">contiene un principio attivo noto presente nel medicinale di riferimento </w:t>
      </w:r>
      <w:r w:rsidR="00491C85" w:rsidRPr="00491C85">
        <w:t>Cialis</w:t>
      </w:r>
      <w:r w:rsidR="00491C85" w:rsidRPr="00491C85">
        <w:rPr>
          <w:rFonts w:cstheme="minorHAnsi"/>
        </w:rPr>
        <w:t>®</w:t>
      </w:r>
      <w:r w:rsidRPr="00D23062">
        <w:t xml:space="preserve"> autorizzato in Italia da più di </w:t>
      </w:r>
      <w:r w:rsidR="00491C85" w:rsidRPr="00491C85">
        <w:t>dieci</w:t>
      </w:r>
      <w:r w:rsidRPr="00D23062">
        <w:t xml:space="preserve"> anni. </w:t>
      </w:r>
      <w:r w:rsidR="00491C85" w:rsidRPr="00491C85">
        <w:t xml:space="preserve">Fatta </w:t>
      </w:r>
      <w:r w:rsidRPr="00D23062">
        <w:t xml:space="preserve">eccezione degli studi di bioequivalenza, non sono stati condotti nuovi studi clinici di farmacodinamica e farmacocinetica, in quanto </w:t>
      </w:r>
      <w:r w:rsidR="00491C85" w:rsidRPr="00491C85">
        <w:rPr>
          <w:rFonts w:ascii="Calibri" w:eastAsia="Calibri" w:hAnsi="Calibri" w:cs="Times New Roman"/>
          <w:noProof/>
        </w:rPr>
        <w:t>TADALAFIL ABC</w:t>
      </w:r>
      <w:r w:rsidRPr="00D23062">
        <w:rPr>
          <w:rFonts w:ascii="Calibri" w:eastAsia="Calibri" w:hAnsi="Calibri" w:cs="Times New Roman"/>
          <w:noProof/>
        </w:rPr>
        <w:t xml:space="preserve"> </w:t>
      </w:r>
      <w:r w:rsidRPr="00D23062">
        <w:t xml:space="preserve">contiene un principio attivo noto e presente nel medicinale di riferimento </w:t>
      </w:r>
      <w:r w:rsidR="00491C85" w:rsidRPr="00491C85">
        <w:t xml:space="preserve">Cialis® </w:t>
      </w:r>
      <w:r w:rsidRPr="00D23062">
        <w:t>autorizzato in Italia da più di 10 anni</w:t>
      </w:r>
      <w:bookmarkStart w:id="8" w:name="_GoBack"/>
      <w:bookmarkEnd w:id="8"/>
    </w:p>
    <w:p w:rsidR="00D879F5" w:rsidRDefault="00D879F5" w:rsidP="00D23062">
      <w:pPr>
        <w:spacing w:after="0" w:line="240" w:lineRule="auto"/>
        <w:jc w:val="both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Studio di bioequivalenza</w:t>
      </w:r>
    </w:p>
    <w:p w:rsidR="00A02EBF" w:rsidRPr="00A02EBF" w:rsidRDefault="00491C85" w:rsidP="00D23062">
      <w:pPr>
        <w:spacing w:after="0" w:line="240" w:lineRule="auto"/>
        <w:jc w:val="both"/>
      </w:pPr>
      <w:r w:rsidRPr="00491C85">
        <w:t xml:space="preserve">La richiesta di AIC è supportata da tre studi di bioequivalenza che hanno confrontato i profili farmacocinetici di </w:t>
      </w:r>
      <w:r w:rsidRPr="00491C85">
        <w:rPr>
          <w:rFonts w:ascii="Calibri" w:eastAsia="Calibri" w:hAnsi="Calibri" w:cs="Times New Roman"/>
        </w:rPr>
        <w:t xml:space="preserve">TADALAFIL ABC </w:t>
      </w:r>
      <w:r w:rsidRPr="00491C85">
        <w:t>e quelli del medicinale di riferimento Cialis®.</w:t>
      </w:r>
    </w:p>
    <w:p w:rsidR="00A02EBF" w:rsidRPr="00A02EBF" w:rsidRDefault="00A02EBF" w:rsidP="00D23062">
      <w:pPr>
        <w:spacing w:after="0" w:line="240" w:lineRule="auto"/>
        <w:jc w:val="both"/>
      </w:pPr>
    </w:p>
    <w:p w:rsidR="00A02EBF" w:rsidRPr="00A02EBF" w:rsidRDefault="00491C85" w:rsidP="00D23062">
      <w:pPr>
        <w:pStyle w:val="Paragrafoelenco"/>
        <w:numPr>
          <w:ilvl w:val="0"/>
          <w:numId w:val="12"/>
        </w:numPr>
        <w:spacing w:after="0" w:line="240" w:lineRule="auto"/>
        <w:ind w:left="284" w:hanging="284"/>
        <w:jc w:val="both"/>
      </w:pPr>
      <w:r w:rsidRPr="00491C85">
        <w:t>Il primo studio di bioequivalenza (studio A) è stato condotto al fine di confrontare i profili farmacocinetici di TADALAFIL ABC 20 mg e quelli del medicinale di riferimento Cialis®20 mg, entrambi in compresse rivestite con film, in condizioni di digiuno.</w:t>
      </w:r>
    </w:p>
    <w:p w:rsidR="00A02EBF" w:rsidRPr="00A02EBF" w:rsidRDefault="00491C85" w:rsidP="00D23062">
      <w:pPr>
        <w:pStyle w:val="Paragrafoelenco"/>
        <w:numPr>
          <w:ilvl w:val="0"/>
          <w:numId w:val="12"/>
        </w:numPr>
        <w:spacing w:after="0" w:line="240" w:lineRule="auto"/>
        <w:ind w:left="284" w:hanging="284"/>
        <w:jc w:val="both"/>
      </w:pPr>
      <w:r w:rsidRPr="00491C85">
        <w:lastRenderedPageBreak/>
        <w:t xml:space="preserve">Il secondo studio di bioequivalenza (studio B) </w:t>
      </w:r>
      <w:r w:rsidR="00A02EBF" w:rsidRPr="002461E7">
        <w:t>è</w:t>
      </w:r>
      <w:r w:rsidR="00A02EBF" w:rsidRPr="00F01414">
        <w:t xml:space="preserve"> stato condotto al fine di confrontare i profili farmacocinetici di </w:t>
      </w:r>
      <w:r w:rsidRPr="00491C85">
        <w:t xml:space="preserve">TADALAFIL ABC </w:t>
      </w:r>
      <w:r w:rsidR="00A02EBF" w:rsidRPr="00F01414">
        <w:t>20 mg e quelli del medicinale di riferimento Cialis®20 mg, entrambi in compresse rivestite con film</w:t>
      </w:r>
      <w:r w:rsidRPr="00491C85">
        <w:t>, con assunzione a stomaco pieno.</w:t>
      </w:r>
    </w:p>
    <w:p w:rsidR="00A02EBF" w:rsidRPr="00F95C1A" w:rsidRDefault="00E20E3F" w:rsidP="00D23062">
      <w:pPr>
        <w:pStyle w:val="Paragrafoelenco"/>
        <w:numPr>
          <w:ilvl w:val="0"/>
          <w:numId w:val="12"/>
        </w:numPr>
        <w:spacing w:after="0" w:line="240" w:lineRule="auto"/>
        <w:ind w:left="284" w:hanging="284"/>
        <w:jc w:val="both"/>
      </w:pPr>
      <w:r>
        <w:t xml:space="preserve">Il terzo studio (studio C) </w:t>
      </w:r>
      <w:r w:rsidRPr="002461E7">
        <w:t>è</w:t>
      </w:r>
      <w:r w:rsidRPr="00F01414">
        <w:t xml:space="preserve"> stato condotto al fine di confrontare i profili farmacocinetici di </w:t>
      </w:r>
      <w:r w:rsidR="00491C85" w:rsidRPr="00491C85">
        <w:t>TADALAFIL ABC 5</w:t>
      </w:r>
      <w:r w:rsidRPr="00F01414">
        <w:t xml:space="preserve"> mg e quelli del medicinale di riferimento Cialis®</w:t>
      </w:r>
      <w:r>
        <w:t xml:space="preserve"> 5</w:t>
      </w:r>
      <w:r w:rsidRPr="00F01414">
        <w:t xml:space="preserve"> mg, entrambi in compresse rivestite con film</w:t>
      </w:r>
      <w:r w:rsidR="00491C85" w:rsidRPr="00491C85">
        <w:t>, in condizioni di digiuno.</w:t>
      </w:r>
    </w:p>
    <w:p w:rsidR="00333FD1" w:rsidRDefault="00333FD1">
      <w:pPr>
        <w:pStyle w:val="Paragrafoelenco"/>
        <w:spacing w:after="0" w:line="240" w:lineRule="auto"/>
        <w:ind w:left="284"/>
        <w:jc w:val="both"/>
      </w:pPr>
    </w:p>
    <w:p w:rsidR="00A02EBF" w:rsidRPr="00F95C1A" w:rsidRDefault="00491C85" w:rsidP="00A02EBF">
      <w:pPr>
        <w:pStyle w:val="Paragrafoelenco"/>
        <w:spacing w:after="0" w:line="240" w:lineRule="auto"/>
        <w:ind w:left="0"/>
        <w:jc w:val="both"/>
      </w:pPr>
      <w:r w:rsidRPr="00491C85">
        <w:t xml:space="preserve"> Gli studi sono caratterizzati da un appropriato disegno e sono stati condotti in accordo alla linea guida prodotto </w:t>
      </w:r>
      <w:r w:rsidR="00F95C1A" w:rsidRPr="00F95C1A">
        <w:t xml:space="preserve">specifica EMA/CHMP/315234/2014/Rev.1†, e </w:t>
      </w:r>
      <w:r w:rsidRPr="00491C85">
        <w:t>ai principi GCP.</w:t>
      </w:r>
    </w:p>
    <w:p w:rsidR="00F95C1A" w:rsidRPr="00F95C1A" w:rsidRDefault="00F95C1A" w:rsidP="00A02EBF">
      <w:pPr>
        <w:pStyle w:val="Paragrafoelenco"/>
        <w:spacing w:after="0" w:line="240" w:lineRule="auto"/>
        <w:ind w:left="0"/>
        <w:jc w:val="both"/>
      </w:pPr>
    </w:p>
    <w:p w:rsidR="00A02EBF" w:rsidRPr="00F95C1A" w:rsidRDefault="00491C85" w:rsidP="00A02EBF">
      <w:pPr>
        <w:pStyle w:val="Paragrafoelenco"/>
        <w:spacing w:after="0" w:line="240" w:lineRule="auto"/>
        <w:ind w:left="0"/>
        <w:jc w:val="both"/>
      </w:pPr>
      <w:r w:rsidRPr="00491C85">
        <w:t>Sono stati forniti certificati analitici per medicinale test e medicinale di riferimento.</w:t>
      </w:r>
    </w:p>
    <w:p w:rsidR="00F95C1A" w:rsidRPr="00F95C1A" w:rsidRDefault="00F95C1A" w:rsidP="00A02EBF">
      <w:pPr>
        <w:pStyle w:val="Paragrafoelenco"/>
        <w:spacing w:after="0" w:line="240" w:lineRule="auto"/>
        <w:ind w:left="0"/>
        <w:jc w:val="both"/>
      </w:pPr>
    </w:p>
    <w:p w:rsidR="00D23062" w:rsidRDefault="00F95C1A" w:rsidP="00A02EBF">
      <w:pPr>
        <w:spacing w:after="0" w:line="240" w:lineRule="auto"/>
        <w:jc w:val="both"/>
      </w:pPr>
      <w:r w:rsidRPr="00F95C1A">
        <w:rPr>
          <w:rFonts w:ascii="Calibri" w:hAnsi="Calibri"/>
        </w:rPr>
        <w:t>L’utilizzo de</w:t>
      </w:r>
      <w:r>
        <w:rPr>
          <w:rFonts w:ascii="Calibri" w:hAnsi="Calibri"/>
        </w:rPr>
        <w:t xml:space="preserve">i soli </w:t>
      </w:r>
      <w:r w:rsidRPr="00F95C1A">
        <w:rPr>
          <w:rFonts w:ascii="Calibri" w:hAnsi="Calibri"/>
        </w:rPr>
        <w:t>dosaggi da 5 mg e da 20 mg</w:t>
      </w:r>
      <w:r w:rsidRPr="00F95C1A">
        <w:t xml:space="preserve"> per gli studi di bioequivalenza</w:t>
      </w:r>
      <w:r w:rsidR="00491C85" w:rsidRPr="00491C85">
        <w:t xml:space="preserve"> è stato adeguatamente</w:t>
      </w:r>
      <w:r w:rsidR="00D23062">
        <w:t xml:space="preserve"> e</w:t>
      </w:r>
      <w:r w:rsidR="00491C85" w:rsidRPr="00491C85">
        <w:t xml:space="preserve"> opportunamente giustificato.</w:t>
      </w:r>
    </w:p>
    <w:p w:rsidR="002461E7" w:rsidRDefault="002461E7" w:rsidP="00A02EBF">
      <w:pPr>
        <w:spacing w:after="0" w:line="240" w:lineRule="auto"/>
        <w:jc w:val="both"/>
        <w:rPr>
          <w:rFonts w:ascii="Calibri" w:hAnsi="Calibri"/>
          <w:b/>
          <w:i/>
          <w:sz w:val="20"/>
        </w:rPr>
      </w:pPr>
    </w:p>
    <w:p w:rsidR="00A02EBF" w:rsidRPr="00A02EBF" w:rsidRDefault="00491C85" w:rsidP="00A02EBF">
      <w:pPr>
        <w:spacing w:after="0" w:line="240" w:lineRule="auto"/>
        <w:jc w:val="both"/>
        <w:rPr>
          <w:rFonts w:ascii="Calibri" w:hAnsi="Calibri"/>
          <w:b/>
          <w:i/>
          <w:sz w:val="20"/>
        </w:rPr>
      </w:pPr>
      <w:r w:rsidRPr="00491C85">
        <w:rPr>
          <w:rFonts w:ascii="Calibri" w:hAnsi="Calibri"/>
          <w:b/>
          <w:i/>
          <w:sz w:val="20"/>
        </w:rPr>
        <w:t>STUDIO A</w:t>
      </w:r>
    </w:p>
    <w:p w:rsidR="00A02EBF" w:rsidRPr="00A02EBF" w:rsidRDefault="00491C85" w:rsidP="00A02EBF">
      <w:pPr>
        <w:spacing w:after="0" w:line="240" w:lineRule="auto"/>
        <w:jc w:val="both"/>
        <w:rPr>
          <w:rFonts w:ascii="Calibri" w:hAnsi="Calibri" w:cs="Arial"/>
        </w:rPr>
      </w:pPr>
      <w:r w:rsidRPr="00491C85">
        <w:rPr>
          <w:rFonts w:ascii="Calibri" w:hAnsi="Calibri"/>
        </w:rPr>
        <w:t>Lo studio A è uno studio comparativo (</w:t>
      </w:r>
      <w:r w:rsidRPr="00491C85">
        <w:rPr>
          <w:rFonts w:cs="Arial"/>
          <w:color w:val="272727"/>
        </w:rPr>
        <w:t xml:space="preserve">TADALAFIL ABC 20mg </w:t>
      </w:r>
      <w:r w:rsidRPr="00491C85">
        <w:rPr>
          <w:rFonts w:cs="Arial"/>
          <w:bCs/>
          <w:color w:val="272727"/>
        </w:rPr>
        <w:t>compresse</w:t>
      </w:r>
      <w:r w:rsidRPr="00491C85">
        <w:rPr>
          <w:rFonts w:cs="Arial"/>
          <w:b/>
          <w:color w:val="272727"/>
        </w:rPr>
        <w:t xml:space="preserve"> </w:t>
      </w:r>
      <w:r w:rsidRPr="00491C85">
        <w:rPr>
          <w:rFonts w:cs="Arial"/>
          <w:color w:val="272727"/>
        </w:rPr>
        <w:t xml:space="preserve">versus </w:t>
      </w:r>
      <w:r w:rsidRPr="00491C85">
        <w:rPr>
          <w:rFonts w:cs="Arial"/>
          <w:color w:val="000000"/>
        </w:rPr>
        <w:t>Cialis®2</w:t>
      </w:r>
      <w:r w:rsidRPr="00491C85">
        <w:rPr>
          <w:rFonts w:cs="Arial"/>
          <w:color w:val="272727"/>
        </w:rPr>
        <w:t>0 mg compresse</w:t>
      </w:r>
      <w:r w:rsidRPr="00491C85">
        <w:rPr>
          <w:rFonts w:cs="Arial"/>
          <w:b/>
          <w:color w:val="272727"/>
        </w:rPr>
        <w:t xml:space="preserve"> </w:t>
      </w:r>
      <w:r w:rsidRPr="00491C85">
        <w:rPr>
          <w:rFonts w:cs="Arial"/>
          <w:color w:val="272727"/>
        </w:rPr>
        <w:t>rivestite con film</w:t>
      </w:r>
      <w:r w:rsidRPr="00491C85">
        <w:t>)</w:t>
      </w:r>
      <w:r w:rsidRPr="00491C85">
        <w:rPr>
          <w:rFonts w:ascii="Calibri" w:hAnsi="Calibri"/>
        </w:rPr>
        <w:t xml:space="preserve">, randomizzato, a dose singola, 2-periodi, crossover, condotto su 38 volontari sani di sesso maschile, con somministrazione a digiuno. </w:t>
      </w:r>
      <w:r w:rsidRPr="00491C85">
        <w:rPr>
          <w:rFonts w:ascii="Calibri" w:hAnsi="Calibri" w:cs="Arial"/>
        </w:rPr>
        <w:t xml:space="preserve">Dopo una notte di digiuno, il medicinale è stato somministrato con acqua. </w:t>
      </w:r>
      <w:r w:rsidRPr="00491C85">
        <w:rPr>
          <w:rFonts w:ascii="Calibri" w:hAnsi="Calibri"/>
        </w:rPr>
        <w:t xml:space="preserve">Un soddisfacente periodo di wash-out di </w:t>
      </w:r>
      <w:r w:rsidR="00A02EBF" w:rsidRPr="00A02EBF">
        <w:rPr>
          <w:rFonts w:ascii="Calibri" w:hAnsi="Calibri"/>
        </w:rPr>
        <w:t>sette</w:t>
      </w:r>
      <w:r w:rsidRPr="00491C85">
        <w:rPr>
          <w:rFonts w:ascii="Calibri" w:hAnsi="Calibri"/>
        </w:rPr>
        <w:t xml:space="preserve"> </w:t>
      </w:r>
      <w:r w:rsidRPr="00491C85">
        <w:rPr>
          <w:rFonts w:ascii="Calibri" w:hAnsi="Calibri" w:cs="Arial"/>
        </w:rPr>
        <w:t>giorni è stato previsto tra le somministrazioni in ogni gruppo.</w:t>
      </w:r>
    </w:p>
    <w:p w:rsidR="00A02EBF" w:rsidRPr="0049385A" w:rsidRDefault="00491C85" w:rsidP="00A02EBF">
      <w:pPr>
        <w:spacing w:after="0" w:line="240" w:lineRule="auto"/>
        <w:jc w:val="both"/>
        <w:rPr>
          <w:rFonts w:ascii="Calibri" w:hAnsi="Calibri" w:cs="Arial"/>
        </w:rPr>
      </w:pPr>
      <w:r w:rsidRPr="00491C85">
        <w:rPr>
          <w:rFonts w:ascii="Calibri" w:hAnsi="Calibri" w:cs="Arial"/>
        </w:rPr>
        <w:t xml:space="preserve">Campioni di sangue sono stati prelevati al tempo zero (pre-dose) e a specificati tempi fino a </w:t>
      </w:r>
      <w:r w:rsidR="002461E7">
        <w:rPr>
          <w:rFonts w:ascii="Calibri" w:hAnsi="Calibri" w:cs="Arial"/>
        </w:rPr>
        <w:t>96</w:t>
      </w:r>
      <w:r w:rsidRPr="00491C85">
        <w:rPr>
          <w:rFonts w:ascii="Calibri" w:hAnsi="Calibri" w:cs="Arial"/>
        </w:rPr>
        <w:t xml:space="preserve"> ore dopo la somministrazione. I livelli plasmatici di tadalafil sono stati determinati mediante un metodo analitico </w:t>
      </w:r>
      <w:r w:rsidRPr="00491C85">
        <w:rPr>
          <w:sz w:val="24"/>
          <w:lang w:eastAsia="fi-FI"/>
        </w:rPr>
        <w:t>LC MS/MS</w:t>
      </w:r>
      <w:r w:rsidRPr="00491C85">
        <w:rPr>
          <w:rFonts w:ascii="Calibri" w:hAnsi="Calibri" w:cs="Arial"/>
        </w:rPr>
        <w:t xml:space="preserve"> opportunamente convalidato</w:t>
      </w:r>
      <w:r w:rsidR="00A02EBF" w:rsidRPr="00A02EBF">
        <w:rPr>
          <w:rFonts w:ascii="Calibri" w:hAnsi="Calibri" w:cs="Arial"/>
        </w:rPr>
        <w:t>.</w:t>
      </w:r>
    </w:p>
    <w:p w:rsidR="00333FD1" w:rsidRDefault="00491C85">
      <w:pPr>
        <w:spacing w:after="0" w:line="240" w:lineRule="auto"/>
        <w:jc w:val="both"/>
        <w:rPr>
          <w:rFonts w:ascii="Calibri" w:hAnsi="Calibri" w:cs="Arial"/>
          <w:bCs/>
        </w:rPr>
      </w:pPr>
      <w:bookmarkStart w:id="9" w:name="_Hlk39838655"/>
      <w:r w:rsidRPr="00491C85">
        <w:rPr>
          <w:rFonts w:ascii="Calibri" w:hAnsi="Calibri" w:cs="Arial"/>
        </w:rPr>
        <w:t>Per tadalafil sono state definite le seguenti variabili farmacocinetiche: C</w:t>
      </w:r>
      <w:r w:rsidRPr="00491C85">
        <w:rPr>
          <w:rFonts w:ascii="Calibri" w:hAnsi="Calibri" w:cs="Arial"/>
          <w:vertAlign w:val="subscript"/>
        </w:rPr>
        <w:t>max</w:t>
      </w:r>
      <w:r w:rsidRPr="00491C85">
        <w:rPr>
          <w:rFonts w:ascii="Calibri" w:hAnsi="Calibri" w:cs="Arial"/>
        </w:rPr>
        <w:t>, AUC</w:t>
      </w:r>
      <w:r w:rsidRPr="00491C85">
        <w:rPr>
          <w:rFonts w:ascii="Calibri" w:hAnsi="Calibri" w:cs="Arial"/>
          <w:vertAlign w:val="subscript"/>
        </w:rPr>
        <w:t>0-t</w:t>
      </w:r>
      <w:r w:rsidRPr="00491C85">
        <w:rPr>
          <w:rFonts w:ascii="Calibri" w:hAnsi="Calibri" w:cs="Arial"/>
        </w:rPr>
        <w:t>, AUC</w:t>
      </w:r>
      <w:r w:rsidRPr="00491C85">
        <w:rPr>
          <w:rFonts w:ascii="Calibri" w:hAnsi="Calibri" w:cs="Arial"/>
          <w:vertAlign w:val="subscript"/>
        </w:rPr>
        <w:t>0-</w:t>
      </w:r>
      <w:r w:rsidRPr="00491C85">
        <w:rPr>
          <w:vertAlign w:val="subscript"/>
          <w:lang w:val="en-GB"/>
        </w:rPr>
        <w:sym w:font="Symbol" w:char="00A5"/>
      </w:r>
      <w:r w:rsidRPr="00491C85">
        <w:rPr>
          <w:rFonts w:ascii="Calibri" w:hAnsi="Calibri" w:cs="Arial"/>
        </w:rPr>
        <w:t>, t</w:t>
      </w:r>
      <w:r w:rsidRPr="00491C85">
        <w:rPr>
          <w:rFonts w:ascii="Calibri" w:hAnsi="Calibri" w:cs="Arial"/>
          <w:vertAlign w:val="subscript"/>
        </w:rPr>
        <w:t>max</w:t>
      </w:r>
      <w:r w:rsidRPr="00491C85">
        <w:rPr>
          <w:rFonts w:ascii="Calibri" w:hAnsi="Calibri" w:cs="Arial"/>
        </w:rPr>
        <w:t>, t</w:t>
      </w:r>
      <w:r w:rsidRPr="00491C85">
        <w:rPr>
          <w:rFonts w:ascii="Calibri" w:hAnsi="Calibri" w:cs="Arial"/>
          <w:vertAlign w:val="subscript"/>
        </w:rPr>
        <w:t>½</w:t>
      </w:r>
      <w:r w:rsidRPr="00491C85">
        <w:rPr>
          <w:rFonts w:ascii="Calibri" w:hAnsi="Calibri" w:cs="Arial"/>
        </w:rPr>
        <w:t xml:space="preserve">, </w:t>
      </w:r>
      <w:r w:rsidRPr="00491C85">
        <w:rPr>
          <w:rFonts w:ascii="Calibri" w:hAnsi="Calibri" w:cs="Arial"/>
          <w:bCs/>
        </w:rPr>
        <w:t>λ</w:t>
      </w:r>
      <w:r w:rsidRPr="00491C85">
        <w:rPr>
          <w:rFonts w:ascii="Calibri" w:hAnsi="Calibri" w:cs="Arial"/>
          <w:bCs/>
          <w:vertAlign w:val="subscript"/>
        </w:rPr>
        <w:t>z</w:t>
      </w:r>
    </w:p>
    <w:p w:rsidR="00A02EBF" w:rsidRPr="00380BC1" w:rsidRDefault="00491C85" w:rsidP="00A02EBF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491C85">
        <w:rPr>
          <w:rFonts w:ascii="Calibri" w:hAnsi="Calibri" w:cs="Arial"/>
        </w:rPr>
        <w:t xml:space="preserve"> e </w:t>
      </w:r>
      <w:r w:rsidR="002461E7">
        <w:rPr>
          <w:rFonts w:ascii="Calibri" w:hAnsi="Calibri" w:cs="Arial"/>
        </w:rPr>
        <w:t>% Residual area</w:t>
      </w:r>
      <w:bookmarkEnd w:id="9"/>
      <w:r w:rsidRPr="00491C85">
        <w:rPr>
          <w:rFonts w:ascii="Calibri" w:hAnsi="Calibri" w:cs="Arial"/>
        </w:rPr>
        <w:t>. La bioequivalenza tra medicinale test e medicinale di riferimento è dimostrata se gli intervalli di confidenza al 90% per la trasformata logaritmica di C</w:t>
      </w:r>
      <w:r w:rsidRPr="00491C85">
        <w:rPr>
          <w:rFonts w:ascii="Calibri" w:hAnsi="Calibri" w:cs="Arial"/>
          <w:vertAlign w:val="subscript"/>
        </w:rPr>
        <w:t>max</w:t>
      </w:r>
      <w:r w:rsidRPr="00491C85">
        <w:rPr>
          <w:rFonts w:ascii="Calibri" w:hAnsi="Calibri" w:cs="Arial"/>
        </w:rPr>
        <w:t xml:space="preserve"> e AUC</w:t>
      </w:r>
      <w:r w:rsidRPr="00491C85">
        <w:rPr>
          <w:rFonts w:ascii="Calibri" w:hAnsi="Calibri" w:cs="Arial"/>
          <w:vertAlign w:val="subscript"/>
        </w:rPr>
        <w:t>0-t</w:t>
      </w:r>
      <w:r w:rsidRPr="00491C85">
        <w:rPr>
          <w:rFonts w:ascii="Calibri" w:hAnsi="Calibri" w:cs="Arial"/>
        </w:rPr>
        <w:t>, cadono nel range di accettabilità di 0.80-1.25 (80%-125%).</w:t>
      </w:r>
    </w:p>
    <w:p w:rsidR="00A02EBF" w:rsidRPr="00BE3832" w:rsidRDefault="00A02EBF" w:rsidP="00A02EBF">
      <w:pPr>
        <w:spacing w:after="0" w:line="240" w:lineRule="auto"/>
        <w:jc w:val="both"/>
        <w:rPr>
          <w:highlight w:val="yellow"/>
        </w:rPr>
      </w:pPr>
    </w:p>
    <w:p w:rsidR="00A02EBF" w:rsidRPr="00380BC1" w:rsidRDefault="00491C85" w:rsidP="00A02EBF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491C85">
        <w:rPr>
          <w:u w:val="single"/>
        </w:rPr>
        <w:t>Risultati</w:t>
      </w:r>
    </w:p>
    <w:p w:rsidR="00A02EBF" w:rsidRPr="009F5FC7" w:rsidRDefault="00491C85" w:rsidP="00A02EBF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491C85">
        <w:rPr>
          <w:rFonts w:ascii="Calibri" w:hAnsi="Calibri" w:cs="Arial"/>
        </w:rPr>
        <w:t xml:space="preserve">38 volontari sani sono stati arruolati nello studio. 33 soggetti </w:t>
      </w:r>
      <w:r w:rsidRPr="00491C85">
        <w:t xml:space="preserve">hanno completato la fase clinica e </w:t>
      </w:r>
      <w:r w:rsidRPr="00491C85">
        <w:rPr>
          <w:rFonts w:ascii="Calibri" w:hAnsi="Calibri" w:cs="Arial"/>
        </w:rPr>
        <w:t>sono stati inclusi nell’analisi farmacocinetica.</w:t>
      </w:r>
    </w:p>
    <w:p w:rsidR="00A02EBF" w:rsidRPr="009F5FC7" w:rsidRDefault="00A02EBF" w:rsidP="00A02EBF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A02EBF" w:rsidRPr="002461E7" w:rsidRDefault="00491C85" w:rsidP="00A02EBF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491C85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333FD1" w:rsidRDefault="00DE2219">
      <w:pPr>
        <w:jc w:val="both"/>
        <w:rPr>
          <w:rFonts w:ascii="Calibri" w:hAnsi="Calibri" w:cs="Arial"/>
        </w:rPr>
      </w:pPr>
      <w:r w:rsidRPr="00DE2219">
        <w:rPr>
          <w:rFonts w:ascii="Calibri" w:hAnsi="Calibri" w:cs="Arial"/>
        </w:rPr>
        <w:t xml:space="preserve">Nel corso dello studio, si </w:t>
      </w:r>
      <w:r w:rsidR="00C171CA">
        <w:rPr>
          <w:rFonts w:ascii="Calibri" w:hAnsi="Calibri" w:cs="Arial"/>
        </w:rPr>
        <w:t xml:space="preserve">sono </w:t>
      </w:r>
      <w:r w:rsidR="00C171CA" w:rsidRPr="00DE2219">
        <w:rPr>
          <w:rFonts w:ascii="Calibri" w:hAnsi="Calibri" w:cs="Arial"/>
        </w:rPr>
        <w:t>manifestati sei eventi avversi, tutti di lieve entità</w:t>
      </w:r>
      <w:r w:rsidR="00C171CA">
        <w:rPr>
          <w:rFonts w:ascii="Calibri" w:hAnsi="Calibri" w:cs="Arial"/>
        </w:rPr>
        <w:t xml:space="preserve">. Solo uno è stato </w:t>
      </w:r>
      <w:r w:rsidR="00C171CA" w:rsidRPr="00DE2219">
        <w:rPr>
          <w:rFonts w:ascii="Calibri" w:hAnsi="Calibri" w:cs="Arial"/>
        </w:rPr>
        <w:t>probabilmente correlat</w:t>
      </w:r>
      <w:r w:rsidR="00C171CA">
        <w:rPr>
          <w:rFonts w:ascii="Calibri" w:hAnsi="Calibri" w:cs="Arial"/>
        </w:rPr>
        <w:t>o</w:t>
      </w:r>
      <w:r w:rsidR="00C171CA" w:rsidRPr="00DE2219">
        <w:rPr>
          <w:rFonts w:ascii="Calibri" w:hAnsi="Calibri" w:cs="Arial"/>
        </w:rPr>
        <w:t xml:space="preserve"> al trattamento</w:t>
      </w:r>
      <w:r w:rsidR="00C171CA" w:rsidRPr="002461E7">
        <w:rPr>
          <w:rFonts w:ascii="Calibri" w:hAnsi="Calibri"/>
        </w:rPr>
        <w:t>.</w:t>
      </w:r>
      <w:r w:rsidR="00C171CA">
        <w:rPr>
          <w:rFonts w:ascii="Calibri" w:hAnsi="Calibri"/>
        </w:rPr>
        <w:t xml:space="preserve"> </w:t>
      </w:r>
    </w:p>
    <w:p w:rsidR="00A02EBF" w:rsidRPr="00380BC1" w:rsidRDefault="00491C85" w:rsidP="00A02EB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491C85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491C85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A02EBF" w:rsidRPr="00380BC1" w:rsidRDefault="00491C85" w:rsidP="00A02EB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491C85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A02EBF" w:rsidRPr="00BE3832" w:rsidRDefault="00A02EBF" w:rsidP="00A02EBF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tbl>
      <w:tblPr>
        <w:tblW w:w="24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5"/>
        <w:gridCol w:w="1574"/>
        <w:gridCol w:w="1716"/>
      </w:tblGrid>
      <w:tr w:rsidR="00A02EBF" w:rsidRPr="00380BC1" w:rsidTr="00F01414">
        <w:trPr>
          <w:jc w:val="center"/>
        </w:trPr>
        <w:tc>
          <w:tcPr>
            <w:tcW w:w="4845" w:type="dxa"/>
            <w:gridSpan w:val="3"/>
            <w:vAlign w:val="bottom"/>
          </w:tcPr>
          <w:p w:rsidR="00A02EBF" w:rsidRPr="00380BC1" w:rsidRDefault="00491C85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91C85">
              <w:rPr>
                <w:b/>
                <w:bCs/>
                <w:sz w:val="20"/>
                <w:szCs w:val="20"/>
              </w:rPr>
              <w:t>Tadalafil</w:t>
            </w:r>
          </w:p>
        </w:tc>
      </w:tr>
      <w:tr w:rsidR="00A02EBF" w:rsidRPr="00380BC1" w:rsidTr="00F01414">
        <w:trPr>
          <w:jc w:val="center"/>
        </w:trPr>
        <w:tc>
          <w:tcPr>
            <w:tcW w:w="1555" w:type="dxa"/>
            <w:vAlign w:val="bottom"/>
          </w:tcPr>
          <w:p w:rsidR="00A02EBF" w:rsidRPr="00380BC1" w:rsidRDefault="00491C85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91C85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574" w:type="dxa"/>
            <w:vAlign w:val="bottom"/>
          </w:tcPr>
          <w:p w:rsidR="00A02EBF" w:rsidRPr="00380BC1" w:rsidRDefault="00491C85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91C85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A02EBF" w:rsidRPr="00380BC1" w:rsidRDefault="00491C85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91C85">
              <w:rPr>
                <w:b/>
                <w:sz w:val="20"/>
                <w:szCs w:val="20"/>
              </w:rPr>
              <w:t>90% C.I.</w:t>
            </w:r>
          </w:p>
        </w:tc>
      </w:tr>
      <w:tr w:rsidR="00A02EBF" w:rsidRPr="00380BC1" w:rsidTr="00F01414">
        <w:trPr>
          <w:jc w:val="center"/>
        </w:trPr>
        <w:tc>
          <w:tcPr>
            <w:tcW w:w="1555" w:type="dxa"/>
            <w:vAlign w:val="bottom"/>
          </w:tcPr>
          <w:p w:rsidR="00A02EBF" w:rsidRPr="00380BC1" w:rsidRDefault="00491C85" w:rsidP="00F0141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91C85">
              <w:rPr>
                <w:b/>
                <w:sz w:val="20"/>
                <w:szCs w:val="20"/>
              </w:rPr>
              <w:t>AUC0-t</w:t>
            </w:r>
          </w:p>
        </w:tc>
        <w:tc>
          <w:tcPr>
            <w:tcW w:w="1574" w:type="dxa"/>
            <w:vAlign w:val="bottom"/>
          </w:tcPr>
          <w:p w:rsidR="00A02EBF" w:rsidRPr="00380BC1" w:rsidRDefault="00491C85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491C85">
              <w:rPr>
                <w:rFonts w:eastAsia="Times New Roman" w:cs="Arial"/>
              </w:rPr>
              <w:t>100.97</w:t>
            </w:r>
          </w:p>
        </w:tc>
        <w:tc>
          <w:tcPr>
            <w:tcW w:w="1716" w:type="dxa"/>
            <w:vAlign w:val="bottom"/>
          </w:tcPr>
          <w:p w:rsidR="00A02EBF" w:rsidRPr="00380BC1" w:rsidRDefault="00491C85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491C85">
              <w:rPr>
                <w:rFonts w:eastAsia="Times New Roman" w:cs="Arial"/>
              </w:rPr>
              <w:t>(94.72 – 107.63)</w:t>
            </w:r>
          </w:p>
        </w:tc>
      </w:tr>
      <w:tr w:rsidR="00A02EBF" w:rsidRPr="00BE3832" w:rsidTr="00F01414">
        <w:trPr>
          <w:jc w:val="center"/>
        </w:trPr>
        <w:tc>
          <w:tcPr>
            <w:tcW w:w="1555" w:type="dxa"/>
            <w:vAlign w:val="bottom"/>
          </w:tcPr>
          <w:p w:rsidR="00A02EBF" w:rsidRPr="00380BC1" w:rsidRDefault="00491C85" w:rsidP="00F0141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91C85">
              <w:rPr>
                <w:b/>
                <w:sz w:val="20"/>
                <w:szCs w:val="20"/>
              </w:rPr>
              <w:t>Cmax</w:t>
            </w:r>
          </w:p>
        </w:tc>
        <w:tc>
          <w:tcPr>
            <w:tcW w:w="1574" w:type="dxa"/>
            <w:vAlign w:val="bottom"/>
          </w:tcPr>
          <w:p w:rsidR="00A02EBF" w:rsidRPr="00380BC1" w:rsidRDefault="00491C85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491C85">
              <w:rPr>
                <w:rFonts w:eastAsia="Times New Roman" w:cs="Arial"/>
              </w:rPr>
              <w:t>99.86</w:t>
            </w:r>
          </w:p>
        </w:tc>
        <w:tc>
          <w:tcPr>
            <w:tcW w:w="1716" w:type="dxa"/>
            <w:vAlign w:val="bottom"/>
          </w:tcPr>
          <w:p w:rsidR="00A02EBF" w:rsidRPr="00380BC1" w:rsidRDefault="00491C85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491C85">
              <w:rPr>
                <w:rFonts w:eastAsia="Times New Roman" w:cs="Arial"/>
              </w:rPr>
              <w:t>(94.16- 105.90)</w:t>
            </w:r>
          </w:p>
        </w:tc>
      </w:tr>
    </w:tbl>
    <w:p w:rsidR="00A02EBF" w:rsidRPr="00BE3832" w:rsidRDefault="00A02EBF" w:rsidP="00A02EBF">
      <w:pPr>
        <w:spacing w:after="0" w:line="240" w:lineRule="auto"/>
        <w:rPr>
          <w:rFonts w:cs="Arial"/>
          <w:i/>
          <w:highlight w:val="yellow"/>
        </w:rPr>
      </w:pPr>
    </w:p>
    <w:p w:rsidR="00A02EBF" w:rsidRPr="002461E7" w:rsidRDefault="00A02EBF" w:rsidP="00A02EBF">
      <w:pPr>
        <w:spacing w:after="0" w:line="240" w:lineRule="auto"/>
        <w:rPr>
          <w:rFonts w:cs="Arial"/>
          <w:i/>
        </w:rPr>
      </w:pPr>
    </w:p>
    <w:p w:rsidR="00A02EBF" w:rsidRPr="002461E7" w:rsidRDefault="00491C85" w:rsidP="00A02EBF">
      <w:pPr>
        <w:spacing w:after="0" w:line="240" w:lineRule="auto"/>
        <w:rPr>
          <w:rFonts w:cs="Arial"/>
        </w:rPr>
      </w:pPr>
      <w:r w:rsidRPr="00491C85">
        <w:rPr>
          <w:rFonts w:cs="Arial"/>
          <w:i/>
        </w:rPr>
        <w:t>Conclusioni sulla bioequivalenza</w:t>
      </w:r>
      <w:r w:rsidRPr="00491C85">
        <w:rPr>
          <w:rFonts w:cs="Arial"/>
        </w:rPr>
        <w:t>.</w:t>
      </w:r>
    </w:p>
    <w:p w:rsidR="00A02EBF" w:rsidRDefault="00491C85" w:rsidP="00A02EBF">
      <w:pPr>
        <w:spacing w:after="0" w:line="240" w:lineRule="auto"/>
        <w:jc w:val="both"/>
        <w:rPr>
          <w:rFonts w:cs="Arial"/>
        </w:rPr>
      </w:pPr>
      <w:r w:rsidRPr="00491C85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:rsidR="002461E7" w:rsidRDefault="002461E7" w:rsidP="00A02EBF">
      <w:pPr>
        <w:spacing w:after="0" w:line="240" w:lineRule="auto"/>
        <w:jc w:val="both"/>
        <w:rPr>
          <w:rFonts w:cs="Arial"/>
        </w:rPr>
      </w:pPr>
    </w:p>
    <w:p w:rsidR="002461E7" w:rsidRPr="002461E7" w:rsidRDefault="002461E7" w:rsidP="002461E7">
      <w:pPr>
        <w:spacing w:after="0" w:line="240" w:lineRule="auto"/>
        <w:jc w:val="both"/>
        <w:rPr>
          <w:rFonts w:ascii="Calibri" w:hAnsi="Calibri"/>
          <w:b/>
          <w:i/>
          <w:sz w:val="20"/>
        </w:rPr>
      </w:pPr>
      <w:r w:rsidRPr="002461E7">
        <w:rPr>
          <w:rFonts w:ascii="Calibri" w:hAnsi="Calibri"/>
          <w:b/>
          <w:i/>
          <w:sz w:val="20"/>
        </w:rPr>
        <w:t xml:space="preserve">STUDIO </w:t>
      </w:r>
      <w:r w:rsidR="00491C85" w:rsidRPr="00491C85">
        <w:rPr>
          <w:rFonts w:ascii="Calibri" w:hAnsi="Calibri"/>
          <w:b/>
          <w:i/>
          <w:sz w:val="20"/>
        </w:rPr>
        <w:t>B</w:t>
      </w:r>
    </w:p>
    <w:p w:rsidR="002461E7" w:rsidRPr="002461E7" w:rsidRDefault="002461E7" w:rsidP="002461E7">
      <w:pPr>
        <w:spacing w:after="0" w:line="240" w:lineRule="auto"/>
        <w:jc w:val="both"/>
        <w:rPr>
          <w:rFonts w:ascii="Calibri" w:hAnsi="Calibri" w:cs="Arial"/>
        </w:rPr>
      </w:pPr>
      <w:r w:rsidRPr="002461E7">
        <w:rPr>
          <w:rFonts w:ascii="Calibri" w:hAnsi="Calibri"/>
        </w:rPr>
        <w:lastRenderedPageBreak/>
        <w:t xml:space="preserve">Lo studio </w:t>
      </w:r>
      <w:r w:rsidR="00491C85" w:rsidRPr="00491C85">
        <w:rPr>
          <w:rFonts w:ascii="Calibri" w:hAnsi="Calibri"/>
        </w:rPr>
        <w:t>B</w:t>
      </w:r>
      <w:r w:rsidRPr="002461E7">
        <w:rPr>
          <w:rFonts w:ascii="Calibri" w:hAnsi="Calibri"/>
        </w:rPr>
        <w:t xml:space="preserve"> è uno studio comparativo (</w:t>
      </w:r>
      <w:r w:rsidRPr="002461E7">
        <w:rPr>
          <w:rFonts w:cs="Arial"/>
          <w:color w:val="272727"/>
        </w:rPr>
        <w:t xml:space="preserve">TADALAFIL ABC 20mg </w:t>
      </w:r>
      <w:r w:rsidRPr="002461E7">
        <w:rPr>
          <w:rFonts w:cs="Arial"/>
          <w:bCs/>
          <w:color w:val="272727"/>
        </w:rPr>
        <w:t>compresse</w:t>
      </w:r>
      <w:r w:rsidRPr="002461E7">
        <w:rPr>
          <w:rFonts w:cs="Arial"/>
          <w:b/>
          <w:color w:val="272727"/>
        </w:rPr>
        <w:t xml:space="preserve"> </w:t>
      </w:r>
      <w:r w:rsidRPr="002461E7">
        <w:rPr>
          <w:rFonts w:cs="Arial"/>
          <w:color w:val="272727"/>
        </w:rPr>
        <w:t xml:space="preserve">versus </w:t>
      </w:r>
      <w:r w:rsidRPr="002461E7">
        <w:rPr>
          <w:rFonts w:cs="Arial"/>
          <w:color w:val="000000"/>
        </w:rPr>
        <w:t>Cialis®2</w:t>
      </w:r>
      <w:r w:rsidRPr="002461E7">
        <w:rPr>
          <w:rFonts w:cs="Arial"/>
          <w:color w:val="272727"/>
        </w:rPr>
        <w:t>0 mg compresse</w:t>
      </w:r>
      <w:r w:rsidRPr="002461E7">
        <w:rPr>
          <w:rFonts w:cs="Arial"/>
          <w:b/>
          <w:color w:val="272727"/>
        </w:rPr>
        <w:t xml:space="preserve"> </w:t>
      </w:r>
      <w:r w:rsidRPr="002461E7">
        <w:rPr>
          <w:rFonts w:cs="Arial"/>
          <w:color w:val="272727"/>
        </w:rPr>
        <w:t>rivestite con film</w:t>
      </w:r>
      <w:r w:rsidRPr="002461E7">
        <w:t>)</w:t>
      </w:r>
      <w:r w:rsidRPr="002461E7">
        <w:rPr>
          <w:rFonts w:ascii="Calibri" w:hAnsi="Calibri"/>
        </w:rPr>
        <w:t xml:space="preserve">, randomizzato, a dose singola, 2-periodi, crossover, condotto su 38 volontari sani di sesso maschile, con somministrazione a </w:t>
      </w:r>
      <w:r w:rsidRPr="00F95C1A">
        <w:rPr>
          <w:rFonts w:ascii="Calibri" w:hAnsi="Calibri"/>
        </w:rPr>
        <w:t xml:space="preserve">stomaco pieno. </w:t>
      </w:r>
      <w:r w:rsidR="006D620F" w:rsidRPr="00F95C1A">
        <w:rPr>
          <w:rFonts w:ascii="Calibri" w:hAnsi="Calibri"/>
        </w:rPr>
        <w:t>I</w:t>
      </w:r>
      <w:r w:rsidRPr="00F95C1A">
        <w:rPr>
          <w:rFonts w:ascii="Calibri" w:hAnsi="Calibri" w:cs="Arial"/>
        </w:rPr>
        <w:t xml:space="preserve">l medicinale è stato somministrato </w:t>
      </w:r>
      <w:r w:rsidR="00491C85" w:rsidRPr="00491C85">
        <w:rPr>
          <w:rFonts w:ascii="Calibri" w:hAnsi="Calibri" w:cs="Arial"/>
        </w:rPr>
        <w:t xml:space="preserve">dopo 30 minuti dall’assunzione di una colazione ad alto contenuto di grassi e calorie, </w:t>
      </w:r>
      <w:r w:rsidRPr="00F95C1A">
        <w:rPr>
          <w:rFonts w:ascii="Calibri" w:hAnsi="Calibri" w:cs="Arial"/>
        </w:rPr>
        <w:t xml:space="preserve">con </w:t>
      </w:r>
      <w:r w:rsidR="00892C49" w:rsidRPr="00F95C1A">
        <w:rPr>
          <w:rFonts w:ascii="Calibri" w:hAnsi="Calibri" w:cs="Arial"/>
        </w:rPr>
        <w:t xml:space="preserve">un bicchiere di </w:t>
      </w:r>
      <w:r w:rsidRPr="00F95C1A">
        <w:rPr>
          <w:rFonts w:ascii="Calibri" w:hAnsi="Calibri" w:cs="Arial"/>
        </w:rPr>
        <w:t xml:space="preserve">acqua. </w:t>
      </w:r>
      <w:r w:rsidRPr="00F95C1A">
        <w:rPr>
          <w:rFonts w:ascii="Calibri" w:hAnsi="Calibri"/>
        </w:rPr>
        <w:t>Un</w:t>
      </w:r>
      <w:r w:rsidRPr="002461E7">
        <w:rPr>
          <w:rFonts w:ascii="Calibri" w:hAnsi="Calibri"/>
        </w:rPr>
        <w:t xml:space="preserve"> soddisfacente periodo di wash-out di sette </w:t>
      </w:r>
      <w:r w:rsidRPr="002461E7">
        <w:rPr>
          <w:rFonts w:ascii="Calibri" w:hAnsi="Calibri" w:cs="Arial"/>
        </w:rPr>
        <w:t>giorni è stato previsto tra le somministrazioni in ogni gruppo.</w:t>
      </w:r>
    </w:p>
    <w:p w:rsidR="002461E7" w:rsidRPr="002461E7" w:rsidRDefault="002461E7" w:rsidP="002461E7">
      <w:pPr>
        <w:spacing w:after="0" w:line="240" w:lineRule="auto"/>
        <w:jc w:val="both"/>
        <w:rPr>
          <w:rFonts w:ascii="Calibri" w:hAnsi="Calibri" w:cs="Arial"/>
        </w:rPr>
      </w:pPr>
      <w:r w:rsidRPr="002461E7">
        <w:rPr>
          <w:rFonts w:ascii="Calibri" w:hAnsi="Calibri" w:cs="Arial"/>
        </w:rPr>
        <w:t xml:space="preserve">Campioni di sangue sono stati prelevati al tempo zero (pre-dose) e a specificati tempi fino a </w:t>
      </w:r>
      <w:r w:rsidR="00491C85" w:rsidRPr="00491C85">
        <w:rPr>
          <w:rFonts w:ascii="Calibri" w:hAnsi="Calibri" w:cs="Arial"/>
        </w:rPr>
        <w:t>72</w:t>
      </w:r>
      <w:r w:rsidRPr="002461E7">
        <w:rPr>
          <w:rFonts w:ascii="Calibri" w:hAnsi="Calibri" w:cs="Arial"/>
        </w:rPr>
        <w:t xml:space="preserve"> ore dopo la somministrazione. I livelli plasmatici di tadalafil sono stati determinati mediante un metodo analitico </w:t>
      </w:r>
      <w:r w:rsidRPr="002461E7">
        <w:rPr>
          <w:sz w:val="24"/>
          <w:lang w:eastAsia="fi-FI"/>
        </w:rPr>
        <w:t>LC MS/MS</w:t>
      </w:r>
      <w:r w:rsidRPr="002461E7">
        <w:rPr>
          <w:rFonts w:ascii="Calibri" w:hAnsi="Calibri" w:cs="Arial"/>
        </w:rPr>
        <w:t xml:space="preserve"> opportunamente convalidato.</w:t>
      </w:r>
    </w:p>
    <w:p w:rsidR="00DE2219" w:rsidRDefault="002461E7" w:rsidP="00DE2219">
      <w:pPr>
        <w:spacing w:after="0" w:line="240" w:lineRule="auto"/>
        <w:jc w:val="both"/>
        <w:rPr>
          <w:rFonts w:ascii="Calibri" w:hAnsi="Calibri" w:cs="Arial"/>
        </w:rPr>
      </w:pPr>
      <w:r w:rsidRPr="00F01414">
        <w:rPr>
          <w:rFonts w:ascii="Calibri" w:hAnsi="Calibri" w:cs="Arial"/>
        </w:rPr>
        <w:t>Per tadalafil sono state definite le seguenti variabili farmacocinetiche: C</w:t>
      </w:r>
      <w:r w:rsidRPr="00F01414">
        <w:rPr>
          <w:rFonts w:ascii="Calibri" w:hAnsi="Calibri" w:cs="Arial"/>
          <w:vertAlign w:val="subscript"/>
        </w:rPr>
        <w:t>max</w:t>
      </w:r>
      <w:r w:rsidRPr="00F01414">
        <w:rPr>
          <w:rFonts w:ascii="Calibri" w:hAnsi="Calibri" w:cs="Arial"/>
        </w:rPr>
        <w:t>, AUC</w:t>
      </w:r>
      <w:r w:rsidRPr="00F01414">
        <w:rPr>
          <w:rFonts w:ascii="Calibri" w:hAnsi="Calibri" w:cs="Arial"/>
          <w:vertAlign w:val="subscript"/>
        </w:rPr>
        <w:t>0</w:t>
      </w:r>
      <w:r w:rsidR="00D91A58">
        <w:rPr>
          <w:rFonts w:ascii="Calibri" w:hAnsi="Calibri" w:cs="Arial"/>
          <w:vertAlign w:val="subscript"/>
        </w:rPr>
        <w:t>-72</w:t>
      </w:r>
      <w:r w:rsidRPr="00F01414">
        <w:rPr>
          <w:rFonts w:ascii="Calibri" w:hAnsi="Calibri" w:cs="Arial"/>
        </w:rPr>
        <w:t>, t</w:t>
      </w:r>
      <w:r w:rsidRPr="00F01414">
        <w:rPr>
          <w:rFonts w:ascii="Calibri" w:hAnsi="Calibri" w:cs="Arial"/>
          <w:vertAlign w:val="subscript"/>
        </w:rPr>
        <w:t>max</w:t>
      </w:r>
      <w:r w:rsidRPr="002461E7">
        <w:rPr>
          <w:rFonts w:ascii="Calibri" w:hAnsi="Calibri" w:cs="Arial"/>
        </w:rPr>
        <w:t>.</w:t>
      </w:r>
    </w:p>
    <w:p w:rsidR="00333FD1" w:rsidRDefault="002461E7">
      <w:pPr>
        <w:spacing w:after="0" w:line="240" w:lineRule="auto"/>
        <w:jc w:val="both"/>
        <w:rPr>
          <w:rFonts w:ascii="Calibri" w:hAnsi="Calibri" w:cs="Arial"/>
        </w:rPr>
      </w:pPr>
      <w:r w:rsidRPr="002461E7">
        <w:rPr>
          <w:rFonts w:ascii="Calibri" w:hAnsi="Calibri" w:cs="Arial"/>
        </w:rPr>
        <w:t>La bioequivalenza tra medicinale test e medicinale di riferimento è dimostrata se gli intervalli di confidenza al 90% per la trasformata logaritmica di C</w:t>
      </w:r>
      <w:r w:rsidRPr="002461E7">
        <w:rPr>
          <w:rFonts w:ascii="Calibri" w:hAnsi="Calibri" w:cs="Arial"/>
          <w:vertAlign w:val="subscript"/>
        </w:rPr>
        <w:t>max</w:t>
      </w:r>
      <w:r w:rsidRPr="002461E7">
        <w:rPr>
          <w:rFonts w:ascii="Calibri" w:hAnsi="Calibri" w:cs="Arial"/>
        </w:rPr>
        <w:t xml:space="preserve"> e AUC</w:t>
      </w:r>
      <w:r w:rsidRPr="002461E7">
        <w:rPr>
          <w:rFonts w:ascii="Calibri" w:hAnsi="Calibri" w:cs="Arial"/>
          <w:vertAlign w:val="subscript"/>
        </w:rPr>
        <w:t>0-</w:t>
      </w:r>
      <w:r w:rsidR="00D23062">
        <w:rPr>
          <w:rFonts w:ascii="Calibri" w:hAnsi="Calibri" w:cs="Arial"/>
          <w:vertAlign w:val="subscript"/>
        </w:rPr>
        <w:t>72</w:t>
      </w:r>
      <w:r w:rsidRPr="002461E7">
        <w:rPr>
          <w:rFonts w:ascii="Calibri" w:hAnsi="Calibri" w:cs="Arial"/>
        </w:rPr>
        <w:t>, cadono nel range di accettabilità di 0.80-1.25 (80%-125%).</w:t>
      </w:r>
    </w:p>
    <w:p w:rsidR="002461E7" w:rsidRPr="002461E7" w:rsidRDefault="002461E7" w:rsidP="002461E7">
      <w:pPr>
        <w:spacing w:after="0" w:line="240" w:lineRule="auto"/>
        <w:jc w:val="both"/>
      </w:pPr>
    </w:p>
    <w:p w:rsidR="002461E7" w:rsidRPr="002461E7" w:rsidRDefault="002461E7" w:rsidP="002461E7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2461E7">
        <w:rPr>
          <w:u w:val="single"/>
        </w:rPr>
        <w:t>Risultati</w:t>
      </w:r>
    </w:p>
    <w:p w:rsidR="002461E7" w:rsidRPr="002461E7" w:rsidRDefault="002461E7" w:rsidP="002461E7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2461E7">
        <w:rPr>
          <w:rFonts w:ascii="Calibri" w:hAnsi="Calibri" w:cs="Arial"/>
        </w:rPr>
        <w:t>38 volontari sani sono stati arruolati nello studio. 3</w:t>
      </w:r>
      <w:r w:rsidR="00491C85" w:rsidRPr="00491C85">
        <w:rPr>
          <w:rFonts w:ascii="Calibri" w:hAnsi="Calibri" w:cs="Arial"/>
        </w:rPr>
        <w:t>4</w:t>
      </w:r>
      <w:r w:rsidRPr="002461E7">
        <w:rPr>
          <w:rFonts w:ascii="Calibri" w:hAnsi="Calibri" w:cs="Arial"/>
        </w:rPr>
        <w:t xml:space="preserve"> soggetti </w:t>
      </w:r>
      <w:r w:rsidRPr="002461E7">
        <w:t xml:space="preserve">hanno completato la fase clinica e </w:t>
      </w:r>
      <w:r w:rsidR="00491C85" w:rsidRPr="00491C85">
        <w:t xml:space="preserve">33 </w:t>
      </w:r>
      <w:r w:rsidRPr="002461E7">
        <w:rPr>
          <w:rFonts w:ascii="Calibri" w:hAnsi="Calibri" w:cs="Arial"/>
        </w:rPr>
        <w:t xml:space="preserve">sono stati inclusi nell’analisi </w:t>
      </w:r>
      <w:r w:rsidR="00491C85" w:rsidRPr="00491C85">
        <w:rPr>
          <w:rFonts w:ascii="Calibri" w:hAnsi="Calibri" w:cs="Arial"/>
        </w:rPr>
        <w:t>statistica</w:t>
      </w:r>
      <w:r w:rsidRPr="002461E7">
        <w:rPr>
          <w:rFonts w:ascii="Calibri" w:hAnsi="Calibri" w:cs="Arial"/>
        </w:rPr>
        <w:t>.</w:t>
      </w:r>
    </w:p>
    <w:p w:rsidR="002461E7" w:rsidRPr="002461E7" w:rsidRDefault="002461E7" w:rsidP="002461E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highlight w:val="green"/>
          <w:lang w:val="it-IT"/>
        </w:rPr>
      </w:pPr>
    </w:p>
    <w:p w:rsidR="002461E7" w:rsidRPr="00DE2219" w:rsidRDefault="002461E7" w:rsidP="002461E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DE2219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333FD1" w:rsidRDefault="00C171CA">
      <w:pPr>
        <w:jc w:val="both"/>
        <w:rPr>
          <w:rFonts w:ascii="Calibri" w:hAnsi="Calibri" w:cs="Arial"/>
        </w:rPr>
      </w:pPr>
      <w:r w:rsidRPr="00DE2219">
        <w:rPr>
          <w:rFonts w:ascii="Calibri" w:hAnsi="Calibri" w:cs="Arial"/>
        </w:rPr>
        <w:t xml:space="preserve">Nel corso dello studio, si </w:t>
      </w:r>
      <w:r>
        <w:rPr>
          <w:rFonts w:ascii="Calibri" w:hAnsi="Calibri" w:cs="Arial"/>
        </w:rPr>
        <w:t xml:space="preserve">sono </w:t>
      </w:r>
      <w:r w:rsidRPr="00DE2219">
        <w:rPr>
          <w:rFonts w:ascii="Calibri" w:hAnsi="Calibri" w:cs="Arial"/>
        </w:rPr>
        <w:t xml:space="preserve">manifestati </w:t>
      </w:r>
      <w:r>
        <w:rPr>
          <w:rFonts w:ascii="Calibri" w:hAnsi="Calibri" w:cs="Arial"/>
        </w:rPr>
        <w:t>dodici</w:t>
      </w:r>
      <w:r w:rsidRPr="00DE2219">
        <w:rPr>
          <w:rFonts w:ascii="Calibri" w:hAnsi="Calibri" w:cs="Arial"/>
        </w:rPr>
        <w:t xml:space="preserve"> eventi avversi, tutti di lieve entità</w:t>
      </w:r>
      <w:r>
        <w:rPr>
          <w:rFonts w:ascii="Calibri" w:hAnsi="Calibri" w:cs="Arial"/>
        </w:rPr>
        <w:t xml:space="preserve"> e im</w:t>
      </w:r>
      <w:r w:rsidRPr="00DE2219">
        <w:rPr>
          <w:rFonts w:ascii="Calibri" w:hAnsi="Calibri" w:cs="Arial"/>
        </w:rPr>
        <w:t>probabilmente correlati al trattamento</w:t>
      </w:r>
      <w:r w:rsidRPr="002461E7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:rsidR="002461E7" w:rsidRPr="002461E7" w:rsidRDefault="002461E7" w:rsidP="002461E7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2461E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2461E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2461E7" w:rsidRPr="002461E7" w:rsidRDefault="002461E7" w:rsidP="002461E7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2461E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2461E7" w:rsidRPr="002461E7" w:rsidRDefault="002461E7" w:rsidP="002461E7">
      <w:pPr>
        <w:pStyle w:val="Paragrafoelenco"/>
        <w:spacing w:after="0" w:line="240" w:lineRule="auto"/>
        <w:ind w:left="0"/>
        <w:jc w:val="both"/>
      </w:pPr>
    </w:p>
    <w:tbl>
      <w:tblPr>
        <w:tblW w:w="24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5"/>
        <w:gridCol w:w="1574"/>
        <w:gridCol w:w="1716"/>
      </w:tblGrid>
      <w:tr w:rsidR="002461E7" w:rsidRPr="002461E7" w:rsidTr="00F01414">
        <w:trPr>
          <w:jc w:val="center"/>
        </w:trPr>
        <w:tc>
          <w:tcPr>
            <w:tcW w:w="4845" w:type="dxa"/>
            <w:gridSpan w:val="3"/>
            <w:vAlign w:val="bottom"/>
          </w:tcPr>
          <w:p w:rsidR="002461E7" w:rsidRPr="002461E7" w:rsidRDefault="002461E7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461E7">
              <w:rPr>
                <w:b/>
                <w:bCs/>
                <w:sz w:val="20"/>
                <w:szCs w:val="20"/>
              </w:rPr>
              <w:t>Tadalafil</w:t>
            </w:r>
          </w:p>
        </w:tc>
      </w:tr>
      <w:tr w:rsidR="002461E7" w:rsidRPr="002461E7" w:rsidTr="00F01414">
        <w:trPr>
          <w:jc w:val="center"/>
        </w:trPr>
        <w:tc>
          <w:tcPr>
            <w:tcW w:w="1555" w:type="dxa"/>
            <w:vAlign w:val="bottom"/>
          </w:tcPr>
          <w:p w:rsidR="002461E7" w:rsidRPr="002461E7" w:rsidRDefault="002461E7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461E7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574" w:type="dxa"/>
            <w:vAlign w:val="bottom"/>
          </w:tcPr>
          <w:p w:rsidR="002461E7" w:rsidRPr="002461E7" w:rsidRDefault="002461E7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461E7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2461E7" w:rsidRPr="002461E7" w:rsidRDefault="002461E7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461E7">
              <w:rPr>
                <w:b/>
                <w:sz w:val="20"/>
                <w:szCs w:val="20"/>
              </w:rPr>
              <w:t>90% C.I.</w:t>
            </w:r>
          </w:p>
        </w:tc>
      </w:tr>
      <w:tr w:rsidR="002461E7" w:rsidRPr="002461E7" w:rsidTr="00F01414">
        <w:trPr>
          <w:jc w:val="center"/>
        </w:trPr>
        <w:tc>
          <w:tcPr>
            <w:tcW w:w="1555" w:type="dxa"/>
            <w:vAlign w:val="bottom"/>
          </w:tcPr>
          <w:p w:rsidR="002461E7" w:rsidRPr="002461E7" w:rsidRDefault="002461E7" w:rsidP="00F0141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461E7">
              <w:rPr>
                <w:b/>
                <w:sz w:val="20"/>
                <w:szCs w:val="20"/>
              </w:rPr>
              <w:t>AUC</w:t>
            </w:r>
            <w:r w:rsidR="00491C85" w:rsidRPr="00491C85">
              <w:rPr>
                <w:b/>
                <w:sz w:val="20"/>
                <w:szCs w:val="20"/>
                <w:vertAlign w:val="subscript"/>
              </w:rPr>
              <w:t>0-72</w:t>
            </w:r>
          </w:p>
        </w:tc>
        <w:tc>
          <w:tcPr>
            <w:tcW w:w="1574" w:type="dxa"/>
            <w:vAlign w:val="bottom"/>
          </w:tcPr>
          <w:p w:rsidR="002461E7" w:rsidRPr="002461E7" w:rsidRDefault="002461E7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2461E7">
              <w:rPr>
                <w:rFonts w:eastAsia="Times New Roman" w:cs="Arial"/>
              </w:rPr>
              <w:t>10</w:t>
            </w:r>
            <w:r w:rsidR="00DE2219">
              <w:rPr>
                <w:rFonts w:eastAsia="Times New Roman" w:cs="Arial"/>
              </w:rPr>
              <w:t>1</w:t>
            </w:r>
            <w:r w:rsidRPr="002461E7">
              <w:rPr>
                <w:rFonts w:eastAsia="Times New Roman" w:cs="Arial"/>
              </w:rPr>
              <w:t>.</w:t>
            </w:r>
            <w:r w:rsidR="00D91A58">
              <w:rPr>
                <w:rFonts w:eastAsia="Times New Roman" w:cs="Arial"/>
              </w:rPr>
              <w:t>07</w:t>
            </w:r>
          </w:p>
        </w:tc>
        <w:tc>
          <w:tcPr>
            <w:tcW w:w="1716" w:type="dxa"/>
            <w:vAlign w:val="bottom"/>
          </w:tcPr>
          <w:p w:rsidR="002461E7" w:rsidRPr="00D23062" w:rsidRDefault="002461E7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D23062">
              <w:rPr>
                <w:rFonts w:eastAsia="Times New Roman" w:cs="Arial"/>
              </w:rPr>
              <w:t>(</w:t>
            </w:r>
            <w:r w:rsidR="00491C85" w:rsidRPr="00491C85">
              <w:rPr>
                <w:rFonts w:ascii="Calibri" w:hAnsi="Calibri"/>
                <w:sz w:val="20"/>
                <w:szCs w:val="20"/>
              </w:rPr>
              <w:t>96.51 – 105.84</w:t>
            </w:r>
            <w:r w:rsidRPr="00D23062">
              <w:rPr>
                <w:rFonts w:eastAsia="Times New Roman" w:cs="Arial"/>
              </w:rPr>
              <w:t>)</w:t>
            </w:r>
          </w:p>
        </w:tc>
      </w:tr>
      <w:tr w:rsidR="002461E7" w:rsidRPr="00BE3832" w:rsidTr="00F01414">
        <w:trPr>
          <w:jc w:val="center"/>
        </w:trPr>
        <w:tc>
          <w:tcPr>
            <w:tcW w:w="1555" w:type="dxa"/>
            <w:vAlign w:val="bottom"/>
          </w:tcPr>
          <w:p w:rsidR="002461E7" w:rsidRPr="002461E7" w:rsidRDefault="002461E7" w:rsidP="00F0141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461E7">
              <w:rPr>
                <w:b/>
                <w:sz w:val="20"/>
                <w:szCs w:val="20"/>
              </w:rPr>
              <w:t>Cmax</w:t>
            </w:r>
          </w:p>
        </w:tc>
        <w:tc>
          <w:tcPr>
            <w:tcW w:w="1574" w:type="dxa"/>
            <w:vAlign w:val="bottom"/>
          </w:tcPr>
          <w:p w:rsidR="002461E7" w:rsidRPr="002461E7" w:rsidRDefault="00D91A58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107.37</w:t>
            </w:r>
          </w:p>
        </w:tc>
        <w:tc>
          <w:tcPr>
            <w:tcW w:w="1716" w:type="dxa"/>
            <w:vAlign w:val="bottom"/>
          </w:tcPr>
          <w:p w:rsidR="002461E7" w:rsidRPr="00D23062" w:rsidRDefault="002461E7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D23062">
              <w:rPr>
                <w:rFonts w:eastAsia="Times New Roman" w:cs="Arial"/>
              </w:rPr>
              <w:t>(</w:t>
            </w:r>
            <w:r w:rsidR="00491C85" w:rsidRPr="00491C85">
              <w:rPr>
                <w:rFonts w:ascii="Calibri" w:hAnsi="Calibri"/>
                <w:sz w:val="20"/>
                <w:szCs w:val="20"/>
              </w:rPr>
              <w:t>101.149-113.59</w:t>
            </w:r>
            <w:r w:rsidRPr="00D23062">
              <w:rPr>
                <w:rFonts w:eastAsia="Times New Roman" w:cs="Arial"/>
              </w:rPr>
              <w:t>)</w:t>
            </w:r>
          </w:p>
        </w:tc>
      </w:tr>
    </w:tbl>
    <w:p w:rsidR="002461E7" w:rsidRPr="00BE3832" w:rsidRDefault="002461E7" w:rsidP="002461E7">
      <w:pPr>
        <w:spacing w:after="0" w:line="240" w:lineRule="auto"/>
        <w:rPr>
          <w:rFonts w:cs="Arial"/>
          <w:i/>
          <w:highlight w:val="yellow"/>
        </w:rPr>
      </w:pPr>
    </w:p>
    <w:p w:rsidR="002461E7" w:rsidRPr="00F01414" w:rsidRDefault="002461E7" w:rsidP="002461E7">
      <w:pPr>
        <w:spacing w:after="0" w:line="240" w:lineRule="auto"/>
        <w:rPr>
          <w:rFonts w:cs="Arial"/>
          <w:i/>
        </w:rPr>
      </w:pPr>
    </w:p>
    <w:p w:rsidR="002461E7" w:rsidRPr="00F01414" w:rsidRDefault="002461E7" w:rsidP="002461E7">
      <w:pPr>
        <w:spacing w:after="0" w:line="240" w:lineRule="auto"/>
        <w:rPr>
          <w:rFonts w:cs="Arial"/>
        </w:rPr>
      </w:pPr>
      <w:r w:rsidRPr="00F01414">
        <w:rPr>
          <w:rFonts w:cs="Arial"/>
          <w:i/>
        </w:rPr>
        <w:t>Conclusioni sulla bioequivalenza</w:t>
      </w:r>
      <w:r w:rsidRPr="00F01414">
        <w:rPr>
          <w:rFonts w:cs="Arial"/>
        </w:rPr>
        <w:t>.</w:t>
      </w:r>
    </w:p>
    <w:p w:rsidR="002461E7" w:rsidRPr="00F01414" w:rsidRDefault="002461E7" w:rsidP="002461E7">
      <w:pPr>
        <w:spacing w:after="0" w:line="240" w:lineRule="auto"/>
        <w:jc w:val="both"/>
        <w:rPr>
          <w:rFonts w:cs="Arial"/>
        </w:rPr>
      </w:pPr>
      <w:r w:rsidRPr="00F01414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:rsidR="00D23062" w:rsidRDefault="00D23062" w:rsidP="00E20E3F">
      <w:pPr>
        <w:spacing w:after="0" w:line="240" w:lineRule="auto"/>
        <w:jc w:val="both"/>
        <w:rPr>
          <w:rFonts w:ascii="Calibri" w:hAnsi="Calibri"/>
          <w:b/>
          <w:i/>
          <w:sz w:val="20"/>
        </w:rPr>
      </w:pPr>
    </w:p>
    <w:p w:rsidR="00E20E3F" w:rsidRPr="00F01414" w:rsidRDefault="00E20E3F" w:rsidP="00E20E3F">
      <w:pPr>
        <w:spacing w:after="0" w:line="240" w:lineRule="auto"/>
        <w:jc w:val="both"/>
        <w:rPr>
          <w:rFonts w:ascii="Calibri" w:hAnsi="Calibri"/>
          <w:b/>
          <w:i/>
          <w:sz w:val="20"/>
        </w:rPr>
      </w:pPr>
      <w:r w:rsidRPr="00F01414">
        <w:rPr>
          <w:rFonts w:ascii="Calibri" w:hAnsi="Calibri"/>
          <w:b/>
          <w:i/>
          <w:sz w:val="20"/>
        </w:rPr>
        <w:t xml:space="preserve">STUDIO </w:t>
      </w:r>
      <w:r>
        <w:rPr>
          <w:rFonts w:ascii="Calibri" w:hAnsi="Calibri"/>
          <w:b/>
          <w:i/>
          <w:sz w:val="20"/>
        </w:rPr>
        <w:t>C</w:t>
      </w:r>
    </w:p>
    <w:p w:rsidR="00E20E3F" w:rsidRPr="00A02EBF" w:rsidRDefault="00E20E3F" w:rsidP="00E20E3F">
      <w:pPr>
        <w:spacing w:after="0" w:line="240" w:lineRule="auto"/>
        <w:jc w:val="both"/>
        <w:rPr>
          <w:rFonts w:ascii="Calibri" w:hAnsi="Calibri" w:cs="Arial"/>
        </w:rPr>
      </w:pPr>
      <w:r w:rsidRPr="00F01414">
        <w:rPr>
          <w:rFonts w:ascii="Calibri" w:hAnsi="Calibri"/>
        </w:rPr>
        <w:t xml:space="preserve">Lo studio </w:t>
      </w:r>
      <w:r>
        <w:rPr>
          <w:rFonts w:ascii="Calibri" w:hAnsi="Calibri"/>
        </w:rPr>
        <w:t>C</w:t>
      </w:r>
      <w:r w:rsidRPr="00F01414">
        <w:rPr>
          <w:rFonts w:ascii="Calibri" w:hAnsi="Calibri"/>
        </w:rPr>
        <w:t xml:space="preserve"> è uno studio </w:t>
      </w:r>
      <w:r w:rsidR="00491C85" w:rsidRPr="00491C85">
        <w:rPr>
          <w:rFonts w:cs="Arial"/>
        </w:rPr>
        <w:t>comparativo (TADALAFIL ABC 5 mg compresse versus Cialis® 5 mg compresse rivestite con film</w:t>
      </w:r>
      <w:r w:rsidRPr="00D23062">
        <w:rPr>
          <w:rFonts w:cs="Arial"/>
        </w:rPr>
        <w:t>)</w:t>
      </w:r>
      <w:r w:rsidR="00491C85" w:rsidRPr="00491C85">
        <w:rPr>
          <w:rFonts w:cs="Arial"/>
        </w:rPr>
        <w:t>, randomizzato, a dose singola, 2-periodi, crossover, condotto su 38 volontari sani di sesso maschile, con somministrazione a digiuno. Dopo una notte di digiuno, il medicinale è stato</w:t>
      </w:r>
      <w:r w:rsidRPr="00F01414">
        <w:rPr>
          <w:rFonts w:ascii="Calibri" w:hAnsi="Calibri" w:cs="Arial"/>
        </w:rPr>
        <w:t xml:space="preserve"> somministrato con acqua. </w:t>
      </w:r>
      <w:r w:rsidRPr="00F01414">
        <w:rPr>
          <w:rFonts w:ascii="Calibri" w:hAnsi="Calibri"/>
        </w:rPr>
        <w:t xml:space="preserve">Un soddisfacente periodo di wash-out di </w:t>
      </w:r>
      <w:r w:rsidR="00892C49">
        <w:rPr>
          <w:rFonts w:ascii="Calibri" w:hAnsi="Calibri"/>
        </w:rPr>
        <w:t>undici</w:t>
      </w:r>
      <w:r w:rsidRPr="00F01414">
        <w:rPr>
          <w:rFonts w:ascii="Calibri" w:hAnsi="Calibri"/>
        </w:rPr>
        <w:t xml:space="preserve"> </w:t>
      </w:r>
      <w:r w:rsidRPr="00F01414">
        <w:rPr>
          <w:rFonts w:ascii="Calibri" w:hAnsi="Calibri" w:cs="Arial"/>
        </w:rPr>
        <w:t>giorni è stato previsto tra le somministrazioni in ogni gruppo.</w:t>
      </w:r>
    </w:p>
    <w:p w:rsidR="00E20E3F" w:rsidRPr="0049385A" w:rsidRDefault="00E20E3F" w:rsidP="00E20E3F">
      <w:pPr>
        <w:spacing w:after="0" w:line="240" w:lineRule="auto"/>
        <w:jc w:val="both"/>
        <w:rPr>
          <w:rFonts w:ascii="Calibri" w:hAnsi="Calibri" w:cs="Arial"/>
        </w:rPr>
      </w:pPr>
      <w:r w:rsidRPr="00F01414">
        <w:rPr>
          <w:rFonts w:ascii="Calibri" w:hAnsi="Calibri" w:cs="Arial"/>
        </w:rPr>
        <w:t xml:space="preserve">Campioni di sangue sono stati prelevati al tempo zero (pre-dose) e a specificati tempi fino a </w:t>
      </w:r>
      <w:r>
        <w:rPr>
          <w:rFonts w:ascii="Calibri" w:hAnsi="Calibri" w:cs="Arial"/>
        </w:rPr>
        <w:t>96</w:t>
      </w:r>
      <w:r w:rsidRPr="00F01414">
        <w:rPr>
          <w:rFonts w:ascii="Calibri" w:hAnsi="Calibri" w:cs="Arial"/>
        </w:rPr>
        <w:t xml:space="preserve"> ore dopo la somministrazione. I livelli plasmatici di tadalafil sono stati determinati mediante un metodo analitico </w:t>
      </w:r>
      <w:r w:rsidRPr="00F01414">
        <w:rPr>
          <w:sz w:val="24"/>
          <w:lang w:eastAsia="fi-FI"/>
        </w:rPr>
        <w:t>LC MS/MS</w:t>
      </w:r>
      <w:r w:rsidRPr="00F01414">
        <w:rPr>
          <w:rFonts w:ascii="Calibri" w:hAnsi="Calibri" w:cs="Arial"/>
        </w:rPr>
        <w:t xml:space="preserve"> opportunamente convalidato</w:t>
      </w:r>
      <w:r w:rsidRPr="00A02EBF">
        <w:rPr>
          <w:rFonts w:ascii="Calibri" w:hAnsi="Calibri" w:cs="Arial"/>
        </w:rPr>
        <w:t>.</w:t>
      </w:r>
    </w:p>
    <w:p w:rsidR="00E20E3F" w:rsidRPr="00F01414" w:rsidRDefault="00E20E3F" w:rsidP="00E20E3F">
      <w:pPr>
        <w:spacing w:after="0" w:line="240" w:lineRule="auto"/>
        <w:jc w:val="both"/>
        <w:rPr>
          <w:rFonts w:ascii="Calibri" w:hAnsi="Calibri" w:cs="Arial"/>
          <w:bCs/>
        </w:rPr>
      </w:pPr>
      <w:r w:rsidRPr="00F01414">
        <w:rPr>
          <w:rFonts w:ascii="Calibri" w:hAnsi="Calibri" w:cs="Arial"/>
        </w:rPr>
        <w:t>Per tadalafil sono state definite le seguenti variabili farmacocinetiche: C</w:t>
      </w:r>
      <w:r w:rsidRPr="00F01414">
        <w:rPr>
          <w:rFonts w:ascii="Calibri" w:hAnsi="Calibri" w:cs="Arial"/>
          <w:vertAlign w:val="subscript"/>
        </w:rPr>
        <w:t>max</w:t>
      </w:r>
      <w:r w:rsidRPr="00F01414">
        <w:rPr>
          <w:rFonts w:ascii="Calibri" w:hAnsi="Calibri" w:cs="Arial"/>
        </w:rPr>
        <w:t>, AUC</w:t>
      </w:r>
      <w:r w:rsidRPr="00F01414">
        <w:rPr>
          <w:rFonts w:ascii="Calibri" w:hAnsi="Calibri" w:cs="Arial"/>
          <w:vertAlign w:val="subscript"/>
        </w:rPr>
        <w:t>0-t</w:t>
      </w:r>
      <w:r w:rsidRPr="00F01414">
        <w:rPr>
          <w:rFonts w:ascii="Calibri" w:hAnsi="Calibri" w:cs="Arial"/>
        </w:rPr>
        <w:t>, AUC</w:t>
      </w:r>
      <w:r w:rsidRPr="00F01414">
        <w:rPr>
          <w:rFonts w:ascii="Calibri" w:hAnsi="Calibri" w:cs="Arial"/>
          <w:vertAlign w:val="subscript"/>
        </w:rPr>
        <w:t>0-</w:t>
      </w:r>
      <w:r w:rsidRPr="00F01414">
        <w:rPr>
          <w:vertAlign w:val="subscript"/>
          <w:lang w:val="en-GB"/>
        </w:rPr>
        <w:sym w:font="Symbol" w:char="00A5"/>
      </w:r>
      <w:r w:rsidRPr="00F01414">
        <w:rPr>
          <w:rFonts w:ascii="Calibri" w:hAnsi="Calibri" w:cs="Arial"/>
        </w:rPr>
        <w:t>, t</w:t>
      </w:r>
      <w:r w:rsidRPr="00F01414">
        <w:rPr>
          <w:rFonts w:ascii="Calibri" w:hAnsi="Calibri" w:cs="Arial"/>
          <w:vertAlign w:val="subscript"/>
        </w:rPr>
        <w:t>max</w:t>
      </w:r>
      <w:r w:rsidRPr="00F01414">
        <w:rPr>
          <w:rFonts w:ascii="Calibri" w:hAnsi="Calibri" w:cs="Arial"/>
        </w:rPr>
        <w:t>, t</w:t>
      </w:r>
      <w:r w:rsidRPr="00F01414">
        <w:rPr>
          <w:rFonts w:ascii="Calibri" w:hAnsi="Calibri" w:cs="Arial"/>
          <w:vertAlign w:val="subscript"/>
        </w:rPr>
        <w:t>½</w:t>
      </w:r>
      <w:r w:rsidRPr="00892C49">
        <w:rPr>
          <w:rFonts w:ascii="Calibri" w:hAnsi="Calibri" w:cs="Arial"/>
        </w:rPr>
        <w:t xml:space="preserve">, </w:t>
      </w:r>
      <w:r w:rsidRPr="00892C49">
        <w:rPr>
          <w:rFonts w:ascii="Calibri" w:hAnsi="Calibri" w:cs="Arial"/>
          <w:bCs/>
        </w:rPr>
        <w:t>λ</w:t>
      </w:r>
      <w:r w:rsidRPr="00892C49">
        <w:rPr>
          <w:rFonts w:ascii="Calibri" w:hAnsi="Calibri" w:cs="Arial"/>
          <w:bCs/>
          <w:vertAlign w:val="subscript"/>
        </w:rPr>
        <w:t>z</w:t>
      </w:r>
    </w:p>
    <w:p w:rsidR="00E20E3F" w:rsidRPr="00F01414" w:rsidRDefault="00E20E3F" w:rsidP="00E20E3F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F01414">
        <w:rPr>
          <w:rFonts w:ascii="Calibri" w:hAnsi="Calibri" w:cs="Arial"/>
        </w:rPr>
        <w:t xml:space="preserve"> e </w:t>
      </w:r>
      <w:r w:rsidR="00892C49">
        <w:rPr>
          <w:rFonts w:ascii="Calibri" w:hAnsi="Calibri" w:cs="Arial"/>
        </w:rPr>
        <w:t>%AUC estrapolata</w:t>
      </w:r>
      <w:r w:rsidRPr="00F01414">
        <w:rPr>
          <w:rFonts w:ascii="Calibri" w:hAnsi="Calibri" w:cs="Arial"/>
        </w:rPr>
        <w:t>. La bioequivalenza tra medicinale test e medicinale di riferimento è dimostrata se gli intervalli di confidenza al 90% per la trasformata logaritmica di C</w:t>
      </w:r>
      <w:r w:rsidRPr="00F01414">
        <w:rPr>
          <w:rFonts w:ascii="Calibri" w:hAnsi="Calibri" w:cs="Arial"/>
          <w:vertAlign w:val="subscript"/>
        </w:rPr>
        <w:t>max</w:t>
      </w:r>
      <w:r w:rsidRPr="00F01414">
        <w:rPr>
          <w:rFonts w:ascii="Calibri" w:hAnsi="Calibri" w:cs="Arial"/>
        </w:rPr>
        <w:t xml:space="preserve"> e AUC</w:t>
      </w:r>
      <w:r w:rsidRPr="00F01414">
        <w:rPr>
          <w:rFonts w:ascii="Calibri" w:hAnsi="Calibri" w:cs="Arial"/>
          <w:vertAlign w:val="subscript"/>
        </w:rPr>
        <w:t>0-t</w:t>
      </w:r>
      <w:r w:rsidRPr="00F01414">
        <w:rPr>
          <w:rFonts w:ascii="Calibri" w:hAnsi="Calibri" w:cs="Arial"/>
        </w:rPr>
        <w:t>, cadono nel range di accettabilità di 0.80-1.25 (80%-125%).</w:t>
      </w:r>
    </w:p>
    <w:p w:rsidR="00E20E3F" w:rsidRPr="00BE3832" w:rsidRDefault="00E20E3F" w:rsidP="00E20E3F">
      <w:pPr>
        <w:spacing w:after="0" w:line="240" w:lineRule="auto"/>
        <w:jc w:val="both"/>
        <w:rPr>
          <w:highlight w:val="yellow"/>
        </w:rPr>
      </w:pPr>
    </w:p>
    <w:p w:rsidR="00E20E3F" w:rsidRPr="00F01414" w:rsidRDefault="00E20E3F" w:rsidP="00E20E3F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F01414">
        <w:rPr>
          <w:u w:val="single"/>
        </w:rPr>
        <w:t>Risultati</w:t>
      </w:r>
    </w:p>
    <w:p w:rsidR="00E20E3F" w:rsidRPr="009F5FC7" w:rsidRDefault="00E20E3F" w:rsidP="00E20E3F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F01414">
        <w:rPr>
          <w:rFonts w:ascii="Calibri" w:hAnsi="Calibri" w:cs="Arial"/>
        </w:rPr>
        <w:t>38 volontari sani sono stati arruolati nello studio. 3</w:t>
      </w:r>
      <w:r w:rsidR="00892C49">
        <w:rPr>
          <w:rFonts w:ascii="Calibri" w:hAnsi="Calibri" w:cs="Arial"/>
        </w:rPr>
        <w:t>5</w:t>
      </w:r>
      <w:r w:rsidRPr="00F01414">
        <w:rPr>
          <w:rFonts w:ascii="Calibri" w:hAnsi="Calibri" w:cs="Arial"/>
        </w:rPr>
        <w:t xml:space="preserve"> soggetti </w:t>
      </w:r>
      <w:r w:rsidRPr="00F01414">
        <w:t xml:space="preserve">hanno completato la fase clinica e </w:t>
      </w:r>
      <w:r w:rsidRPr="00F01414">
        <w:rPr>
          <w:rFonts w:ascii="Calibri" w:hAnsi="Calibri" w:cs="Arial"/>
        </w:rPr>
        <w:t>sono stati inclusi nell’analisi farmacocinetica.</w:t>
      </w:r>
    </w:p>
    <w:p w:rsidR="00E20E3F" w:rsidRPr="009F5FC7" w:rsidRDefault="00E20E3F" w:rsidP="00E20E3F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E20E3F" w:rsidRPr="00892C49" w:rsidRDefault="00E20E3F" w:rsidP="00E20E3F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892C49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E20E3F" w:rsidRPr="00F01414" w:rsidRDefault="00E20E3F" w:rsidP="00E20E3F">
      <w:pPr>
        <w:jc w:val="both"/>
        <w:rPr>
          <w:rFonts w:ascii="Calibri" w:hAnsi="Calibri" w:cs="Arial"/>
        </w:rPr>
      </w:pPr>
      <w:r w:rsidRPr="00892C49">
        <w:rPr>
          <w:rFonts w:ascii="Calibri" w:hAnsi="Calibri" w:cs="Arial"/>
        </w:rPr>
        <w:t>Nel corso dello studio</w:t>
      </w:r>
      <w:r w:rsidR="00D23062" w:rsidRPr="00D23062">
        <w:rPr>
          <w:rFonts w:ascii="Calibri" w:hAnsi="Calibri" w:cs="Arial"/>
        </w:rPr>
        <w:t xml:space="preserve"> </w:t>
      </w:r>
      <w:r w:rsidR="00D23062" w:rsidRPr="000524DA">
        <w:rPr>
          <w:rFonts w:ascii="Calibri" w:hAnsi="Calibri" w:cs="Arial"/>
        </w:rPr>
        <w:t>si è manifestato</w:t>
      </w:r>
      <w:r w:rsidRPr="00892C49">
        <w:rPr>
          <w:rFonts w:ascii="Calibri" w:hAnsi="Calibri" w:cs="Arial"/>
        </w:rPr>
        <w:t xml:space="preserve"> </w:t>
      </w:r>
      <w:r w:rsidR="00491C85" w:rsidRPr="00491C85">
        <w:rPr>
          <w:rFonts w:ascii="Calibri" w:hAnsi="Calibri" w:cs="Arial"/>
        </w:rPr>
        <w:t xml:space="preserve">solo un evento avverso </w:t>
      </w:r>
      <w:r w:rsidR="00D23062" w:rsidRPr="00892C49">
        <w:rPr>
          <w:rFonts w:ascii="Calibri" w:hAnsi="Calibri" w:cs="Arial"/>
        </w:rPr>
        <w:t>di lieve entità</w:t>
      </w:r>
      <w:r w:rsidR="00491C85" w:rsidRPr="00491C85">
        <w:rPr>
          <w:rFonts w:ascii="Calibri" w:hAnsi="Calibri" w:cs="Arial"/>
        </w:rPr>
        <w:t xml:space="preserve"> e </w:t>
      </w:r>
      <w:r w:rsidR="00D23062">
        <w:rPr>
          <w:rFonts w:ascii="Calibri" w:hAnsi="Calibri" w:cs="Arial"/>
        </w:rPr>
        <w:t>im</w:t>
      </w:r>
      <w:r w:rsidRPr="00892C49">
        <w:rPr>
          <w:rFonts w:ascii="Calibri" w:hAnsi="Calibri" w:cs="Arial"/>
        </w:rPr>
        <w:t>probabilmente correlato al trattamento</w:t>
      </w:r>
      <w:r w:rsidRPr="00892C49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:rsidR="00E20E3F" w:rsidRPr="00F01414" w:rsidRDefault="00E20E3F" w:rsidP="00E20E3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F01414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F01414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E20E3F" w:rsidRPr="00F01414" w:rsidRDefault="00E20E3F" w:rsidP="00E20E3F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F01414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E20E3F" w:rsidRPr="00BE3832" w:rsidRDefault="00E20E3F" w:rsidP="00E20E3F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tbl>
      <w:tblPr>
        <w:tblW w:w="24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5"/>
        <w:gridCol w:w="1574"/>
        <w:gridCol w:w="1716"/>
      </w:tblGrid>
      <w:tr w:rsidR="00E20E3F" w:rsidRPr="00380BC1" w:rsidTr="00F01414">
        <w:trPr>
          <w:jc w:val="center"/>
        </w:trPr>
        <w:tc>
          <w:tcPr>
            <w:tcW w:w="4845" w:type="dxa"/>
            <w:gridSpan w:val="3"/>
            <w:vAlign w:val="bottom"/>
          </w:tcPr>
          <w:p w:rsidR="00E20E3F" w:rsidRPr="00F01414" w:rsidRDefault="00E20E3F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01414">
              <w:rPr>
                <w:b/>
                <w:bCs/>
                <w:sz w:val="20"/>
                <w:szCs w:val="20"/>
              </w:rPr>
              <w:t>Tadalafil</w:t>
            </w:r>
          </w:p>
        </w:tc>
      </w:tr>
      <w:tr w:rsidR="00E20E3F" w:rsidRPr="00380BC1" w:rsidTr="00F01414">
        <w:trPr>
          <w:jc w:val="center"/>
        </w:trPr>
        <w:tc>
          <w:tcPr>
            <w:tcW w:w="1555" w:type="dxa"/>
            <w:vAlign w:val="bottom"/>
          </w:tcPr>
          <w:p w:rsidR="00E20E3F" w:rsidRPr="00F01414" w:rsidRDefault="00E20E3F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01414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574" w:type="dxa"/>
            <w:vAlign w:val="bottom"/>
          </w:tcPr>
          <w:p w:rsidR="00E20E3F" w:rsidRPr="00F01414" w:rsidRDefault="00E20E3F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01414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E20E3F" w:rsidRPr="00F01414" w:rsidRDefault="00E20E3F" w:rsidP="00F0141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01414">
              <w:rPr>
                <w:b/>
                <w:sz w:val="20"/>
                <w:szCs w:val="20"/>
              </w:rPr>
              <w:t>90% C.I.</w:t>
            </w:r>
          </w:p>
        </w:tc>
      </w:tr>
      <w:tr w:rsidR="00E20E3F" w:rsidRPr="00380BC1" w:rsidTr="00F01414">
        <w:trPr>
          <w:jc w:val="center"/>
        </w:trPr>
        <w:tc>
          <w:tcPr>
            <w:tcW w:w="1555" w:type="dxa"/>
            <w:vAlign w:val="bottom"/>
          </w:tcPr>
          <w:p w:rsidR="00E20E3F" w:rsidRPr="00F01414" w:rsidRDefault="00E20E3F" w:rsidP="00F0141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01414">
              <w:rPr>
                <w:b/>
                <w:sz w:val="20"/>
                <w:szCs w:val="20"/>
              </w:rPr>
              <w:t>AUC0-t</w:t>
            </w:r>
          </w:p>
        </w:tc>
        <w:tc>
          <w:tcPr>
            <w:tcW w:w="1574" w:type="dxa"/>
            <w:vAlign w:val="bottom"/>
          </w:tcPr>
          <w:p w:rsidR="00E20E3F" w:rsidRPr="00F01414" w:rsidRDefault="00E20E3F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F01414">
              <w:rPr>
                <w:rFonts w:eastAsia="Times New Roman" w:cs="Arial"/>
              </w:rPr>
              <w:t>10</w:t>
            </w:r>
            <w:r w:rsidR="00892C49">
              <w:rPr>
                <w:rFonts w:eastAsia="Times New Roman" w:cs="Arial"/>
              </w:rPr>
              <w:t>1.4</w:t>
            </w:r>
          </w:p>
        </w:tc>
        <w:tc>
          <w:tcPr>
            <w:tcW w:w="1716" w:type="dxa"/>
            <w:vAlign w:val="bottom"/>
          </w:tcPr>
          <w:p w:rsidR="00E20E3F" w:rsidRPr="00D23062" w:rsidRDefault="00E20E3F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D23062">
              <w:rPr>
                <w:rFonts w:eastAsia="Times New Roman" w:cs="Arial"/>
              </w:rPr>
              <w:t>(</w:t>
            </w:r>
            <w:r w:rsidR="00491C85" w:rsidRPr="00491C85">
              <w:rPr>
                <w:rFonts w:eastAsia="Times New Roman" w:cs="Arial"/>
                <w:lang w:val="en-US"/>
              </w:rPr>
              <w:t>96.32 – 106.79</w:t>
            </w:r>
            <w:r w:rsidRPr="00D23062">
              <w:rPr>
                <w:rFonts w:eastAsia="Times New Roman" w:cs="Arial"/>
              </w:rPr>
              <w:t>)</w:t>
            </w:r>
          </w:p>
        </w:tc>
      </w:tr>
      <w:tr w:rsidR="00E20E3F" w:rsidRPr="00BE3832" w:rsidTr="00F01414">
        <w:trPr>
          <w:jc w:val="center"/>
        </w:trPr>
        <w:tc>
          <w:tcPr>
            <w:tcW w:w="1555" w:type="dxa"/>
            <w:vAlign w:val="bottom"/>
          </w:tcPr>
          <w:p w:rsidR="00E20E3F" w:rsidRPr="00F01414" w:rsidRDefault="00E20E3F" w:rsidP="00F0141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01414">
              <w:rPr>
                <w:b/>
                <w:sz w:val="20"/>
                <w:szCs w:val="20"/>
              </w:rPr>
              <w:t>Cmax</w:t>
            </w:r>
          </w:p>
        </w:tc>
        <w:tc>
          <w:tcPr>
            <w:tcW w:w="1574" w:type="dxa"/>
            <w:vAlign w:val="bottom"/>
          </w:tcPr>
          <w:p w:rsidR="00E20E3F" w:rsidRPr="00F01414" w:rsidRDefault="00892C49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86.0</w:t>
            </w:r>
          </w:p>
        </w:tc>
        <w:tc>
          <w:tcPr>
            <w:tcW w:w="1716" w:type="dxa"/>
            <w:vAlign w:val="bottom"/>
          </w:tcPr>
          <w:p w:rsidR="00E20E3F" w:rsidRPr="00D23062" w:rsidRDefault="00E20E3F" w:rsidP="00F01414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D23062">
              <w:rPr>
                <w:rFonts w:eastAsia="Times New Roman" w:cs="Arial"/>
              </w:rPr>
              <w:t>(</w:t>
            </w:r>
            <w:r w:rsidR="00491C85" w:rsidRPr="00491C85"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  <w:t>80.05-92.35</w:t>
            </w:r>
            <w:r w:rsidRPr="00D23062">
              <w:rPr>
                <w:rFonts w:eastAsia="Times New Roman" w:cs="Arial"/>
              </w:rPr>
              <w:t>)</w:t>
            </w:r>
          </w:p>
        </w:tc>
      </w:tr>
    </w:tbl>
    <w:p w:rsidR="00E20E3F" w:rsidRPr="00BE3832" w:rsidRDefault="00E20E3F" w:rsidP="00E20E3F">
      <w:pPr>
        <w:spacing w:after="0" w:line="240" w:lineRule="auto"/>
        <w:rPr>
          <w:rFonts w:cs="Arial"/>
          <w:i/>
          <w:highlight w:val="yellow"/>
        </w:rPr>
      </w:pPr>
    </w:p>
    <w:p w:rsidR="00E20E3F" w:rsidRPr="00F01414" w:rsidRDefault="00E20E3F" w:rsidP="00E20E3F">
      <w:pPr>
        <w:spacing w:after="0" w:line="240" w:lineRule="auto"/>
        <w:rPr>
          <w:rFonts w:cs="Arial"/>
          <w:i/>
        </w:rPr>
      </w:pPr>
    </w:p>
    <w:p w:rsidR="00E20E3F" w:rsidRPr="00F01414" w:rsidRDefault="00E20E3F" w:rsidP="00E20E3F">
      <w:pPr>
        <w:spacing w:after="0" w:line="240" w:lineRule="auto"/>
        <w:rPr>
          <w:rFonts w:cs="Arial"/>
        </w:rPr>
      </w:pPr>
      <w:r w:rsidRPr="00F01414">
        <w:rPr>
          <w:rFonts w:cs="Arial"/>
          <w:i/>
        </w:rPr>
        <w:t>Conclusioni sulla bioequivalenza</w:t>
      </w:r>
      <w:r w:rsidRPr="00F01414">
        <w:rPr>
          <w:rFonts w:cs="Arial"/>
        </w:rPr>
        <w:t>.</w:t>
      </w:r>
    </w:p>
    <w:p w:rsidR="00E20E3F" w:rsidRDefault="00E20E3F" w:rsidP="00E20E3F">
      <w:pPr>
        <w:spacing w:after="0" w:line="240" w:lineRule="auto"/>
        <w:jc w:val="both"/>
        <w:rPr>
          <w:rFonts w:cs="Arial"/>
        </w:rPr>
      </w:pPr>
      <w:r w:rsidRPr="00F01414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:rsidR="00E20E3F" w:rsidRDefault="00E20E3F" w:rsidP="00E20E3F">
      <w:pPr>
        <w:spacing w:after="0" w:line="240" w:lineRule="auto"/>
        <w:jc w:val="both"/>
        <w:rPr>
          <w:rFonts w:cs="Arial"/>
        </w:rPr>
      </w:pPr>
    </w:p>
    <w:p w:rsidR="00E20E3F" w:rsidRPr="005D13CC" w:rsidRDefault="00E20E3F" w:rsidP="008437AA">
      <w:pPr>
        <w:keepNext/>
        <w:rPr>
          <w:rFonts w:ascii="Calibri" w:eastAsia="Calibri" w:hAnsi="Calibri" w:cs="Times New Roman"/>
        </w:rPr>
      </w:pPr>
    </w:p>
    <w:p w:rsidR="00F22BED" w:rsidRPr="000B3C59" w:rsidRDefault="00F22BED" w:rsidP="00F22BED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F22BED" w:rsidRPr="00D1324F" w:rsidRDefault="00F22BED" w:rsidP="00F22BE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AA4A56">
        <w:rPr>
          <w:rFonts w:cs="Arial"/>
        </w:rPr>
        <w:t>TADALAFIL ABC</w:t>
      </w:r>
      <w:r w:rsidR="008437AA" w:rsidRPr="008437AA">
        <w:rPr>
          <w:rFonts w:cs="Arial"/>
        </w:rPr>
        <w:t xml:space="preserve"> </w:t>
      </w:r>
      <w:r>
        <w:rPr>
          <w:rFonts w:cs="Arial"/>
        </w:rPr>
        <w:t>è ben conosciuto</w:t>
      </w:r>
      <w:r w:rsidR="005D13CC">
        <w:rPr>
          <w:rFonts w:cs="Arial"/>
        </w:rPr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r w:rsidRPr="00B32D81">
        <w:rPr>
          <w:b/>
          <w:i/>
        </w:rPr>
        <w:t>Risk Management Plan</w:t>
      </w:r>
      <w:r w:rsidRPr="00B32D81">
        <w:rPr>
          <w:b/>
        </w:rPr>
        <w:t xml:space="preserve"> - RMP)</w:t>
      </w:r>
    </w:p>
    <w:p w:rsidR="00C051DB" w:rsidRDefault="00F95C1A" w:rsidP="00C051DB">
      <w:pPr>
        <w:pStyle w:val="Paragrafoelenco"/>
        <w:spacing w:after="0" w:line="240" w:lineRule="auto"/>
        <w:ind w:left="0"/>
        <w:jc w:val="both"/>
      </w:pPr>
      <w:r w:rsidRPr="00B32D81">
        <w:t>È</w:t>
      </w:r>
      <w:r w:rsidR="007C68D2" w:rsidRPr="00B32D81">
        <w:t xml:space="preserve">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AA4A56">
        <w:t>TADALAFIL ABC</w:t>
      </w:r>
      <w:r w:rsidR="007C68D2" w:rsidRPr="00B32D81">
        <w:t>.</w:t>
      </w:r>
      <w:r w:rsidR="008437AA">
        <w:t xml:space="preserve"> </w:t>
      </w:r>
      <w:r w:rsidR="00C051DB" w:rsidRPr="00B32D81">
        <w:t xml:space="preserve">Il riassunto delle problematiche di sicurezza </w:t>
      </w:r>
      <w:r w:rsidR="005971FB" w:rsidRPr="00FE17AD">
        <w:t>è riportato</w:t>
      </w:r>
      <w:r w:rsidR="00C051DB" w:rsidRPr="00FE17AD">
        <w:t xml:space="preserve"> nella tabella seguente.</w:t>
      </w:r>
    </w:p>
    <w:p w:rsidR="00462CBE" w:rsidRDefault="00E77D88" w:rsidP="00C051DB">
      <w:pPr>
        <w:pStyle w:val="Paragrafoelenco"/>
        <w:spacing w:after="0" w:line="240" w:lineRule="auto"/>
        <w:ind w:left="0"/>
        <w:jc w:val="both"/>
      </w:pPr>
      <w:r>
        <w:t xml:space="preserve"> </w:t>
      </w:r>
    </w:p>
    <w:tbl>
      <w:tblPr>
        <w:tblStyle w:val="Grigliatabella"/>
        <w:tblW w:w="0" w:type="auto"/>
        <w:tblLook w:val="04A0"/>
      </w:tblPr>
      <w:tblGrid>
        <w:gridCol w:w="5002"/>
        <w:gridCol w:w="5002"/>
      </w:tblGrid>
      <w:tr w:rsidR="00310345" w:rsidTr="0041225F">
        <w:tc>
          <w:tcPr>
            <w:tcW w:w="10004" w:type="dxa"/>
            <w:gridSpan w:val="2"/>
          </w:tcPr>
          <w:p w:rsidR="00310345" w:rsidRDefault="00310345" w:rsidP="00310345">
            <w:pPr>
              <w:pStyle w:val="Paragrafoelenco"/>
              <w:ind w:left="0"/>
              <w:jc w:val="center"/>
            </w:pPr>
            <w:r>
              <w:t>R</w:t>
            </w:r>
            <w:r w:rsidRPr="00310345">
              <w:t>iassunto delle problematiche di sicurezza</w:t>
            </w:r>
          </w:p>
        </w:tc>
      </w:tr>
      <w:tr w:rsidR="00310345" w:rsidTr="00310345">
        <w:tc>
          <w:tcPr>
            <w:tcW w:w="5002" w:type="dxa"/>
          </w:tcPr>
          <w:p w:rsidR="00310345" w:rsidRDefault="00310345" w:rsidP="00C051DB">
            <w:pPr>
              <w:pStyle w:val="Paragrafoelenco"/>
              <w:ind w:left="0"/>
              <w:jc w:val="both"/>
            </w:pPr>
            <w:r>
              <w:t>Importanti rischi identificati</w:t>
            </w:r>
          </w:p>
        </w:tc>
        <w:tc>
          <w:tcPr>
            <w:tcW w:w="5002" w:type="dxa"/>
          </w:tcPr>
          <w:p w:rsidR="00310345" w:rsidRDefault="00310345" w:rsidP="00C051DB">
            <w:pPr>
              <w:pStyle w:val="Paragrafoelenco"/>
              <w:ind w:left="0"/>
              <w:jc w:val="both"/>
            </w:pPr>
            <w:r>
              <w:t>Erezione prolungata e dolorosa (priapismo)</w:t>
            </w:r>
          </w:p>
          <w:p w:rsidR="00310345" w:rsidRDefault="00310345" w:rsidP="00C051DB">
            <w:pPr>
              <w:pStyle w:val="Paragrafoelenco"/>
              <w:ind w:left="0"/>
              <w:jc w:val="both"/>
            </w:pPr>
            <w:r>
              <w:t>Ipotensione/aumentato effetto ipotensivo</w:t>
            </w:r>
          </w:p>
        </w:tc>
      </w:tr>
      <w:tr w:rsidR="00310345" w:rsidTr="00310345">
        <w:tc>
          <w:tcPr>
            <w:tcW w:w="5002" w:type="dxa"/>
          </w:tcPr>
          <w:p w:rsidR="00310345" w:rsidRDefault="00310345" w:rsidP="00C051DB">
            <w:pPr>
              <w:pStyle w:val="Paragrafoelenco"/>
              <w:ind w:left="0"/>
              <w:jc w:val="both"/>
            </w:pPr>
            <w:r>
              <w:t>Importanti rischi potenziali</w:t>
            </w:r>
          </w:p>
        </w:tc>
        <w:tc>
          <w:tcPr>
            <w:tcW w:w="5002" w:type="dxa"/>
          </w:tcPr>
          <w:p w:rsidR="00310345" w:rsidRDefault="00310345" w:rsidP="00C051DB">
            <w:pPr>
              <w:pStyle w:val="Paragrafoelenco"/>
              <w:ind w:left="0"/>
              <w:jc w:val="both"/>
            </w:pPr>
            <w:r>
              <w:t>Neuropatia ottica ischemica anteriore non arteritica (NAION)</w:t>
            </w:r>
          </w:p>
          <w:p w:rsidR="00310345" w:rsidRDefault="00310345" w:rsidP="00C051DB">
            <w:pPr>
              <w:pStyle w:val="Paragrafoelenco"/>
              <w:ind w:left="0"/>
              <w:jc w:val="both"/>
            </w:pPr>
            <w:r>
              <w:t>Improvvisa perdita dell’udito</w:t>
            </w:r>
          </w:p>
        </w:tc>
      </w:tr>
      <w:tr w:rsidR="00310345" w:rsidTr="00310345">
        <w:tc>
          <w:tcPr>
            <w:tcW w:w="5002" w:type="dxa"/>
          </w:tcPr>
          <w:p w:rsidR="00310345" w:rsidRDefault="00310345" w:rsidP="00C051DB">
            <w:pPr>
              <w:pStyle w:val="Paragrafoelenco"/>
              <w:ind w:left="0"/>
              <w:jc w:val="both"/>
            </w:pPr>
            <w:r>
              <w:t>Informazioni mancanti</w:t>
            </w:r>
          </w:p>
        </w:tc>
        <w:tc>
          <w:tcPr>
            <w:tcW w:w="5002" w:type="dxa"/>
          </w:tcPr>
          <w:p w:rsidR="00310345" w:rsidRDefault="00310345" w:rsidP="00C051DB">
            <w:pPr>
              <w:pStyle w:val="Paragrafoelenco"/>
              <w:ind w:left="0"/>
              <w:jc w:val="both"/>
            </w:pPr>
            <w:r>
              <w:t>Uso nei pazienti anziani (</w:t>
            </w:r>
            <w:r>
              <w:rPr>
                <w:rFonts w:ascii="Calibri" w:hAnsi="Calibri"/>
              </w:rPr>
              <w:t>≥</w:t>
            </w:r>
            <w:r>
              <w:t>65 anni)</w:t>
            </w:r>
          </w:p>
        </w:tc>
      </w:tr>
    </w:tbl>
    <w:p w:rsidR="00310345" w:rsidRDefault="00310345" w:rsidP="00C051DB">
      <w:pPr>
        <w:pStyle w:val="Paragrafoelenco"/>
        <w:spacing w:after="0" w:line="240" w:lineRule="auto"/>
        <w:ind w:left="0"/>
        <w:jc w:val="both"/>
      </w:pPr>
    </w:p>
    <w:p w:rsidR="00310345" w:rsidRDefault="00310345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B20DD0" w:rsidP="00B32D81">
      <w:pPr>
        <w:pStyle w:val="Paragrafoelenco"/>
        <w:spacing w:after="0" w:line="240" w:lineRule="auto"/>
        <w:ind w:left="0"/>
        <w:jc w:val="both"/>
      </w:pPr>
      <w:r>
        <w:t>Azioni ro</w:t>
      </w:r>
      <w:r w:rsidR="007C68D2" w:rsidRPr="00B32D81">
        <w:t>utinarie di farmacovigilanza e di minimizzazione del rischio sono proposte per tutte le problematiche di sicurezza.</w:t>
      </w:r>
      <w:r w:rsidR="008437AA">
        <w:t xml:space="preserve"> </w:t>
      </w:r>
      <w:r w:rsidR="007C68D2" w:rsidRPr="00B32D81">
        <w:t>Oltre le misure previste nel Riassunto delle caratteristiche del prodotto non sono previste attività addizionali di minimizzazione del rischio</w:t>
      </w:r>
      <w:r w:rsidR="006106D5"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r w:rsidR="00AA4A56">
        <w:t>TADALAFIL ABC</w:t>
      </w:r>
      <w:r w:rsidR="008437AA" w:rsidRPr="008437AA">
        <w:t xml:space="preserve"> </w:t>
      </w:r>
      <w:r w:rsidRPr="00B32D81">
        <w:t>sono state presentate sufficienti informazioni cliniche.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r w:rsidR="00AA4A56">
        <w:t>TADALAFIL ABC</w:t>
      </w:r>
      <w:r w:rsidR="008437AA" w:rsidRPr="008437AA">
        <w:t xml:space="preserve"> </w:t>
      </w:r>
      <w:r w:rsidRPr="00B32D81">
        <w:t>è considerato favorevole dal punto di vista clinico.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bookmarkEnd w:id="7"/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spacing w:after="0" w:line="240" w:lineRule="auto"/>
        <w:jc w:val="both"/>
      </w:pPr>
      <w:r w:rsidRPr="00B12DF7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7C68D2" w:rsidRDefault="007C68D2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F95C1A" w:rsidRDefault="007C68D2" w:rsidP="00B32D81">
      <w:pPr>
        <w:spacing w:after="0" w:line="240" w:lineRule="auto"/>
        <w:jc w:val="both"/>
      </w:pPr>
      <w:r w:rsidRPr="00B32D81">
        <w:t xml:space="preserve">La qualità di </w:t>
      </w:r>
      <w:r w:rsidR="00AA4A56">
        <w:t>TADALAFIL ABC</w:t>
      </w:r>
      <w:r w:rsidR="009E412F" w:rsidRPr="009E412F">
        <w:t xml:space="preserve"> </w:t>
      </w:r>
      <w:r w:rsidRPr="00B32D81">
        <w:t xml:space="preserve">è accettabile e non sono state rilevate criticità da un punto di vista non clinico e </w:t>
      </w:r>
      <w:r w:rsidRPr="00F95C1A">
        <w:t>clinico.</w:t>
      </w:r>
    </w:p>
    <w:p w:rsidR="00E77D88" w:rsidRDefault="00491C85" w:rsidP="009E412F">
      <w:pPr>
        <w:spacing w:after="0" w:line="240" w:lineRule="auto"/>
        <w:jc w:val="both"/>
        <w:rPr>
          <w:rFonts w:ascii="Calibri" w:eastAsia="Calibri" w:hAnsi="Calibri" w:cs="Times New Roman"/>
        </w:rPr>
      </w:pPr>
      <w:bookmarkStart w:id="10" w:name="_Hlk39842491"/>
      <w:r w:rsidRPr="00491C85">
        <w:rPr>
          <w:rFonts w:ascii="Calibri" w:eastAsia="Calibri" w:hAnsi="Calibri" w:cs="Times New Roman"/>
        </w:rPr>
        <w:t xml:space="preserve">Gli studi di bioequivalenza e le relative conclusioni confermano che TDALAFIL ABC </w:t>
      </w:r>
      <w:r w:rsidR="00F95C1A" w:rsidRPr="00F95C1A">
        <w:t>e il medicinale di riferimento sono bioequivalenti.</w:t>
      </w:r>
      <w:bookmarkEnd w:id="10"/>
    </w:p>
    <w:p w:rsidR="009E412F" w:rsidRDefault="009E412F" w:rsidP="009E412F">
      <w:pPr>
        <w:spacing w:after="0" w:line="240" w:lineRule="auto"/>
        <w:jc w:val="both"/>
      </w:pPr>
      <w:r w:rsidRPr="00B32D81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10" w:history="1">
        <w:r w:rsidR="00F95C1A" w:rsidRPr="001D797E">
          <w:rPr>
            <w:color w:val="0000FF"/>
            <w:u w:val="single"/>
          </w:rPr>
          <w:t>https://farmaci.agenziafarmaco.gov.it/bancadatifarmaci/home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1C7AD0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5F4B"/>
    <w:multiLevelType w:val="hybridMultilevel"/>
    <w:tmpl w:val="3196D92C"/>
    <w:lvl w:ilvl="0" w:tplc="44200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C7958"/>
    <w:multiLevelType w:val="hybridMultilevel"/>
    <w:tmpl w:val="DA7C7ED6"/>
    <w:lvl w:ilvl="0" w:tplc="EE20CB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402C6"/>
    <w:multiLevelType w:val="hybridMultilevel"/>
    <w:tmpl w:val="05F83450"/>
    <w:lvl w:ilvl="0" w:tplc="EB20B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044B6"/>
    <w:multiLevelType w:val="hybridMultilevel"/>
    <w:tmpl w:val="78921E42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>
    <w:nsid w:val="334D4459"/>
    <w:multiLevelType w:val="hybridMultilevel"/>
    <w:tmpl w:val="552C0E56"/>
    <w:lvl w:ilvl="0" w:tplc="37CAA2C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833543"/>
    <w:multiLevelType w:val="hybridMultilevel"/>
    <w:tmpl w:val="A05A45C6"/>
    <w:lvl w:ilvl="0" w:tplc="D1A2E33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BE2FC0"/>
    <w:multiLevelType w:val="hybridMultilevel"/>
    <w:tmpl w:val="1312F1E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A4B4223"/>
    <w:multiLevelType w:val="hybridMultilevel"/>
    <w:tmpl w:val="6470902C"/>
    <w:lvl w:ilvl="0" w:tplc="5BBA4B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5"/>
  </w:num>
  <w:num w:numId="1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iana Toteda">
    <w15:presenceInfo w15:providerId="Windows Live" w15:userId="0acdc3f0db61423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13020"/>
    <w:rsid w:val="000214BD"/>
    <w:rsid w:val="00032587"/>
    <w:rsid w:val="00040526"/>
    <w:rsid w:val="00053B3F"/>
    <w:rsid w:val="00062636"/>
    <w:rsid w:val="00070A74"/>
    <w:rsid w:val="000725FF"/>
    <w:rsid w:val="00092BAB"/>
    <w:rsid w:val="000B6CEA"/>
    <w:rsid w:val="000C3815"/>
    <w:rsid w:val="000C5705"/>
    <w:rsid w:val="000D62DA"/>
    <w:rsid w:val="000E0C85"/>
    <w:rsid w:val="00110EEB"/>
    <w:rsid w:val="00151E0A"/>
    <w:rsid w:val="00156285"/>
    <w:rsid w:val="001750E4"/>
    <w:rsid w:val="00184758"/>
    <w:rsid w:val="00186D72"/>
    <w:rsid w:val="00194530"/>
    <w:rsid w:val="001A07F0"/>
    <w:rsid w:val="001B67E5"/>
    <w:rsid w:val="001C7AD0"/>
    <w:rsid w:val="001D797E"/>
    <w:rsid w:val="001E6EA4"/>
    <w:rsid w:val="001E6F35"/>
    <w:rsid w:val="00213B3A"/>
    <w:rsid w:val="0021636C"/>
    <w:rsid w:val="002349D8"/>
    <w:rsid w:val="00240F4C"/>
    <w:rsid w:val="002461E7"/>
    <w:rsid w:val="00255431"/>
    <w:rsid w:val="00256B5A"/>
    <w:rsid w:val="002833EC"/>
    <w:rsid w:val="00283953"/>
    <w:rsid w:val="00293095"/>
    <w:rsid w:val="002C389F"/>
    <w:rsid w:val="002C472F"/>
    <w:rsid w:val="002C6868"/>
    <w:rsid w:val="002D248C"/>
    <w:rsid w:val="002D71A8"/>
    <w:rsid w:val="00303BD2"/>
    <w:rsid w:val="00307DD6"/>
    <w:rsid w:val="00310345"/>
    <w:rsid w:val="00310B73"/>
    <w:rsid w:val="003134F6"/>
    <w:rsid w:val="003167B4"/>
    <w:rsid w:val="00322BF5"/>
    <w:rsid w:val="00326548"/>
    <w:rsid w:val="0032701C"/>
    <w:rsid w:val="00333FD1"/>
    <w:rsid w:val="00342A0B"/>
    <w:rsid w:val="00345502"/>
    <w:rsid w:val="00347A18"/>
    <w:rsid w:val="00353318"/>
    <w:rsid w:val="00356C29"/>
    <w:rsid w:val="0036392F"/>
    <w:rsid w:val="00364C44"/>
    <w:rsid w:val="0036781E"/>
    <w:rsid w:val="00380BC1"/>
    <w:rsid w:val="0038218C"/>
    <w:rsid w:val="0039108A"/>
    <w:rsid w:val="003A0AA5"/>
    <w:rsid w:val="003A6FA1"/>
    <w:rsid w:val="003D4AC2"/>
    <w:rsid w:val="003D5E5E"/>
    <w:rsid w:val="003F4952"/>
    <w:rsid w:val="004015D9"/>
    <w:rsid w:val="0041225F"/>
    <w:rsid w:val="004171F6"/>
    <w:rsid w:val="004241AC"/>
    <w:rsid w:val="00424DDF"/>
    <w:rsid w:val="004349A2"/>
    <w:rsid w:val="0045169D"/>
    <w:rsid w:val="00452444"/>
    <w:rsid w:val="00462CBE"/>
    <w:rsid w:val="00467B27"/>
    <w:rsid w:val="00475935"/>
    <w:rsid w:val="00491C85"/>
    <w:rsid w:val="00494CCF"/>
    <w:rsid w:val="004960F4"/>
    <w:rsid w:val="004A3172"/>
    <w:rsid w:val="004B20A8"/>
    <w:rsid w:val="004B69C4"/>
    <w:rsid w:val="004C2B07"/>
    <w:rsid w:val="004E106E"/>
    <w:rsid w:val="00502AB1"/>
    <w:rsid w:val="00512471"/>
    <w:rsid w:val="00512522"/>
    <w:rsid w:val="00520FDC"/>
    <w:rsid w:val="005276B9"/>
    <w:rsid w:val="005368CE"/>
    <w:rsid w:val="0055120E"/>
    <w:rsid w:val="005536D0"/>
    <w:rsid w:val="00556648"/>
    <w:rsid w:val="00564F57"/>
    <w:rsid w:val="00577B78"/>
    <w:rsid w:val="005820A7"/>
    <w:rsid w:val="00587D0E"/>
    <w:rsid w:val="00590665"/>
    <w:rsid w:val="00594CD5"/>
    <w:rsid w:val="005971FB"/>
    <w:rsid w:val="005A2741"/>
    <w:rsid w:val="005A2B9B"/>
    <w:rsid w:val="005A2DC6"/>
    <w:rsid w:val="005B446C"/>
    <w:rsid w:val="005D13CC"/>
    <w:rsid w:val="005D53B9"/>
    <w:rsid w:val="005E265A"/>
    <w:rsid w:val="005F2D30"/>
    <w:rsid w:val="006052F1"/>
    <w:rsid w:val="006058B8"/>
    <w:rsid w:val="006063E6"/>
    <w:rsid w:val="006106D5"/>
    <w:rsid w:val="0062597F"/>
    <w:rsid w:val="006312EE"/>
    <w:rsid w:val="00631675"/>
    <w:rsid w:val="00633428"/>
    <w:rsid w:val="00657141"/>
    <w:rsid w:val="00660E63"/>
    <w:rsid w:val="00665921"/>
    <w:rsid w:val="00674664"/>
    <w:rsid w:val="0068214B"/>
    <w:rsid w:val="006831C7"/>
    <w:rsid w:val="006959E3"/>
    <w:rsid w:val="006B5DF8"/>
    <w:rsid w:val="006C3065"/>
    <w:rsid w:val="006D620F"/>
    <w:rsid w:val="006E0162"/>
    <w:rsid w:val="00700F7D"/>
    <w:rsid w:val="00716EE9"/>
    <w:rsid w:val="007421D8"/>
    <w:rsid w:val="00745D5C"/>
    <w:rsid w:val="00747E5B"/>
    <w:rsid w:val="00762D88"/>
    <w:rsid w:val="007935FE"/>
    <w:rsid w:val="007B00CF"/>
    <w:rsid w:val="007C5380"/>
    <w:rsid w:val="007C68D2"/>
    <w:rsid w:val="007D68A8"/>
    <w:rsid w:val="00815D36"/>
    <w:rsid w:val="0083545D"/>
    <w:rsid w:val="00836558"/>
    <w:rsid w:val="008437AA"/>
    <w:rsid w:val="00852838"/>
    <w:rsid w:val="008547E9"/>
    <w:rsid w:val="0085564B"/>
    <w:rsid w:val="00864960"/>
    <w:rsid w:val="0087132D"/>
    <w:rsid w:val="00874568"/>
    <w:rsid w:val="00882161"/>
    <w:rsid w:val="008845B5"/>
    <w:rsid w:val="00892C49"/>
    <w:rsid w:val="008A24CC"/>
    <w:rsid w:val="008E0696"/>
    <w:rsid w:val="00900DAA"/>
    <w:rsid w:val="00906180"/>
    <w:rsid w:val="00915A27"/>
    <w:rsid w:val="00921F6E"/>
    <w:rsid w:val="00950211"/>
    <w:rsid w:val="00972C6A"/>
    <w:rsid w:val="00982EDD"/>
    <w:rsid w:val="009A1E3E"/>
    <w:rsid w:val="009A260F"/>
    <w:rsid w:val="009A3BA6"/>
    <w:rsid w:val="009B280E"/>
    <w:rsid w:val="009C5CC3"/>
    <w:rsid w:val="009E412F"/>
    <w:rsid w:val="009F0F0B"/>
    <w:rsid w:val="009F0F27"/>
    <w:rsid w:val="00A02EBF"/>
    <w:rsid w:val="00A048B7"/>
    <w:rsid w:val="00A15887"/>
    <w:rsid w:val="00A21D75"/>
    <w:rsid w:val="00A23A95"/>
    <w:rsid w:val="00A277CA"/>
    <w:rsid w:val="00A434C6"/>
    <w:rsid w:val="00A52DC4"/>
    <w:rsid w:val="00A642C7"/>
    <w:rsid w:val="00A668D0"/>
    <w:rsid w:val="00A719C2"/>
    <w:rsid w:val="00A9095A"/>
    <w:rsid w:val="00A90BD3"/>
    <w:rsid w:val="00AA4A56"/>
    <w:rsid w:val="00AB02E2"/>
    <w:rsid w:val="00AD2871"/>
    <w:rsid w:val="00AD4E22"/>
    <w:rsid w:val="00AE3426"/>
    <w:rsid w:val="00AE7A98"/>
    <w:rsid w:val="00AE7D76"/>
    <w:rsid w:val="00AF171E"/>
    <w:rsid w:val="00B07EF8"/>
    <w:rsid w:val="00B12DF7"/>
    <w:rsid w:val="00B20DD0"/>
    <w:rsid w:val="00B27FD9"/>
    <w:rsid w:val="00B30CB8"/>
    <w:rsid w:val="00B329D4"/>
    <w:rsid w:val="00B32D81"/>
    <w:rsid w:val="00B35BAB"/>
    <w:rsid w:val="00B362D7"/>
    <w:rsid w:val="00B53B58"/>
    <w:rsid w:val="00B5510E"/>
    <w:rsid w:val="00B70D8F"/>
    <w:rsid w:val="00B75D1D"/>
    <w:rsid w:val="00B75EA4"/>
    <w:rsid w:val="00B8240C"/>
    <w:rsid w:val="00B82FD1"/>
    <w:rsid w:val="00B96AB1"/>
    <w:rsid w:val="00B96D89"/>
    <w:rsid w:val="00BB16C2"/>
    <w:rsid w:val="00BB6BC0"/>
    <w:rsid w:val="00BD1173"/>
    <w:rsid w:val="00BD1200"/>
    <w:rsid w:val="00C00425"/>
    <w:rsid w:val="00C051DB"/>
    <w:rsid w:val="00C160BD"/>
    <w:rsid w:val="00C171CA"/>
    <w:rsid w:val="00C31AF0"/>
    <w:rsid w:val="00C33A16"/>
    <w:rsid w:val="00C55B9A"/>
    <w:rsid w:val="00C630E2"/>
    <w:rsid w:val="00C75C50"/>
    <w:rsid w:val="00C8171A"/>
    <w:rsid w:val="00C87C2E"/>
    <w:rsid w:val="00CA29BF"/>
    <w:rsid w:val="00CC7AFF"/>
    <w:rsid w:val="00CE5C72"/>
    <w:rsid w:val="00CF3ED2"/>
    <w:rsid w:val="00CF7CE6"/>
    <w:rsid w:val="00D07C5C"/>
    <w:rsid w:val="00D103AB"/>
    <w:rsid w:val="00D16510"/>
    <w:rsid w:val="00D172B7"/>
    <w:rsid w:val="00D20170"/>
    <w:rsid w:val="00D23062"/>
    <w:rsid w:val="00D27E58"/>
    <w:rsid w:val="00D36EE4"/>
    <w:rsid w:val="00D416F1"/>
    <w:rsid w:val="00D419A0"/>
    <w:rsid w:val="00D47411"/>
    <w:rsid w:val="00D57289"/>
    <w:rsid w:val="00D57567"/>
    <w:rsid w:val="00D745C6"/>
    <w:rsid w:val="00D8197E"/>
    <w:rsid w:val="00D879F5"/>
    <w:rsid w:val="00D91A58"/>
    <w:rsid w:val="00D92C93"/>
    <w:rsid w:val="00D97448"/>
    <w:rsid w:val="00D97736"/>
    <w:rsid w:val="00DA08C4"/>
    <w:rsid w:val="00DA1945"/>
    <w:rsid w:val="00DA4C20"/>
    <w:rsid w:val="00DC0AB6"/>
    <w:rsid w:val="00DC5BE2"/>
    <w:rsid w:val="00DD07C0"/>
    <w:rsid w:val="00DE2219"/>
    <w:rsid w:val="00DE2447"/>
    <w:rsid w:val="00DE79A0"/>
    <w:rsid w:val="00DF7220"/>
    <w:rsid w:val="00E0335B"/>
    <w:rsid w:val="00E14380"/>
    <w:rsid w:val="00E176BF"/>
    <w:rsid w:val="00E20E3F"/>
    <w:rsid w:val="00E21095"/>
    <w:rsid w:val="00E22AEF"/>
    <w:rsid w:val="00E25334"/>
    <w:rsid w:val="00E311A6"/>
    <w:rsid w:val="00E43089"/>
    <w:rsid w:val="00E543A8"/>
    <w:rsid w:val="00E61896"/>
    <w:rsid w:val="00E67A26"/>
    <w:rsid w:val="00E72616"/>
    <w:rsid w:val="00E74440"/>
    <w:rsid w:val="00E7486A"/>
    <w:rsid w:val="00E752F3"/>
    <w:rsid w:val="00E77D88"/>
    <w:rsid w:val="00E927A4"/>
    <w:rsid w:val="00E95CA3"/>
    <w:rsid w:val="00EB16E6"/>
    <w:rsid w:val="00ED3654"/>
    <w:rsid w:val="00EE1FA2"/>
    <w:rsid w:val="00EF096A"/>
    <w:rsid w:val="00F01566"/>
    <w:rsid w:val="00F01FB3"/>
    <w:rsid w:val="00F2215C"/>
    <w:rsid w:val="00F22BED"/>
    <w:rsid w:val="00F4168A"/>
    <w:rsid w:val="00F80DE9"/>
    <w:rsid w:val="00F9209F"/>
    <w:rsid w:val="00F95C1A"/>
    <w:rsid w:val="00FA2702"/>
    <w:rsid w:val="00FA53E0"/>
    <w:rsid w:val="00FA55B0"/>
    <w:rsid w:val="00FC188F"/>
    <w:rsid w:val="00FE143C"/>
    <w:rsid w:val="00FE17AD"/>
    <w:rsid w:val="00FF3972"/>
    <w:rsid w:val="00FF5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styleId="Corpodeltesto">
    <w:name w:val="Body Text"/>
    <w:basedOn w:val="Normale"/>
    <w:link w:val="CorpodeltestoCarattere"/>
    <w:uiPriority w:val="1"/>
    <w:qFormat/>
    <w:rsid w:val="00D8197E"/>
    <w:pPr>
      <w:widowControl w:val="0"/>
      <w:spacing w:after="0" w:line="240" w:lineRule="auto"/>
      <w:ind w:left="400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8197E"/>
    <w:rPr>
      <w:rFonts w:ascii="Times New Roman" w:eastAsia="Times New Roman" w:hAnsi="Times New Roman"/>
      <w:lang w:val="en-US"/>
    </w:rPr>
  </w:style>
  <w:style w:type="paragraph" w:customStyle="1" w:styleId="Default">
    <w:name w:val="Default"/>
    <w:rsid w:val="009A3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Carpredefinitoparagrafo"/>
    <w:rsid w:val="00B12DF7"/>
    <w:rPr>
      <w:shd w:val="clear" w:color="auto" w:fill="A2F0F0"/>
    </w:rPr>
  </w:style>
  <w:style w:type="character" w:customStyle="1" w:styleId="f14sb1">
    <w:name w:val="f14sb1"/>
    <w:basedOn w:val="Carpredefinitoparagrafo"/>
    <w:rsid w:val="00B12DF7"/>
    <w:rPr>
      <w:rFonts w:ascii="Arial" w:hAnsi="Arial" w:cs="Arial" w:hint="default"/>
      <w:b/>
      <w:bCs/>
      <w:sz w:val="28"/>
      <w:szCs w:val="28"/>
    </w:rPr>
  </w:style>
  <w:style w:type="paragraph" w:styleId="Testodelblocco">
    <w:name w:val="Block Text"/>
    <w:basedOn w:val="Normale"/>
    <w:rsid w:val="00AD4E22"/>
    <w:pPr>
      <w:spacing w:after="0" w:line="240" w:lineRule="auto"/>
      <w:ind w:left="709" w:right="-1" w:hanging="283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ZchnZchnCharZchnZchn">
    <w:name w:val="Zchn Zchn Char Zchn Zchn"/>
    <w:basedOn w:val="Normale"/>
    <w:next w:val="Normale"/>
    <w:rsid w:val="005A2DC6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Rientronormale">
    <w:name w:val="Normal Indent"/>
    <w:basedOn w:val="Normale"/>
    <w:rsid w:val="008547E9"/>
    <w:pPr>
      <w:spacing w:after="0" w:line="240" w:lineRule="auto"/>
      <w:ind w:left="1304"/>
    </w:pPr>
    <w:rPr>
      <w:rFonts w:ascii="Times New Roman" w:eastAsia="Times New Roman" w:hAnsi="Times New Roman" w:cs="Times New Roman"/>
      <w:sz w:val="24"/>
      <w:szCs w:val="20"/>
      <w:lang w:val="fi-FI" w:eastAsia="fi-FI"/>
    </w:rPr>
  </w:style>
  <w:style w:type="paragraph" w:customStyle="1" w:styleId="ZchnZchnCharZchnZchnZchnZchnChar">
    <w:name w:val="Zchn Zchn Char Zchn Zchn Zchn Zchn Char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ZchnZchnCharZchnZchn0">
    <w:name w:val="Zchn Zchn Char Zchn Zchn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Grigliatabella">
    <w:name w:val="Table Grid"/>
    <w:basedOn w:val="Tabellanormale"/>
    <w:uiPriority w:val="59"/>
    <w:rsid w:val="00AE3426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7D76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7D76"/>
    <w:rPr>
      <w:rFonts w:ascii="Consolas" w:hAnsi="Consolas" w:cs="Consolas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1225F"/>
    <w:rPr>
      <w:color w:val="800080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15A27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7421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styleId="Corpotesto">
    <w:name w:val="Body Text"/>
    <w:basedOn w:val="Normale"/>
    <w:link w:val="CorpotestoCarattere"/>
    <w:uiPriority w:val="1"/>
    <w:qFormat/>
    <w:rsid w:val="00D8197E"/>
    <w:pPr>
      <w:widowControl w:val="0"/>
      <w:spacing w:after="0" w:line="240" w:lineRule="auto"/>
      <w:ind w:left="400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8197E"/>
    <w:rPr>
      <w:rFonts w:ascii="Times New Roman" w:eastAsia="Times New Roman" w:hAnsi="Times New Roman"/>
      <w:lang w:val="en-US"/>
    </w:rPr>
  </w:style>
  <w:style w:type="paragraph" w:customStyle="1" w:styleId="Default">
    <w:name w:val="Default"/>
    <w:rsid w:val="009A3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Carpredefinitoparagrafo"/>
    <w:rsid w:val="00B12DF7"/>
    <w:rPr>
      <w:shd w:val="clear" w:color="auto" w:fill="A2F0F0"/>
    </w:rPr>
  </w:style>
  <w:style w:type="character" w:customStyle="1" w:styleId="f14sb1">
    <w:name w:val="f14sb1"/>
    <w:basedOn w:val="Carpredefinitoparagrafo"/>
    <w:rsid w:val="00B12DF7"/>
    <w:rPr>
      <w:rFonts w:ascii="Arial" w:hAnsi="Arial" w:cs="Arial" w:hint="default"/>
      <w:b/>
      <w:bCs/>
      <w:sz w:val="28"/>
      <w:szCs w:val="28"/>
    </w:rPr>
  </w:style>
  <w:style w:type="paragraph" w:styleId="Testodelblocco">
    <w:name w:val="Block Text"/>
    <w:basedOn w:val="Normale"/>
    <w:rsid w:val="00AD4E22"/>
    <w:pPr>
      <w:spacing w:after="0" w:line="240" w:lineRule="auto"/>
      <w:ind w:left="709" w:right="-1" w:hanging="283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ZchnZchnCharZchnZchn">
    <w:name w:val="Zchn Zchn Char Zchn Zchn"/>
    <w:basedOn w:val="Normale"/>
    <w:next w:val="Normale"/>
    <w:rsid w:val="005A2DC6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Rientronormale">
    <w:name w:val="Normal Indent"/>
    <w:basedOn w:val="Normale"/>
    <w:rsid w:val="008547E9"/>
    <w:pPr>
      <w:spacing w:after="0" w:line="240" w:lineRule="auto"/>
      <w:ind w:left="1304"/>
    </w:pPr>
    <w:rPr>
      <w:rFonts w:ascii="Times New Roman" w:eastAsia="Times New Roman" w:hAnsi="Times New Roman" w:cs="Times New Roman"/>
      <w:sz w:val="24"/>
      <w:szCs w:val="20"/>
      <w:lang w:val="fi-FI" w:eastAsia="fi-FI"/>
    </w:rPr>
  </w:style>
  <w:style w:type="paragraph" w:customStyle="1" w:styleId="ZchnZchnCharZchnZchnZchnZchnChar">
    <w:name w:val="Zchn Zchn Char Zchn Zchn Zchn Zchn Char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ZchnZchnCharZchnZchn0">
    <w:name w:val="Zchn Zchn Char Zchn Zchn"/>
    <w:basedOn w:val="Normale"/>
    <w:next w:val="Normale"/>
    <w:rsid w:val="0055120E"/>
    <w:pPr>
      <w:spacing w:after="16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Grigliatabella">
    <w:name w:val="Table Grid"/>
    <w:basedOn w:val="Tabellanormale"/>
    <w:uiPriority w:val="59"/>
    <w:rsid w:val="00AE3426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AE7D76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AE7D76"/>
    <w:rPr>
      <w:rFonts w:ascii="Consolas" w:hAnsi="Consolas" w:cs="Consolas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1225F"/>
    <w:rPr>
      <w:color w:val="800080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915A27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7421D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1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/hom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/hom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/home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07948-4C6F-4EED-861E-7B35D538C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3561</Words>
  <Characters>20298</Characters>
  <Application>Microsoft Office Word</Application>
  <DocSecurity>0</DocSecurity>
  <Lines>169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PARACETAMOLO MARCO VITI</vt:lpstr>
    </vt:vector>
  </TitlesOfParts>
  <Company/>
  <LinksUpToDate>false</LinksUpToDate>
  <CharactersWithSpaces>23812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2</cp:revision>
  <dcterms:created xsi:type="dcterms:W3CDTF">2020-05-15T08:48:00Z</dcterms:created>
  <dcterms:modified xsi:type="dcterms:W3CDTF">2020-05-15T08:48:00Z</dcterms:modified>
</cp:coreProperties>
</file>