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141058" w:rsidP="00141058">
      <w:pPr>
        <w:spacing w:after="0" w:line="240" w:lineRule="auto"/>
        <w:jc w:val="center"/>
        <w:rPr>
          <w:lang w:val="en-US"/>
        </w:rPr>
      </w:pPr>
      <w:r w:rsidRPr="00141058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Pr="00D83FC9" w:rsidRDefault="00917EFC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b/>
          <w:sz w:val="32"/>
        </w:rPr>
        <w:t>VEGETALLUMINA DOLORE E FEBBRE</w:t>
      </w: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917EFC">
        <w:rPr>
          <w:snapToGrid w:val="0"/>
        </w:rPr>
        <w:t>Ibuprofene</w:t>
      </w:r>
      <w:proofErr w:type="spellEnd"/>
      <w:r w:rsidR="00917EFC">
        <w:rPr>
          <w:snapToGrid w:val="0"/>
        </w:rPr>
        <w:t xml:space="preserve"> sale sodico </w:t>
      </w:r>
      <w:proofErr w:type="spellStart"/>
      <w:r w:rsidR="00917EFC">
        <w:rPr>
          <w:snapToGrid w:val="0"/>
        </w:rPr>
        <w:t>diidrato</w:t>
      </w:r>
      <w:proofErr w:type="spellEnd"/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97416" w:rsidRPr="00D83FC9" w:rsidRDefault="00917EFC" w:rsidP="004241AC">
      <w:pPr>
        <w:spacing w:after="0" w:line="240" w:lineRule="auto"/>
        <w:jc w:val="center"/>
        <w:rPr>
          <w:b/>
        </w:rPr>
      </w:pPr>
      <w:r>
        <w:rPr>
          <w:b/>
        </w:rPr>
        <w:t>Pietrasanta Pharma</w:t>
      </w:r>
      <w:r w:rsidR="00D83FC9" w:rsidRPr="00D83FC9">
        <w:rPr>
          <w:b/>
        </w:rPr>
        <w:t xml:space="preserve"> S.p.A.</w:t>
      </w:r>
    </w:p>
    <w:p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917EFC">
        <w:rPr>
          <w:rFonts w:cs="Helvetica"/>
          <w:b/>
        </w:rPr>
        <w:t>044912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917EFC" w:rsidRPr="00917EFC">
        <w:rPr>
          <w:rFonts w:eastAsia="Calibri" w:cs="Calibri"/>
          <w:color w:val="000000"/>
          <w:lang w:eastAsia="it-IT"/>
        </w:rPr>
        <w:t>Vegetallumina</w:t>
      </w:r>
      <w:proofErr w:type="spellEnd"/>
      <w:r w:rsidR="00917EFC" w:rsidRPr="00917EFC">
        <w:rPr>
          <w:rFonts w:eastAsia="Calibri" w:cs="Calibri"/>
          <w:color w:val="000000"/>
          <w:lang w:eastAsia="it-IT"/>
        </w:rPr>
        <w:t xml:space="preserve"> Dolore E Febbre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917EFC" w:rsidRPr="00917EFC">
        <w:rPr>
          <w:rFonts w:eastAsia="Calibri" w:cs="Calibri"/>
          <w:color w:val="000000"/>
          <w:lang w:eastAsia="it-IT"/>
        </w:rPr>
        <w:t>Vegetallumina</w:t>
      </w:r>
      <w:proofErr w:type="spellEnd"/>
      <w:r w:rsidR="00917EFC" w:rsidRPr="00917EFC">
        <w:rPr>
          <w:rFonts w:eastAsia="Calibri" w:cs="Calibri"/>
          <w:color w:val="000000"/>
          <w:lang w:eastAsia="it-IT"/>
        </w:rPr>
        <w:t xml:space="preserve"> Dolore E Febbre</w:t>
      </w:r>
      <w:r w:rsidRPr="009F1B70">
        <w:rPr>
          <w:rFonts w:eastAsia="Calibri" w:cs="Calibri"/>
          <w:color w:val="000000"/>
          <w:lang w:eastAsia="it-IT"/>
        </w:rPr>
        <w:t xml:space="preserve"> è stato valutato</w:t>
      </w:r>
      <w:r w:rsidR="0025634C" w:rsidRPr="0025634C">
        <w:rPr>
          <w:rFonts w:cs="Calibri"/>
          <w:color w:val="000000"/>
          <w:lang w:eastAsia="it-IT"/>
        </w:rPr>
        <w:t xml:space="preserve"> </w:t>
      </w:r>
      <w:r w:rsidR="0025634C" w:rsidRPr="00B45DA1">
        <w:rPr>
          <w:rFonts w:cs="Calibri"/>
          <w:color w:val="000000"/>
          <w:lang w:eastAsia="it-IT"/>
        </w:rPr>
        <w:t xml:space="preserve">dalla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917EFC" w:rsidRPr="00917EFC">
        <w:rPr>
          <w:rFonts w:eastAsia="Calibri" w:cs="Calibri"/>
          <w:color w:val="000000"/>
          <w:lang w:eastAsia="it-IT"/>
        </w:rPr>
        <w:t>Vegetallumina</w:t>
      </w:r>
      <w:proofErr w:type="spellEnd"/>
      <w:r w:rsidR="00917EFC" w:rsidRPr="00917EFC">
        <w:rPr>
          <w:rFonts w:eastAsia="Calibri" w:cs="Calibri"/>
          <w:color w:val="000000"/>
          <w:lang w:eastAsia="it-IT"/>
        </w:rPr>
        <w:t xml:space="preserve"> Dolore E Febbre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917EFC" w:rsidRPr="00917EFC">
        <w:rPr>
          <w:rFonts w:eastAsia="Calibri" w:cs="Calibri"/>
          <w:color w:val="000000"/>
          <w:lang w:eastAsia="it-IT"/>
        </w:rPr>
        <w:t>Vegetallumina</w:t>
      </w:r>
      <w:proofErr w:type="spellEnd"/>
      <w:r w:rsidR="00917EFC" w:rsidRPr="00917EFC">
        <w:rPr>
          <w:rFonts w:eastAsia="Calibri" w:cs="Calibri"/>
          <w:color w:val="000000"/>
          <w:lang w:eastAsia="it-IT"/>
        </w:rPr>
        <w:t xml:space="preserve"> Dolore E Febbre</w:t>
      </w:r>
      <w:r w:rsidR="00375680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917EFC" w:rsidRPr="00917EFC">
        <w:rPr>
          <w:rFonts w:eastAsia="Calibri" w:cs="Calibri"/>
          <w:b/>
          <w:color w:val="000000"/>
          <w:lang w:eastAsia="it-IT"/>
        </w:rPr>
        <w:t>Vegetallumina</w:t>
      </w:r>
      <w:proofErr w:type="spellEnd"/>
      <w:r w:rsidR="00917EFC" w:rsidRPr="00917EFC">
        <w:rPr>
          <w:rFonts w:eastAsia="Calibri" w:cs="Calibri"/>
          <w:b/>
          <w:color w:val="000000"/>
          <w:lang w:eastAsia="it-IT"/>
        </w:rPr>
        <w:t xml:space="preserve"> Dolore E Febbre</w:t>
      </w:r>
      <w:r w:rsidR="00375680" w:rsidRPr="00375680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BB2AF8" w:rsidRDefault="00917EFC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17EFC">
        <w:rPr>
          <w:rFonts w:eastAsia="Calibri" w:cs="Calibri"/>
          <w:color w:val="000000"/>
          <w:lang w:eastAsia="it-IT"/>
        </w:rPr>
        <w:t>Vegetallumina</w:t>
      </w:r>
      <w:proofErr w:type="spellEnd"/>
      <w:r w:rsidRPr="00917EFC">
        <w:rPr>
          <w:rFonts w:eastAsia="Calibri" w:cs="Calibri"/>
          <w:color w:val="000000"/>
          <w:lang w:eastAsia="it-IT"/>
        </w:rPr>
        <w:t xml:space="preserve"> Dolore E Febbre</w:t>
      </w:r>
      <w:r w:rsidR="00375680" w:rsidRPr="000E0632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ibuprofene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614E22">
        <w:rPr>
          <w:rFonts w:eastAsia="Calibri" w:cs="Calibri"/>
          <w:color w:val="000000"/>
          <w:lang w:eastAsia="it-IT"/>
        </w:rPr>
        <w:t xml:space="preserve">(come sale sodico </w:t>
      </w:r>
      <w:proofErr w:type="spellStart"/>
      <w:r w:rsidR="00614E22">
        <w:rPr>
          <w:rFonts w:eastAsia="Calibri" w:cs="Calibri"/>
          <w:color w:val="000000"/>
          <w:lang w:eastAsia="it-IT"/>
        </w:rPr>
        <w:t>diidrato</w:t>
      </w:r>
      <w:proofErr w:type="spellEnd"/>
      <w:r w:rsidR="00614E22">
        <w:rPr>
          <w:rFonts w:eastAsia="Calibri" w:cs="Calibri"/>
          <w:color w:val="000000"/>
          <w:lang w:eastAsia="it-IT"/>
        </w:rPr>
        <w:t xml:space="preserve">)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2871ED">
        <w:rPr>
          <w:rFonts w:eastAsia="Calibri" w:cs="Calibri"/>
          <w:color w:val="000000"/>
          <w:lang w:eastAsia="it-IT"/>
        </w:rPr>
        <w:t>è disponibile come</w:t>
      </w:r>
      <w:r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</w:rPr>
        <w:t>granulato per soluzione</w:t>
      </w:r>
      <w:r w:rsidR="00375680" w:rsidRPr="00B70EB7">
        <w:t xml:space="preserve"> orale</w:t>
      </w:r>
      <w:r w:rsidR="007E6861">
        <w:t xml:space="preserve"> </w:t>
      </w:r>
      <w:r>
        <w:t>contenente</w:t>
      </w:r>
      <w:r w:rsidR="00375680" w:rsidRPr="00B70EB7">
        <w:t xml:space="preserve"> </w:t>
      </w:r>
      <w:r>
        <w:t>400 mg di principio attivo.</w:t>
      </w:r>
    </w:p>
    <w:p w:rsidR="00300BEA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97416" w:rsidRDefault="00917EFC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17EFC">
        <w:rPr>
          <w:rFonts w:eastAsia="Calibri" w:cs="Calibri"/>
          <w:color w:val="000000"/>
          <w:lang w:eastAsia="it-IT"/>
        </w:rPr>
        <w:t>Vegetallumina</w:t>
      </w:r>
      <w:proofErr w:type="spellEnd"/>
      <w:r w:rsidRPr="00917EFC">
        <w:rPr>
          <w:rFonts w:eastAsia="Calibri" w:cs="Calibri"/>
          <w:color w:val="000000"/>
          <w:lang w:eastAsia="it-IT"/>
        </w:rPr>
        <w:t xml:space="preserve"> Dolore E Febbre</w:t>
      </w:r>
      <w:r w:rsidR="00375680" w:rsidRPr="000E0632">
        <w:rPr>
          <w:rFonts w:eastAsia="Calibri" w:cs="Calibri"/>
          <w:color w:val="000000"/>
          <w:lang w:eastAsia="it-IT"/>
        </w:rPr>
        <w:t xml:space="preserve"> </w:t>
      </w:r>
      <w:r w:rsidR="00BB2AF8" w:rsidRPr="00E83F8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>
        <w:rPr>
          <w:rFonts w:eastAsia="Calibri" w:cs="Calibri"/>
          <w:color w:val="000000"/>
          <w:lang w:eastAsia="it-IT"/>
        </w:rPr>
        <w:t>Spididol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797416">
        <w:rPr>
          <w:rFonts w:eastAsia="Calibri" w:cs="Calibri"/>
          <w:color w:val="000000"/>
          <w:lang w:eastAsia="it-IT"/>
        </w:rPr>
        <w:t>già autorizzato in Italia.</w:t>
      </w:r>
    </w:p>
    <w:p w:rsidR="00300BEA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97416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2683B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9" w:history="1">
        <w:r w:rsidRPr="00D2683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D2683B">
        <w:rPr>
          <w:rFonts w:eastAsia="Calibri" w:cs="Calibri"/>
          <w:lang w:eastAsia="it-IT"/>
        </w:rPr>
        <w:t>)</w:t>
      </w:r>
      <w:r w:rsidRPr="00D2683B">
        <w:t xml:space="preserve"> </w:t>
      </w:r>
      <w:r w:rsidRPr="00D2683B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917EFC" w:rsidRPr="00917EFC">
        <w:rPr>
          <w:rFonts w:eastAsia="Calibri" w:cs="Calibri"/>
          <w:color w:val="000000"/>
          <w:lang w:eastAsia="it-IT"/>
        </w:rPr>
        <w:t>Vegetallumina</w:t>
      </w:r>
      <w:proofErr w:type="spellEnd"/>
      <w:r w:rsidR="00917EFC" w:rsidRPr="00917EFC">
        <w:rPr>
          <w:rFonts w:eastAsia="Calibri" w:cs="Calibri"/>
          <w:color w:val="000000"/>
          <w:lang w:eastAsia="it-IT"/>
        </w:rPr>
        <w:t xml:space="preserve"> Dolore E Febbre</w:t>
      </w:r>
      <w:r w:rsidRPr="00D2683B">
        <w:rPr>
          <w:rFonts w:eastAsia="Calibri" w:cs="Calibri"/>
          <w:color w:val="000000"/>
          <w:lang w:eastAsia="it-IT"/>
        </w:rPr>
        <w:t>.</w:t>
      </w:r>
    </w:p>
    <w:p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917EFC" w:rsidRPr="00917EFC" w:rsidRDefault="00917EFC" w:rsidP="00917EF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17EFC">
        <w:rPr>
          <w:rFonts w:eastAsia="Calibri" w:cs="Calibri"/>
          <w:color w:val="000000"/>
          <w:lang w:eastAsia="it-IT"/>
        </w:rPr>
        <w:t>Vegetallumina</w:t>
      </w:r>
      <w:proofErr w:type="spellEnd"/>
      <w:r w:rsidRPr="00917EFC">
        <w:rPr>
          <w:rFonts w:eastAsia="Calibri" w:cs="Calibri"/>
          <w:color w:val="000000"/>
          <w:lang w:eastAsia="it-IT"/>
        </w:rPr>
        <w:t xml:space="preserve"> Dolore E Febbre </w:t>
      </w:r>
      <w:r w:rsidR="00BB2AF8" w:rsidRPr="00917EFC">
        <w:rPr>
          <w:rFonts w:eastAsia="Calibri" w:cs="Calibri"/>
          <w:color w:val="000000"/>
          <w:lang w:eastAsia="it-IT"/>
        </w:rPr>
        <w:t>si usa</w:t>
      </w:r>
      <w:r w:rsidR="00375680" w:rsidRPr="00917EFC">
        <w:rPr>
          <w:rFonts w:eastAsia="Calibri" w:cs="Calibri"/>
          <w:color w:val="000000"/>
          <w:lang w:eastAsia="it-IT"/>
        </w:rPr>
        <w:t xml:space="preserve"> </w:t>
      </w:r>
      <w:r w:rsidRPr="00917EFC">
        <w:rPr>
          <w:rFonts w:eastAsia="Calibri" w:cs="Calibri"/>
          <w:color w:val="000000"/>
          <w:lang w:eastAsia="it-IT"/>
        </w:rPr>
        <w:t>per il trattamento del dolore o degli stati infiammatori nei seguenti casi:</w:t>
      </w:r>
    </w:p>
    <w:p w:rsidR="00917EFC" w:rsidRPr="00917EFC" w:rsidRDefault="00917EFC" w:rsidP="00917E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17EFC">
        <w:rPr>
          <w:rFonts w:eastAsia="Calibri" w:cs="Calibri"/>
          <w:b/>
          <w:lang w:eastAsia="it-IT"/>
        </w:rPr>
        <w:t>trattamento del dolore</w:t>
      </w:r>
      <w:r w:rsidRPr="00917EFC">
        <w:rPr>
          <w:rFonts w:eastAsia="Calibri" w:cs="Calibri"/>
          <w:lang w:eastAsia="it-IT"/>
        </w:rPr>
        <w:t>: mal di testa, mal di denti, dolori mestruali, nevralgie, dolori osteoarticolari (delle ossa) e muscolari,</w:t>
      </w:r>
    </w:p>
    <w:p w:rsidR="00917EFC" w:rsidRPr="00917EFC" w:rsidRDefault="00917EFC" w:rsidP="00917E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17EFC">
        <w:rPr>
          <w:rFonts w:eastAsia="Calibri" w:cs="Calibri"/>
          <w:b/>
          <w:lang w:eastAsia="it-IT"/>
        </w:rPr>
        <w:t xml:space="preserve">trattamento degli stati febbrili ed </w:t>
      </w:r>
      <w:proofErr w:type="spellStart"/>
      <w:r w:rsidRPr="00917EFC">
        <w:rPr>
          <w:rFonts w:eastAsia="Calibri" w:cs="Calibri"/>
          <w:b/>
          <w:lang w:eastAsia="it-IT"/>
        </w:rPr>
        <w:t>inﬂuenzali</w:t>
      </w:r>
      <w:proofErr w:type="spellEnd"/>
      <w:r w:rsidRPr="00917EFC">
        <w:rPr>
          <w:rFonts w:eastAsia="Calibri" w:cs="Calibri"/>
          <w:lang w:eastAsia="it-IT"/>
        </w:rPr>
        <w:t xml:space="preserve">, in aggiunta ad altri medicinali. 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300BEA" w:rsidRPr="00843288" w:rsidRDefault="00BB2AF8" w:rsidP="008432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E’ USATO </w:t>
      </w:r>
      <w:proofErr w:type="spellStart"/>
      <w:r w:rsidR="00EC6357" w:rsidRPr="00EC6357">
        <w:rPr>
          <w:rFonts w:eastAsia="Calibri" w:cs="Calibri"/>
          <w:b/>
          <w:color w:val="000000"/>
          <w:lang w:eastAsia="it-IT"/>
        </w:rPr>
        <w:t>Vegetallumina</w:t>
      </w:r>
      <w:proofErr w:type="spellEnd"/>
      <w:r w:rsidR="00EC6357" w:rsidRPr="00EC6357">
        <w:rPr>
          <w:rFonts w:eastAsia="Calibri" w:cs="Calibri"/>
          <w:b/>
          <w:color w:val="000000"/>
          <w:lang w:eastAsia="it-IT"/>
        </w:rPr>
        <w:t xml:space="preserve"> Dolore E Febbre</w:t>
      </w:r>
      <w:r w:rsidR="00266A13">
        <w:rPr>
          <w:rFonts w:eastAsia="Calibri" w:cs="Calibri"/>
          <w:b/>
          <w:color w:val="000000"/>
          <w:lang w:eastAsia="it-IT"/>
        </w:rPr>
        <w:t>?</w:t>
      </w:r>
    </w:p>
    <w:p w:rsidR="001C15DF" w:rsidRPr="001C15DF" w:rsidRDefault="00EC6357" w:rsidP="001C15DF">
      <w:pPr>
        <w:tabs>
          <w:tab w:val="left" w:pos="0"/>
        </w:tabs>
        <w:spacing w:after="0" w:line="240" w:lineRule="auto"/>
        <w:jc w:val="both"/>
      </w:pPr>
      <w:proofErr w:type="spellStart"/>
      <w:r w:rsidRPr="00EC6357">
        <w:rPr>
          <w:rFonts w:eastAsia="Calibri" w:cs="Calibri"/>
          <w:color w:val="000000"/>
          <w:lang w:eastAsia="it-IT"/>
        </w:rPr>
        <w:t>Vegetallumina</w:t>
      </w:r>
      <w:proofErr w:type="spellEnd"/>
      <w:r w:rsidRPr="00EC6357">
        <w:rPr>
          <w:rFonts w:eastAsia="Calibri" w:cs="Calibri"/>
          <w:color w:val="000000"/>
          <w:lang w:eastAsia="it-IT"/>
        </w:rPr>
        <w:t xml:space="preserve"> Dolore E Febbre</w:t>
      </w:r>
      <w:r w:rsidR="00266A13" w:rsidRPr="00266A13">
        <w:rPr>
          <w:rFonts w:eastAsia="Calibri" w:cs="Calibri"/>
          <w:color w:val="000000"/>
          <w:lang w:eastAsia="it-IT"/>
        </w:rPr>
        <w:t xml:space="preserve"> </w:t>
      </w:r>
      <w:r w:rsidR="001C15DF" w:rsidRPr="001C15DF">
        <w:rPr>
          <w:rFonts w:cs="Arial"/>
        </w:rPr>
        <w:t>è un medicinale di automedicazione (OTC) e non necessita di prescrizione del medico.</w:t>
      </w:r>
    </w:p>
    <w:p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:rsidR="008A6FEC" w:rsidRDefault="00794C13" w:rsidP="00D04F35">
      <w:pPr>
        <w:tabs>
          <w:tab w:val="left" w:pos="0"/>
        </w:tabs>
        <w:spacing w:after="0" w:line="240" w:lineRule="auto"/>
        <w:jc w:val="both"/>
      </w:pPr>
      <w:r w:rsidRPr="00151384">
        <w:rPr>
          <w:rFonts w:eastAsia="Calibri" w:cs="Calibri"/>
          <w:lang w:eastAsia="it-IT"/>
        </w:rPr>
        <w:t xml:space="preserve">La dose raccomandata è di </w:t>
      </w:r>
      <w:r w:rsidR="00D451DB" w:rsidRPr="00D451DB">
        <w:rPr>
          <w:rFonts w:eastAsia="Calibri" w:cs="Calibri"/>
          <w:lang w:eastAsia="it-IT"/>
        </w:rPr>
        <w:t>1 bustina, 2-3 volte al giorno</w:t>
      </w:r>
      <w:r w:rsidR="00D451DB">
        <w:rPr>
          <w:rFonts w:eastAsia="Calibri" w:cs="Calibri"/>
          <w:lang w:eastAsia="it-IT"/>
        </w:rPr>
        <w:t>;</w:t>
      </w:r>
      <w:r w:rsidR="00D04F35">
        <w:rPr>
          <w:rFonts w:eastAsia="Calibri" w:cs="Calibri"/>
          <w:lang w:eastAsia="it-IT"/>
        </w:rPr>
        <w:t xml:space="preserve"> la dose massima raccomandata è</w:t>
      </w:r>
      <w:r w:rsidR="00D451DB">
        <w:rPr>
          <w:rFonts w:cs="Tahoma"/>
        </w:rPr>
        <w:t xml:space="preserve"> </w:t>
      </w:r>
      <w:r w:rsidR="00D04F35">
        <w:rPr>
          <w:rFonts w:cs="Tahoma"/>
        </w:rPr>
        <w:t xml:space="preserve">di 3 bustine al giorno. </w:t>
      </w:r>
      <w:r w:rsidR="00E850A7">
        <w:rPr>
          <w:rFonts w:cs="Tahoma"/>
        </w:rPr>
        <w:t xml:space="preserve">Il </w:t>
      </w:r>
      <w:r w:rsidR="00D04F35" w:rsidRPr="00D04F35">
        <w:rPr>
          <w:rFonts w:cs="Tahoma"/>
        </w:rPr>
        <w:t xml:space="preserve">contenuto di una bustina </w:t>
      </w:r>
      <w:r w:rsidR="00D04F35">
        <w:rPr>
          <w:rFonts w:cs="Tahoma"/>
        </w:rPr>
        <w:t xml:space="preserve">va sciolto </w:t>
      </w:r>
      <w:r w:rsidR="00D04F35" w:rsidRPr="00D04F35">
        <w:rPr>
          <w:rFonts w:cs="Tahoma"/>
        </w:rPr>
        <w:t>in un bicchiere di acqua (50-100 ml)</w:t>
      </w:r>
      <w:r w:rsidR="00D04F35">
        <w:rPr>
          <w:rFonts w:cs="Tahoma"/>
        </w:rPr>
        <w:t xml:space="preserve"> e assunto a stomaco pieno. </w:t>
      </w:r>
      <w:proofErr w:type="spellStart"/>
      <w:r w:rsidR="00D04F35" w:rsidRPr="00D04F35">
        <w:rPr>
          <w:rFonts w:cs="Tahoma"/>
        </w:rPr>
        <w:t>Vegetallumina</w:t>
      </w:r>
      <w:proofErr w:type="spellEnd"/>
      <w:r w:rsidR="00D04F35" w:rsidRPr="00D04F35">
        <w:rPr>
          <w:rFonts w:cs="Tahoma"/>
        </w:rPr>
        <w:t xml:space="preserve"> Dolore E Febbre </w:t>
      </w:r>
      <w:r w:rsidR="00D04F35">
        <w:rPr>
          <w:rFonts w:cs="Tahoma"/>
        </w:rPr>
        <w:t xml:space="preserve">non deve essere usato nei </w:t>
      </w:r>
      <w:r w:rsidR="00D04F35" w:rsidRPr="00D04F35">
        <w:rPr>
          <w:rFonts w:cs="Tahoma"/>
        </w:rPr>
        <w:t>casi di grave insufficienza renale, epatica o cardiaca</w:t>
      </w:r>
      <w:r w:rsidR="00D04F35">
        <w:rPr>
          <w:rFonts w:cs="Tahoma"/>
        </w:rPr>
        <w:t>.</w:t>
      </w:r>
    </w:p>
    <w:p w:rsidR="008A6FEC" w:rsidRDefault="008A6FEC" w:rsidP="00BB2AF8">
      <w:pPr>
        <w:tabs>
          <w:tab w:val="left" w:pos="0"/>
        </w:tabs>
        <w:spacing w:after="0" w:line="240" w:lineRule="auto"/>
        <w:jc w:val="both"/>
        <w:rPr>
          <w:b/>
          <w:i/>
          <w:sz w:val="20"/>
          <w:highlight w:val="green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D04F35" w:rsidRPr="00D04F35">
        <w:rPr>
          <w:rFonts w:eastAsia="Calibri" w:cs="Calibri"/>
          <w:b/>
          <w:color w:val="000000"/>
          <w:lang w:eastAsia="it-IT"/>
        </w:rPr>
        <w:t>Vegetallumina</w:t>
      </w:r>
      <w:proofErr w:type="spellEnd"/>
      <w:r w:rsidR="00D04F35" w:rsidRPr="00D04F35">
        <w:rPr>
          <w:rFonts w:eastAsia="Calibri" w:cs="Calibri"/>
          <w:b/>
          <w:color w:val="000000"/>
          <w:lang w:eastAsia="it-IT"/>
        </w:rPr>
        <w:t xml:space="preserve"> Dolore E Febbre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A92B02" w:rsidRDefault="00D04F35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 w:rsidRPr="00D04F35">
        <w:rPr>
          <w:rFonts w:eastAsia="Calibri" w:cs="Calibri"/>
          <w:color w:val="000000"/>
          <w:lang w:eastAsia="it-IT"/>
        </w:rPr>
        <w:t>Vegetallumina</w:t>
      </w:r>
      <w:proofErr w:type="spellEnd"/>
      <w:r w:rsidRPr="00D04F35">
        <w:rPr>
          <w:rFonts w:eastAsia="Calibri" w:cs="Calibri"/>
          <w:color w:val="000000"/>
          <w:lang w:eastAsia="it-IT"/>
        </w:rPr>
        <w:t xml:space="preserve"> Dolore E Febbre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</w:t>
      </w:r>
      <w:r w:rsidR="00A92B02" w:rsidRPr="00A92B02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Pr="00D04F35">
        <w:rPr>
          <w:rFonts w:eastAsia="Calibri" w:cs="Calibri"/>
          <w:bCs/>
          <w:color w:val="000000"/>
          <w:lang w:eastAsia="it-IT"/>
        </w:rPr>
        <w:t>M01AE01</w:t>
      </w:r>
      <w:r w:rsidR="00A92B02" w:rsidRPr="00A92B02">
        <w:rPr>
          <w:rFonts w:eastAsia="Calibri" w:cs="Calibri"/>
          <w:bCs/>
          <w:color w:val="000000"/>
          <w:lang w:eastAsia="it-IT"/>
        </w:rPr>
        <w:t xml:space="preserve">, contiene il principio attivo </w:t>
      </w:r>
      <w:proofErr w:type="spellStart"/>
      <w:r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="00A92B02" w:rsidRPr="00A92B02">
        <w:rPr>
          <w:rFonts w:eastAsia="Calibri" w:cs="Calibri"/>
          <w:bCs/>
          <w:color w:val="000000"/>
          <w:lang w:eastAsia="it-IT"/>
        </w:rPr>
        <w:t xml:space="preserve">, il cui meccanismo d’azione, come per altri antinfiammatori non steroidei, è legato all’inibizione reversibile della sintesi delle prostaglandine e di altre sostanze prodotte dall’organismo e che sono responsabili dei sintomi dell’infiammazione e del dolore </w:t>
      </w:r>
      <w:r w:rsidR="00140D4A">
        <w:rPr>
          <w:rFonts w:eastAsia="Calibri" w:cs="Calibri"/>
          <w:bCs/>
          <w:color w:val="000000"/>
          <w:lang w:eastAsia="it-IT"/>
        </w:rPr>
        <w:t>che ne consegue e degli eventuali stati febbrili associati.</w:t>
      </w:r>
    </w:p>
    <w:p w:rsidR="008520F9" w:rsidRPr="00A92B02" w:rsidRDefault="008520F9" w:rsidP="008520F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F96473" w:rsidRPr="00843288" w:rsidRDefault="00BB2AF8" w:rsidP="008432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D04F35" w:rsidRPr="00D04F35">
        <w:rPr>
          <w:rFonts w:eastAsia="Calibri" w:cs="Calibri"/>
          <w:b/>
          <w:color w:val="000000"/>
          <w:lang w:eastAsia="it-IT"/>
        </w:rPr>
        <w:t>Vegetallumina</w:t>
      </w:r>
      <w:proofErr w:type="spellEnd"/>
      <w:r w:rsidR="00D04F35" w:rsidRPr="00D04F35">
        <w:rPr>
          <w:rFonts w:eastAsia="Calibri" w:cs="Calibri"/>
          <w:b/>
          <w:color w:val="000000"/>
          <w:lang w:eastAsia="it-IT"/>
        </w:rPr>
        <w:t xml:space="preserve"> Dolore E Febbre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6B311C" w:rsidRPr="00E41708" w:rsidRDefault="00BB2AF8" w:rsidP="00E41708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 w:rsidR="00D04F35" w:rsidRPr="00D04F35">
        <w:rPr>
          <w:rFonts w:eastAsia="Calibri" w:cs="Calibri"/>
          <w:color w:val="000000"/>
          <w:lang w:eastAsia="it-IT"/>
        </w:rPr>
        <w:t>Vegetallumina</w:t>
      </w:r>
      <w:proofErr w:type="spellEnd"/>
      <w:r w:rsidR="00D04F35" w:rsidRPr="00D04F35">
        <w:rPr>
          <w:rFonts w:eastAsia="Calibri" w:cs="Calibri"/>
          <w:color w:val="000000"/>
          <w:lang w:eastAsia="it-IT"/>
        </w:rPr>
        <w:t xml:space="preserve"> Dolore E Febbre</w:t>
      </w:r>
      <w:r w:rsidR="00F96473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è un medicinale generico </w:t>
      </w:r>
      <w:r w:rsidR="00E164B8">
        <w:rPr>
          <w:rFonts w:cs="Arial"/>
        </w:rPr>
        <w:t xml:space="preserve">somministrato come soluzione orale </w:t>
      </w:r>
      <w:r>
        <w:rPr>
          <w:rFonts w:ascii="Calibri" w:hAnsi="Calibri" w:cs="Arial"/>
        </w:rPr>
        <w:t>non è stato necessario effettuare ulteriori studi clinici</w:t>
      </w:r>
      <w:r w:rsidR="00F96473">
        <w:rPr>
          <w:rFonts w:ascii="Calibri" w:hAnsi="Calibri" w:cs="Arial"/>
        </w:rPr>
        <w:t xml:space="preserve"> di confronto con il medicinale di riferimento</w:t>
      </w:r>
      <w:r>
        <w:rPr>
          <w:rFonts w:ascii="Calibri" w:hAnsi="Calibri" w:cs="Arial"/>
        </w:rPr>
        <w:t xml:space="preserve">. </w:t>
      </w: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75944" w:rsidRPr="0084328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164B8" w:rsidRPr="00E164B8">
        <w:rPr>
          <w:rFonts w:eastAsia="Calibri" w:cs="Calibri"/>
          <w:b/>
          <w:color w:val="000000"/>
          <w:lang w:eastAsia="it-IT"/>
        </w:rPr>
        <w:t>Vegetallumina</w:t>
      </w:r>
      <w:proofErr w:type="spellEnd"/>
      <w:r w:rsidR="00E164B8" w:rsidRPr="00E164B8">
        <w:rPr>
          <w:rFonts w:eastAsia="Calibri" w:cs="Calibri"/>
          <w:b/>
          <w:color w:val="000000"/>
          <w:lang w:eastAsia="it-IT"/>
        </w:rPr>
        <w:t xml:space="preserve"> Dolore E Febbre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BB2AF8" w:rsidRPr="002A3F14" w:rsidRDefault="00E164B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E164B8">
        <w:rPr>
          <w:rFonts w:eastAsia="Calibri" w:cs="Calibri"/>
          <w:color w:val="000000"/>
          <w:lang w:eastAsia="it-IT"/>
        </w:rPr>
        <w:t>Vegetallumina</w:t>
      </w:r>
      <w:proofErr w:type="spellEnd"/>
      <w:r w:rsidRPr="00E164B8">
        <w:rPr>
          <w:rFonts w:eastAsia="Calibri" w:cs="Calibri"/>
          <w:color w:val="000000"/>
          <w:lang w:eastAsia="it-IT"/>
        </w:rPr>
        <w:t xml:space="preserve"> Dolore E Febbre</w:t>
      </w:r>
      <w:r w:rsidR="00375944">
        <w:rPr>
          <w:rFonts w:ascii="Calibri" w:hAnsi="Calibri" w:cs="Arial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>generico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164B8" w:rsidRPr="00E164B8">
        <w:rPr>
          <w:rFonts w:eastAsia="Calibri" w:cs="Calibri"/>
          <w:b/>
          <w:color w:val="000000"/>
          <w:lang w:eastAsia="it-IT"/>
        </w:rPr>
        <w:t>Vegetallumina</w:t>
      </w:r>
      <w:proofErr w:type="spellEnd"/>
      <w:r w:rsidR="00E164B8" w:rsidRPr="00E164B8">
        <w:rPr>
          <w:rFonts w:eastAsia="Calibri" w:cs="Calibri"/>
          <w:b/>
          <w:color w:val="000000"/>
          <w:lang w:eastAsia="it-IT"/>
        </w:rPr>
        <w:t xml:space="preserve"> Dolore E Febbre</w:t>
      </w:r>
      <w:r w:rsidR="00DF2ABE" w:rsidRPr="00666CCE">
        <w:rPr>
          <w:rFonts w:eastAsia="Calibri" w:cs="Calibri"/>
          <w:b/>
          <w:bCs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E164B8" w:rsidRDefault="00DF2ABE" w:rsidP="00E164B8">
      <w:pPr>
        <w:autoSpaceDE w:val="0"/>
        <w:autoSpaceDN w:val="0"/>
        <w:spacing w:after="0" w:line="240" w:lineRule="auto"/>
        <w:jc w:val="both"/>
      </w:pPr>
      <w:r>
        <w:t xml:space="preserve">La </w:t>
      </w:r>
      <w:r w:rsidR="00E164B8" w:rsidRPr="00E164B8">
        <w:t>Commissione Tecnico-Scientifica (CTS) nella seduta del 5-7 giugno 2019</w:t>
      </w:r>
      <w:r w:rsidR="00E164B8">
        <w:t xml:space="preserve"> ha </w:t>
      </w:r>
      <w:r>
        <w:t>concluso che, conformemente ai requisiti della normativa vigente,</w:t>
      </w:r>
      <w:r w:rsidRPr="00DF2ABE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come nel caso del medicinale di riferimento </w:t>
      </w:r>
      <w:proofErr w:type="spellStart"/>
      <w:r w:rsidR="00E164B8">
        <w:rPr>
          <w:rFonts w:eastAsia="Calibri" w:cs="Calibri"/>
          <w:lang w:eastAsia="it-IT"/>
        </w:rPr>
        <w:t>Spididol</w:t>
      </w:r>
      <w:proofErr w:type="spellEnd"/>
      <w:r w:rsidR="00E164B8">
        <w:rPr>
          <w:rFonts w:eastAsia="Calibri" w:cs="Calibri"/>
          <w:lang w:eastAsia="it-IT"/>
        </w:rPr>
        <w:t>,</w:t>
      </w:r>
      <w:r>
        <w:t xml:space="preserve"> i benefici di </w:t>
      </w:r>
      <w:proofErr w:type="spellStart"/>
      <w:r w:rsidR="00E164B8" w:rsidRPr="00E164B8">
        <w:t>Vegetallumina</w:t>
      </w:r>
      <w:proofErr w:type="spellEnd"/>
      <w:r w:rsidR="00E164B8" w:rsidRPr="00E164B8">
        <w:t xml:space="preserve"> Dolore E Febbre</w:t>
      </w:r>
      <w:r>
        <w:t xml:space="preserve"> sono su</w:t>
      </w:r>
      <w:r w:rsidR="00E164B8">
        <w:t>periori ai rischi individuati. La Commissione ha</w:t>
      </w:r>
      <w:r>
        <w:t xml:space="preserve"> inoltre</w:t>
      </w:r>
      <w:r w:rsidR="00E850A7">
        <w:t xml:space="preserve"> </w:t>
      </w:r>
      <w:r>
        <w:t>definito le modalità di prescrizione di cui al punto 2) di questo Riassunto e la classe di rimborsabilità del medicinale (</w:t>
      </w:r>
      <w:proofErr w:type="spellStart"/>
      <w:r>
        <w:t>Cbis</w:t>
      </w:r>
      <w:proofErr w:type="spellEnd"/>
      <w:r>
        <w:t xml:space="preserve">). </w:t>
      </w: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164B8" w:rsidRPr="00E164B8">
        <w:rPr>
          <w:rFonts w:eastAsia="Calibri" w:cs="Calibri"/>
          <w:b/>
          <w:color w:val="000000"/>
          <w:lang w:eastAsia="it-IT"/>
        </w:rPr>
        <w:t>Vegetallumina</w:t>
      </w:r>
      <w:proofErr w:type="spellEnd"/>
      <w:r w:rsidR="00E164B8" w:rsidRPr="00E164B8">
        <w:rPr>
          <w:rFonts w:eastAsia="Calibri" w:cs="Calibri"/>
          <w:b/>
          <w:color w:val="000000"/>
          <w:lang w:eastAsia="it-IT"/>
        </w:rPr>
        <w:t xml:space="preserve"> Dolore E Febbre</w:t>
      </w:r>
      <w:r w:rsidR="00783781">
        <w:rPr>
          <w:rFonts w:eastAsia="Calibri" w:cs="Calibri"/>
          <w:b/>
          <w:color w:val="000000"/>
          <w:lang w:eastAsia="it-IT"/>
        </w:rPr>
        <w:t>?</w:t>
      </w:r>
    </w:p>
    <w:p w:rsidR="004241AC" w:rsidRPr="00E164B8" w:rsidRDefault="00783781" w:rsidP="00E164B8">
      <w:pPr>
        <w:autoSpaceDE w:val="0"/>
        <w:autoSpaceDN w:val="0"/>
        <w:jc w:val="both"/>
      </w:pPr>
      <w:r>
        <w:t>In accordo alla normativa vigente, tramite la gestione delle attività (</w:t>
      </w:r>
      <w:proofErr w:type="spellStart"/>
      <w:r>
        <w:t>routinarie</w:t>
      </w:r>
      <w:proofErr w:type="spellEnd"/>
      <w:r>
        <w:t xml:space="preserve">) di Farmacovigilanza, il titolare dell’autorizzazione all’immissione in commercio (AIC) e l’Agenzia Italiana del Farmaco, garantiscono gli interventi finalizzati ad identificare, caratterizzare, prevenire o minimizzare i rischi correlati a </w:t>
      </w:r>
      <w:proofErr w:type="spellStart"/>
      <w:r w:rsidR="00E164B8" w:rsidRPr="00E164B8">
        <w:rPr>
          <w:color w:val="000000"/>
        </w:rPr>
        <w:t>Vegetallumina</w:t>
      </w:r>
      <w:proofErr w:type="spellEnd"/>
      <w:r w:rsidR="00E164B8" w:rsidRPr="00E164B8">
        <w:rPr>
          <w:color w:val="000000"/>
        </w:rPr>
        <w:t xml:space="preserve"> Dolore E Febbre</w:t>
      </w:r>
      <w:r w:rsidR="00E164B8">
        <w:rPr>
          <w:color w:val="000000"/>
        </w:rP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164B8" w:rsidRPr="00E164B8">
        <w:rPr>
          <w:rFonts w:eastAsia="Calibri" w:cs="Calibri"/>
          <w:b/>
          <w:color w:val="000000"/>
          <w:lang w:eastAsia="it-IT"/>
        </w:rPr>
        <w:t>Vegetallumina</w:t>
      </w:r>
      <w:proofErr w:type="spellEnd"/>
      <w:r w:rsidR="00E164B8" w:rsidRPr="00E164B8">
        <w:rPr>
          <w:rFonts w:eastAsia="Calibri" w:cs="Calibri"/>
          <w:b/>
          <w:color w:val="000000"/>
          <w:lang w:eastAsia="it-IT"/>
        </w:rPr>
        <w:t xml:space="preserve"> Dolore E Febbre</w:t>
      </w:r>
    </w:p>
    <w:p w:rsidR="004241AC" w:rsidRPr="00CA3A1E" w:rsidRDefault="00E164B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In data </w:t>
      </w:r>
      <w:r w:rsidR="00E850A7" w:rsidRPr="00EF401A">
        <w:rPr>
          <w:rFonts w:eastAsia="Calibri" w:cs="Calibri"/>
          <w:b/>
          <w:bCs/>
          <w:iCs/>
          <w:lang w:eastAsia="it-IT"/>
        </w:rPr>
        <w:t>25 Febbraio 2020</w:t>
      </w:r>
      <w:r>
        <w:rPr>
          <w:rFonts w:eastAsia="Calibri" w:cs="Calibri"/>
          <w:bCs/>
          <w:iCs/>
          <w:lang w:eastAsia="it-IT"/>
        </w:rPr>
        <w:t xml:space="preserve"> </w:t>
      </w:r>
      <w:r w:rsidRPr="00E164B8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Pr="00E164B8">
        <w:rPr>
          <w:rFonts w:eastAsia="Calibri" w:cs="Calibri"/>
          <w:bCs/>
          <w:iCs/>
          <w:lang w:eastAsia="it-IT"/>
        </w:rPr>
        <w:t>Vegetallumina</w:t>
      </w:r>
      <w:proofErr w:type="spellEnd"/>
      <w:r w:rsidRPr="00E164B8">
        <w:rPr>
          <w:rFonts w:eastAsia="Calibri" w:cs="Calibri"/>
          <w:bCs/>
          <w:iCs/>
          <w:lang w:eastAsia="it-IT"/>
        </w:rPr>
        <w:t xml:space="preserve"> Dolore E Febbre</w:t>
      </w:r>
      <w:r w:rsidR="009251C0" w:rsidRPr="00151384">
        <w:rPr>
          <w:rFonts w:eastAsia="Calibri" w:cs="Calibri"/>
          <w:bCs/>
          <w:lang w:eastAsia="it-IT"/>
        </w:rPr>
        <w:t xml:space="preserve">.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018C6" w:rsidRPr="00B70EB7" w:rsidRDefault="007018C6" w:rsidP="007018C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70EB7">
        <w:rPr>
          <w:rFonts w:eastAsia="Calibri" w:cs="Calibri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E164B8" w:rsidRPr="00E164B8">
        <w:rPr>
          <w:rFonts w:eastAsia="Calibri" w:cs="Calibri"/>
          <w:color w:val="000000"/>
          <w:lang w:eastAsia="it-IT"/>
        </w:rPr>
        <w:t>Vegetallumina</w:t>
      </w:r>
      <w:proofErr w:type="spellEnd"/>
      <w:r w:rsidR="00E164B8" w:rsidRPr="00E164B8">
        <w:rPr>
          <w:rFonts w:eastAsia="Calibri" w:cs="Calibri"/>
          <w:color w:val="000000"/>
          <w:lang w:eastAsia="it-IT"/>
        </w:rPr>
        <w:t xml:space="preserve"> Dolore E Febbre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10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E164B8">
        <w:rPr>
          <w:rFonts w:eastAsia="Calibri" w:cs="Calibri"/>
          <w:lang w:eastAsia="it-IT"/>
        </w:rPr>
        <w:t>15.09.2020</w:t>
      </w:r>
      <w:r w:rsidRPr="002A3F14">
        <w:rPr>
          <w:rFonts w:eastAsia="Calibri" w:cs="Calibri"/>
          <w:lang w:eastAsia="it-IT"/>
        </w:rPr>
        <w:t xml:space="preserve">. </w:t>
      </w:r>
    </w:p>
    <w:p w:rsidR="00E164B8" w:rsidRDefault="00E164B8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164B8" w:rsidRDefault="00E164B8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164B8" w:rsidRDefault="00E164B8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164B8" w:rsidRDefault="00E164B8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164B8" w:rsidRDefault="00E164B8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164B8" w:rsidRDefault="00E164B8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664193" w:rsidRDefault="0066419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164B8" w:rsidRPr="002A3F14" w:rsidRDefault="00E164B8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D922ED" w:rsidRDefault="00D922ED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CC52A3" w:rsidRDefault="00CC52A3" w:rsidP="004E5A39"/>
    <w:p w:rsidR="00EF6711" w:rsidRDefault="00EF6711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E850A7">
        <w:t xml:space="preserve">Pietrasanta </w:t>
      </w:r>
      <w:proofErr w:type="spellStart"/>
      <w:r w:rsidR="00E850A7">
        <w:t>Pharma</w:t>
      </w:r>
      <w:proofErr w:type="spellEnd"/>
      <w:r w:rsidR="00E850A7" w:rsidRPr="003A4664">
        <w:t xml:space="preserve"> </w:t>
      </w:r>
      <w:proofErr w:type="spellStart"/>
      <w:r w:rsidR="003A4664" w:rsidRPr="003A4664">
        <w:t>S.p.A</w:t>
      </w:r>
      <w:proofErr w:type="spellEnd"/>
      <w:r w:rsidR="003A4664" w:rsidRPr="003A4664">
        <w:t xml:space="preserve"> </w:t>
      </w:r>
      <w:r w:rsidRPr="00EF6711">
        <w:t xml:space="preserve">l’autorizzazione all’immissione in commercio (AIC) per il medicinale </w:t>
      </w:r>
      <w:proofErr w:type="spellStart"/>
      <w:r w:rsidR="00F64C8D" w:rsidRPr="00F64C8D">
        <w:rPr>
          <w:rFonts w:eastAsia="Calibri" w:cs="Calibri"/>
          <w:color w:val="000000"/>
          <w:lang w:eastAsia="it-IT"/>
        </w:rPr>
        <w:t>Vegetallumina</w:t>
      </w:r>
      <w:proofErr w:type="spellEnd"/>
      <w:r w:rsidR="00F64C8D" w:rsidRPr="00F64C8D">
        <w:rPr>
          <w:rFonts w:eastAsia="Calibri" w:cs="Calibri"/>
          <w:color w:val="000000"/>
          <w:lang w:eastAsia="it-IT"/>
        </w:rPr>
        <w:t xml:space="preserve"> Dolore E Febbre</w:t>
      </w:r>
      <w:r w:rsidR="004D1454">
        <w:rPr>
          <w:rFonts w:eastAsia="Calibri" w:cs="Calibri"/>
        </w:rPr>
        <w:t xml:space="preserve"> </w:t>
      </w:r>
      <w:r w:rsidR="00F64C8D">
        <w:rPr>
          <w:rFonts w:eastAsia="Calibri" w:cs="Calibri"/>
        </w:rPr>
        <w:t>granulato per soluzione orale</w:t>
      </w:r>
      <w:r w:rsidR="004D1454">
        <w:rPr>
          <w:rFonts w:eastAsia="Calibri" w:cs="Calibri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>il</w:t>
      </w:r>
      <w:r w:rsidRPr="00EF6711">
        <w:t xml:space="preserve"> </w:t>
      </w:r>
      <w:r w:rsidR="00E850A7" w:rsidRPr="00EF401A">
        <w:rPr>
          <w:b/>
        </w:rPr>
        <w:t>25 Febbraio 2020</w:t>
      </w:r>
      <w:r w:rsidR="00E850A7" w:rsidRPr="00EF401A">
        <w:t>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3A4664" w:rsidRDefault="00F64C8D" w:rsidP="003A46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F64C8D">
        <w:rPr>
          <w:rFonts w:eastAsia="Calibri" w:cs="Calibri"/>
          <w:color w:val="000000"/>
          <w:lang w:eastAsia="it-IT"/>
        </w:rPr>
        <w:t>Vegetallumina</w:t>
      </w:r>
      <w:proofErr w:type="spellEnd"/>
      <w:r w:rsidRPr="00F64C8D">
        <w:rPr>
          <w:rFonts w:eastAsia="Calibri" w:cs="Calibri"/>
          <w:color w:val="000000"/>
          <w:lang w:eastAsia="it-IT"/>
        </w:rPr>
        <w:t xml:space="preserve"> Dolore E Febbre</w:t>
      </w:r>
      <w:r w:rsidR="004D1454" w:rsidRPr="004D1454">
        <w:rPr>
          <w:rFonts w:eastAsia="Calibri" w:cs="Calibri"/>
        </w:rPr>
        <w:t xml:space="preserve"> </w:t>
      </w:r>
      <w:r>
        <w:rPr>
          <w:rFonts w:eastAsia="Calibri" w:cs="Calibri"/>
        </w:rPr>
        <w:t>granulato per soluzione</w:t>
      </w:r>
      <w:r w:rsidR="004D1454">
        <w:rPr>
          <w:rFonts w:eastAsia="Calibri" w:cs="Calibri"/>
        </w:rPr>
        <w:t xml:space="preserve"> orale </w:t>
      </w:r>
      <w:r w:rsidR="003A4664" w:rsidRPr="00B70EB7">
        <w:rPr>
          <w:rFonts w:eastAsia="Calibri" w:cs="Calibri"/>
          <w:color w:val="000000"/>
        </w:rPr>
        <w:t xml:space="preserve">è un medicinale di automedicazione e può essere acquistato senza la prescrizione del medico. </w:t>
      </w:r>
    </w:p>
    <w:p w:rsidR="003A4664" w:rsidRDefault="003A4664" w:rsidP="003A46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E5A39" w:rsidRPr="00EF6711" w:rsidRDefault="004E5A39" w:rsidP="003A4664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Questa procedura è stata presentata ai sensi dell’art. </w:t>
      </w:r>
      <w:r w:rsidR="00F64C8D">
        <w:t>10(1</w:t>
      </w:r>
      <w:r w:rsidR="003A4664">
        <w:t>)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F64C8D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F64C8D">
        <w:rPr>
          <w:rFonts w:eastAsia="Calibri" w:cs="Calibri"/>
          <w:color w:val="000000"/>
          <w:lang w:eastAsia="it-IT"/>
        </w:rPr>
        <w:t>Vegetallumina</w:t>
      </w:r>
      <w:proofErr w:type="spellEnd"/>
      <w:r w:rsidRPr="00F64C8D">
        <w:rPr>
          <w:rFonts w:eastAsia="Calibri" w:cs="Calibri"/>
          <w:color w:val="000000"/>
          <w:lang w:eastAsia="it-IT"/>
        </w:rPr>
        <w:t xml:space="preserve"> Dolore E Febbre granulato per soluzione orale</w:t>
      </w:r>
      <w:r w:rsidR="009A0C20" w:rsidRPr="00B70EB7">
        <w:rPr>
          <w:rFonts w:eastAsia="Calibri" w:cs="Calibri"/>
          <w:color w:val="000000"/>
        </w:rPr>
        <w:t xml:space="preserve"> </w:t>
      </w:r>
      <w:r w:rsidR="003A4664" w:rsidRPr="00B70EB7">
        <w:rPr>
          <w:rFonts w:eastAsia="Calibri" w:cs="Calibri"/>
          <w:color w:val="000000"/>
        </w:rPr>
        <w:t xml:space="preserve">è un medicinale contenente il principio attivo </w:t>
      </w:r>
      <w:proofErr w:type="spellStart"/>
      <w:r>
        <w:t>ibuprofene</w:t>
      </w:r>
      <w:proofErr w:type="spellEnd"/>
      <w:r w:rsidR="003A4664" w:rsidRPr="00B70EB7">
        <w:rPr>
          <w:rFonts w:eastAsia="Calibri" w:cs="Calibri"/>
          <w:color w:val="000000"/>
        </w:rPr>
        <w:t>,</w:t>
      </w:r>
      <w:r w:rsidR="003A4664">
        <w:rPr>
          <w:rFonts w:eastAsia="Calibri" w:cs="Calibri"/>
          <w:color w:val="000000"/>
        </w:rPr>
        <w:t xml:space="preserve"> noto e</w:t>
      </w:r>
      <w:r w:rsidR="003A4664" w:rsidRPr="00B70EB7">
        <w:rPr>
          <w:rFonts w:eastAsia="Calibri" w:cs="Calibri"/>
          <w:color w:val="000000"/>
        </w:rPr>
        <w:t xml:space="preserve"> presente nel medicinale di riferimento </w:t>
      </w:r>
      <w:proofErr w:type="spellStart"/>
      <w:r>
        <w:rPr>
          <w:rFonts w:eastAsia="Calibri" w:cs="Calibri"/>
          <w:color w:val="000000"/>
        </w:rPr>
        <w:t>Spididol</w:t>
      </w:r>
      <w:proofErr w:type="spellEnd"/>
      <w:r w:rsidR="003A4664" w:rsidRPr="00B70EB7">
        <w:rPr>
          <w:rFonts w:eastAsia="Calibri" w:cs="Calibri"/>
          <w:color w:val="000000"/>
        </w:rPr>
        <w:t>, autorizzato in Italia da più di 10 anni.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EF6711" w:rsidRDefault="00140D4A" w:rsidP="0093798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proofErr w:type="spellStart"/>
      <w:r w:rsidRPr="00140D4A">
        <w:rPr>
          <w:rFonts w:eastAsia="Calibri" w:cs="Calibri"/>
          <w:color w:val="000000"/>
          <w:lang w:eastAsia="it-IT"/>
        </w:rPr>
        <w:t>Vegetallumina</w:t>
      </w:r>
      <w:proofErr w:type="spellEnd"/>
      <w:r w:rsidRPr="00140D4A">
        <w:rPr>
          <w:rFonts w:eastAsia="Calibri" w:cs="Calibri"/>
          <w:color w:val="000000"/>
          <w:lang w:eastAsia="it-IT"/>
        </w:rPr>
        <w:t xml:space="preserve"> Dolore E Febbre granulato per soluzione orale</w:t>
      </w:r>
      <w:r w:rsidR="003A4664">
        <w:rPr>
          <w:rFonts w:eastAsia="Calibri" w:cs="Calibri"/>
          <w:bCs/>
          <w:i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Pr="00140D4A">
        <w:rPr>
          <w:bCs/>
        </w:rPr>
        <w:t>M01AE01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</w:rPr>
        <w:t>ibuprofene</w:t>
      </w:r>
      <w:proofErr w:type="spellEnd"/>
      <w:r w:rsidR="00B1186F" w:rsidRPr="00EF6711">
        <w:rPr>
          <w:rFonts w:eastAsia="Calibri" w:cs="Calibri"/>
          <w:bCs/>
          <w:lang w:eastAsia="it-IT"/>
        </w:rPr>
        <w:t xml:space="preserve">, </w:t>
      </w:r>
      <w:r w:rsidR="00937982" w:rsidRPr="00937982">
        <w:rPr>
          <w:rFonts w:eastAsia="Calibri" w:cs="Calibri"/>
          <w:bCs/>
          <w:lang w:eastAsia="it-IT"/>
        </w:rPr>
        <w:t xml:space="preserve">un antiinfiammatorio non steroideo </w:t>
      </w:r>
      <w:r>
        <w:rPr>
          <w:rFonts w:eastAsia="Calibri" w:cs="Calibri"/>
          <w:bCs/>
          <w:lang w:eastAsia="it-IT"/>
        </w:rPr>
        <w:t>con proprietà antinfiammatorie</w:t>
      </w:r>
      <w:r w:rsidR="00E850A7">
        <w:rPr>
          <w:rFonts w:eastAsia="Calibri" w:cs="Calibri"/>
          <w:bCs/>
          <w:lang w:eastAsia="it-IT"/>
        </w:rPr>
        <w:t>,</w:t>
      </w:r>
      <w:r>
        <w:rPr>
          <w:rFonts w:eastAsia="Calibri" w:cs="Calibri"/>
          <w:bCs/>
          <w:lang w:eastAsia="it-IT"/>
        </w:rPr>
        <w:t xml:space="preserve"> </w:t>
      </w:r>
      <w:r w:rsidR="00937982" w:rsidRPr="00937982">
        <w:rPr>
          <w:rFonts w:eastAsia="Calibri" w:cs="Calibri"/>
          <w:bCs/>
          <w:lang w:eastAsia="it-IT"/>
        </w:rPr>
        <w:t>analgesiche</w:t>
      </w:r>
      <w:r w:rsidR="00937982">
        <w:rPr>
          <w:rFonts w:eastAsia="Calibri" w:cs="Calibri"/>
          <w:bCs/>
          <w:lang w:eastAsia="it-IT"/>
        </w:rPr>
        <w:t xml:space="preserve"> </w:t>
      </w:r>
      <w:r w:rsidR="00937982" w:rsidRPr="00937982">
        <w:rPr>
          <w:rFonts w:eastAsia="Calibri" w:cs="Calibri"/>
          <w:bCs/>
          <w:lang w:eastAsia="it-IT"/>
        </w:rPr>
        <w:t>ed antipiretiche.</w:t>
      </w:r>
      <w:r w:rsidR="00937982" w:rsidRPr="00937982">
        <w:t xml:space="preserve"> </w:t>
      </w:r>
      <w:r>
        <w:rPr>
          <w:rFonts w:eastAsia="Calibri" w:cs="Calibri"/>
          <w:bCs/>
          <w:lang w:eastAsia="it-IT"/>
        </w:rPr>
        <w:t>L’</w:t>
      </w:r>
      <w:proofErr w:type="spellStart"/>
      <w:r>
        <w:rPr>
          <w:rFonts w:eastAsia="Calibri" w:cs="Calibri"/>
          <w:bCs/>
          <w:lang w:eastAsia="it-IT"/>
        </w:rPr>
        <w:t>ibuprofene</w:t>
      </w:r>
      <w:proofErr w:type="spellEnd"/>
      <w:r w:rsidR="00937982" w:rsidRPr="00937982">
        <w:rPr>
          <w:rFonts w:eastAsia="Calibri" w:cs="Calibri"/>
          <w:bCs/>
          <w:lang w:eastAsia="it-IT"/>
        </w:rPr>
        <w:t xml:space="preserve"> inibisce </w:t>
      </w:r>
      <w:r>
        <w:rPr>
          <w:rFonts w:eastAsia="Calibri" w:cs="Calibri"/>
          <w:bCs/>
          <w:lang w:eastAsia="it-IT"/>
        </w:rPr>
        <w:t>l’enzima</w:t>
      </w:r>
      <w:r w:rsidR="00937982" w:rsidRPr="00937982">
        <w:rPr>
          <w:rFonts w:eastAsia="Calibri" w:cs="Calibri"/>
          <w:bCs/>
          <w:lang w:eastAsia="it-IT"/>
        </w:rPr>
        <w:t xml:space="preserve"> </w:t>
      </w:r>
      <w:proofErr w:type="spellStart"/>
      <w:r w:rsidR="00937982" w:rsidRPr="00937982">
        <w:rPr>
          <w:rFonts w:eastAsia="Calibri" w:cs="Calibri"/>
          <w:bCs/>
          <w:lang w:eastAsia="it-IT"/>
        </w:rPr>
        <w:t>ciclossigenasi</w:t>
      </w:r>
      <w:proofErr w:type="spellEnd"/>
      <w:r w:rsidR="00937982" w:rsidRPr="00937982">
        <w:rPr>
          <w:rFonts w:eastAsia="Calibri" w:cs="Calibri"/>
          <w:bCs/>
          <w:lang w:eastAsia="it-IT"/>
        </w:rPr>
        <w:t xml:space="preserve">, </w:t>
      </w:r>
      <w:r w:rsidRPr="00140D4A">
        <w:rPr>
          <w:rFonts w:eastAsia="Calibri" w:cs="Calibri"/>
          <w:bCs/>
          <w:lang w:eastAsia="it-IT"/>
        </w:rPr>
        <w:t xml:space="preserve">responsabile della conversione dell’acido </w:t>
      </w:r>
      <w:proofErr w:type="spellStart"/>
      <w:r w:rsidRPr="00140D4A">
        <w:rPr>
          <w:rFonts w:eastAsia="Calibri" w:cs="Calibri"/>
          <w:bCs/>
          <w:lang w:eastAsia="it-IT"/>
        </w:rPr>
        <w:t>arachidonico</w:t>
      </w:r>
      <w:proofErr w:type="spellEnd"/>
      <w:r w:rsidRPr="00140D4A">
        <w:rPr>
          <w:rFonts w:eastAsia="Calibri" w:cs="Calibri"/>
          <w:bCs/>
          <w:lang w:eastAsia="it-IT"/>
        </w:rPr>
        <w:t xml:space="preserve"> in </w:t>
      </w:r>
      <w:proofErr w:type="spellStart"/>
      <w:r w:rsidRPr="00140D4A">
        <w:rPr>
          <w:rFonts w:eastAsia="Calibri" w:cs="Calibri"/>
          <w:bCs/>
          <w:lang w:eastAsia="it-IT"/>
        </w:rPr>
        <w:t>endoperossidi</w:t>
      </w:r>
      <w:proofErr w:type="spellEnd"/>
      <w:r w:rsidRPr="00140D4A">
        <w:rPr>
          <w:rFonts w:eastAsia="Calibri" w:cs="Calibri"/>
          <w:bCs/>
          <w:lang w:eastAsia="it-IT"/>
        </w:rPr>
        <w:t xml:space="preserve"> ciclici, </w:t>
      </w:r>
      <w:r>
        <w:rPr>
          <w:rFonts w:eastAsia="Calibri" w:cs="Calibri"/>
          <w:bCs/>
          <w:lang w:eastAsia="it-IT"/>
        </w:rPr>
        <w:t>riducendo così</w:t>
      </w:r>
      <w:r w:rsidRPr="00140D4A">
        <w:rPr>
          <w:rFonts w:eastAsia="Calibri" w:cs="Calibri"/>
          <w:bCs/>
          <w:lang w:eastAsia="it-IT"/>
        </w:rPr>
        <w:t xml:space="preserve"> la sin</w:t>
      </w:r>
      <w:r>
        <w:rPr>
          <w:rFonts w:eastAsia="Calibri" w:cs="Calibri"/>
          <w:bCs/>
          <w:lang w:eastAsia="it-IT"/>
        </w:rPr>
        <w:t xml:space="preserve">tesi dei </w:t>
      </w:r>
      <w:proofErr w:type="spellStart"/>
      <w:r>
        <w:rPr>
          <w:rFonts w:eastAsia="Calibri" w:cs="Calibri"/>
          <w:bCs/>
          <w:lang w:eastAsia="it-IT"/>
        </w:rPr>
        <w:t>trombossani</w:t>
      </w:r>
      <w:proofErr w:type="spellEnd"/>
      <w:r w:rsidRPr="00140D4A">
        <w:rPr>
          <w:rFonts w:eastAsia="Calibri" w:cs="Calibri"/>
          <w:bCs/>
          <w:lang w:eastAsia="it-IT"/>
        </w:rPr>
        <w:t xml:space="preserve">, </w:t>
      </w:r>
      <w:proofErr w:type="spellStart"/>
      <w:r>
        <w:rPr>
          <w:rFonts w:eastAsia="Calibri" w:cs="Calibri"/>
          <w:bCs/>
          <w:lang w:eastAsia="it-IT"/>
        </w:rPr>
        <w:t>prostaciclina</w:t>
      </w:r>
      <w:proofErr w:type="spellEnd"/>
      <w:r>
        <w:rPr>
          <w:rFonts w:eastAsia="Calibri" w:cs="Calibri"/>
          <w:bCs/>
          <w:lang w:eastAsia="it-IT"/>
        </w:rPr>
        <w:t xml:space="preserve"> e prostaglandine</w:t>
      </w:r>
      <w:r w:rsidRPr="00140D4A">
        <w:rPr>
          <w:rFonts w:eastAsia="Calibri" w:cs="Calibri"/>
          <w:bCs/>
          <w:lang w:eastAsia="it-IT"/>
        </w:rPr>
        <w:t>.</w:t>
      </w:r>
    </w:p>
    <w:p w:rsidR="00937982" w:rsidRPr="00937982" w:rsidRDefault="00937982" w:rsidP="0093798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</w:p>
    <w:p w:rsidR="00265B61" w:rsidRPr="00937982" w:rsidRDefault="00140D4A" w:rsidP="0093798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 w:rsidRPr="00140D4A">
        <w:rPr>
          <w:rFonts w:eastAsia="Calibri" w:cs="Calibri"/>
          <w:color w:val="000000"/>
          <w:lang w:eastAsia="it-IT"/>
        </w:rPr>
        <w:t>Vegetallumina</w:t>
      </w:r>
      <w:proofErr w:type="spellEnd"/>
      <w:r w:rsidRPr="00140D4A">
        <w:rPr>
          <w:rFonts w:eastAsia="Calibri" w:cs="Calibri"/>
          <w:color w:val="000000"/>
          <w:lang w:eastAsia="it-IT"/>
        </w:rPr>
        <w:t xml:space="preserve"> Dolore E Febbre granulato per soluzione orale</w:t>
      </w:r>
      <w:r w:rsidR="003A4664">
        <w:rPr>
          <w:rFonts w:eastAsia="Calibri" w:cs="Calibri"/>
          <w:bCs/>
          <w:iCs/>
          <w:lang w:eastAsia="it-IT"/>
        </w:rPr>
        <w:t xml:space="preserve"> </w:t>
      </w:r>
      <w:r w:rsidR="00265B61">
        <w:t>è utilizzato per</w:t>
      </w:r>
      <w:r w:rsidR="00937982" w:rsidRPr="00937982">
        <w:t xml:space="preserve"> </w:t>
      </w:r>
      <w:r w:rsidR="00937982">
        <w:t xml:space="preserve">il trattamento </w:t>
      </w:r>
      <w:r>
        <w:t>di d</w:t>
      </w:r>
      <w:r w:rsidRPr="00140D4A">
        <w:t>olori di varia origine e natura: mal di testa, mal di denti, nevra</w:t>
      </w:r>
      <w:r>
        <w:t xml:space="preserve">lgie, dolori osteo-articolari e </w:t>
      </w:r>
      <w:r w:rsidRPr="00140D4A">
        <w:t>muscolari, dolori mestruali.</w:t>
      </w:r>
      <w:r>
        <w:t xml:space="preserve"> E’ altresì impiegato come c</w:t>
      </w:r>
      <w:r w:rsidRPr="00140D4A">
        <w:t>oadiuvante nel trattamento sintomatico degli stati febbrili ed influenzali.</w:t>
      </w:r>
    </w:p>
    <w:p w:rsidR="00CC52A3" w:rsidRPr="00900C91" w:rsidRDefault="00CC52A3" w:rsidP="0042214D">
      <w:pPr>
        <w:spacing w:after="0" w:line="240" w:lineRule="auto"/>
        <w:jc w:val="both"/>
      </w:pPr>
    </w:p>
    <w:p w:rsidR="0042214D" w:rsidRDefault="00AF6F06" w:rsidP="00EF6711">
      <w:pPr>
        <w:spacing w:after="0" w:line="240" w:lineRule="auto"/>
        <w:jc w:val="both"/>
      </w:pPr>
      <w:r w:rsidRPr="00AF6F06">
        <w:t xml:space="preserve">A supporto della domanda di autorizzazione del medicinale </w:t>
      </w:r>
      <w:proofErr w:type="spellStart"/>
      <w:r w:rsidRPr="00AF6F06">
        <w:t>Vegetallumina</w:t>
      </w:r>
      <w:proofErr w:type="spellEnd"/>
      <w:r w:rsidRPr="00AF6F06">
        <w:t xml:space="preserve"> Dolore E Febbre granulato per soluzione orale non sono stati presentati studi di </w:t>
      </w:r>
      <w:proofErr w:type="spellStart"/>
      <w:r w:rsidRPr="00AF6F06">
        <w:t>bioequivalenza</w:t>
      </w:r>
      <w:proofErr w:type="spellEnd"/>
      <w:r w:rsidRPr="00AF6F06">
        <w:t xml:space="preserve"> con il medicinale di riferimento </w:t>
      </w:r>
      <w:proofErr w:type="spellStart"/>
      <w:r>
        <w:t>Spididol</w:t>
      </w:r>
      <w:proofErr w:type="spellEnd"/>
      <w:r w:rsidRPr="00AF6F06">
        <w:t xml:space="preserve">. Essendo il medicinale formulato come soluzione acquosa per uso orale, contenendo la stessa sostanza attiva e eccipienti con potenziale impatto sul transito gastrointestinale </w:t>
      </w:r>
      <w:r>
        <w:t>paragonabili</w:t>
      </w:r>
      <w:r w:rsidRPr="00AF6F06">
        <w:t xml:space="preserve"> </w:t>
      </w:r>
      <w:r>
        <w:t>al</w:t>
      </w:r>
      <w:r w:rsidR="007D3949">
        <w:t xml:space="preserve"> medicinale di riferimento,</w:t>
      </w:r>
      <w:r w:rsidRPr="00AF6F06">
        <w:t xml:space="preserve"> è considerata accettabile l’esenzione dagli studi </w:t>
      </w:r>
      <w:proofErr w:type="spellStart"/>
      <w:r w:rsidRPr="00AF6F06">
        <w:t>in-vivo</w:t>
      </w:r>
      <w:proofErr w:type="spellEnd"/>
      <w:r w:rsidRPr="00AF6F06">
        <w:t xml:space="preserve"> in linea con la linea guida sulla </w:t>
      </w:r>
      <w:proofErr w:type="spellStart"/>
      <w:r w:rsidRPr="00AF6F06">
        <w:t>bioequivalenza</w:t>
      </w:r>
      <w:proofErr w:type="spellEnd"/>
      <w:r w:rsidRPr="00AF6F06">
        <w:t>.</w:t>
      </w:r>
    </w:p>
    <w:p w:rsidR="00AF6F06" w:rsidRDefault="00AF6F06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="00F53179">
        <w:t xml:space="preserve"> - GMP). Le A</w:t>
      </w:r>
      <w:r w:rsidRPr="00EF6711">
        <w:t xml:space="preserve">utorità </w:t>
      </w:r>
      <w:proofErr w:type="spellStart"/>
      <w:r w:rsidRPr="00EF6711">
        <w:t>regolator</w:t>
      </w:r>
      <w:r w:rsidR="00EB3F70">
        <w:t>i</w:t>
      </w:r>
      <w:r w:rsidRPr="00EF6711">
        <w:t>e</w:t>
      </w:r>
      <w:proofErr w:type="spellEnd"/>
      <w:r w:rsidRPr="00EF6711">
        <w:t xml:space="preserve">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</w:t>
      </w:r>
      <w:proofErr w:type="spellStart"/>
      <w:r w:rsidRPr="00EF6711">
        <w:rPr>
          <w:i/>
        </w:rPr>
        <w:t>Plan</w:t>
      </w:r>
      <w:proofErr w:type="spellEnd"/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9826D6" w:rsidRPr="009826D6">
        <w:rPr>
          <w:rFonts w:eastAsia="Calibri" w:cs="Calibri"/>
          <w:color w:val="000000"/>
          <w:lang w:eastAsia="it-IT"/>
        </w:rPr>
        <w:t>Vegetallumina</w:t>
      </w:r>
      <w:proofErr w:type="spellEnd"/>
      <w:r w:rsidR="009826D6" w:rsidRPr="009826D6">
        <w:rPr>
          <w:rFonts w:eastAsia="Calibri" w:cs="Calibri"/>
          <w:color w:val="000000"/>
          <w:lang w:eastAsia="it-IT"/>
        </w:rPr>
        <w:t xml:space="preserve"> Dolore E Febbre granulato per soluzione orale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 xml:space="preserve">ASPETTI </w:t>
      </w:r>
      <w:proofErr w:type="spellStart"/>
      <w:r w:rsidRPr="00EF6711">
        <w:rPr>
          <w:b/>
        </w:rPr>
        <w:t>DI</w:t>
      </w:r>
      <w:proofErr w:type="spellEnd"/>
      <w:r w:rsidRPr="00EF6711">
        <w:rPr>
          <w:b/>
        </w:rPr>
        <w:t xml:space="preserve"> QUALITA’</w:t>
      </w:r>
    </w:p>
    <w:p w:rsidR="00BC648D" w:rsidRDefault="00BC648D" w:rsidP="00EF6711">
      <w:pPr>
        <w:spacing w:after="0" w:line="240" w:lineRule="auto"/>
        <w:jc w:val="both"/>
        <w:rPr>
          <w:b/>
          <w:i/>
          <w:sz w:val="20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proofErr w:type="spellStart"/>
      <w:r w:rsidR="00A10A72">
        <w:rPr>
          <w:b/>
        </w:rPr>
        <w:t>Ibuprofene</w:t>
      </w:r>
      <w:proofErr w:type="spellEnd"/>
      <w:r w:rsidR="00A10A72">
        <w:rPr>
          <w:b/>
        </w:rPr>
        <w:t xml:space="preserve"> sale sodico </w:t>
      </w:r>
      <w:proofErr w:type="spellStart"/>
      <w:r w:rsidR="00A10A72">
        <w:rPr>
          <w:b/>
        </w:rPr>
        <w:t>diidrato</w:t>
      </w:r>
      <w:proofErr w:type="spellEnd"/>
    </w:p>
    <w:p w:rsidR="001672A7" w:rsidRPr="00B70EB7" w:rsidRDefault="001672A7" w:rsidP="001672A7">
      <w:pPr>
        <w:spacing w:after="0" w:line="240" w:lineRule="auto"/>
        <w:jc w:val="both"/>
      </w:pPr>
      <w:r w:rsidRPr="00B70EB7">
        <w:rPr>
          <w:u w:val="single"/>
        </w:rPr>
        <w:t>Nome chimico</w:t>
      </w:r>
      <w:r w:rsidRPr="00B70EB7">
        <w:t xml:space="preserve">: </w:t>
      </w:r>
      <w:r w:rsidR="00A10A72" w:rsidRPr="00A10A72">
        <w:t xml:space="preserve">2(4-isobutylphenyl) </w:t>
      </w:r>
      <w:proofErr w:type="spellStart"/>
      <w:r w:rsidR="00A10A72" w:rsidRPr="00A10A72">
        <w:t>propionic</w:t>
      </w:r>
      <w:proofErr w:type="spellEnd"/>
      <w:r w:rsidR="00A10A72" w:rsidRPr="00A10A72">
        <w:t xml:space="preserve"> acid </w:t>
      </w:r>
      <w:proofErr w:type="spellStart"/>
      <w:r w:rsidR="00A10A72" w:rsidRPr="00A10A72">
        <w:t>sodium</w:t>
      </w:r>
      <w:proofErr w:type="spellEnd"/>
      <w:r w:rsidR="00A10A72" w:rsidRPr="00A10A72">
        <w:t xml:space="preserve"> </w:t>
      </w:r>
      <w:proofErr w:type="spellStart"/>
      <w:r w:rsidR="00A10A72" w:rsidRPr="00A10A72">
        <w:t>salt</w:t>
      </w:r>
      <w:proofErr w:type="spellEnd"/>
      <w:r w:rsidR="00A10A72" w:rsidRPr="00A10A72">
        <w:t xml:space="preserve"> </w:t>
      </w:r>
      <w:proofErr w:type="spellStart"/>
      <w:r w:rsidR="00A10A72" w:rsidRPr="00A10A72">
        <w:t>dihydrate</w:t>
      </w:r>
      <w:proofErr w:type="spellEnd"/>
      <w:r w:rsidR="002E5EB6" w:rsidRPr="002E5EB6">
        <w:t>.</w:t>
      </w:r>
    </w:p>
    <w:p w:rsidR="001672A7" w:rsidRPr="00B70EB7" w:rsidRDefault="001672A7" w:rsidP="001672A7">
      <w:pPr>
        <w:spacing w:after="0" w:line="240" w:lineRule="auto"/>
        <w:jc w:val="both"/>
      </w:pPr>
      <w:r w:rsidRPr="00B70EB7">
        <w:rPr>
          <w:u w:val="single"/>
        </w:rPr>
        <w:t>Struttura</w:t>
      </w:r>
      <w:r w:rsidRPr="00B70EB7">
        <w:t>:</w:t>
      </w:r>
    </w:p>
    <w:p w:rsidR="001672A7" w:rsidRPr="00B70EB7" w:rsidRDefault="00A10A72" w:rsidP="001672A7">
      <w:pPr>
        <w:spacing w:after="0" w:line="240" w:lineRule="auto"/>
        <w:jc w:val="center"/>
        <w:rPr>
          <w:noProof/>
        </w:rPr>
      </w:pPr>
      <w:r>
        <w:rPr>
          <w:noProof/>
          <w:lang w:eastAsia="it-IT"/>
        </w:rPr>
        <w:drawing>
          <wp:inline distT="0" distB="0" distL="0" distR="0">
            <wp:extent cx="2076450" cy="7143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2A7" w:rsidRPr="00B70EB7" w:rsidRDefault="001672A7" w:rsidP="001672A7">
      <w:pPr>
        <w:spacing w:after="0" w:line="240" w:lineRule="auto"/>
        <w:jc w:val="center"/>
        <w:rPr>
          <w:highlight w:val="yellow"/>
        </w:rPr>
      </w:pPr>
    </w:p>
    <w:p w:rsidR="001672A7" w:rsidRPr="00B70EB7" w:rsidRDefault="001672A7" w:rsidP="001672A7">
      <w:pPr>
        <w:spacing w:after="0" w:line="240" w:lineRule="auto"/>
        <w:jc w:val="both"/>
      </w:pPr>
      <w:r w:rsidRPr="00B70EB7">
        <w:rPr>
          <w:u w:val="single"/>
        </w:rPr>
        <w:t>Formula molecolare</w:t>
      </w:r>
      <w:r w:rsidRPr="00B70EB7">
        <w:t>:</w:t>
      </w:r>
      <w:r w:rsidRPr="00B70EB7">
        <w:rPr>
          <w:rStyle w:val="s1"/>
          <w:rFonts w:asciiTheme="minorHAnsi" w:hAnsiTheme="minorHAnsi"/>
        </w:rPr>
        <w:t xml:space="preserve"> </w:t>
      </w:r>
      <w:r w:rsidRPr="00B70EB7">
        <w:t xml:space="preserve"> </w:t>
      </w:r>
      <w:r w:rsidR="00A10A72" w:rsidRPr="00A10A72">
        <w:t>C</w:t>
      </w:r>
      <w:r w:rsidR="00A10A72" w:rsidRPr="00A10A72">
        <w:rPr>
          <w:vertAlign w:val="subscript"/>
        </w:rPr>
        <w:t>13</w:t>
      </w:r>
      <w:r w:rsidR="00A10A72" w:rsidRPr="00A10A72">
        <w:t>H</w:t>
      </w:r>
      <w:r w:rsidR="00A10A72" w:rsidRPr="00A10A72">
        <w:rPr>
          <w:vertAlign w:val="subscript"/>
        </w:rPr>
        <w:t>21</w:t>
      </w:r>
      <w:r w:rsidR="00A10A72" w:rsidRPr="00A10A72">
        <w:t>O</w:t>
      </w:r>
      <w:r w:rsidR="00A10A72" w:rsidRPr="00A10A72">
        <w:rPr>
          <w:vertAlign w:val="subscript"/>
        </w:rPr>
        <w:t>4</w:t>
      </w:r>
      <w:r w:rsidR="00A10A72" w:rsidRPr="00A10A72">
        <w:t>Na</w:t>
      </w:r>
    </w:p>
    <w:p w:rsidR="001672A7" w:rsidRPr="00B70EB7" w:rsidRDefault="001672A7" w:rsidP="001672A7">
      <w:pPr>
        <w:spacing w:after="0" w:line="240" w:lineRule="auto"/>
        <w:jc w:val="both"/>
      </w:pPr>
      <w:r w:rsidRPr="00B70EB7">
        <w:rPr>
          <w:u w:val="single"/>
        </w:rPr>
        <w:lastRenderedPageBreak/>
        <w:t>Peso molecolare</w:t>
      </w:r>
      <w:r w:rsidRPr="00B70EB7">
        <w:t>:</w:t>
      </w:r>
      <w:r w:rsidRPr="00B70EB7">
        <w:rPr>
          <w:rFonts w:cs="Arial"/>
          <w:color w:val="252525"/>
          <w:shd w:val="clear" w:color="auto" w:fill="F9F9F9"/>
        </w:rPr>
        <w:t xml:space="preserve"> </w:t>
      </w:r>
      <w:r w:rsidR="002E5EB6">
        <w:t xml:space="preserve"> </w:t>
      </w:r>
      <w:r w:rsidR="00A10A72">
        <w:t>264</w:t>
      </w:r>
      <w:r w:rsidRPr="00B70EB7">
        <w:t xml:space="preserve"> g/mol</w:t>
      </w:r>
    </w:p>
    <w:p w:rsidR="001672A7" w:rsidRPr="00B70EB7" w:rsidRDefault="001672A7" w:rsidP="001672A7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B70EB7">
        <w:rPr>
          <w:u w:val="single"/>
        </w:rPr>
        <w:t>CAS</w:t>
      </w:r>
      <w:r w:rsidRPr="00B70EB7">
        <w:t xml:space="preserve">: </w:t>
      </w:r>
      <w:r w:rsidR="00A10A72" w:rsidRPr="00A10A72">
        <w:rPr>
          <w:rFonts w:cs="Arial"/>
        </w:rPr>
        <w:t>31121-93-4</w:t>
      </w:r>
    </w:p>
    <w:p w:rsidR="001672A7" w:rsidRPr="00B70EB7" w:rsidRDefault="001672A7" w:rsidP="001672A7">
      <w:pPr>
        <w:spacing w:after="0" w:line="240" w:lineRule="auto"/>
        <w:jc w:val="both"/>
      </w:pPr>
      <w:r w:rsidRPr="00B70EB7">
        <w:rPr>
          <w:u w:val="single"/>
        </w:rPr>
        <w:t>Aspetto</w:t>
      </w:r>
      <w:r w:rsidRPr="00B70EB7">
        <w:t>: polvere bianca</w:t>
      </w:r>
    </w:p>
    <w:p w:rsidR="001672A7" w:rsidRPr="00EA6B57" w:rsidRDefault="001672A7" w:rsidP="001672A7">
      <w:pPr>
        <w:spacing w:after="0" w:line="240" w:lineRule="auto"/>
        <w:jc w:val="both"/>
        <w:rPr>
          <w:rStyle w:val="s1"/>
        </w:rPr>
      </w:pPr>
      <w:r w:rsidRPr="00B70EB7">
        <w:rPr>
          <w:u w:val="single"/>
        </w:rPr>
        <w:t>Solubilità</w:t>
      </w:r>
      <w:r w:rsidRPr="00B70EB7">
        <w:t xml:space="preserve">: </w:t>
      </w:r>
      <w:r w:rsidR="007C76EF">
        <w:t>solubile</w:t>
      </w:r>
      <w:r w:rsidR="002E5EB6" w:rsidRPr="00FD655B">
        <w:t xml:space="preserve"> in acqua</w:t>
      </w:r>
    </w:p>
    <w:p w:rsidR="00B30431" w:rsidRDefault="00B30431" w:rsidP="00EF6711">
      <w:pPr>
        <w:spacing w:after="0" w:line="240" w:lineRule="auto"/>
        <w:jc w:val="both"/>
      </w:pPr>
    </w:p>
    <w:p w:rsidR="00AE733C" w:rsidRPr="00AE733C" w:rsidRDefault="00AE733C" w:rsidP="00AE733C">
      <w:pPr>
        <w:spacing w:after="0" w:line="240" w:lineRule="auto"/>
        <w:jc w:val="both"/>
      </w:pPr>
      <w:r w:rsidRPr="00AE733C">
        <w:t xml:space="preserve">Il principio attivo </w:t>
      </w:r>
      <w:proofErr w:type="spellStart"/>
      <w:r>
        <w:t>ibuprofene</w:t>
      </w:r>
      <w:proofErr w:type="spellEnd"/>
      <w:r>
        <w:t xml:space="preserve"> sale sodico </w:t>
      </w:r>
      <w:proofErr w:type="spellStart"/>
      <w:r>
        <w:t>diidrato</w:t>
      </w:r>
      <w:proofErr w:type="spellEnd"/>
      <w:r>
        <w:t xml:space="preserve"> non</w:t>
      </w:r>
      <w:r w:rsidRPr="00AE733C">
        <w:t xml:space="preserve"> è presente in Farmacopea Europea, il produttore ha presentato un ASMF.</w:t>
      </w:r>
    </w:p>
    <w:p w:rsidR="00AE733C" w:rsidRPr="00AE733C" w:rsidRDefault="00AE733C" w:rsidP="00AE733C">
      <w:pPr>
        <w:spacing w:after="0" w:line="240" w:lineRule="auto"/>
        <w:jc w:val="both"/>
      </w:pPr>
      <w:r w:rsidRPr="00AE733C">
        <w:t xml:space="preserve">La sintesi del principio attivo è stata adeguatamente descritta a partire da idonei materiali di partenza; sono utilizzati appropriati controlli di processo </w:t>
      </w:r>
      <w:r>
        <w:t>durante la</w:t>
      </w:r>
      <w:r w:rsidRPr="00AE733C">
        <w:t xml:space="preserve"> sintesi.</w:t>
      </w:r>
    </w:p>
    <w:p w:rsidR="00AE733C" w:rsidRPr="00AE733C" w:rsidRDefault="00AE733C" w:rsidP="00AE733C">
      <w:pPr>
        <w:spacing w:after="0" w:line="240" w:lineRule="auto"/>
        <w:jc w:val="both"/>
      </w:pPr>
      <w:r w:rsidRPr="00AE733C">
        <w:t>I materiali ed i reagenti utilizzati nella sintesi sono di qualità adeguata.</w:t>
      </w:r>
    </w:p>
    <w:p w:rsidR="00AE733C" w:rsidRPr="00AE733C" w:rsidRDefault="00AE733C" w:rsidP="00AE733C">
      <w:pPr>
        <w:spacing w:after="0" w:line="240" w:lineRule="auto"/>
        <w:jc w:val="both"/>
      </w:pPr>
      <w:r>
        <w:t xml:space="preserve">I materiali ed </w:t>
      </w:r>
      <w:r w:rsidRPr="00AE733C">
        <w:t xml:space="preserve">i reagenti utilizzati nella sintesi non sono di origine umana, biologica o geneticamente modificata. </w:t>
      </w:r>
    </w:p>
    <w:p w:rsidR="00AE733C" w:rsidRPr="00AE733C" w:rsidRDefault="00AE733C" w:rsidP="00AE733C">
      <w:pPr>
        <w:spacing w:after="0" w:line="240" w:lineRule="auto"/>
        <w:jc w:val="both"/>
      </w:pPr>
      <w:r w:rsidRPr="00AE733C">
        <w:t>Le specifiche del principio attivo sono appropriate e controllate con metodi analitici adeguatamente convalidati. Sono stati forniti certificati analitici che confermano la qualità del principio attivo.</w:t>
      </w:r>
    </w:p>
    <w:p w:rsidR="00AE733C" w:rsidRPr="00AE733C" w:rsidRDefault="00AE733C" w:rsidP="00AE733C">
      <w:pPr>
        <w:spacing w:after="0" w:line="240" w:lineRule="auto"/>
        <w:jc w:val="both"/>
      </w:pPr>
      <w:r w:rsidRPr="00AE733C">
        <w:t xml:space="preserve">Il principio attivo è confezionato in un adeguato contenitore, per il quale sono stati forniti specifiche e certificati analitici. </w:t>
      </w:r>
      <w:r w:rsidR="00614E22">
        <w:t>L’</w:t>
      </w:r>
      <w:proofErr w:type="spellStart"/>
      <w:r w:rsidR="00614E22">
        <w:t>ibuprofene</w:t>
      </w:r>
      <w:proofErr w:type="spellEnd"/>
      <w:r w:rsidR="00614E22">
        <w:t xml:space="preserve"> sale sodico </w:t>
      </w:r>
      <w:proofErr w:type="spellStart"/>
      <w:r w:rsidR="00614E22">
        <w:t>diidrato</w:t>
      </w:r>
      <w:proofErr w:type="spellEnd"/>
      <w:r w:rsidRPr="00AE733C">
        <w:t xml:space="preserve"> è </w:t>
      </w:r>
      <w:r w:rsidR="00614E22">
        <w:t>confezionato</w:t>
      </w:r>
      <w:r w:rsidRPr="00AE733C">
        <w:t xml:space="preserve"> </w:t>
      </w:r>
      <w:r w:rsidR="00614E22" w:rsidRPr="00614E22">
        <w:t xml:space="preserve">in doppia busta in LDPE posta in </w:t>
      </w:r>
      <w:r w:rsidR="00614E22">
        <w:t>un contenitore</w:t>
      </w:r>
      <w:r w:rsidR="00614E22" w:rsidRPr="00614E22">
        <w:t xml:space="preserve"> di fibra</w:t>
      </w:r>
      <w:r w:rsidRPr="00AE733C">
        <w:t xml:space="preserve">. </w:t>
      </w:r>
    </w:p>
    <w:p w:rsidR="00AE733C" w:rsidRPr="00AE733C" w:rsidRDefault="00AE733C" w:rsidP="00AE733C">
      <w:pPr>
        <w:spacing w:after="0" w:line="240" w:lineRule="auto"/>
        <w:jc w:val="both"/>
      </w:pPr>
      <w:r w:rsidRPr="00AE733C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AE733C">
        <w:t>retest</w:t>
      </w:r>
      <w:proofErr w:type="spellEnd"/>
      <w:r w:rsidRPr="00AE733C">
        <w:t xml:space="preserve"> di </w:t>
      </w:r>
      <w:r w:rsidR="00614E22">
        <w:t>60</w:t>
      </w:r>
      <w:r w:rsidRPr="00AE733C">
        <w:t xml:space="preserve"> mesi. </w:t>
      </w: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652C7B" w:rsidRDefault="00614E22" w:rsidP="00EF6711">
      <w:pPr>
        <w:spacing w:after="0" w:line="240" w:lineRule="auto"/>
        <w:ind w:right="13"/>
        <w:jc w:val="both"/>
      </w:pPr>
      <w:proofErr w:type="spellStart"/>
      <w:r w:rsidRPr="00614E22">
        <w:rPr>
          <w:rFonts w:eastAsia="Calibri" w:cs="Calibri"/>
          <w:color w:val="000000"/>
          <w:lang w:eastAsia="it-IT"/>
        </w:rPr>
        <w:t>Vegetallumina</w:t>
      </w:r>
      <w:proofErr w:type="spellEnd"/>
      <w:r w:rsidRPr="00614E22">
        <w:rPr>
          <w:rFonts w:eastAsia="Calibri" w:cs="Calibri"/>
          <w:color w:val="000000"/>
          <w:lang w:eastAsia="it-IT"/>
        </w:rPr>
        <w:t xml:space="preserve"> Dolore E Febbre è un medicinale contenente il principio attivo </w:t>
      </w:r>
      <w:proofErr w:type="spellStart"/>
      <w:r w:rsidRPr="00614E22">
        <w:rPr>
          <w:rFonts w:eastAsia="Calibri" w:cs="Calibri"/>
          <w:color w:val="000000"/>
          <w:lang w:eastAsia="it-IT"/>
        </w:rPr>
        <w:t>ibuprofene</w:t>
      </w:r>
      <w:proofErr w:type="spellEnd"/>
      <w:r w:rsidRPr="00614E22">
        <w:rPr>
          <w:rFonts w:eastAsia="Calibri" w:cs="Calibri"/>
          <w:color w:val="000000"/>
          <w:lang w:eastAsia="it-IT"/>
        </w:rPr>
        <w:t xml:space="preserve"> (come sale sodico </w:t>
      </w:r>
      <w:proofErr w:type="spellStart"/>
      <w:r w:rsidRPr="00614E22">
        <w:rPr>
          <w:rFonts w:eastAsia="Calibri" w:cs="Calibri"/>
          <w:color w:val="000000"/>
          <w:lang w:eastAsia="it-IT"/>
        </w:rPr>
        <w:t>diidrato</w:t>
      </w:r>
      <w:proofErr w:type="spellEnd"/>
      <w:r w:rsidRPr="00614E22">
        <w:rPr>
          <w:rFonts w:eastAsia="Calibri" w:cs="Calibri"/>
          <w:color w:val="000000"/>
          <w:lang w:eastAsia="it-IT"/>
        </w:rPr>
        <w:t>) ed è disponibile come granulato per soluzione orale contenente 400 mg di principio attivo</w:t>
      </w:r>
      <w:r>
        <w:rPr>
          <w:rFonts w:eastAsia="Calibri" w:cs="Calibri"/>
          <w:color w:val="000000"/>
          <w:lang w:eastAsia="it-IT"/>
        </w:rPr>
        <w:t xml:space="preserve">. </w:t>
      </w:r>
      <w:r w:rsidR="004D1454">
        <w:t xml:space="preserve">Gli eccipienti di </w:t>
      </w:r>
      <w:proofErr w:type="spellStart"/>
      <w:r w:rsidRPr="00614E22">
        <w:t>Vegetallumina</w:t>
      </w:r>
      <w:proofErr w:type="spellEnd"/>
      <w:r w:rsidRPr="00614E22">
        <w:t xml:space="preserve"> Dolore E Febbre granulato per soluzione orale</w:t>
      </w:r>
      <w:r w:rsidR="004D1454" w:rsidRPr="002871ED">
        <w:t xml:space="preserve"> </w:t>
      </w:r>
      <w:r w:rsidR="004D1454">
        <w:t xml:space="preserve">sono </w:t>
      </w:r>
      <w:r>
        <w:t>s</w:t>
      </w:r>
      <w:r w:rsidRPr="00614E22">
        <w:t xml:space="preserve">accarosio, potassio bicarbonato, aroma arancia, </w:t>
      </w:r>
      <w:proofErr w:type="spellStart"/>
      <w:r w:rsidRPr="00614E22">
        <w:t>acesulfame</w:t>
      </w:r>
      <w:proofErr w:type="spellEnd"/>
      <w:r w:rsidRPr="00614E22">
        <w:t xml:space="preserve"> potassico, aspartame.</w:t>
      </w:r>
    </w:p>
    <w:p w:rsidR="000808A3" w:rsidRPr="00EF6711" w:rsidRDefault="000B7AC8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</w:t>
      </w:r>
      <w:r>
        <w:t xml:space="preserve">, ad eccezione di </w:t>
      </w:r>
      <w:r w:rsidR="00614E22">
        <w:t>aroma</w:t>
      </w:r>
      <w:r w:rsidR="002871ED">
        <w:t xml:space="preserve"> </w:t>
      </w:r>
      <w:r w:rsidR="00614E22">
        <w:t>arancia</w:t>
      </w:r>
      <w:r w:rsidR="004D1454">
        <w:t xml:space="preserve"> </w:t>
      </w:r>
      <w:r>
        <w:t xml:space="preserve">per </w:t>
      </w:r>
      <w:r w:rsidR="00614E22">
        <w:t>cui</w:t>
      </w:r>
      <w:r>
        <w:t xml:space="preserve"> i</w:t>
      </w:r>
      <w:r w:rsidR="004D1454">
        <w:t>l</w:t>
      </w:r>
      <w:r>
        <w:t xml:space="preserve"> produttor</w:t>
      </w:r>
      <w:r w:rsidR="004D1454">
        <w:t>e</w:t>
      </w:r>
      <w:r>
        <w:t xml:space="preserve"> ha</w:t>
      </w:r>
      <w:r w:rsidR="00652C7B">
        <w:t xml:space="preserve"> </w:t>
      </w:r>
      <w:r>
        <w:t>proposto spec</w:t>
      </w:r>
      <w:r w:rsidR="002871ED">
        <w:t>ifiche di controllo accettabili.</w:t>
      </w:r>
      <w:r w:rsidR="000808A3"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051D7A" w:rsidRDefault="00614E22" w:rsidP="00EF6711">
      <w:pPr>
        <w:spacing w:after="0" w:line="240" w:lineRule="auto"/>
        <w:jc w:val="both"/>
      </w:pPr>
      <w:proofErr w:type="spellStart"/>
      <w:r w:rsidRPr="00614E22">
        <w:rPr>
          <w:rFonts w:eastAsia="Calibri" w:cs="Calibri"/>
          <w:color w:val="000000"/>
          <w:lang w:eastAsia="it-IT"/>
        </w:rPr>
        <w:t>Vegetallumina</w:t>
      </w:r>
      <w:proofErr w:type="spellEnd"/>
      <w:r w:rsidRPr="00614E22">
        <w:rPr>
          <w:rFonts w:eastAsia="Calibri" w:cs="Calibri"/>
          <w:color w:val="000000"/>
          <w:lang w:eastAsia="it-IT"/>
        </w:rPr>
        <w:t xml:space="preserve"> Dolore E Febbre granulato per soluzione orale </w:t>
      </w:r>
      <w:r w:rsidR="004E5A39" w:rsidRPr="00EF6711">
        <w:t>è confezionato</w:t>
      </w:r>
      <w:r w:rsidR="00E850A7">
        <w:t xml:space="preserve"> in</w:t>
      </w:r>
      <w:bookmarkStart w:id="1" w:name="_GoBack"/>
      <w:bookmarkEnd w:id="1"/>
      <w:r w:rsidR="004E5A39" w:rsidRPr="00EF6711">
        <w:t xml:space="preserve"> </w:t>
      </w:r>
      <w:r w:rsidRPr="00614E22">
        <w:t xml:space="preserve">bustine termosaldate in </w:t>
      </w:r>
      <w:proofErr w:type="spellStart"/>
      <w:r w:rsidRPr="00614E22">
        <w:t>poliaccoppiato</w:t>
      </w:r>
      <w:proofErr w:type="spellEnd"/>
      <w:r w:rsidRPr="00614E22">
        <w:t xml:space="preserve"> carta/polietilene/alluminio/</w:t>
      </w:r>
      <w:proofErr w:type="spellStart"/>
      <w:r w:rsidRPr="00614E22">
        <w:t>surlyn</w:t>
      </w:r>
      <w:proofErr w:type="spellEnd"/>
      <w:r w:rsidR="00926D27">
        <w:t>.</w:t>
      </w:r>
    </w:p>
    <w:p w:rsidR="002C05CA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:rsidR="002C05CA" w:rsidRPr="00EF6711" w:rsidRDefault="002C05CA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012924" w:rsidRDefault="004E5A39">
      <w:pPr>
        <w:spacing w:after="0" w:line="240" w:lineRule="auto"/>
        <w:jc w:val="both"/>
      </w:pPr>
      <w:r w:rsidRPr="00EF6711">
        <w:lastRenderedPageBreak/>
        <w:t>Studi di stabilità sul prodotto finito sono stati condotti in accordo alle correnti linee guida e i risultati sono entro i limiti delle specifiche autorizzate. Sulla base di questi risultati, è stato autorizzato</w:t>
      </w:r>
      <w:r w:rsidR="00652C7B">
        <w:t xml:space="preserve"> </w:t>
      </w:r>
      <w:r w:rsidRPr="00EF6711">
        <w:t xml:space="preserve">un periodo di validità di </w:t>
      </w:r>
      <w:r w:rsidR="005B294B">
        <w:t>3</w:t>
      </w:r>
      <w:r w:rsidR="00265B61">
        <w:t xml:space="preserve"> anni</w:t>
      </w:r>
      <w:r w:rsidRPr="00EF6711">
        <w:t xml:space="preserve"> senza nessuna condizione particolare di conservazione</w:t>
      </w:r>
      <w:r w:rsidR="009A0C20">
        <w:t>.</w:t>
      </w:r>
    </w:p>
    <w:p w:rsidR="002C05CA" w:rsidRPr="00EF6711" w:rsidRDefault="002C05CA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proofErr w:type="spellStart"/>
      <w:r w:rsidR="00614E22" w:rsidRPr="00614E22">
        <w:rPr>
          <w:rFonts w:eastAsia="Calibri" w:cs="Calibri"/>
          <w:color w:val="000000"/>
          <w:lang w:eastAsia="it-IT"/>
        </w:rPr>
        <w:t>Vegetallumina</w:t>
      </w:r>
      <w:proofErr w:type="spellEnd"/>
      <w:r w:rsidR="00614E22" w:rsidRPr="00614E22">
        <w:rPr>
          <w:rFonts w:eastAsia="Calibri" w:cs="Calibri"/>
          <w:color w:val="000000"/>
          <w:lang w:eastAsia="it-IT"/>
        </w:rPr>
        <w:t xml:space="preserve"> Dolore E Febbre granulato per soluzione orale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proofErr w:type="spellStart"/>
      <w:r w:rsidR="00614E22" w:rsidRPr="00614E22">
        <w:rPr>
          <w:rFonts w:eastAsia="Calibri" w:cs="Calibri"/>
          <w:color w:val="000000"/>
          <w:lang w:eastAsia="it-IT"/>
        </w:rPr>
        <w:t>Vegetallumina</w:t>
      </w:r>
      <w:proofErr w:type="spellEnd"/>
      <w:r w:rsidR="00614E22" w:rsidRPr="00614E22">
        <w:rPr>
          <w:rFonts w:eastAsia="Calibri" w:cs="Calibri"/>
          <w:color w:val="000000"/>
          <w:lang w:eastAsia="it-IT"/>
        </w:rPr>
        <w:t xml:space="preserve"> Dolore E Febbre granulato per soluzione orale</w:t>
      </w:r>
      <w:r w:rsidR="00F86EA2">
        <w:rPr>
          <w:rFonts w:eastAsia="Calibri" w:cs="Calibri"/>
          <w:color w:val="000000"/>
          <w:lang w:eastAsia="it-IT"/>
        </w:rPr>
        <w:t xml:space="preserve"> </w:t>
      </w:r>
      <w:r w:rsidRPr="00EF6711">
        <w:t>dal punto di vista chimico-farmaceutico.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proofErr w:type="spellStart"/>
      <w:r w:rsidR="00614E22" w:rsidRPr="00614E22">
        <w:rPr>
          <w:rFonts w:eastAsia="Calibri" w:cs="Calibri"/>
          <w:color w:val="000000"/>
          <w:lang w:eastAsia="it-IT"/>
        </w:rPr>
        <w:t>Vegetallumina</w:t>
      </w:r>
      <w:proofErr w:type="spellEnd"/>
      <w:r w:rsidR="00614E22" w:rsidRPr="00614E22">
        <w:rPr>
          <w:rFonts w:eastAsia="Calibri" w:cs="Calibri"/>
          <w:color w:val="000000"/>
          <w:lang w:eastAsia="it-IT"/>
        </w:rPr>
        <w:t xml:space="preserve"> Dolore E Febbre granulato per soluzione orale</w:t>
      </w:r>
      <w:r w:rsidR="006F2F85" w:rsidRPr="00EF6711"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proofErr w:type="spellStart"/>
      <w:r w:rsidR="00614E22">
        <w:rPr>
          <w:rFonts w:eastAsia="Calibri" w:cs="Calibri"/>
          <w:lang w:eastAsia="it-IT"/>
        </w:rPr>
        <w:t>Spididol</w:t>
      </w:r>
      <w:proofErr w:type="spellEnd"/>
      <w:r w:rsidR="00C42AAC" w:rsidRPr="00EF6711">
        <w:t xml:space="preserve"> </w:t>
      </w:r>
      <w:r w:rsidRPr="00EF6711">
        <w:t>è autorizzato in Italia da oltre 10 anni</w:t>
      </w:r>
      <w:r w:rsidR="000808A3"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7D3949" w:rsidRPr="007D3949" w:rsidRDefault="00614E22" w:rsidP="007D394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 w:rsidRPr="00614E22">
        <w:rPr>
          <w:rFonts w:eastAsia="Calibri" w:cs="Calibri"/>
          <w:color w:val="000000"/>
          <w:lang w:eastAsia="it-IT"/>
        </w:rPr>
        <w:t>Vegetallumina</w:t>
      </w:r>
      <w:proofErr w:type="spellEnd"/>
      <w:r w:rsidRPr="00614E22">
        <w:rPr>
          <w:rFonts w:eastAsia="Calibri" w:cs="Calibri"/>
          <w:color w:val="000000"/>
          <w:lang w:eastAsia="it-IT"/>
        </w:rPr>
        <w:t xml:space="preserve"> Dolore E Febbre granulato per soluzione orale</w:t>
      </w:r>
      <w:r w:rsidR="008F0D1D">
        <w:rPr>
          <w:rFonts w:eastAsia="Calibri" w:cs="Calibri"/>
          <w:color w:val="000000"/>
          <w:lang w:eastAsia="it-IT"/>
        </w:rPr>
        <w:t xml:space="preserve"> </w:t>
      </w:r>
      <w:r w:rsidR="007D3949">
        <w:t xml:space="preserve">è utilizzato </w:t>
      </w:r>
      <w:r w:rsidR="007D3949" w:rsidRPr="007D3949">
        <w:t>per il trattamento di dolori di varia origine e natura: mal di testa, mal di denti, nevralgie, dolori osteo-articolari e muscolari, dolori mestruali. E’ altresì impiegato come coadiuvante nel trattamento sintomatico degli stati febbrili ed influenzali.</w:t>
      </w:r>
    </w:p>
    <w:p w:rsidR="00265B61" w:rsidRDefault="00265B61" w:rsidP="008F0D1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2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8F0D1D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</w:t>
      </w:r>
      <w:r w:rsidR="007D3949">
        <w:rPr>
          <w:rFonts w:eastAsia="Calibri" w:cs="Calibri"/>
          <w:lang w:eastAsia="it-IT"/>
        </w:rPr>
        <w:t>dell’</w:t>
      </w:r>
      <w:proofErr w:type="spellStart"/>
      <w:r w:rsidR="007D3949">
        <w:rPr>
          <w:rFonts w:eastAsia="Calibri" w:cs="Calibri"/>
          <w:lang w:eastAsia="it-IT"/>
        </w:rPr>
        <w:t>ibuprofene</w:t>
      </w:r>
      <w:proofErr w:type="spellEnd"/>
      <w:r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6727BD" w:rsidRPr="006727BD" w:rsidRDefault="006727BD" w:rsidP="006727BD">
      <w:pPr>
        <w:spacing w:after="0" w:line="240" w:lineRule="auto"/>
        <w:jc w:val="both"/>
        <w:rPr>
          <w:rFonts w:cs="Arial"/>
          <w:b/>
        </w:rPr>
      </w:pPr>
      <w:r w:rsidRPr="006727BD">
        <w:rPr>
          <w:rFonts w:cs="Arial"/>
          <w:b/>
        </w:rPr>
        <w:t>Efficacia e sicurezza clinica</w:t>
      </w:r>
    </w:p>
    <w:p w:rsidR="005049A1" w:rsidRDefault="006727BD" w:rsidP="00EF6711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7D3949" w:rsidRPr="007D3949">
        <w:rPr>
          <w:rFonts w:eastAsia="Calibri" w:cs="Calibri"/>
          <w:color w:val="000000"/>
          <w:lang w:eastAsia="it-IT"/>
        </w:rPr>
        <w:t>Vegetallumina</w:t>
      </w:r>
      <w:proofErr w:type="spellEnd"/>
      <w:r w:rsidR="007D3949" w:rsidRPr="007D3949">
        <w:rPr>
          <w:rFonts w:eastAsia="Calibri" w:cs="Calibri"/>
          <w:color w:val="000000"/>
          <w:lang w:eastAsia="it-IT"/>
        </w:rPr>
        <w:t xml:space="preserve"> Dolore E Febbre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>è ben conosciuto</w:t>
      </w:r>
      <w:r w:rsidR="007D3949">
        <w:rPr>
          <w:rFonts w:cs="Arial"/>
        </w:rPr>
        <w:t xml:space="preserve">. Inoltre </w:t>
      </w:r>
      <w:proofErr w:type="spellStart"/>
      <w:r w:rsidR="007D3949" w:rsidRPr="007D3949">
        <w:rPr>
          <w:rFonts w:cs="Arial"/>
        </w:rPr>
        <w:t>Vegetallumina</w:t>
      </w:r>
      <w:proofErr w:type="spellEnd"/>
      <w:r w:rsidR="007D3949" w:rsidRPr="007D3949">
        <w:rPr>
          <w:rFonts w:cs="Arial"/>
        </w:rPr>
        <w:t xml:space="preserve"> Dolore E Febbre</w:t>
      </w:r>
      <w:r w:rsidR="007D3949">
        <w:rPr>
          <w:rFonts w:cs="Arial"/>
        </w:rPr>
        <w:t xml:space="preserve"> è stato</w:t>
      </w:r>
      <w:r w:rsidR="007D3949" w:rsidRPr="007D3949">
        <w:rPr>
          <w:rFonts w:cs="Arial"/>
        </w:rPr>
        <w:t xml:space="preserve"> formulato come soluzione acquosa per uso orale, contenendo la stessa sostanza attiva e eccipienti con potenziale impatto sul transito gastrointestinale paragonabili al medicinale di riferimento, </w:t>
      </w:r>
      <w:r w:rsidR="007D3949">
        <w:rPr>
          <w:rFonts w:cs="Arial"/>
        </w:rPr>
        <w:t xml:space="preserve">pertanto </w:t>
      </w:r>
      <w:r w:rsidR="007D3949" w:rsidRPr="007D3949">
        <w:rPr>
          <w:rFonts w:cs="Arial"/>
        </w:rPr>
        <w:t xml:space="preserve">è considerata accettabile </w:t>
      </w:r>
      <w:r w:rsidR="007D3949">
        <w:rPr>
          <w:rFonts w:cs="Arial"/>
        </w:rPr>
        <w:t xml:space="preserve">l’esenzione dagli studi clinici </w:t>
      </w:r>
      <w:proofErr w:type="spellStart"/>
      <w:r w:rsidR="007D3949">
        <w:rPr>
          <w:rFonts w:cs="Arial"/>
        </w:rPr>
        <w:t>in-vivo</w:t>
      </w:r>
      <w:proofErr w:type="spellEnd"/>
      <w:r w:rsidR="007D3949">
        <w:rPr>
          <w:rFonts w:cs="Arial"/>
        </w:rPr>
        <w:t>.</w:t>
      </w:r>
    </w:p>
    <w:p w:rsidR="008F0D1D" w:rsidRDefault="008F0D1D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</w:t>
      </w:r>
      <w:proofErr w:type="spellStart"/>
      <w:r w:rsidRPr="00EF6711">
        <w:rPr>
          <w:b/>
          <w:i/>
        </w:rPr>
        <w:t>Plan</w:t>
      </w:r>
      <w:proofErr w:type="spellEnd"/>
      <w:r w:rsidRPr="00EF6711">
        <w:rPr>
          <w:b/>
        </w:rPr>
        <w:t xml:space="preserve"> - RMP)</w:t>
      </w:r>
    </w:p>
    <w:p w:rsidR="004E5A39" w:rsidRDefault="00FD132A" w:rsidP="00EF6711">
      <w:pPr>
        <w:pStyle w:val="Paragrafoelenco"/>
        <w:spacing w:after="0" w:line="240" w:lineRule="auto"/>
        <w:ind w:left="0"/>
        <w:jc w:val="both"/>
        <w:rPr>
          <w:rFonts w:eastAsia="Calibri" w:cs="Calibri"/>
          <w:color w:val="000000"/>
          <w:lang w:eastAsia="it-IT"/>
        </w:rPr>
      </w:pPr>
      <w:r w:rsidRPr="00FD132A">
        <w:t xml:space="preserve">E’ stato presentato un RMP in accordo a quanto previsto dalla Direttiva 2001/83/EU </w:t>
      </w:r>
      <w:proofErr w:type="spellStart"/>
      <w:r w:rsidRPr="00FD132A">
        <w:t>s.m.i.</w:t>
      </w:r>
      <w:proofErr w:type="spellEnd"/>
      <w:r w:rsidRPr="00FD132A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Pr="00FD132A">
        <w:t>Vegetallumina</w:t>
      </w:r>
      <w:proofErr w:type="spellEnd"/>
      <w:r w:rsidRPr="00FD132A">
        <w:t xml:space="preserve"> Dolore E Febbre. Il riassunto delle problematiche di sicurezza è riportato nella tabella seguente</w:t>
      </w:r>
      <w:r w:rsidR="008F0D1D">
        <w:rPr>
          <w:rFonts w:eastAsia="Calibri" w:cs="Calibri"/>
          <w:color w:val="000000"/>
          <w:lang w:eastAsia="it-IT"/>
        </w:rPr>
        <w:t>.</w:t>
      </w:r>
    </w:p>
    <w:p w:rsidR="00FD132A" w:rsidRDefault="00FD132A" w:rsidP="00EF6711">
      <w:pPr>
        <w:pStyle w:val="Paragrafoelenco"/>
        <w:spacing w:after="0" w:line="240" w:lineRule="auto"/>
        <w:ind w:left="0"/>
        <w:jc w:val="both"/>
        <w:rPr>
          <w:rFonts w:eastAsia="Calibri" w:cs="Calibri"/>
          <w:color w:val="000000"/>
          <w:lang w:eastAsia="it-IT"/>
        </w:rPr>
      </w:pPr>
    </w:p>
    <w:tbl>
      <w:tblPr>
        <w:tblW w:w="4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293"/>
        <w:gridCol w:w="6158"/>
      </w:tblGrid>
      <w:tr w:rsidR="00FD132A" w:rsidRPr="00FD132A" w:rsidTr="00B479B8">
        <w:trPr>
          <w:jc w:val="center"/>
        </w:trPr>
        <w:tc>
          <w:tcPr>
            <w:tcW w:w="1742" w:type="pct"/>
            <w:shd w:val="clear" w:color="auto" w:fill="auto"/>
          </w:tcPr>
          <w:p w:rsidR="00FD132A" w:rsidRPr="00FD132A" w:rsidRDefault="00FD132A" w:rsidP="00FD132A">
            <w:pPr>
              <w:spacing w:after="0" w:line="240" w:lineRule="auto"/>
              <w:jc w:val="both"/>
            </w:pPr>
            <w:r w:rsidRPr="00FD132A">
              <w:t>Rischi identificati importanti</w:t>
            </w:r>
          </w:p>
        </w:tc>
        <w:tc>
          <w:tcPr>
            <w:tcW w:w="3258" w:type="pct"/>
            <w:shd w:val="clear" w:color="auto" w:fill="auto"/>
          </w:tcPr>
          <w:p w:rsidR="00FD132A" w:rsidRDefault="00FD132A" w:rsidP="00FD132A">
            <w:pPr>
              <w:spacing w:after="0" w:line="240" w:lineRule="auto"/>
              <w:jc w:val="both"/>
            </w:pPr>
            <w:r>
              <w:t>- Sanguinamento, ulcerazione e perforazione gastro-intestinale</w:t>
            </w:r>
          </w:p>
          <w:p w:rsidR="00FD132A" w:rsidRDefault="00FD132A" w:rsidP="00FD132A">
            <w:pPr>
              <w:spacing w:after="0" w:line="240" w:lineRule="auto"/>
              <w:jc w:val="both"/>
            </w:pPr>
            <w:r>
              <w:t xml:space="preserve">- </w:t>
            </w:r>
            <w:r w:rsidR="00F00292">
              <w:t>Patologie</w:t>
            </w:r>
            <w:r>
              <w:t xml:space="preserve"> cardiovascolari</w:t>
            </w:r>
          </w:p>
          <w:p w:rsidR="00FD132A" w:rsidRDefault="00FD132A" w:rsidP="00FD132A">
            <w:pPr>
              <w:spacing w:after="0" w:line="240" w:lineRule="auto"/>
              <w:jc w:val="both"/>
            </w:pPr>
            <w:r>
              <w:t xml:space="preserve">- </w:t>
            </w:r>
            <w:r w:rsidR="00F00292">
              <w:t>Ictus</w:t>
            </w:r>
          </w:p>
          <w:p w:rsidR="00F00292" w:rsidRDefault="00F00292" w:rsidP="00FD132A">
            <w:pPr>
              <w:spacing w:after="0" w:line="240" w:lineRule="auto"/>
              <w:jc w:val="both"/>
            </w:pPr>
            <w:r>
              <w:t xml:space="preserve">- Ipersensibilità/reazioni allergiche (inclusa </w:t>
            </w:r>
            <w:proofErr w:type="spellStart"/>
            <w:r>
              <w:t>ispersensibilità</w:t>
            </w:r>
            <w:proofErr w:type="spellEnd"/>
            <w:r>
              <w:t xml:space="preserve"> ai FANS o aspirina)</w:t>
            </w:r>
          </w:p>
          <w:p w:rsidR="00F00292" w:rsidRDefault="00F00292" w:rsidP="00FD132A">
            <w:pPr>
              <w:spacing w:after="0" w:line="240" w:lineRule="auto"/>
              <w:jc w:val="both"/>
            </w:pPr>
            <w:r>
              <w:t xml:space="preserve">- Reazioni cutanee gravi (sindrome di </w:t>
            </w:r>
            <w:proofErr w:type="spellStart"/>
            <w:r>
              <w:t>Stevens-Johnson</w:t>
            </w:r>
            <w:proofErr w:type="spellEnd"/>
            <w:r>
              <w:t xml:space="preserve">, </w:t>
            </w:r>
            <w:proofErr w:type="spellStart"/>
            <w:r>
              <w:t>necrolisi</w:t>
            </w:r>
            <w:proofErr w:type="spellEnd"/>
            <w:r>
              <w:t xml:space="preserve"> epidermica, dermatite esfoliativa)</w:t>
            </w:r>
          </w:p>
          <w:p w:rsidR="00F00292" w:rsidRDefault="00F00292" w:rsidP="00FD132A">
            <w:pPr>
              <w:spacing w:after="0" w:line="240" w:lineRule="auto"/>
              <w:jc w:val="both"/>
            </w:pPr>
            <w:r>
              <w:t>- Tossicità renale/insufficienza renale</w:t>
            </w:r>
          </w:p>
          <w:p w:rsidR="00F00292" w:rsidRDefault="00F00292" w:rsidP="00FD132A">
            <w:pPr>
              <w:spacing w:after="0" w:line="240" w:lineRule="auto"/>
              <w:jc w:val="both"/>
            </w:pPr>
            <w:r>
              <w:lastRenderedPageBreak/>
              <w:t>- Patologie epatiche</w:t>
            </w:r>
          </w:p>
          <w:p w:rsidR="00F00292" w:rsidRDefault="00F00292" w:rsidP="00FD132A">
            <w:pPr>
              <w:spacing w:after="0" w:line="240" w:lineRule="auto"/>
              <w:jc w:val="both"/>
            </w:pPr>
            <w:r>
              <w:t>- Uso durante il terzo trimestre di gravidanza (incluso rischio di chiusura prematura del dotto arterioso)</w:t>
            </w:r>
          </w:p>
          <w:p w:rsidR="00F00292" w:rsidRDefault="00F00292" w:rsidP="00FD132A">
            <w:pPr>
              <w:spacing w:after="0" w:line="240" w:lineRule="auto"/>
              <w:jc w:val="both"/>
            </w:pPr>
            <w:r>
              <w:t>- Uso negli anziani</w:t>
            </w:r>
          </w:p>
          <w:p w:rsidR="00F00292" w:rsidRDefault="00F00292" w:rsidP="00FD132A">
            <w:pPr>
              <w:spacing w:after="0" w:line="240" w:lineRule="auto"/>
              <w:jc w:val="both"/>
            </w:pPr>
            <w:r>
              <w:t xml:space="preserve">- Uso di </w:t>
            </w:r>
            <w:proofErr w:type="spellStart"/>
            <w:r>
              <w:t>ibuprofene</w:t>
            </w:r>
            <w:proofErr w:type="spellEnd"/>
            <w:r>
              <w:t xml:space="preserve"> con altri medicinali che possono incrementare il rischio di sanguinamento ed ulcerazioni</w:t>
            </w:r>
          </w:p>
          <w:p w:rsidR="00F00292" w:rsidRDefault="00F00292" w:rsidP="00FD132A">
            <w:pPr>
              <w:spacing w:after="0" w:line="240" w:lineRule="auto"/>
              <w:jc w:val="both"/>
            </w:pPr>
            <w:r>
              <w:t>- Interazione con farmaci anti-ipertensivi (ad esempio diuretici, beta-bloccanti)</w:t>
            </w:r>
          </w:p>
          <w:p w:rsidR="00B159AB" w:rsidRDefault="00F00292" w:rsidP="00FD132A">
            <w:pPr>
              <w:spacing w:after="0" w:line="240" w:lineRule="auto"/>
              <w:jc w:val="both"/>
            </w:pPr>
            <w:r>
              <w:t xml:space="preserve">- Meningite asettica in pazienti con </w:t>
            </w:r>
            <w:r w:rsidR="00B159AB">
              <w:t xml:space="preserve">lupus eritematoso sistemico </w:t>
            </w:r>
          </w:p>
          <w:p w:rsidR="00F00292" w:rsidRDefault="00F00292" w:rsidP="00FD132A">
            <w:pPr>
              <w:spacing w:after="0" w:line="240" w:lineRule="auto"/>
              <w:jc w:val="both"/>
            </w:pPr>
            <w:r>
              <w:t>e malattia del tessuto connettivo misto</w:t>
            </w:r>
          </w:p>
          <w:p w:rsidR="00FD132A" w:rsidRPr="00FD132A" w:rsidRDefault="00B159AB" w:rsidP="00FD132A">
            <w:pPr>
              <w:spacing w:after="0" w:line="240" w:lineRule="auto"/>
              <w:jc w:val="both"/>
            </w:pPr>
            <w:r>
              <w:t xml:space="preserve">- Aggravamento della colite ulcerosa e del morbo di </w:t>
            </w:r>
            <w:proofErr w:type="spellStart"/>
            <w:r>
              <w:t>Chron</w:t>
            </w:r>
            <w:proofErr w:type="spellEnd"/>
          </w:p>
        </w:tc>
      </w:tr>
      <w:tr w:rsidR="00FD132A" w:rsidRPr="00FD132A" w:rsidTr="00B479B8">
        <w:trPr>
          <w:trHeight w:val="380"/>
          <w:jc w:val="center"/>
        </w:trPr>
        <w:tc>
          <w:tcPr>
            <w:tcW w:w="1742" w:type="pct"/>
            <w:shd w:val="clear" w:color="auto" w:fill="auto"/>
          </w:tcPr>
          <w:p w:rsidR="00FD132A" w:rsidRPr="00FD132A" w:rsidRDefault="00FD132A" w:rsidP="00FD132A">
            <w:pPr>
              <w:spacing w:after="0" w:line="240" w:lineRule="auto"/>
              <w:jc w:val="both"/>
            </w:pPr>
            <w:r w:rsidRPr="00FD132A">
              <w:lastRenderedPageBreak/>
              <w:t>Rischi potenziali importanti</w:t>
            </w:r>
          </w:p>
        </w:tc>
        <w:tc>
          <w:tcPr>
            <w:tcW w:w="3258" w:type="pct"/>
            <w:shd w:val="clear" w:color="auto" w:fill="auto"/>
          </w:tcPr>
          <w:p w:rsidR="00FD132A" w:rsidRDefault="00B159AB" w:rsidP="00FD132A">
            <w:pPr>
              <w:spacing w:after="0" w:line="240" w:lineRule="auto"/>
              <w:jc w:val="both"/>
            </w:pPr>
            <w:r>
              <w:t>- Uso durante il primo ed il secondo trimestre di gravidanza</w:t>
            </w:r>
          </w:p>
          <w:p w:rsidR="00B159AB" w:rsidRDefault="00B159AB" w:rsidP="00FD132A">
            <w:pPr>
              <w:spacing w:after="0" w:line="240" w:lineRule="auto"/>
              <w:jc w:val="both"/>
            </w:pPr>
            <w:r>
              <w:t>- Compromissione della fertilità femminile</w:t>
            </w:r>
          </w:p>
          <w:p w:rsidR="00B159AB" w:rsidRPr="00FD132A" w:rsidRDefault="00B159AB" w:rsidP="00FD132A">
            <w:pPr>
              <w:spacing w:after="0" w:line="240" w:lineRule="auto"/>
              <w:jc w:val="both"/>
            </w:pPr>
            <w:r>
              <w:t>- Uso nei bambini di età inferiore ai 12 anni</w:t>
            </w:r>
          </w:p>
        </w:tc>
      </w:tr>
      <w:tr w:rsidR="00FD132A" w:rsidRPr="00FD132A" w:rsidTr="00B479B8">
        <w:trPr>
          <w:jc w:val="center"/>
        </w:trPr>
        <w:tc>
          <w:tcPr>
            <w:tcW w:w="1742" w:type="pct"/>
            <w:shd w:val="clear" w:color="auto" w:fill="auto"/>
          </w:tcPr>
          <w:p w:rsidR="00FD132A" w:rsidRPr="00FD132A" w:rsidRDefault="00FD132A" w:rsidP="00FD132A">
            <w:pPr>
              <w:spacing w:after="0" w:line="240" w:lineRule="auto"/>
              <w:jc w:val="both"/>
            </w:pPr>
            <w:r w:rsidRPr="00FD132A">
              <w:t>Informazioni mancanti</w:t>
            </w:r>
          </w:p>
        </w:tc>
        <w:tc>
          <w:tcPr>
            <w:tcW w:w="3258" w:type="pct"/>
            <w:shd w:val="clear" w:color="auto" w:fill="auto"/>
          </w:tcPr>
          <w:p w:rsidR="00FD132A" w:rsidRPr="00FD132A" w:rsidRDefault="00B159AB" w:rsidP="00FD132A">
            <w:pPr>
              <w:spacing w:after="0" w:line="240" w:lineRule="auto"/>
              <w:jc w:val="both"/>
            </w:pPr>
            <w:r>
              <w:t>- Uso durante l’allattamento</w:t>
            </w:r>
          </w:p>
        </w:tc>
      </w:tr>
    </w:tbl>
    <w:p w:rsidR="00FD132A" w:rsidRDefault="00FD132A" w:rsidP="00EF6711">
      <w:pPr>
        <w:pStyle w:val="Paragrafoelenco"/>
        <w:spacing w:after="0" w:line="240" w:lineRule="auto"/>
        <w:ind w:left="0"/>
        <w:jc w:val="both"/>
        <w:rPr>
          <w:rFonts w:eastAsia="Calibri" w:cs="Calibri"/>
          <w:color w:val="000000"/>
          <w:lang w:eastAsia="it-IT"/>
        </w:rPr>
      </w:pPr>
    </w:p>
    <w:p w:rsidR="00FD132A" w:rsidRPr="00EF6711" w:rsidRDefault="00FD132A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Azioni </w:t>
      </w:r>
      <w:proofErr w:type="spellStart"/>
      <w:r w:rsidRPr="00EF6711">
        <w:t>routinarie</w:t>
      </w:r>
      <w:proofErr w:type="spellEnd"/>
      <w:r w:rsidRPr="00EF6711">
        <w:t xml:space="preserve">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proofErr w:type="spellStart"/>
      <w:r w:rsidR="00FD132A" w:rsidRPr="00FD132A">
        <w:rPr>
          <w:rFonts w:eastAsia="Calibri" w:cs="Calibri"/>
          <w:color w:val="000000"/>
          <w:lang w:eastAsia="it-IT"/>
        </w:rPr>
        <w:t>Vegetallumina</w:t>
      </w:r>
      <w:proofErr w:type="spellEnd"/>
      <w:r w:rsidR="00FD132A" w:rsidRPr="00FD132A">
        <w:rPr>
          <w:rFonts w:eastAsia="Calibri" w:cs="Calibri"/>
          <w:color w:val="000000"/>
          <w:lang w:eastAsia="it-IT"/>
        </w:rPr>
        <w:t xml:space="preserve"> Dolore E Febbre granulato per soluzione orale</w:t>
      </w:r>
      <w:r w:rsidR="008F0D1D" w:rsidRPr="00EF6711"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proofErr w:type="spellStart"/>
      <w:r w:rsidR="00FD132A" w:rsidRPr="00FD132A">
        <w:rPr>
          <w:rFonts w:eastAsia="Calibri" w:cs="Calibri"/>
          <w:color w:val="000000"/>
          <w:lang w:eastAsia="it-IT"/>
        </w:rPr>
        <w:t>Vegetallumina</w:t>
      </w:r>
      <w:proofErr w:type="spellEnd"/>
      <w:r w:rsidR="00FD132A" w:rsidRPr="00FD132A">
        <w:rPr>
          <w:rFonts w:eastAsia="Calibri" w:cs="Calibri"/>
          <w:color w:val="000000"/>
          <w:lang w:eastAsia="it-IT"/>
        </w:rPr>
        <w:t xml:space="preserve"> Dolore E Febbre granulato per soluzione orale</w:t>
      </w:r>
      <w:r w:rsidR="008F0D1D" w:rsidRPr="00EF6711"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proofErr w:type="spellStart"/>
      <w:r w:rsidR="00B159AB" w:rsidRPr="00B159AB">
        <w:rPr>
          <w:rFonts w:eastAsia="Calibri" w:cs="Calibri"/>
          <w:color w:val="000000"/>
          <w:lang w:eastAsia="it-IT"/>
        </w:rPr>
        <w:t>Vegetallumina</w:t>
      </w:r>
      <w:proofErr w:type="spellEnd"/>
      <w:r w:rsidR="00B159AB" w:rsidRPr="00B159AB">
        <w:rPr>
          <w:rFonts w:eastAsia="Calibri" w:cs="Calibri"/>
          <w:color w:val="000000"/>
          <w:lang w:eastAsia="it-IT"/>
        </w:rPr>
        <w:t xml:space="preserve"> Dolore E Febbre granulato per soluzione orale</w:t>
      </w:r>
      <w:r w:rsidR="008F0D1D" w:rsidRPr="00EF6711">
        <w:t xml:space="preserve"> </w:t>
      </w:r>
      <w:r w:rsidRPr="00EF6711">
        <w:t>è accettabile e non sono state rilevate criticità da un punto di vista non clinico e clinico.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6B311C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3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A7E06"/>
    <w:multiLevelType w:val="hybridMultilevel"/>
    <w:tmpl w:val="ECAAD24C"/>
    <w:lvl w:ilvl="0" w:tplc="0EE007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2A07E0"/>
    <w:multiLevelType w:val="hybridMultilevel"/>
    <w:tmpl w:val="AADAF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B">
    <w15:presenceInfo w15:providerId="None" w15:userId="A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2924"/>
    <w:rsid w:val="00013020"/>
    <w:rsid w:val="00014743"/>
    <w:rsid w:val="00022511"/>
    <w:rsid w:val="00023CEA"/>
    <w:rsid w:val="00051D7A"/>
    <w:rsid w:val="00062636"/>
    <w:rsid w:val="000808A3"/>
    <w:rsid w:val="000A4BA1"/>
    <w:rsid w:val="000B5D9F"/>
    <w:rsid w:val="000B7AC8"/>
    <w:rsid w:val="000E1F86"/>
    <w:rsid w:val="000E4494"/>
    <w:rsid w:val="000F658F"/>
    <w:rsid w:val="0010567C"/>
    <w:rsid w:val="00111E9E"/>
    <w:rsid w:val="00116932"/>
    <w:rsid w:val="00120DD2"/>
    <w:rsid w:val="00140D4A"/>
    <w:rsid w:val="00141058"/>
    <w:rsid w:val="001460CA"/>
    <w:rsid w:val="001672A7"/>
    <w:rsid w:val="001A63EF"/>
    <w:rsid w:val="001C15DF"/>
    <w:rsid w:val="001C347D"/>
    <w:rsid w:val="00214C9F"/>
    <w:rsid w:val="0025634C"/>
    <w:rsid w:val="00265B61"/>
    <w:rsid w:val="00266A13"/>
    <w:rsid w:val="00277A0E"/>
    <w:rsid w:val="002871ED"/>
    <w:rsid w:val="00290091"/>
    <w:rsid w:val="002C05CA"/>
    <w:rsid w:val="002E5EB6"/>
    <w:rsid w:val="002F094D"/>
    <w:rsid w:val="002F2543"/>
    <w:rsid w:val="002F4000"/>
    <w:rsid w:val="00300BEA"/>
    <w:rsid w:val="003061E0"/>
    <w:rsid w:val="00321360"/>
    <w:rsid w:val="0032788B"/>
    <w:rsid w:val="00360550"/>
    <w:rsid w:val="00367CE0"/>
    <w:rsid w:val="00371591"/>
    <w:rsid w:val="00375680"/>
    <w:rsid w:val="00375944"/>
    <w:rsid w:val="003A4664"/>
    <w:rsid w:val="003D3CAC"/>
    <w:rsid w:val="003F0F3F"/>
    <w:rsid w:val="0042214D"/>
    <w:rsid w:val="00423A97"/>
    <w:rsid w:val="004241AC"/>
    <w:rsid w:val="004609F8"/>
    <w:rsid w:val="004A536E"/>
    <w:rsid w:val="004B20A8"/>
    <w:rsid w:val="004D1454"/>
    <w:rsid w:val="004E5A39"/>
    <w:rsid w:val="004F7F9A"/>
    <w:rsid w:val="00500ACA"/>
    <w:rsid w:val="005049A1"/>
    <w:rsid w:val="00504FC1"/>
    <w:rsid w:val="0056372C"/>
    <w:rsid w:val="00567615"/>
    <w:rsid w:val="005950D6"/>
    <w:rsid w:val="005B294B"/>
    <w:rsid w:val="00614E22"/>
    <w:rsid w:val="00621AE2"/>
    <w:rsid w:val="00642D6A"/>
    <w:rsid w:val="0064307F"/>
    <w:rsid w:val="0064646C"/>
    <w:rsid w:val="00652C7B"/>
    <w:rsid w:val="00654D9E"/>
    <w:rsid w:val="00664193"/>
    <w:rsid w:val="00664931"/>
    <w:rsid w:val="006727BD"/>
    <w:rsid w:val="006B311C"/>
    <w:rsid w:val="006B3E12"/>
    <w:rsid w:val="006D7B8C"/>
    <w:rsid w:val="006F2F85"/>
    <w:rsid w:val="007018C6"/>
    <w:rsid w:val="00716DF5"/>
    <w:rsid w:val="007170D7"/>
    <w:rsid w:val="007221B6"/>
    <w:rsid w:val="00766E26"/>
    <w:rsid w:val="00783781"/>
    <w:rsid w:val="00794C13"/>
    <w:rsid w:val="00797416"/>
    <w:rsid w:val="007A0242"/>
    <w:rsid w:val="007A319A"/>
    <w:rsid w:val="007C76EF"/>
    <w:rsid w:val="007D3949"/>
    <w:rsid w:val="007E6861"/>
    <w:rsid w:val="00823F4C"/>
    <w:rsid w:val="00843288"/>
    <w:rsid w:val="00844DC0"/>
    <w:rsid w:val="008520F9"/>
    <w:rsid w:val="008547B3"/>
    <w:rsid w:val="008819D4"/>
    <w:rsid w:val="0088216F"/>
    <w:rsid w:val="008A6FEC"/>
    <w:rsid w:val="008B4708"/>
    <w:rsid w:val="008B60D7"/>
    <w:rsid w:val="008B7465"/>
    <w:rsid w:val="008C3D30"/>
    <w:rsid w:val="008D1529"/>
    <w:rsid w:val="008F0D1D"/>
    <w:rsid w:val="00917EFC"/>
    <w:rsid w:val="009251C0"/>
    <w:rsid w:val="00926D27"/>
    <w:rsid w:val="00937982"/>
    <w:rsid w:val="00943785"/>
    <w:rsid w:val="00957832"/>
    <w:rsid w:val="009826D6"/>
    <w:rsid w:val="009838AB"/>
    <w:rsid w:val="009A0C20"/>
    <w:rsid w:val="009A23DE"/>
    <w:rsid w:val="009A260F"/>
    <w:rsid w:val="009B03DB"/>
    <w:rsid w:val="009B6747"/>
    <w:rsid w:val="009C30E8"/>
    <w:rsid w:val="009D3446"/>
    <w:rsid w:val="009E0140"/>
    <w:rsid w:val="009E2BC0"/>
    <w:rsid w:val="009F3867"/>
    <w:rsid w:val="009F6454"/>
    <w:rsid w:val="00A01AB1"/>
    <w:rsid w:val="00A04859"/>
    <w:rsid w:val="00A07F50"/>
    <w:rsid w:val="00A10A72"/>
    <w:rsid w:val="00A3243C"/>
    <w:rsid w:val="00A40FF3"/>
    <w:rsid w:val="00A62D55"/>
    <w:rsid w:val="00A908B9"/>
    <w:rsid w:val="00A92B02"/>
    <w:rsid w:val="00A966D1"/>
    <w:rsid w:val="00AD6198"/>
    <w:rsid w:val="00AE733C"/>
    <w:rsid w:val="00AF6F06"/>
    <w:rsid w:val="00B023E9"/>
    <w:rsid w:val="00B1186F"/>
    <w:rsid w:val="00B159AB"/>
    <w:rsid w:val="00B30431"/>
    <w:rsid w:val="00B35080"/>
    <w:rsid w:val="00B6734D"/>
    <w:rsid w:val="00B7287A"/>
    <w:rsid w:val="00BA0ACD"/>
    <w:rsid w:val="00BA69AD"/>
    <w:rsid w:val="00BB2AF8"/>
    <w:rsid w:val="00BB65AF"/>
    <w:rsid w:val="00BB7B54"/>
    <w:rsid w:val="00BC648D"/>
    <w:rsid w:val="00BC74C2"/>
    <w:rsid w:val="00BE7CDB"/>
    <w:rsid w:val="00BF55B9"/>
    <w:rsid w:val="00BF7A42"/>
    <w:rsid w:val="00C2565A"/>
    <w:rsid w:val="00C25858"/>
    <w:rsid w:val="00C42AAC"/>
    <w:rsid w:val="00C62BBE"/>
    <w:rsid w:val="00C66597"/>
    <w:rsid w:val="00CA5181"/>
    <w:rsid w:val="00CB1D87"/>
    <w:rsid w:val="00CC52A3"/>
    <w:rsid w:val="00CC7AFF"/>
    <w:rsid w:val="00CE62A1"/>
    <w:rsid w:val="00D04F35"/>
    <w:rsid w:val="00D059CD"/>
    <w:rsid w:val="00D20170"/>
    <w:rsid w:val="00D212AA"/>
    <w:rsid w:val="00D451DB"/>
    <w:rsid w:val="00D60600"/>
    <w:rsid w:val="00D83FC9"/>
    <w:rsid w:val="00D922ED"/>
    <w:rsid w:val="00DB359A"/>
    <w:rsid w:val="00DF2ABE"/>
    <w:rsid w:val="00E10D6C"/>
    <w:rsid w:val="00E164B8"/>
    <w:rsid w:val="00E20F48"/>
    <w:rsid w:val="00E41708"/>
    <w:rsid w:val="00E43089"/>
    <w:rsid w:val="00E83F8D"/>
    <w:rsid w:val="00E850A7"/>
    <w:rsid w:val="00EA6B57"/>
    <w:rsid w:val="00EB3F70"/>
    <w:rsid w:val="00EC3589"/>
    <w:rsid w:val="00EC6357"/>
    <w:rsid w:val="00EF062E"/>
    <w:rsid w:val="00EF401A"/>
    <w:rsid w:val="00EF6711"/>
    <w:rsid w:val="00F00292"/>
    <w:rsid w:val="00F2316F"/>
    <w:rsid w:val="00F360BA"/>
    <w:rsid w:val="00F53179"/>
    <w:rsid w:val="00F64C8D"/>
    <w:rsid w:val="00F66767"/>
    <w:rsid w:val="00F85989"/>
    <w:rsid w:val="00F86EA2"/>
    <w:rsid w:val="00F96473"/>
    <w:rsid w:val="00FA2702"/>
    <w:rsid w:val="00FD132A"/>
    <w:rsid w:val="00FE4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674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674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674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674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674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A9979CC9DD0F47AE09FD0BB63E45DC" ma:contentTypeVersion="8" ma:contentTypeDescription="Creare un nuovo documento." ma:contentTypeScope="" ma:versionID="29575100741ae447a83f7a64bdb2d76d">
  <xsd:schema xmlns:xsd="http://www.w3.org/2001/XMLSchema" xmlns:xs="http://www.w3.org/2001/XMLSchema" xmlns:p="http://schemas.microsoft.com/office/2006/metadata/properties" xmlns:ns3="2648df67-80e3-44af-a48a-dab9b3e8d4ca" targetNamespace="http://schemas.microsoft.com/office/2006/metadata/properties" ma:root="true" ma:fieldsID="32488449da33551db3a591bd66f7a40c" ns3:_="">
    <xsd:import namespace="2648df67-80e3-44af-a48a-dab9b3e8d4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48df67-80e3-44af-a48a-dab9b3e8d4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F8DE0A-A3EF-46C7-A714-7569079EB3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65907-4C2B-4C65-AAF9-46CB5C96E0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82F723-C068-46D8-B4B3-7AEA44A71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48df67-80e3-44af-a48a-dab9b3e8d4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2531</Words>
  <Characters>14433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TANTUM VERDE GOLA (Flurbiprofene)</vt:lpstr>
    </vt:vector>
  </TitlesOfParts>
  <Company/>
  <LinksUpToDate>false</LinksUpToDate>
  <CharactersWithSpaces>16931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TANTUM VERDE GOLA (Flurbiprofene)</dc:title>
  <dc:subject>AIC 034015</dc:subject>
  <dc:creator>AIFA</dc:creator>
  <cp:lastModifiedBy>rovazzanid</cp:lastModifiedBy>
  <cp:revision>4</cp:revision>
  <cp:lastPrinted>2020-09-16T08:27:00Z</cp:lastPrinted>
  <dcterms:created xsi:type="dcterms:W3CDTF">2020-09-17T13:29:00Z</dcterms:created>
  <dcterms:modified xsi:type="dcterms:W3CDTF">2020-09-17T13:49:00Z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0x01010087A9979CC9DD0F47AE09FD0BB63E45DC</vt:lpwstr>
  </property>
</Properties>
</file>