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B1A8B" w14:textId="4B392FB9"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</w:p>
    <w:p w14:paraId="04F62E5A" w14:textId="4DD3EAF0" w:rsidR="004241AC" w:rsidRDefault="00BC671C" w:rsidP="004241AC">
      <w:pPr>
        <w:spacing w:after="0" w:line="240" w:lineRule="auto"/>
        <w:jc w:val="center"/>
        <w:rPr>
          <w:b/>
        </w:rPr>
      </w:pPr>
      <w:r w:rsidRPr="00BC671C">
        <w:rPr>
          <w:rFonts w:ascii="Calibri" w:eastAsia="Calibri" w:hAnsi="Calibri" w:cs="Calibri"/>
          <w:noProof/>
          <w:lang w:eastAsia="it-IT"/>
        </w:rPr>
        <w:drawing>
          <wp:inline distT="0" distB="0" distL="0" distR="0" wp14:anchorId="55E8DCB1" wp14:editId="61675488">
            <wp:extent cx="2656840" cy="1095375"/>
            <wp:effectExtent l="0" t="0" r="0" b="952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2DD7D" w14:textId="77777777" w:rsidR="00CA6F00" w:rsidRDefault="00CA6F00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621A6E54" w14:textId="77777777" w:rsidR="00CA6F00" w:rsidRDefault="00CA6F00" w:rsidP="00823F4C">
      <w:pPr>
        <w:spacing w:after="0" w:line="240" w:lineRule="auto"/>
        <w:jc w:val="center"/>
        <w:rPr>
          <w:b/>
          <w:sz w:val="28"/>
        </w:rPr>
      </w:pPr>
    </w:p>
    <w:p w14:paraId="5B3585F2" w14:textId="77777777" w:rsidR="00CA6F00" w:rsidRDefault="00CA6F00" w:rsidP="00823F4C">
      <w:pPr>
        <w:spacing w:after="0" w:line="240" w:lineRule="auto"/>
        <w:jc w:val="center"/>
        <w:rPr>
          <w:b/>
          <w:sz w:val="28"/>
        </w:rPr>
      </w:pPr>
    </w:p>
    <w:p w14:paraId="735CEB1D" w14:textId="29A09D44" w:rsidR="00823F4C" w:rsidRDefault="00BC671C" w:rsidP="00BC671C">
      <w:p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                                            </w:t>
      </w:r>
      <w:bookmarkStart w:id="1" w:name="_GoBack"/>
      <w:bookmarkEnd w:id="1"/>
      <w:r w:rsidR="00823F4C">
        <w:rPr>
          <w:b/>
          <w:sz w:val="28"/>
        </w:rPr>
        <w:t>Relazione Pubblica di Valutazione</w:t>
      </w:r>
    </w:p>
    <w:p w14:paraId="4EB4AF1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4AF0E35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AC0C7D7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0BF72F9" w14:textId="66BD044C" w:rsidR="00BF7A42" w:rsidRDefault="0055518C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AZOLIX</w:t>
      </w:r>
    </w:p>
    <w:p w14:paraId="2BAA9B91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B1ECCBC" w14:textId="584E34B9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BF746D">
        <w:rPr>
          <w:snapToGrid w:val="0"/>
        </w:rPr>
        <w:t>Fluconazolo</w:t>
      </w:r>
      <w:r w:rsidRPr="00A966D1">
        <w:rPr>
          <w:snapToGrid w:val="0"/>
        </w:rPr>
        <w:t>)</w:t>
      </w:r>
    </w:p>
    <w:p w14:paraId="77A137F0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EEBE4C0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1599493D" w14:textId="4F6FD448" w:rsidR="00EC3589" w:rsidRDefault="00275830" w:rsidP="004241AC">
      <w:pPr>
        <w:spacing w:after="0" w:line="240" w:lineRule="auto"/>
        <w:jc w:val="center"/>
        <w:rPr>
          <w:b/>
        </w:rPr>
      </w:pPr>
      <w:r w:rsidRPr="00275830">
        <w:rPr>
          <w:b/>
        </w:rPr>
        <w:t>Genetic S.p.A.</w:t>
      </w:r>
      <w:r w:rsidR="00BF7A42" w:rsidRPr="00BF7A42">
        <w:rPr>
          <w:b/>
        </w:rPr>
        <w:t xml:space="preserve"> </w:t>
      </w:r>
    </w:p>
    <w:p w14:paraId="349B5C6A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47350B46" w14:textId="480BEA3D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55518C" w:rsidRPr="0055518C">
        <w:rPr>
          <w:rFonts w:eastAsia="Times New Roman"/>
          <w:b/>
          <w:iCs/>
          <w:sz w:val="20"/>
          <w:szCs w:val="20"/>
          <w:lang w:eastAsia="it-IT"/>
        </w:rPr>
        <w:t>047334</w:t>
      </w:r>
    </w:p>
    <w:p w14:paraId="58FE622E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3209722D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2F6DFEAB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29CFA330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1DB443B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7960D02" w14:textId="2D3558C6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5518C">
        <w:rPr>
          <w:rFonts w:eastAsia="Calibri" w:cs="Calibri"/>
          <w:color w:val="000000"/>
          <w:lang w:eastAsia="it-IT"/>
        </w:rPr>
        <w:t>AZOLIX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5518C">
        <w:rPr>
          <w:rFonts w:eastAsia="Calibri" w:cs="Calibri"/>
          <w:color w:val="000000"/>
          <w:lang w:eastAsia="it-IT"/>
        </w:rPr>
        <w:t>AZOLIX</w:t>
      </w:r>
      <w:r w:rsidR="001A344A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55518C">
        <w:rPr>
          <w:rFonts w:eastAsia="Calibri" w:cs="Calibri"/>
          <w:color w:val="000000"/>
          <w:lang w:eastAsia="it-IT"/>
        </w:rPr>
        <w:t>AZOLIX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427DDD8B" w14:textId="50C4D0CB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="001A344A">
        <w:rPr>
          <w:rFonts w:eastAsia="Calibri" w:cs="Calibri"/>
          <w:bCs/>
          <w:color w:val="000000"/>
          <w:lang w:eastAsia="it-IT"/>
        </w:rPr>
        <w:t xml:space="preserve"> </w:t>
      </w:r>
      <w:r w:rsidR="0055518C">
        <w:rPr>
          <w:rFonts w:eastAsia="Calibri" w:cs="Calibri"/>
          <w:bCs/>
          <w:color w:val="000000"/>
          <w:lang w:eastAsia="it-IT"/>
        </w:rPr>
        <w:t>AZOLIX</w:t>
      </w:r>
      <w:r w:rsidR="001A344A">
        <w:rPr>
          <w:rFonts w:eastAsia="Calibri" w:cs="Calibri"/>
          <w:bCs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71A8F2D6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978F7AC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0C26C1C" w14:textId="65E2305C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2DBA33EE" w14:textId="4CB53E3C" w:rsidR="00797416" w:rsidRDefault="0055518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F9712A">
        <w:rPr>
          <w:rFonts w:eastAsia="Calibri" w:cs="Calibri"/>
          <w:color w:val="000000"/>
          <w:lang w:eastAsia="it-IT"/>
        </w:rPr>
        <w:t>fluconazolo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41E0D742" w14:textId="2A07BCD9" w:rsidR="006B311C" w:rsidRDefault="007974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capsule</w:t>
      </w:r>
      <w:r w:rsidR="00F9712A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F9712A">
        <w:rPr>
          <w:rFonts w:eastAsia="Calibri" w:cs="Calibri"/>
          <w:color w:val="000000"/>
          <w:lang w:eastAsia="it-IT"/>
        </w:rPr>
        <w:t>100</w:t>
      </w:r>
      <w:r>
        <w:rPr>
          <w:rFonts w:eastAsia="Calibri" w:cs="Calibri"/>
          <w:color w:val="000000"/>
          <w:lang w:eastAsia="it-IT"/>
        </w:rPr>
        <w:t xml:space="preserve"> mg</w:t>
      </w:r>
      <w:r w:rsidR="00F9712A">
        <w:rPr>
          <w:rFonts w:eastAsia="Calibri" w:cs="Calibri"/>
          <w:color w:val="000000"/>
          <w:lang w:eastAsia="it-IT"/>
        </w:rPr>
        <w:t xml:space="preserve">, 150 mg e 200 mg </w:t>
      </w:r>
      <w:r>
        <w:rPr>
          <w:rFonts w:eastAsia="Calibri" w:cs="Calibri"/>
          <w:color w:val="000000"/>
          <w:lang w:eastAsia="it-IT"/>
        </w:rPr>
        <w:t>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F9712A">
        <w:rPr>
          <w:rFonts w:eastAsia="Calibri" w:cs="Calibri"/>
          <w:color w:val="000000"/>
          <w:lang w:eastAsia="it-IT"/>
        </w:rPr>
        <w:t>.</w:t>
      </w:r>
    </w:p>
    <w:p w14:paraId="7E87FB42" w14:textId="7C093CC3" w:rsidR="00797416" w:rsidRDefault="0055518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F9712A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223594">
        <w:rPr>
          <w:rFonts w:eastAsia="Calibri" w:cs="Calibri"/>
          <w:color w:val="000000"/>
          <w:lang w:eastAsia="it-IT"/>
        </w:rPr>
        <w:t>DIFLUCAN</w:t>
      </w:r>
      <w:r w:rsidR="00797416">
        <w:rPr>
          <w:rFonts w:eastAsia="Calibri" w:cs="Calibri"/>
          <w:color w:val="000000"/>
          <w:lang w:eastAsia="it-IT"/>
        </w:rPr>
        <w:t>, già autorizzato in Italia.</w:t>
      </w:r>
    </w:p>
    <w:p w14:paraId="581C36CE" w14:textId="74F543C6"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6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223594">
        <w:rPr>
          <w:rFonts w:eastAsia="Calibri" w:cs="Calibri"/>
          <w:color w:val="000000"/>
          <w:lang w:eastAsia="it-IT"/>
        </w:rPr>
        <w:t>DIFLUCAN</w:t>
      </w:r>
      <w:r w:rsidRPr="00D2683B">
        <w:rPr>
          <w:rFonts w:eastAsia="Calibri" w:cs="Calibri"/>
          <w:color w:val="000000"/>
          <w:lang w:eastAsia="it-IT"/>
        </w:rPr>
        <w:t>.</w:t>
      </w:r>
    </w:p>
    <w:p w14:paraId="6AF1E521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CF01C4C" w14:textId="34F7594C" w:rsidR="00BB2AF8" w:rsidRDefault="0055518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C90EF6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B2AF8">
        <w:rPr>
          <w:rFonts w:eastAsia="Calibri" w:cs="Calibri"/>
          <w:lang w:eastAsia="it-IT"/>
        </w:rPr>
        <w:t>:</w:t>
      </w:r>
    </w:p>
    <w:p w14:paraId="597B2774" w14:textId="77777777" w:rsidR="00D04A5B" w:rsidRDefault="00D04A5B" w:rsidP="00D04A5B">
      <w:pPr>
        <w:pStyle w:val="Corpotesto"/>
        <w:spacing w:before="1"/>
        <w:ind w:right="709"/>
        <w:jc w:val="both"/>
        <w:rPr>
          <w:rFonts w:eastAsia="Calibri" w:cs="Calibri"/>
          <w:color w:val="000000"/>
          <w:lang w:eastAsia="it-IT"/>
        </w:rPr>
      </w:pPr>
      <w:r w:rsidRPr="00D04A5B">
        <w:rPr>
          <w:rFonts w:eastAsia="Calibri" w:cs="Calibri"/>
          <w:color w:val="000000"/>
          <w:lang w:eastAsia="it-IT"/>
        </w:rPr>
        <w:t xml:space="preserve">per il trattamento di infezioni micotiche e può essere usato per prevenire infezioni da </w:t>
      </w:r>
      <w:r w:rsidRPr="00D04A5B">
        <w:rPr>
          <w:rFonts w:eastAsia="Calibri" w:cs="Calibri"/>
          <w:i/>
          <w:iCs/>
          <w:color w:val="000000"/>
          <w:lang w:eastAsia="it-IT"/>
        </w:rPr>
        <w:t>Candida</w:t>
      </w:r>
      <w:r w:rsidRPr="00D04A5B">
        <w:rPr>
          <w:rFonts w:eastAsia="Calibri" w:cs="Calibri"/>
          <w:color w:val="000000"/>
          <w:lang w:eastAsia="it-IT"/>
        </w:rPr>
        <w:t xml:space="preserve">. </w:t>
      </w:r>
    </w:p>
    <w:p w14:paraId="31C74991" w14:textId="17A2BEB7" w:rsidR="00D04A5B" w:rsidRPr="00D04A5B" w:rsidRDefault="00D04A5B" w:rsidP="00D04A5B">
      <w:pPr>
        <w:pStyle w:val="Corpotesto"/>
        <w:spacing w:before="1"/>
        <w:ind w:right="709"/>
        <w:jc w:val="both"/>
        <w:rPr>
          <w:rFonts w:eastAsia="Calibri" w:cs="Calibri"/>
          <w:color w:val="000000"/>
          <w:lang w:eastAsia="it-IT"/>
        </w:rPr>
      </w:pPr>
      <w:r w:rsidRPr="00D04A5B">
        <w:rPr>
          <w:rFonts w:eastAsia="Calibri" w:cs="Calibri"/>
          <w:color w:val="000000"/>
          <w:lang w:eastAsia="it-IT"/>
        </w:rPr>
        <w:t xml:space="preserve">La causa più comune di infezioni micotiche è un lievito chiamato </w:t>
      </w:r>
      <w:r w:rsidRPr="00D04A5B">
        <w:rPr>
          <w:rFonts w:eastAsia="Calibri" w:cs="Calibri"/>
          <w:i/>
          <w:iCs/>
          <w:color w:val="000000"/>
          <w:lang w:eastAsia="it-IT"/>
        </w:rPr>
        <w:t>Candida</w:t>
      </w:r>
      <w:r w:rsidRPr="00D04A5B">
        <w:rPr>
          <w:rFonts w:eastAsia="Calibri" w:cs="Calibri"/>
          <w:color w:val="000000"/>
          <w:lang w:eastAsia="it-IT"/>
        </w:rPr>
        <w:t>.</w:t>
      </w:r>
    </w:p>
    <w:p w14:paraId="664BE185" w14:textId="77777777" w:rsidR="00D04A5B" w:rsidRDefault="00D04A5B" w:rsidP="00D04A5B">
      <w:pPr>
        <w:pStyle w:val="Corpotesto"/>
        <w:spacing w:line="477" w:lineRule="auto"/>
        <w:ind w:right="629"/>
        <w:jc w:val="both"/>
      </w:pPr>
      <w:r w:rsidRPr="00A076B7">
        <w:t>Il medico può prescriverle questo medicinale per il trattamento delle seguenti infezioni</w:t>
      </w:r>
      <w:r w:rsidRPr="00A076B7">
        <w:rPr>
          <w:spacing w:val="-29"/>
        </w:rPr>
        <w:t xml:space="preserve"> </w:t>
      </w:r>
      <w:r w:rsidRPr="00A076B7">
        <w:t>micotiche:</w:t>
      </w:r>
    </w:p>
    <w:p w14:paraId="081792CC" w14:textId="77777777" w:rsidR="00D04A5B" w:rsidRPr="00A076B7" w:rsidRDefault="00D04A5B" w:rsidP="00D04A5B">
      <w:pPr>
        <w:pStyle w:val="Corpotesto"/>
        <w:spacing w:line="477" w:lineRule="auto"/>
        <w:ind w:right="629" w:firstLine="708"/>
        <w:jc w:val="both"/>
      </w:pPr>
      <w:r w:rsidRPr="00A076B7">
        <w:rPr>
          <w:u w:val="single"/>
        </w:rPr>
        <w:t>Adulti</w:t>
      </w:r>
    </w:p>
    <w:p w14:paraId="0B6749AB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59"/>
          <w:tab w:val="left" w:pos="1360"/>
        </w:tabs>
        <w:autoSpaceDE w:val="0"/>
        <w:autoSpaceDN w:val="0"/>
        <w:spacing w:before="4" w:after="0" w:line="240" w:lineRule="auto"/>
        <w:ind w:left="1359" w:hanging="546"/>
        <w:contextualSpacing w:val="0"/>
        <w:jc w:val="both"/>
      </w:pPr>
      <w:r w:rsidRPr="00A076B7">
        <w:lastRenderedPageBreak/>
        <w:t>Meningite criptococcica, un’infezione micotica del</w:t>
      </w:r>
      <w:r w:rsidRPr="00A076B7">
        <w:rPr>
          <w:spacing w:val="-22"/>
        </w:rPr>
        <w:t xml:space="preserve"> </w:t>
      </w:r>
      <w:r w:rsidRPr="00A076B7">
        <w:t>cervello;</w:t>
      </w:r>
    </w:p>
    <w:p w14:paraId="1481E962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81"/>
          <w:tab w:val="left" w:pos="1382"/>
        </w:tabs>
        <w:autoSpaceDE w:val="0"/>
        <w:autoSpaceDN w:val="0"/>
        <w:spacing w:before="1" w:after="0" w:line="252" w:lineRule="exact"/>
        <w:ind w:hanging="568"/>
        <w:contextualSpacing w:val="0"/>
        <w:jc w:val="both"/>
      </w:pPr>
      <w:r w:rsidRPr="00A076B7">
        <w:t>Coccidioidomicosi, una malattia del sistema</w:t>
      </w:r>
      <w:r w:rsidRPr="00A076B7">
        <w:rPr>
          <w:spacing w:val="-16"/>
        </w:rPr>
        <w:t xml:space="preserve"> </w:t>
      </w:r>
      <w:r w:rsidRPr="00A076B7">
        <w:t>broncopolmonare;</w:t>
      </w:r>
    </w:p>
    <w:p w14:paraId="56E31A49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81"/>
          <w:tab w:val="left" w:pos="1382"/>
        </w:tabs>
        <w:autoSpaceDE w:val="0"/>
        <w:autoSpaceDN w:val="0"/>
        <w:spacing w:after="0" w:line="240" w:lineRule="auto"/>
        <w:ind w:right="134" w:hanging="567"/>
        <w:contextualSpacing w:val="0"/>
        <w:jc w:val="both"/>
      </w:pPr>
      <w:r w:rsidRPr="00A076B7">
        <w:t xml:space="preserve">Infezioni causate da </w:t>
      </w:r>
      <w:r w:rsidRPr="00A076B7">
        <w:rPr>
          <w:i/>
        </w:rPr>
        <w:t xml:space="preserve">Candida </w:t>
      </w:r>
      <w:r w:rsidRPr="00A076B7">
        <w:t>e riscontrate nel flusso sanguigno, negli organi (p.es. cuore, polmoni) o nel tratto</w:t>
      </w:r>
      <w:r w:rsidRPr="00A076B7">
        <w:rPr>
          <w:spacing w:val="-3"/>
        </w:rPr>
        <w:t xml:space="preserve"> </w:t>
      </w:r>
      <w:r w:rsidRPr="00A076B7">
        <w:t>urinario;</w:t>
      </w:r>
    </w:p>
    <w:p w14:paraId="61743982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81"/>
          <w:tab w:val="left" w:pos="1382"/>
        </w:tabs>
        <w:autoSpaceDE w:val="0"/>
        <w:autoSpaceDN w:val="0"/>
        <w:spacing w:after="0" w:line="240" w:lineRule="auto"/>
        <w:ind w:right="134" w:hanging="567"/>
        <w:contextualSpacing w:val="0"/>
        <w:jc w:val="both"/>
      </w:pPr>
      <w:r w:rsidRPr="00A076B7">
        <w:t>Candidiasi delle mucose, infezione della mucosa orale, infezione della gola e infiammazione della bocca da protesi</w:t>
      </w:r>
      <w:r w:rsidRPr="00A076B7">
        <w:rPr>
          <w:spacing w:val="-4"/>
        </w:rPr>
        <w:t xml:space="preserve"> </w:t>
      </w:r>
      <w:r w:rsidRPr="00A076B7">
        <w:t>dentale</w:t>
      </w:r>
      <w:r>
        <w:t>;</w:t>
      </w:r>
    </w:p>
    <w:p w14:paraId="42CF2C02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81"/>
          <w:tab w:val="left" w:pos="1382"/>
        </w:tabs>
        <w:autoSpaceDE w:val="0"/>
        <w:autoSpaceDN w:val="0"/>
        <w:spacing w:before="1" w:after="0" w:line="252" w:lineRule="exact"/>
        <w:ind w:hanging="568"/>
        <w:contextualSpacing w:val="0"/>
        <w:jc w:val="both"/>
      </w:pPr>
      <w:r w:rsidRPr="00A076B7">
        <w:t>Candidiasi genitale - infezione della vagina o del</w:t>
      </w:r>
      <w:r w:rsidRPr="00A076B7">
        <w:rPr>
          <w:spacing w:val="-14"/>
        </w:rPr>
        <w:t xml:space="preserve"> </w:t>
      </w:r>
      <w:r w:rsidRPr="00A076B7">
        <w:t>pene;</w:t>
      </w:r>
    </w:p>
    <w:p w14:paraId="20D82544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81"/>
          <w:tab w:val="left" w:pos="1382"/>
        </w:tabs>
        <w:autoSpaceDE w:val="0"/>
        <w:autoSpaceDN w:val="0"/>
        <w:spacing w:after="0" w:line="252" w:lineRule="exact"/>
        <w:ind w:hanging="568"/>
        <w:contextualSpacing w:val="0"/>
        <w:jc w:val="both"/>
      </w:pPr>
      <w:r w:rsidRPr="00A076B7">
        <w:t>Infezioni della pelle - p.es. piede d’atleta, tigna, prurito nella zona genitale, infezioni delle</w:t>
      </w:r>
      <w:r w:rsidRPr="00A076B7">
        <w:rPr>
          <w:spacing w:val="-29"/>
        </w:rPr>
        <w:t xml:space="preserve"> </w:t>
      </w:r>
      <w:r w:rsidRPr="00A076B7">
        <w:t>unghie.</w:t>
      </w:r>
    </w:p>
    <w:p w14:paraId="4E0A139B" w14:textId="77777777" w:rsidR="00D04A5B" w:rsidRPr="00A076B7" w:rsidRDefault="00D04A5B" w:rsidP="00D04A5B">
      <w:pPr>
        <w:pStyle w:val="Corpotesto"/>
        <w:spacing w:before="10"/>
        <w:jc w:val="both"/>
      </w:pPr>
    </w:p>
    <w:p w14:paraId="739F0A35" w14:textId="77777777" w:rsidR="00D04A5B" w:rsidRPr="00A076B7" w:rsidRDefault="00D04A5B" w:rsidP="00D04A5B">
      <w:pPr>
        <w:pStyle w:val="Corpotesto"/>
        <w:ind w:firstLine="708"/>
        <w:jc w:val="both"/>
      </w:pPr>
      <w:bookmarkStart w:id="2" w:name="Bambini_e_adolescenti_(da_0_a_17_anni)"/>
      <w:bookmarkEnd w:id="2"/>
      <w:r w:rsidRPr="00A076B7">
        <w:rPr>
          <w:u w:val="single"/>
        </w:rPr>
        <w:t>Bambini</w:t>
      </w:r>
      <w:r w:rsidRPr="00A076B7">
        <w:rPr>
          <w:spacing w:val="-5"/>
          <w:u w:val="single"/>
        </w:rPr>
        <w:t xml:space="preserve"> </w:t>
      </w:r>
      <w:r w:rsidRPr="00A076B7">
        <w:rPr>
          <w:u w:val="single"/>
        </w:rPr>
        <w:t>e</w:t>
      </w:r>
      <w:r w:rsidRPr="00A076B7">
        <w:rPr>
          <w:spacing w:val="-6"/>
          <w:u w:val="single"/>
        </w:rPr>
        <w:t xml:space="preserve"> </w:t>
      </w:r>
      <w:r w:rsidRPr="00A076B7">
        <w:rPr>
          <w:u w:val="single"/>
        </w:rPr>
        <w:t>adolescenti</w:t>
      </w:r>
      <w:r w:rsidRPr="00A076B7">
        <w:rPr>
          <w:spacing w:val="-5"/>
          <w:u w:val="single"/>
        </w:rPr>
        <w:t xml:space="preserve"> </w:t>
      </w:r>
      <w:r w:rsidRPr="00A076B7">
        <w:rPr>
          <w:u w:val="single"/>
        </w:rPr>
        <w:t>(da</w:t>
      </w:r>
      <w:r w:rsidRPr="00A076B7">
        <w:rPr>
          <w:spacing w:val="-7"/>
          <w:u w:val="single"/>
        </w:rPr>
        <w:t xml:space="preserve"> </w:t>
      </w:r>
      <w:r w:rsidRPr="00A076B7">
        <w:rPr>
          <w:u w:val="single"/>
        </w:rPr>
        <w:t>0</w:t>
      </w:r>
      <w:r w:rsidRPr="00A076B7">
        <w:rPr>
          <w:spacing w:val="-8"/>
          <w:u w:val="single"/>
        </w:rPr>
        <w:t xml:space="preserve"> </w:t>
      </w:r>
      <w:r w:rsidRPr="00A076B7">
        <w:rPr>
          <w:u w:val="single"/>
        </w:rPr>
        <w:t>a</w:t>
      </w:r>
      <w:r w:rsidRPr="00A076B7">
        <w:rPr>
          <w:spacing w:val="-6"/>
          <w:u w:val="single"/>
        </w:rPr>
        <w:t xml:space="preserve"> </w:t>
      </w:r>
      <w:r w:rsidRPr="00A076B7">
        <w:rPr>
          <w:u w:val="single"/>
        </w:rPr>
        <w:t>17</w:t>
      </w:r>
      <w:r w:rsidRPr="00A076B7">
        <w:rPr>
          <w:spacing w:val="-6"/>
          <w:u w:val="single"/>
        </w:rPr>
        <w:t xml:space="preserve"> </w:t>
      </w:r>
      <w:r w:rsidRPr="00A076B7">
        <w:rPr>
          <w:u w:val="single"/>
        </w:rPr>
        <w:t>anni)</w:t>
      </w:r>
    </w:p>
    <w:p w14:paraId="3757787C" w14:textId="77777777" w:rsidR="00D04A5B" w:rsidRPr="00A076B7" w:rsidRDefault="00D04A5B" w:rsidP="00D04A5B">
      <w:pPr>
        <w:pStyle w:val="Corpotesto"/>
        <w:spacing w:before="1"/>
        <w:ind w:left="708"/>
        <w:jc w:val="both"/>
      </w:pPr>
      <w:r w:rsidRPr="00A076B7">
        <w:t>Il medico può prescrivere questo medicinale per il suo bambino per il trattamento delle seguenti infezioni micotiche:</w:t>
      </w:r>
    </w:p>
    <w:p w14:paraId="31B5EFCF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69" w:after="0" w:line="240" w:lineRule="auto"/>
        <w:ind w:left="1390" w:hanging="577"/>
        <w:contextualSpacing w:val="0"/>
        <w:jc w:val="both"/>
      </w:pPr>
      <w:r w:rsidRPr="00A076B7">
        <w:t>candidiasi delle mucose, infezione della mucosa orale, infezione della</w:t>
      </w:r>
      <w:r w:rsidRPr="00A076B7">
        <w:rPr>
          <w:spacing w:val="-21"/>
        </w:rPr>
        <w:t xml:space="preserve"> </w:t>
      </w:r>
      <w:r w:rsidRPr="00A076B7">
        <w:t>gola;</w:t>
      </w:r>
    </w:p>
    <w:p w14:paraId="2BBDABF8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2" w:after="0" w:line="240" w:lineRule="auto"/>
        <w:ind w:right="133" w:hanging="567"/>
        <w:contextualSpacing w:val="0"/>
        <w:jc w:val="both"/>
      </w:pPr>
      <w:r w:rsidRPr="00A076B7">
        <w:t xml:space="preserve">infezioni causate da </w:t>
      </w:r>
      <w:r w:rsidRPr="00A076B7">
        <w:rPr>
          <w:i/>
        </w:rPr>
        <w:t xml:space="preserve">Candida </w:t>
      </w:r>
      <w:r w:rsidRPr="00A076B7">
        <w:t>e riscontrate nel flusso sanguigno, negli organi (p.es. cuore, polmoni) o nel tratto</w:t>
      </w:r>
      <w:r w:rsidRPr="00A076B7">
        <w:rPr>
          <w:spacing w:val="-3"/>
        </w:rPr>
        <w:t xml:space="preserve"> </w:t>
      </w:r>
      <w:r w:rsidRPr="00A076B7">
        <w:t>urinario;</w:t>
      </w:r>
    </w:p>
    <w:p w14:paraId="267B25C8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after="0" w:line="240" w:lineRule="auto"/>
        <w:ind w:left="1390" w:hanging="577"/>
        <w:contextualSpacing w:val="0"/>
        <w:jc w:val="both"/>
      </w:pPr>
      <w:r w:rsidRPr="00A076B7">
        <w:t>meningite criptococcica, un’infezione micotica del</w:t>
      </w:r>
      <w:r w:rsidRPr="00A076B7">
        <w:rPr>
          <w:spacing w:val="-14"/>
        </w:rPr>
        <w:t xml:space="preserve"> </w:t>
      </w:r>
      <w:r w:rsidRPr="00A076B7">
        <w:t>cervello.</w:t>
      </w:r>
    </w:p>
    <w:p w14:paraId="5D653795" w14:textId="77777777" w:rsidR="00D04A5B" w:rsidRPr="00A076B7" w:rsidRDefault="00D04A5B" w:rsidP="00D04A5B">
      <w:pPr>
        <w:pStyle w:val="Corpotesto"/>
        <w:spacing w:before="9"/>
        <w:jc w:val="both"/>
      </w:pPr>
    </w:p>
    <w:p w14:paraId="4E98CACC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56A8C1F5" w14:textId="256E3CC1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55518C">
        <w:rPr>
          <w:rFonts w:eastAsia="Calibri" w:cs="Calibri"/>
          <w:b/>
          <w:bCs/>
          <w:color w:val="000000"/>
          <w:lang w:eastAsia="it-IT"/>
        </w:rPr>
        <w:t>AZOLIX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2325C9A5" w14:textId="32F71789" w:rsidR="00300BEA" w:rsidRPr="001C15DF" w:rsidRDefault="0055518C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AZOLIX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D04A5B">
        <w:rPr>
          <w:rFonts w:asciiTheme="minorHAnsi" w:eastAsia="Calibri" w:hAnsiTheme="minorHAnsi" w:cs="Calibri"/>
          <w:color w:val="000000"/>
          <w:sz w:val="22"/>
          <w:szCs w:val="22"/>
        </w:rPr>
        <w:t xml:space="preserve">. </w:t>
      </w:r>
    </w:p>
    <w:p w14:paraId="7BB57928" w14:textId="77777777" w:rsidR="001C15DF" w:rsidRPr="001C15DF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424D92BF" w14:textId="002E464F" w:rsidR="00D04A5B" w:rsidRPr="00A076B7" w:rsidRDefault="0055518C" w:rsidP="00D04A5B">
      <w:pPr>
        <w:pStyle w:val="Corpotesto"/>
        <w:spacing w:line="252" w:lineRule="exact"/>
        <w:jc w:val="both"/>
      </w:pPr>
      <w:r>
        <w:t>AZOLIX</w:t>
      </w:r>
      <w:r w:rsidR="00D04A5B" w:rsidRPr="00A076B7">
        <w:t xml:space="preserve"> può</w:t>
      </w:r>
      <w:r w:rsidR="00D04A5B" w:rsidRPr="00A076B7">
        <w:rPr>
          <w:spacing w:val="-13"/>
        </w:rPr>
        <w:t xml:space="preserve"> </w:t>
      </w:r>
      <w:r w:rsidR="00D04A5B" w:rsidRPr="00A076B7">
        <w:t>essere</w:t>
      </w:r>
      <w:r w:rsidR="00D04A5B" w:rsidRPr="00A076B7">
        <w:rPr>
          <w:spacing w:val="-12"/>
        </w:rPr>
        <w:t xml:space="preserve"> </w:t>
      </w:r>
      <w:r w:rsidR="00D04A5B" w:rsidRPr="00A076B7">
        <w:t>prescritto</w:t>
      </w:r>
      <w:r w:rsidR="00D04A5B" w:rsidRPr="00D04A5B">
        <w:t xml:space="preserve"> negli adulti </w:t>
      </w:r>
      <w:r w:rsidR="00D04A5B" w:rsidRPr="00A076B7">
        <w:t>per:</w:t>
      </w:r>
    </w:p>
    <w:p w14:paraId="3503882C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2" w:after="0" w:line="252" w:lineRule="exact"/>
        <w:ind w:left="1390" w:hanging="577"/>
        <w:contextualSpacing w:val="0"/>
        <w:jc w:val="both"/>
      </w:pPr>
      <w:r w:rsidRPr="00A076B7">
        <w:t>prevenire la ricomparsa della meningite</w:t>
      </w:r>
      <w:r w:rsidRPr="00A076B7">
        <w:rPr>
          <w:spacing w:val="-15"/>
        </w:rPr>
        <w:t xml:space="preserve"> </w:t>
      </w:r>
      <w:r w:rsidRPr="00A076B7">
        <w:t>criptococcica;</w:t>
      </w:r>
    </w:p>
    <w:p w14:paraId="638BD134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after="0" w:line="252" w:lineRule="exact"/>
        <w:ind w:left="1390" w:hanging="577"/>
        <w:contextualSpacing w:val="0"/>
        <w:jc w:val="both"/>
      </w:pPr>
      <w:r w:rsidRPr="00A076B7">
        <w:t>prevenire la ricomparsa della candidiasi delle</w:t>
      </w:r>
      <w:r w:rsidRPr="00A076B7">
        <w:rPr>
          <w:spacing w:val="-16"/>
        </w:rPr>
        <w:t xml:space="preserve"> </w:t>
      </w:r>
      <w:r w:rsidRPr="00A076B7">
        <w:t>mucose;</w:t>
      </w:r>
    </w:p>
    <w:p w14:paraId="05E5B433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autoSpaceDE w:val="0"/>
        <w:autoSpaceDN w:val="0"/>
        <w:spacing w:after="0" w:line="252" w:lineRule="exact"/>
        <w:contextualSpacing w:val="0"/>
        <w:jc w:val="both"/>
      </w:pPr>
      <w:r w:rsidRPr="00A076B7">
        <w:t>diminuire le recidive della candidiasi vaginale</w:t>
      </w:r>
      <w:r>
        <w:t>;</w:t>
      </w:r>
    </w:p>
    <w:p w14:paraId="583EC91D" w14:textId="7997EC20" w:rsidR="00D04A5B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1" w:after="0" w:line="240" w:lineRule="auto"/>
        <w:ind w:right="133" w:hanging="567"/>
        <w:contextualSpacing w:val="0"/>
        <w:jc w:val="both"/>
      </w:pPr>
      <w:r w:rsidRPr="00A076B7">
        <w:t xml:space="preserve">prevenire infezioni da </w:t>
      </w:r>
      <w:r w:rsidRPr="00A076B7">
        <w:rPr>
          <w:i/>
        </w:rPr>
        <w:t xml:space="preserve">Candida </w:t>
      </w:r>
      <w:r w:rsidRPr="00A076B7">
        <w:t>(se il suo sistema immunitario è debole o non funziona correttamente).</w:t>
      </w:r>
    </w:p>
    <w:p w14:paraId="544A7984" w14:textId="77777777" w:rsidR="00D04A5B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1" w:after="0" w:line="240" w:lineRule="auto"/>
        <w:ind w:right="133" w:hanging="567"/>
        <w:contextualSpacing w:val="0"/>
        <w:jc w:val="both"/>
      </w:pPr>
    </w:p>
    <w:p w14:paraId="381C1E97" w14:textId="2087FBFF" w:rsidR="00D04A5B" w:rsidRPr="00A076B7" w:rsidRDefault="0055518C" w:rsidP="00D04A5B">
      <w:pPr>
        <w:pStyle w:val="Corpotesto"/>
        <w:spacing w:before="1"/>
        <w:jc w:val="both"/>
      </w:pPr>
      <w:r>
        <w:t>AZOLIX</w:t>
      </w:r>
      <w:r w:rsidR="00D04A5B" w:rsidRPr="00A076B7">
        <w:t xml:space="preserve"> può</w:t>
      </w:r>
      <w:r w:rsidR="00D04A5B" w:rsidRPr="00A076B7">
        <w:rPr>
          <w:spacing w:val="-12"/>
        </w:rPr>
        <w:t xml:space="preserve"> </w:t>
      </w:r>
      <w:r w:rsidR="00D04A5B" w:rsidRPr="00A076B7">
        <w:t>essere</w:t>
      </w:r>
      <w:r w:rsidR="00D04A5B" w:rsidRPr="00A076B7">
        <w:rPr>
          <w:spacing w:val="-11"/>
        </w:rPr>
        <w:t xml:space="preserve"> </w:t>
      </w:r>
      <w:r w:rsidR="00D04A5B" w:rsidRPr="00A076B7">
        <w:t>prescritto</w:t>
      </w:r>
      <w:r w:rsidR="00D04A5B">
        <w:t xml:space="preserve"> nei bambini ed adolescenti </w:t>
      </w:r>
      <w:r w:rsidR="00D04A5B" w:rsidRPr="00A076B7">
        <w:t>per:</w:t>
      </w:r>
    </w:p>
    <w:p w14:paraId="29CE651E" w14:textId="77777777" w:rsidR="00D04A5B" w:rsidRPr="00A076B7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before="1" w:after="0" w:line="252" w:lineRule="exact"/>
        <w:ind w:left="1390" w:hanging="577"/>
        <w:contextualSpacing w:val="0"/>
        <w:jc w:val="both"/>
      </w:pPr>
      <w:r w:rsidRPr="00A076B7">
        <w:t xml:space="preserve">prevenire infezioni da </w:t>
      </w:r>
      <w:r w:rsidRPr="00A076B7">
        <w:rPr>
          <w:i/>
        </w:rPr>
        <w:t xml:space="preserve">Candida </w:t>
      </w:r>
      <w:r w:rsidRPr="00A076B7">
        <w:t>(se il suo sistema immunitario è debole o non funziona</w:t>
      </w:r>
      <w:r w:rsidRPr="00A076B7">
        <w:rPr>
          <w:spacing w:val="-27"/>
        </w:rPr>
        <w:t xml:space="preserve"> </w:t>
      </w:r>
      <w:r w:rsidRPr="00A076B7">
        <w:t>correttamente);</w:t>
      </w:r>
    </w:p>
    <w:p w14:paraId="6E09F6B4" w14:textId="77777777" w:rsidR="00D04A5B" w:rsidRDefault="00D04A5B" w:rsidP="00D04A5B">
      <w:pPr>
        <w:pStyle w:val="Paragrafoelenco"/>
        <w:widowControl w:val="0"/>
        <w:numPr>
          <w:ilvl w:val="0"/>
          <w:numId w:val="7"/>
        </w:numPr>
        <w:tabs>
          <w:tab w:val="left" w:pos="1390"/>
          <w:tab w:val="left" w:pos="1391"/>
        </w:tabs>
        <w:autoSpaceDE w:val="0"/>
        <w:autoSpaceDN w:val="0"/>
        <w:spacing w:after="0" w:line="252" w:lineRule="exact"/>
        <w:ind w:left="1390" w:hanging="577"/>
        <w:contextualSpacing w:val="0"/>
        <w:jc w:val="both"/>
      </w:pPr>
      <w:r w:rsidRPr="00A076B7">
        <w:t>prevenire la ricomparsa della meningite</w:t>
      </w:r>
      <w:r w:rsidRPr="00A076B7">
        <w:rPr>
          <w:spacing w:val="-15"/>
        </w:rPr>
        <w:t xml:space="preserve"> </w:t>
      </w:r>
      <w:r w:rsidRPr="00A076B7">
        <w:t>criptococcica.</w:t>
      </w:r>
    </w:p>
    <w:p w14:paraId="3E3CA895" w14:textId="77777777" w:rsidR="00D04A5B" w:rsidRPr="00A076B7" w:rsidRDefault="00D04A5B" w:rsidP="00410BCC">
      <w:pPr>
        <w:pStyle w:val="Paragrafoelenco"/>
        <w:widowControl w:val="0"/>
        <w:tabs>
          <w:tab w:val="left" w:pos="1390"/>
          <w:tab w:val="left" w:pos="1391"/>
        </w:tabs>
        <w:autoSpaceDE w:val="0"/>
        <w:autoSpaceDN w:val="0"/>
        <w:spacing w:before="1" w:after="0" w:line="240" w:lineRule="auto"/>
        <w:ind w:left="1381" w:right="133"/>
        <w:contextualSpacing w:val="0"/>
        <w:jc w:val="both"/>
      </w:pPr>
    </w:p>
    <w:p w14:paraId="5CA7F8D6" w14:textId="05CC60F3" w:rsidR="00D04A5B" w:rsidRPr="0039247B" w:rsidRDefault="0033732D" w:rsidP="00F5609E">
      <w:pPr>
        <w:pStyle w:val="Corpotesto"/>
        <w:spacing w:before="91"/>
        <w:ind w:right="206"/>
        <w:jc w:val="both"/>
      </w:pPr>
      <w:r>
        <w:t xml:space="preserve">La quantità di medicinale da utilizzare è stabilita dal medico in relazione alla </w:t>
      </w:r>
      <w:r w:rsidR="00D04A5B" w:rsidRPr="0033732D">
        <w:rPr>
          <w:rFonts w:eastAsia="Calibri" w:cs="Calibri"/>
          <w:color w:val="000000"/>
          <w:lang w:eastAsia="it-IT"/>
        </w:rPr>
        <w:t>natura e gravità dell’infezione micotica. Il trattamento delle</w:t>
      </w:r>
      <w:r>
        <w:rPr>
          <w:rFonts w:eastAsia="Calibri" w:cs="Calibri"/>
          <w:color w:val="000000"/>
          <w:lang w:eastAsia="it-IT"/>
        </w:rPr>
        <w:t xml:space="preserve"> </w:t>
      </w:r>
      <w:r w:rsidR="00D04A5B" w:rsidRPr="0033732D">
        <w:rPr>
          <w:rFonts w:eastAsia="Calibri" w:cs="Calibri"/>
          <w:color w:val="000000"/>
          <w:lang w:eastAsia="it-IT"/>
        </w:rPr>
        <w:t>infezioni che richiedono dosaggi multipli deve proseguire finché i parametri clinici o altri esami di laboratorio non dimostrino che l'infezione micotica attiva sia scomparsa. Un periodo di trattamento inadeguato potrebbe portare alla recidiva dell'infezione attiva</w:t>
      </w:r>
      <w:r w:rsidR="00D04A5B" w:rsidRPr="0039247B">
        <w:t>.</w:t>
      </w:r>
    </w:p>
    <w:p w14:paraId="29A9A3E2" w14:textId="139CEAB1" w:rsidR="00BB2AF8" w:rsidRPr="002E309D" w:rsidRDefault="00BB2AF8" w:rsidP="00BB2AF8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 w:rsidRPr="002E309D">
        <w:rPr>
          <w:rFonts w:eastAsia="Calibri" w:cs="Verdana"/>
          <w:color w:val="000000"/>
          <w:szCs w:val="24"/>
          <w:lang w:eastAsia="it-IT"/>
        </w:rPr>
        <w:t>Nei pazienti con problemi</w:t>
      </w:r>
      <w:r w:rsidR="00D36F62" w:rsidRPr="002E309D">
        <w:rPr>
          <w:rFonts w:eastAsia="Calibri" w:cs="Verdana"/>
          <w:color w:val="000000"/>
          <w:szCs w:val="24"/>
          <w:lang w:eastAsia="it-IT"/>
        </w:rPr>
        <w:t xml:space="preserve"> </w:t>
      </w:r>
      <w:r w:rsidRPr="002E309D">
        <w:rPr>
          <w:rFonts w:eastAsia="Calibri" w:cs="Verdana"/>
          <w:color w:val="000000"/>
          <w:szCs w:val="24"/>
          <w:lang w:eastAsia="it-IT"/>
        </w:rPr>
        <w:t>al rene</w:t>
      </w:r>
      <w:r w:rsidR="001C15DF" w:rsidRPr="002E309D">
        <w:rPr>
          <w:rFonts w:eastAsia="Calibri" w:cs="Verdana"/>
          <w:color w:val="000000"/>
          <w:szCs w:val="24"/>
          <w:lang w:eastAsia="it-IT"/>
        </w:rPr>
        <w:t xml:space="preserve">, </w:t>
      </w:r>
      <w:r w:rsidRPr="002E309D">
        <w:rPr>
          <w:rFonts w:eastAsia="Calibri" w:cs="Verdana"/>
          <w:color w:val="000000"/>
          <w:szCs w:val="24"/>
          <w:lang w:eastAsia="it-IT"/>
        </w:rPr>
        <w:t>il dosaggio può essere più basso.</w:t>
      </w:r>
    </w:p>
    <w:p w14:paraId="6C00DADC" w14:textId="63A27765"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>Per i bambini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 ed</w:t>
      </w:r>
      <w:r>
        <w:rPr>
          <w:rFonts w:eastAsia="Calibri" w:cs="Verdana"/>
          <w:color w:val="000000"/>
          <w:szCs w:val="24"/>
          <w:lang w:eastAsia="it-IT"/>
        </w:rPr>
        <w:t xml:space="preserve"> adolescenti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 </w:t>
      </w:r>
      <w:r w:rsidR="002E309D">
        <w:rPr>
          <w:rFonts w:eastAsia="Calibri" w:cs="Verdana"/>
          <w:color w:val="000000"/>
          <w:szCs w:val="24"/>
          <w:lang w:eastAsia="it-IT"/>
        </w:rPr>
        <w:t xml:space="preserve">(fino a 17 anni </w:t>
      </w:r>
      <w:r w:rsidR="00D36F62">
        <w:rPr>
          <w:rFonts w:eastAsia="Calibri" w:cs="Verdana"/>
          <w:color w:val="000000"/>
          <w:szCs w:val="24"/>
          <w:lang w:eastAsia="it-IT"/>
        </w:rPr>
        <w:t>di età</w:t>
      </w:r>
      <w:r w:rsidR="002E309D">
        <w:rPr>
          <w:rFonts w:eastAsia="Calibri" w:cs="Verdana"/>
          <w:color w:val="000000"/>
          <w:szCs w:val="24"/>
          <w:lang w:eastAsia="it-IT"/>
        </w:rPr>
        <w:t>)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 </w:t>
      </w:r>
      <w:r>
        <w:rPr>
          <w:rFonts w:eastAsia="Calibri" w:cs="Verdana"/>
          <w:color w:val="000000"/>
          <w:szCs w:val="24"/>
          <w:lang w:eastAsia="it-IT"/>
        </w:rPr>
        <w:t>l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a dose massima giornaliera non può mai superare i </w:t>
      </w:r>
      <w:r w:rsidR="00D36F62" w:rsidRPr="00D36F62">
        <w:rPr>
          <w:rFonts w:eastAsia="Calibri" w:cs="Verdana"/>
          <w:color w:val="000000"/>
          <w:szCs w:val="24"/>
          <w:lang w:eastAsia="it-IT"/>
        </w:rPr>
        <w:t>12 mg/kg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, mentre nei neonati a termine </w:t>
      </w:r>
      <w:r w:rsidR="002E309D">
        <w:rPr>
          <w:rFonts w:eastAsia="Calibri" w:cs="Verdana"/>
          <w:color w:val="000000"/>
          <w:szCs w:val="24"/>
          <w:lang w:eastAsia="it-IT"/>
        </w:rPr>
        <w:t xml:space="preserve">(da 0 a 14 giorni di età) </w:t>
      </w:r>
      <w:r w:rsidR="00D36F62">
        <w:rPr>
          <w:rFonts w:eastAsia="Calibri" w:cs="Verdana"/>
          <w:color w:val="000000"/>
          <w:szCs w:val="24"/>
          <w:lang w:eastAsia="it-IT"/>
        </w:rPr>
        <w:t xml:space="preserve">la dose massima può essere </w:t>
      </w:r>
      <w:r w:rsidR="002E309D" w:rsidRPr="002E309D">
        <w:rPr>
          <w:rFonts w:eastAsia="Calibri" w:cs="Verdana"/>
          <w:color w:val="000000"/>
          <w:szCs w:val="24"/>
          <w:lang w:eastAsia="it-IT"/>
        </w:rPr>
        <w:t xml:space="preserve">12 mg/kg ogni 72 ore, mentre </w:t>
      </w:r>
      <w:r w:rsidR="002E309D">
        <w:rPr>
          <w:rFonts w:eastAsia="Calibri" w:cs="Verdana"/>
          <w:color w:val="000000"/>
          <w:szCs w:val="24"/>
          <w:lang w:eastAsia="it-IT"/>
        </w:rPr>
        <w:t xml:space="preserve">nei neonati a termine (da 15 a 27 giorni di età) la dose massima può essere </w:t>
      </w:r>
      <w:r w:rsidR="002E309D" w:rsidRPr="002E309D">
        <w:rPr>
          <w:rFonts w:eastAsia="Calibri" w:cs="Verdana"/>
          <w:color w:val="000000"/>
          <w:szCs w:val="24"/>
          <w:lang w:eastAsia="it-IT"/>
        </w:rPr>
        <w:t>12 mg/kg ogni 48 ore</w:t>
      </w:r>
      <w:r w:rsidR="002E309D">
        <w:rPr>
          <w:rFonts w:eastAsia="Calibri" w:cs="Verdana"/>
          <w:color w:val="000000"/>
          <w:szCs w:val="24"/>
          <w:lang w:eastAsia="it-IT"/>
        </w:rPr>
        <w:t>.</w:t>
      </w:r>
    </w:p>
    <w:p w14:paraId="77D907E1" w14:textId="77777777" w:rsidR="008A6FEC" w:rsidRPr="00B7597D" w:rsidRDefault="008A6FEC" w:rsidP="00BB2AF8">
      <w:pPr>
        <w:tabs>
          <w:tab w:val="left" w:pos="0"/>
        </w:tabs>
        <w:spacing w:after="0" w:line="240" w:lineRule="auto"/>
        <w:jc w:val="both"/>
      </w:pPr>
    </w:p>
    <w:p w14:paraId="28ED33CC" w14:textId="504FCA16" w:rsidR="00BB2AF8" w:rsidRDefault="001C15DF" w:rsidP="008A6FEC">
      <w:pPr>
        <w:tabs>
          <w:tab w:val="left" w:pos="284"/>
        </w:tabs>
        <w:spacing w:after="0" w:line="240" w:lineRule="auto"/>
        <w:jc w:val="both"/>
      </w:pPr>
      <w:r>
        <w:t>L</w:t>
      </w:r>
      <w:r w:rsidRPr="00D95D44">
        <w:t>e c</w:t>
      </w:r>
      <w:r w:rsidR="007D5BAF">
        <w:t>apsule</w:t>
      </w:r>
      <w:r w:rsidRPr="00D95D44">
        <w:t xml:space="preserve"> </w:t>
      </w:r>
      <w:r>
        <w:t>devono essere assunte intere con un po’</w:t>
      </w:r>
      <w:r w:rsidRPr="00D95D44">
        <w:t xml:space="preserve"> d’</w:t>
      </w:r>
      <w:r>
        <w:t>acqua o altra bevanda, indipendentemente dai pasti</w:t>
      </w:r>
      <w:r w:rsidR="007D5BAF">
        <w:t xml:space="preserve">. </w:t>
      </w:r>
    </w:p>
    <w:p w14:paraId="72089FB6" w14:textId="77777777" w:rsidR="007D5BAF" w:rsidRPr="004B4170" w:rsidRDefault="007D5BA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2EE8D1AE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6979A3E" w14:textId="4183EA88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5518C">
        <w:rPr>
          <w:rFonts w:eastAsia="Calibri" w:cs="Calibri"/>
          <w:b/>
          <w:bCs/>
          <w:color w:val="000000"/>
          <w:lang w:eastAsia="it-IT"/>
        </w:rPr>
        <w:t>AZOLIX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4098AEE9" w14:textId="4F497B25" w:rsidR="00A46119" w:rsidRDefault="0055518C" w:rsidP="00BB2A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AZOLIX</w:t>
      </w:r>
      <w:r w:rsidR="00BB2AF8" w:rsidRPr="00141A6C">
        <w:rPr>
          <w:rFonts w:eastAsia="Calibri" w:cs="Calibri"/>
          <w:color w:val="000000"/>
          <w:lang w:eastAsia="it-IT"/>
        </w:rPr>
        <w:t>, il cui codice ATC è</w:t>
      </w:r>
      <w:r w:rsidR="00141A6C" w:rsidRPr="00141A6C">
        <w:rPr>
          <w:rFonts w:eastAsia="Calibri" w:cs="Calibri"/>
          <w:color w:val="000000"/>
          <w:lang w:eastAsia="it-IT"/>
        </w:rPr>
        <w:t xml:space="preserve"> J02AC01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 w:rsidR="00141A6C">
        <w:rPr>
          <w:rFonts w:eastAsia="Calibri" w:cs="Calibri"/>
          <w:color w:val="000000"/>
          <w:lang w:eastAsia="it-IT"/>
        </w:rPr>
        <w:t>fluconazolo</w:t>
      </w:r>
      <w:r w:rsidR="00A46119">
        <w:rPr>
          <w:rFonts w:eastAsia="Calibri" w:cs="Calibri"/>
          <w:color w:val="000000"/>
          <w:lang w:eastAsia="it-IT"/>
        </w:rPr>
        <w:t>,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 w:rsidR="00141A6C">
        <w:t>gl</w:t>
      </w:r>
      <w:r w:rsidR="00BB2AF8" w:rsidRPr="00EF6711">
        <w:t xml:space="preserve">i </w:t>
      </w:r>
      <w:r w:rsidR="00A46119">
        <w:t xml:space="preserve">antimicotici ad azione sistemica. Il fluconazolo </w:t>
      </w:r>
      <w:r w:rsidR="00BB2AF8" w:rsidRPr="00EF6711">
        <w:t xml:space="preserve">agisce </w:t>
      </w:r>
      <w:r w:rsidR="00A46119">
        <w:t xml:space="preserve">bloccando una fase essenziale nella biosintesi </w:t>
      </w:r>
      <w:r w:rsidR="00A46119">
        <w:lastRenderedPageBreak/>
        <w:t xml:space="preserve">dell’ergosterolo fungino, un componente della membrana cellulare fungina. Ciò impedisce la crescita e la replicazione fungina (azione fungostatica); il </w:t>
      </w:r>
      <w:r w:rsidR="00A46119" w:rsidRPr="00A46119">
        <w:t xml:space="preserve">fluconazolo può essere fungicida nei confronti di alcuni organismi in modo dose-dipendente, in particolare verso i </w:t>
      </w:r>
      <w:r w:rsidR="00A46119" w:rsidRPr="00A46119">
        <w:rPr>
          <w:i/>
          <w:iCs/>
        </w:rPr>
        <w:t>Cryptococchi</w:t>
      </w:r>
      <w:r w:rsidR="00A46119">
        <w:t xml:space="preserve">. </w:t>
      </w:r>
    </w:p>
    <w:p w14:paraId="5358AAB2" w14:textId="77777777" w:rsidR="00A46119" w:rsidRDefault="00A46119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30ACC0AE" w14:textId="5EC97575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6E68ABA0" w14:textId="6F8FF37C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55518C">
        <w:rPr>
          <w:rFonts w:eastAsia="Calibri" w:cs="Calibri"/>
          <w:b/>
          <w:bCs/>
          <w:lang w:eastAsia="it-IT"/>
        </w:rPr>
        <w:t>AZOLIX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4F6DC5E0" w14:textId="77777777" w:rsidR="00BE2463" w:rsidRDefault="00BE2463" w:rsidP="00F96473">
      <w:pPr>
        <w:spacing w:after="0" w:line="240" w:lineRule="auto"/>
        <w:jc w:val="both"/>
        <w:rPr>
          <w:rFonts w:cs="Arial"/>
        </w:rPr>
      </w:pPr>
    </w:p>
    <w:p w14:paraId="7C40293B" w14:textId="4D2C4243"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55518C">
        <w:rPr>
          <w:rFonts w:eastAsia="Calibri" w:cs="Calibri"/>
          <w:color w:val="000000"/>
          <w:lang w:eastAsia="it-IT"/>
        </w:rPr>
        <w:t>AZOLIX</w:t>
      </w:r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>la bioequivalenza rispetto al medicinale di riferimento</w:t>
      </w:r>
      <w:r w:rsidR="00BE2463">
        <w:rPr>
          <w:rFonts w:cs="Arial"/>
        </w:rPr>
        <w:t xml:space="preserve"> </w:t>
      </w:r>
      <w:r w:rsidR="00223594">
        <w:rPr>
          <w:rFonts w:cs="Arial"/>
        </w:rPr>
        <w:t>DIFLUCAN</w:t>
      </w:r>
      <w:r w:rsidR="00BE2463">
        <w:rPr>
          <w:rFonts w:cs="Arial"/>
        </w:rPr>
        <w:t xml:space="preserve">. </w:t>
      </w:r>
      <w:r w:rsidRPr="00D85E7D">
        <w:rPr>
          <w:rFonts w:cs="Arial"/>
        </w:rPr>
        <w:t>Due medicinali sono</w:t>
      </w:r>
      <w:r>
        <w:rPr>
          <w:rFonts w:ascii="Calibri" w:hAnsi="Calibri" w:cs="Arial"/>
        </w:rPr>
        <w:t xml:space="preserve">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14:paraId="447AB0DF" w14:textId="77777777" w:rsidR="00CC52A3" w:rsidRDefault="00CC52A3" w:rsidP="00F96473">
      <w:pPr>
        <w:spacing w:after="0" w:line="240" w:lineRule="auto"/>
        <w:jc w:val="both"/>
        <w:rPr>
          <w:rFonts w:ascii="Calibri" w:hAnsi="Calibri" w:cs="Arial"/>
        </w:rPr>
      </w:pPr>
    </w:p>
    <w:p w14:paraId="1D0A1482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6C18F54" w14:textId="5960573C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5518C">
        <w:rPr>
          <w:rFonts w:eastAsia="Calibri" w:cs="Calibri"/>
          <w:b/>
          <w:color w:val="000000"/>
          <w:lang w:eastAsia="it-IT"/>
        </w:rPr>
        <w:t>AZOLIX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0EEAC4E1" w14:textId="77777777" w:rsidR="00A970CB" w:rsidRDefault="00A970C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AC48270" w14:textId="691983A3" w:rsidR="00BB2AF8" w:rsidRPr="002A3F14" w:rsidRDefault="0055518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>generico ed è bioequivalente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1FCCC693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DAEB9DE" w14:textId="1DED0B2F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55518C">
        <w:rPr>
          <w:rFonts w:eastAsia="Calibri" w:cs="Calibri"/>
          <w:b/>
          <w:color w:val="000000"/>
          <w:lang w:eastAsia="it-IT"/>
        </w:rPr>
        <w:t>AZOLIX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14:paraId="031D2064" w14:textId="15DE0EF7" w:rsidR="00BB2AF8" w:rsidRPr="00CB3303" w:rsidRDefault="00BB2AF8" w:rsidP="005176CE">
      <w:pPr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5176CE" w:rsidRPr="00643FC1">
        <w:rPr>
          <w:rFonts w:ascii="Calibri" w:hAnsi="Calibri"/>
          <w:bCs/>
          <w:iCs/>
        </w:rPr>
        <w:t>10, 11 e 12 Febbraio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r w:rsidR="00223594">
        <w:rPr>
          <w:rFonts w:eastAsia="Calibri" w:cs="Calibri"/>
          <w:lang w:eastAsia="it-IT"/>
        </w:rPr>
        <w:t>DIFLUCAN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55518C">
        <w:rPr>
          <w:rFonts w:eastAsia="Calibri" w:cs="Calibri"/>
          <w:color w:val="000000"/>
          <w:lang w:eastAsia="it-IT"/>
        </w:rPr>
        <w:t>AZOLIX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classificazione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). </w:t>
      </w:r>
    </w:p>
    <w:p w14:paraId="622B4996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1B2F1C2" w14:textId="6C676BA1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</w:t>
      </w:r>
      <w:r w:rsidRPr="00E74D63">
        <w:rPr>
          <w:rFonts w:eastAsia="Calibri" w:cs="Calibri"/>
          <w:b/>
          <w:bCs/>
          <w:lang w:eastAsia="it-IT"/>
        </w:rPr>
        <w:t xml:space="preserve">QUALI MISURE SONO STATE PRESE PER ASSICURARE LA SICUREZZA E L’EFFICACIA NELL’USO DI </w:t>
      </w:r>
      <w:r w:rsidR="0055518C">
        <w:rPr>
          <w:rFonts w:eastAsia="Calibri" w:cs="Calibri"/>
          <w:b/>
          <w:color w:val="000000"/>
          <w:lang w:eastAsia="it-IT"/>
        </w:rPr>
        <w:t>AZOLIX</w:t>
      </w:r>
      <w:r w:rsidRPr="00E74D63">
        <w:rPr>
          <w:rFonts w:eastAsia="Calibri" w:cs="Calibri"/>
          <w:b/>
          <w:bCs/>
          <w:color w:val="000000"/>
          <w:lang w:eastAsia="it-IT"/>
        </w:rPr>
        <w:t>?</w:t>
      </w:r>
    </w:p>
    <w:p w14:paraId="38F17964" w14:textId="43713630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5518C">
        <w:rPr>
          <w:rFonts w:eastAsia="Calibri" w:cs="Calibri"/>
          <w:lang w:eastAsia="it-IT"/>
        </w:rPr>
        <w:t>AZOLIX</w:t>
      </w:r>
      <w:r w:rsidR="004241AC" w:rsidRPr="007170D7">
        <w:rPr>
          <w:rFonts w:eastAsia="Calibri" w:cs="Calibri"/>
          <w:lang w:eastAsia="it-IT"/>
        </w:rPr>
        <w:t>.</w:t>
      </w:r>
    </w:p>
    <w:p w14:paraId="22CAC9F8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8B3045C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6BB3262" w14:textId="3CC8C5B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5518C">
        <w:rPr>
          <w:rFonts w:eastAsia="Calibri" w:cs="Calibri"/>
          <w:b/>
          <w:color w:val="000000"/>
          <w:lang w:eastAsia="it-IT"/>
        </w:rPr>
        <w:t>AZOLIX</w:t>
      </w:r>
    </w:p>
    <w:p w14:paraId="3688C832" w14:textId="411EB64D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5E4B14">
        <w:rPr>
          <w:rFonts w:eastAsia="Calibri" w:cs="Calibri"/>
          <w:bCs/>
          <w:iCs/>
          <w:lang w:eastAsia="it-IT"/>
        </w:rPr>
        <w:t xml:space="preserve">Il </w:t>
      </w:r>
      <w:r w:rsidR="00C33A3A">
        <w:rPr>
          <w:rFonts w:eastAsia="Calibri" w:cs="Calibri"/>
          <w:bCs/>
          <w:iCs/>
          <w:lang w:eastAsia="it-IT"/>
        </w:rPr>
        <w:t xml:space="preserve"> </w:t>
      </w:r>
      <w:r w:rsidR="00C33A3A" w:rsidRPr="00C33A3A">
        <w:rPr>
          <w:rFonts w:eastAsia="Calibri" w:cs="Calibri"/>
          <w:b/>
          <w:bCs/>
          <w:iCs/>
          <w:lang w:eastAsia="it-IT"/>
        </w:rPr>
        <w:t>07.07.2021</w:t>
      </w:r>
      <w:r w:rsidR="00C33A3A">
        <w:rPr>
          <w:rFonts w:eastAsia="Calibri" w:cs="Calibri"/>
          <w:bCs/>
          <w:iCs/>
          <w:lang w:eastAsia="it-IT"/>
        </w:rPr>
        <w:t xml:space="preserve"> </w:t>
      </w:r>
      <w:r w:rsidRPr="005E4B14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55518C">
        <w:rPr>
          <w:rFonts w:eastAsia="Calibri" w:cs="Calibri"/>
          <w:color w:val="000000"/>
          <w:lang w:eastAsia="it-IT"/>
        </w:rPr>
        <w:t>Azolix</w:t>
      </w:r>
      <w:r w:rsidRPr="005E4B14">
        <w:rPr>
          <w:rFonts w:eastAsia="Calibri" w:cs="Calibri"/>
          <w:bCs/>
          <w:lang w:eastAsia="it-IT"/>
        </w:rPr>
        <w:t xml:space="preserve"> </w:t>
      </w:r>
    </w:p>
    <w:p w14:paraId="387503E6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C23714F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76BECCF8" w14:textId="5DA4F2BE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5518C">
        <w:rPr>
          <w:rFonts w:eastAsia="Calibri" w:cs="Calibri"/>
          <w:lang w:eastAsia="it-IT"/>
        </w:rPr>
        <w:t>AZOLIX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10CA4E3E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C2855A6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726A92D3" w14:textId="359D7F49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5518C">
        <w:rPr>
          <w:rFonts w:eastAsia="Calibri" w:cs="Calibri"/>
          <w:lang w:eastAsia="it-IT"/>
        </w:rPr>
        <w:t xml:space="preserve">Questo riassunto è stato redatto in </w:t>
      </w:r>
      <w:r w:rsidR="00B1186F" w:rsidRPr="0055518C">
        <w:rPr>
          <w:rFonts w:eastAsia="Calibri" w:cs="Calibri"/>
          <w:lang w:eastAsia="it-IT"/>
        </w:rPr>
        <w:t xml:space="preserve">data </w:t>
      </w:r>
      <w:r w:rsidR="003F2873">
        <w:rPr>
          <w:rFonts w:eastAsia="Calibri" w:cs="Calibri"/>
          <w:lang w:eastAsia="it-IT"/>
        </w:rPr>
        <w:t>0</w:t>
      </w:r>
      <w:r w:rsidR="0055518C">
        <w:rPr>
          <w:rFonts w:eastAsia="Calibri" w:cs="Calibri"/>
          <w:lang w:eastAsia="it-IT"/>
        </w:rPr>
        <w:t>1/0</w:t>
      </w:r>
      <w:r w:rsidR="003F2873">
        <w:rPr>
          <w:rFonts w:eastAsia="Calibri" w:cs="Calibri"/>
          <w:lang w:eastAsia="it-IT"/>
        </w:rPr>
        <w:t>4</w:t>
      </w:r>
      <w:r w:rsidR="0055518C">
        <w:rPr>
          <w:rFonts w:eastAsia="Calibri" w:cs="Calibri"/>
          <w:lang w:eastAsia="it-IT"/>
        </w:rPr>
        <w:t>/2021</w:t>
      </w:r>
      <w:r w:rsidRPr="002A3F14">
        <w:rPr>
          <w:rFonts w:eastAsia="Calibri" w:cs="Calibri"/>
          <w:lang w:eastAsia="it-IT"/>
        </w:rPr>
        <w:t xml:space="preserve"> </w:t>
      </w:r>
    </w:p>
    <w:p w14:paraId="7D8F9A77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0925C42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8E244C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B74C2B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95E79B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871155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54D523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5737F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70A8C2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AAF2E9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D9C790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6DBF7B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FBA9F6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581817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451812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5D4D93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19CD15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818CF3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AD1BF74" w14:textId="77777777" w:rsidR="00853EC6" w:rsidRDefault="00853EC6" w:rsidP="004E5A39">
      <w:pPr>
        <w:spacing w:after="0" w:line="240" w:lineRule="auto"/>
        <w:jc w:val="center"/>
        <w:rPr>
          <w:b/>
          <w:sz w:val="28"/>
        </w:rPr>
      </w:pPr>
    </w:p>
    <w:p w14:paraId="3BAA9C8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B42F92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35C088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CC117D0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06BB538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7FB75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DA9238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CC5B2B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766C051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BECE487" w14:textId="77777777" w:rsidR="004E5A39" w:rsidRDefault="004E5A39" w:rsidP="004E5A39">
      <w:pPr>
        <w:spacing w:after="0" w:line="240" w:lineRule="auto"/>
        <w:jc w:val="both"/>
      </w:pPr>
    </w:p>
    <w:p w14:paraId="0A07E7B0" w14:textId="77777777" w:rsidR="004E5A39" w:rsidRDefault="004E5A39" w:rsidP="004E5A39">
      <w:pPr>
        <w:spacing w:after="0" w:line="240" w:lineRule="auto"/>
        <w:jc w:val="both"/>
      </w:pPr>
    </w:p>
    <w:p w14:paraId="6C4FF9D7" w14:textId="77777777" w:rsidR="004E5A39" w:rsidRDefault="004E5A39" w:rsidP="004E5A39">
      <w:pPr>
        <w:spacing w:after="0" w:line="240" w:lineRule="auto"/>
        <w:jc w:val="both"/>
      </w:pPr>
    </w:p>
    <w:p w14:paraId="5330A211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BC654D9" w14:textId="77777777" w:rsidR="004E5A39" w:rsidRPr="002A3F14" w:rsidRDefault="004E5A39" w:rsidP="004E5A39">
      <w:pPr>
        <w:spacing w:after="0" w:line="240" w:lineRule="auto"/>
        <w:jc w:val="both"/>
      </w:pPr>
    </w:p>
    <w:p w14:paraId="52B1C72C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932C19F" w14:textId="77777777" w:rsidR="004E5A39" w:rsidRPr="0033523E" w:rsidRDefault="004E5A39" w:rsidP="004E5A39">
      <w:pPr>
        <w:pStyle w:val="Paragrafoelenco"/>
        <w:rPr>
          <w:b/>
        </w:rPr>
      </w:pPr>
    </w:p>
    <w:p w14:paraId="7B3AB40B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61A0E8C" w14:textId="77777777" w:rsidR="004E5A39" w:rsidRPr="0033523E" w:rsidRDefault="004E5A39" w:rsidP="004E5A39">
      <w:pPr>
        <w:pStyle w:val="Paragrafoelenco"/>
        <w:rPr>
          <w:b/>
        </w:rPr>
      </w:pPr>
    </w:p>
    <w:p w14:paraId="00ACD0C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00D21373" w14:textId="77777777" w:rsidR="004E5A39" w:rsidRPr="0033523E" w:rsidRDefault="004E5A39" w:rsidP="004E5A39">
      <w:pPr>
        <w:pStyle w:val="Paragrafoelenco"/>
        <w:rPr>
          <w:b/>
        </w:rPr>
      </w:pPr>
    </w:p>
    <w:p w14:paraId="1640DC40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514E4E70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4423FF4F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40648F9" w14:textId="77777777" w:rsidR="004E5A39" w:rsidRDefault="004E5A39" w:rsidP="004E5A39"/>
    <w:p w14:paraId="702A5909" w14:textId="77777777" w:rsidR="004E5A39" w:rsidRDefault="004E5A39" w:rsidP="004E5A39"/>
    <w:p w14:paraId="23A6B3A5" w14:textId="77777777" w:rsidR="004E5A39" w:rsidRDefault="004E5A39" w:rsidP="004E5A39"/>
    <w:p w14:paraId="4D4680B4" w14:textId="77777777" w:rsidR="004E5A39" w:rsidRDefault="004E5A39" w:rsidP="004E5A39"/>
    <w:p w14:paraId="24C46956" w14:textId="77777777" w:rsidR="004E5A39" w:rsidRDefault="004E5A39" w:rsidP="004E5A39"/>
    <w:p w14:paraId="1E09C9F5" w14:textId="77777777" w:rsidR="004E5A39" w:rsidRDefault="004E5A39" w:rsidP="004E5A39"/>
    <w:p w14:paraId="78957AF1" w14:textId="77777777" w:rsidR="004E5A39" w:rsidRDefault="004E5A39" w:rsidP="004E5A39"/>
    <w:p w14:paraId="199A5F92" w14:textId="77777777" w:rsidR="004E5A39" w:rsidRDefault="004E5A39" w:rsidP="004E5A39"/>
    <w:p w14:paraId="52512CCB" w14:textId="77777777" w:rsidR="004E5A39" w:rsidRDefault="004E5A39" w:rsidP="004E5A39"/>
    <w:p w14:paraId="0F304FE6" w14:textId="77777777" w:rsidR="004E5A39" w:rsidRDefault="004E5A39" w:rsidP="004E5A39"/>
    <w:p w14:paraId="4B75F076" w14:textId="77777777" w:rsidR="004E5A39" w:rsidRDefault="004E5A39" w:rsidP="004E5A39"/>
    <w:p w14:paraId="0696CAC5" w14:textId="77777777" w:rsidR="00EF6711" w:rsidRDefault="00EF6711" w:rsidP="004E5A39"/>
    <w:p w14:paraId="61ED8A42" w14:textId="77777777" w:rsidR="00EF6711" w:rsidRDefault="00EF6711" w:rsidP="004E5A39"/>
    <w:p w14:paraId="70DDE3A2" w14:textId="77777777" w:rsidR="00EF6711" w:rsidRDefault="00EF6711" w:rsidP="004E5A39"/>
    <w:p w14:paraId="0B72C001" w14:textId="77777777" w:rsidR="00CC52A3" w:rsidRDefault="00CC52A3" w:rsidP="004E5A39"/>
    <w:p w14:paraId="4C3CAD78" w14:textId="77777777" w:rsidR="00CC52A3" w:rsidRDefault="00CC52A3" w:rsidP="004E5A39"/>
    <w:p w14:paraId="4ED7BCE5" w14:textId="77777777" w:rsidR="00EF6711" w:rsidRDefault="00EF6711" w:rsidP="004E5A39"/>
    <w:p w14:paraId="45767109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6BDB49EC" w14:textId="0E539711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5E4B14">
        <w:t xml:space="preserve">Sulla base dei dati di qualità, sicurezza ed efficacia, l’AIFA ha rilasciato a </w:t>
      </w:r>
      <w:r w:rsidR="00F5609E" w:rsidRPr="005E4B14">
        <w:t>Genetic S.p.A</w:t>
      </w:r>
      <w:r w:rsidR="00B1186F" w:rsidRPr="005E4B14">
        <w:t xml:space="preserve"> </w:t>
      </w:r>
      <w:r w:rsidRPr="005E4B14">
        <w:t xml:space="preserve">l’autorizzazione all’immissione in commercio (AIC) per il medicinale </w:t>
      </w:r>
      <w:r w:rsidR="0055518C">
        <w:t>AZOLIX</w:t>
      </w:r>
      <w:r w:rsidR="00F5609E" w:rsidRPr="005E4B14">
        <w:t xml:space="preserve"> </w:t>
      </w:r>
      <w:r w:rsidRPr="005E4B14">
        <w:rPr>
          <w:rFonts w:eastAsia="Calibri" w:cs="Calibri"/>
          <w:bCs/>
          <w:iCs/>
          <w:lang w:eastAsia="it-IT"/>
        </w:rPr>
        <w:t xml:space="preserve">il </w:t>
      </w:r>
      <w:r w:rsidR="00C33A3A">
        <w:rPr>
          <w:rFonts w:eastAsia="Calibri" w:cs="Calibri"/>
          <w:bCs/>
          <w:iCs/>
          <w:lang w:eastAsia="it-IT"/>
        </w:rPr>
        <w:t>07.07.2021.</w:t>
      </w:r>
      <w:r w:rsidRPr="00EF6711">
        <w:t xml:space="preserve">  </w:t>
      </w:r>
    </w:p>
    <w:p w14:paraId="56AFD2E7" w14:textId="77777777" w:rsidR="004E5A39" w:rsidRPr="00EF6711" w:rsidRDefault="004E5A39" w:rsidP="00EF6711">
      <w:pPr>
        <w:spacing w:after="0" w:line="240" w:lineRule="auto"/>
        <w:jc w:val="both"/>
      </w:pPr>
    </w:p>
    <w:p w14:paraId="323ABE9C" w14:textId="564BE9F7" w:rsidR="004E5A39" w:rsidRDefault="0055518C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</w:t>
      </w:r>
      <w:r w:rsidR="00F5609E" w:rsidRPr="00F5609E">
        <w:rPr>
          <w:rFonts w:eastAsia="Calibri" w:cs="Calibri"/>
          <w:color w:val="000000"/>
          <w:lang w:eastAsia="it-IT"/>
        </w:rPr>
        <w:t>su prescrizione da parte del medico (ricetta ripetibile).</w:t>
      </w:r>
    </w:p>
    <w:p w14:paraId="12AF4695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93388C9" w14:textId="292D1201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F5609E">
        <w:t>10.1</w:t>
      </w:r>
      <w:r w:rsidRPr="00EF6711">
        <w:t xml:space="preserve"> della Direttiva 2001/83/EU s.m.i.</w:t>
      </w:r>
    </w:p>
    <w:p w14:paraId="79136BDF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1720D39D" w14:textId="060ED3D4" w:rsidR="004E5A39" w:rsidRPr="00EF6711" w:rsidRDefault="0055518C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F5609E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r w:rsidR="00F5609E">
        <w:rPr>
          <w:rFonts w:eastAsia="Calibri" w:cs="Calibri"/>
          <w:lang w:eastAsia="it-IT"/>
        </w:rPr>
        <w:t>n</w:t>
      </w:r>
      <w:r w:rsidR="004E5A39" w:rsidRPr="00EF6711">
        <w:rPr>
          <w:rFonts w:eastAsia="Calibri" w:cs="Calibri"/>
          <w:lang w:eastAsia="it-IT"/>
        </w:rPr>
        <w:t>oto</w:t>
      </w:r>
      <w:r w:rsidR="0042214D">
        <w:rPr>
          <w:rFonts w:eastAsia="Calibri" w:cs="Calibri"/>
          <w:lang w:eastAsia="it-IT"/>
        </w:rPr>
        <w:t xml:space="preserve"> </w:t>
      </w:r>
      <w:r w:rsidR="00F5609E">
        <w:rPr>
          <w:rFonts w:eastAsia="Calibri" w:cs="Calibri"/>
          <w:lang w:eastAsia="it-IT"/>
        </w:rPr>
        <w:t xml:space="preserve">(fluconazolo)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</w:t>
      </w:r>
      <w:r w:rsidR="00F5609E">
        <w:rPr>
          <w:rFonts w:eastAsia="Calibri" w:cs="Calibri"/>
          <w:lang w:eastAsia="it-IT"/>
        </w:rPr>
        <w:t xml:space="preserve"> </w:t>
      </w:r>
      <w:r w:rsidR="00223594">
        <w:rPr>
          <w:rFonts w:eastAsia="Calibri" w:cs="Calibri"/>
          <w:lang w:eastAsia="it-IT"/>
        </w:rPr>
        <w:t>DIFLUCAN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6162EDA6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094B3F5B" w14:textId="33E99D4D" w:rsidR="00F5609E" w:rsidRDefault="0055518C" w:rsidP="00F5609E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bCs/>
          <w:lang w:eastAsia="it-IT"/>
        </w:rPr>
        <w:t>AZOLIX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 w:rsidR="00F5609E">
        <w:rPr>
          <w:iCs/>
        </w:rPr>
        <w:t xml:space="preserve"> </w:t>
      </w:r>
      <w:r w:rsidR="00F5609E" w:rsidRPr="00141A6C">
        <w:rPr>
          <w:rFonts w:eastAsia="Calibri" w:cs="Calibri"/>
          <w:color w:val="000000"/>
          <w:lang w:eastAsia="it-IT"/>
        </w:rPr>
        <w:t>J02AC01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F5609E">
        <w:rPr>
          <w:rFonts w:eastAsia="Calibri" w:cs="Calibri"/>
          <w:lang w:eastAsia="it-IT"/>
        </w:rPr>
        <w:t xml:space="preserve"> fluconazolo</w:t>
      </w:r>
      <w:r w:rsidR="0042214D">
        <w:rPr>
          <w:rFonts w:eastAsia="Calibri" w:cs="Calibri"/>
          <w:lang w:eastAsia="it-IT"/>
        </w:rPr>
        <w:t xml:space="preserve"> 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F5609E" w:rsidRPr="00EF6711">
        <w:rPr>
          <w:rFonts w:eastAsia="DejaVuSans" w:cs="DejaVuSans"/>
        </w:rPr>
        <w:t xml:space="preserve">che </w:t>
      </w:r>
      <w:r w:rsidR="00F5609E" w:rsidRPr="00EF6711">
        <w:t>appartiene alla classe de</w:t>
      </w:r>
      <w:r w:rsidR="00F5609E">
        <w:t>gl</w:t>
      </w:r>
      <w:r w:rsidR="00F5609E" w:rsidRPr="00EF6711">
        <w:t xml:space="preserve">i </w:t>
      </w:r>
      <w:r w:rsidR="00F5609E">
        <w:t xml:space="preserve">antimicotici ad azione sistemica. Il fluconazolo </w:t>
      </w:r>
      <w:r w:rsidR="00F5609E" w:rsidRPr="00EF6711">
        <w:t xml:space="preserve">agisce </w:t>
      </w:r>
      <w:r w:rsidR="00F5609E">
        <w:t xml:space="preserve">bloccando una fase essenziale nella biosintesi dell’ergosterolo fungino, un componente della membrana cellulare fungina. Ciò impedisce la crescita e la replicazione fungina (azione fungostatica); il </w:t>
      </w:r>
      <w:r w:rsidR="00F5609E" w:rsidRPr="00A46119">
        <w:t xml:space="preserve">fluconazolo può essere fungicida nei confronti di alcuni organismi in modo dose-dipendente, in particolare verso i </w:t>
      </w:r>
      <w:r w:rsidR="00F5609E" w:rsidRPr="00A46119">
        <w:rPr>
          <w:i/>
          <w:iCs/>
        </w:rPr>
        <w:t>Cryptococchi</w:t>
      </w:r>
      <w:r w:rsidR="00F5609E">
        <w:t xml:space="preserve">. </w:t>
      </w:r>
    </w:p>
    <w:p w14:paraId="65415604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9F89A6C" w14:textId="6E3AC551" w:rsidR="00F5609E" w:rsidRPr="0039247B" w:rsidRDefault="0055518C" w:rsidP="00F5609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AZOLIX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F5609E">
        <w:t xml:space="preserve">le </w:t>
      </w:r>
      <w:r w:rsidR="00F5609E" w:rsidRPr="0039247B">
        <w:t>seguenti infezioni micotiche (vedere paragrafo</w:t>
      </w:r>
      <w:r w:rsidR="00F5609E" w:rsidRPr="0039247B">
        <w:rPr>
          <w:spacing w:val="-32"/>
        </w:rPr>
        <w:t xml:space="preserve"> </w:t>
      </w:r>
      <w:r w:rsidR="00F5609E" w:rsidRPr="0039247B">
        <w:t>5.1).</w:t>
      </w:r>
    </w:p>
    <w:p w14:paraId="7148D768" w14:textId="77777777" w:rsidR="00F5609E" w:rsidRPr="00F5609E" w:rsidRDefault="00F5609E" w:rsidP="00F5609E">
      <w:pPr>
        <w:pStyle w:val="Corpotesto"/>
        <w:spacing w:before="5"/>
        <w:jc w:val="both"/>
        <w:rPr>
          <w:rFonts w:cstheme="minorHAnsi"/>
        </w:rPr>
      </w:pPr>
    </w:p>
    <w:p w14:paraId="127C9723" w14:textId="14CFC720" w:rsidR="00F5609E" w:rsidRDefault="0055518C" w:rsidP="00F5609E">
      <w:pPr>
        <w:pStyle w:val="Titolo1"/>
        <w:spacing w:before="1"/>
        <w:ind w:left="119"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AZOLIX</w:t>
      </w:r>
      <w:r w:rsidR="00F5609E" w:rsidRPr="00F5609E">
        <w:rPr>
          <w:rFonts w:asciiTheme="minorHAnsi" w:hAnsiTheme="minorHAnsi" w:cstheme="minorHAnsi"/>
          <w:b w:val="0"/>
          <w:spacing w:val="-4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è</w:t>
      </w:r>
      <w:r w:rsidR="00F5609E" w:rsidRPr="00F5609E">
        <w:rPr>
          <w:rFonts w:asciiTheme="minorHAnsi" w:hAnsiTheme="minorHAnsi" w:cstheme="minorHAnsi"/>
          <w:b w:val="0"/>
          <w:spacing w:val="-5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indicato</w:t>
      </w:r>
      <w:r w:rsidR="00F5609E" w:rsidRPr="00F5609E">
        <w:rPr>
          <w:rFonts w:asciiTheme="minorHAnsi" w:hAnsiTheme="minorHAnsi" w:cstheme="minorHAnsi"/>
          <w:b w:val="0"/>
          <w:spacing w:val="-4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negli</w:t>
      </w:r>
      <w:r w:rsidR="00F5609E" w:rsidRPr="00F5609E">
        <w:rPr>
          <w:rFonts w:asciiTheme="minorHAnsi" w:hAnsiTheme="minorHAnsi" w:cstheme="minorHAnsi"/>
          <w:b w:val="0"/>
          <w:spacing w:val="-6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adulti</w:t>
      </w:r>
      <w:r w:rsidR="00F5609E" w:rsidRPr="00F5609E">
        <w:rPr>
          <w:rFonts w:asciiTheme="minorHAnsi" w:hAnsiTheme="minorHAnsi" w:cstheme="minorHAnsi"/>
          <w:b w:val="0"/>
          <w:spacing w:val="-5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per</w:t>
      </w:r>
      <w:r w:rsidR="00F5609E" w:rsidRPr="00F5609E">
        <w:rPr>
          <w:rFonts w:asciiTheme="minorHAnsi" w:hAnsiTheme="minorHAnsi" w:cstheme="minorHAnsi"/>
          <w:b w:val="0"/>
          <w:spacing w:val="-5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il</w:t>
      </w:r>
      <w:r w:rsidR="00F5609E" w:rsidRPr="00F5609E">
        <w:rPr>
          <w:rFonts w:asciiTheme="minorHAnsi" w:hAnsiTheme="minorHAnsi" w:cstheme="minorHAnsi"/>
          <w:b w:val="0"/>
          <w:spacing w:val="-6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trattamento</w:t>
      </w:r>
      <w:r w:rsidR="00F5609E" w:rsidRPr="00F5609E">
        <w:rPr>
          <w:rFonts w:asciiTheme="minorHAnsi" w:hAnsiTheme="minorHAnsi" w:cstheme="minorHAnsi"/>
          <w:b w:val="0"/>
          <w:spacing w:val="-4"/>
          <w:sz w:val="22"/>
          <w:szCs w:val="22"/>
          <w:u w:val="single"/>
        </w:rPr>
        <w:t xml:space="preserve"> </w:t>
      </w:r>
      <w:r w:rsidR="00F5609E" w:rsidRPr="00F5609E">
        <w:rPr>
          <w:rFonts w:asciiTheme="minorHAnsi" w:hAnsiTheme="minorHAnsi" w:cstheme="minorHAnsi"/>
          <w:b w:val="0"/>
          <w:sz w:val="22"/>
          <w:szCs w:val="22"/>
          <w:u w:val="single"/>
        </w:rPr>
        <w:t>di</w:t>
      </w:r>
      <w:r w:rsidR="00F5609E" w:rsidRPr="00F5609E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6847CC7F" w14:textId="77777777" w:rsidR="00F5609E" w:rsidRPr="00F5609E" w:rsidRDefault="00F5609E" w:rsidP="00F5609E">
      <w:pPr>
        <w:pStyle w:val="Titolo1"/>
        <w:spacing w:before="1"/>
        <w:ind w:left="119"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0BED1FC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3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Meningite</w:t>
      </w:r>
      <w:r w:rsidRPr="00F5609E">
        <w:rPr>
          <w:rFonts w:cstheme="minorHAnsi"/>
          <w:spacing w:val="-14"/>
        </w:rPr>
        <w:t xml:space="preserve"> </w:t>
      </w:r>
      <w:r w:rsidRPr="00F5609E">
        <w:rPr>
          <w:rFonts w:cstheme="minorHAnsi"/>
        </w:rPr>
        <w:t>criptococcica</w:t>
      </w:r>
      <w:r w:rsidRPr="00F5609E">
        <w:rPr>
          <w:rFonts w:cstheme="minorHAnsi"/>
          <w:spacing w:val="-13"/>
        </w:rPr>
        <w:t xml:space="preserve"> </w:t>
      </w:r>
      <w:r w:rsidRPr="00F5609E">
        <w:rPr>
          <w:rFonts w:cstheme="minorHAnsi"/>
        </w:rPr>
        <w:t>(vedere</w:t>
      </w:r>
      <w:r w:rsidRPr="00F5609E">
        <w:rPr>
          <w:rFonts w:cstheme="minorHAnsi"/>
          <w:spacing w:val="-14"/>
        </w:rPr>
        <w:t xml:space="preserve"> </w:t>
      </w:r>
      <w:r w:rsidRPr="00F5609E">
        <w:rPr>
          <w:rFonts w:cstheme="minorHAnsi"/>
        </w:rPr>
        <w:t>paragrafo</w:t>
      </w:r>
      <w:r w:rsidRPr="00F5609E">
        <w:rPr>
          <w:rFonts w:cstheme="minorHAnsi"/>
          <w:spacing w:val="-13"/>
        </w:rPr>
        <w:t xml:space="preserve"> </w:t>
      </w:r>
      <w:r w:rsidRPr="00F5609E">
        <w:rPr>
          <w:rFonts w:cstheme="minorHAnsi"/>
        </w:rPr>
        <w:t>4.4).</w:t>
      </w:r>
    </w:p>
    <w:p w14:paraId="438A9A32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4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Coccidioidomicosi (vedere paragrafo</w:t>
      </w:r>
      <w:r w:rsidRPr="00F5609E">
        <w:rPr>
          <w:rFonts w:cstheme="minorHAnsi"/>
          <w:spacing w:val="-11"/>
        </w:rPr>
        <w:t xml:space="preserve"> </w:t>
      </w:r>
      <w:r w:rsidRPr="00F5609E">
        <w:rPr>
          <w:rFonts w:cstheme="minorHAnsi"/>
        </w:rPr>
        <w:t>4.4).</w:t>
      </w:r>
    </w:p>
    <w:p w14:paraId="374A4E5A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4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Candidiasi</w:t>
      </w:r>
      <w:r w:rsidRPr="00F5609E">
        <w:rPr>
          <w:rFonts w:cstheme="minorHAnsi"/>
          <w:spacing w:val="-9"/>
        </w:rPr>
        <w:t xml:space="preserve"> </w:t>
      </w:r>
      <w:r w:rsidRPr="00F5609E">
        <w:rPr>
          <w:rFonts w:cstheme="minorHAnsi"/>
        </w:rPr>
        <w:t>invasiva.</w:t>
      </w:r>
    </w:p>
    <w:p w14:paraId="38AC9289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5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Candidiasi delle mucose, incluse candidiasi orofaringea, candidiasi esofagea, candiduria</w:t>
      </w:r>
      <w:r w:rsidRPr="00F5609E">
        <w:rPr>
          <w:rFonts w:cstheme="minorHAnsi"/>
          <w:spacing w:val="-32"/>
        </w:rPr>
        <w:t xml:space="preserve"> </w:t>
      </w:r>
      <w:r w:rsidRPr="00F5609E">
        <w:rPr>
          <w:rFonts w:cstheme="minorHAnsi"/>
        </w:rPr>
        <w:t>e candidiasi mucocutanea</w:t>
      </w:r>
      <w:r w:rsidRPr="00F5609E">
        <w:rPr>
          <w:rFonts w:cstheme="minorHAnsi"/>
          <w:spacing w:val="-12"/>
        </w:rPr>
        <w:t xml:space="preserve"> </w:t>
      </w:r>
      <w:r w:rsidRPr="00F5609E">
        <w:rPr>
          <w:rFonts w:cstheme="minorHAnsi"/>
        </w:rPr>
        <w:t>cronica.</w:t>
      </w:r>
    </w:p>
    <w:p w14:paraId="4F7E6251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5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Candidiasi orale atrofica cronica (stomatite da protesi dentale), nel caso in cui</w:t>
      </w:r>
      <w:r w:rsidRPr="00F5609E">
        <w:rPr>
          <w:rFonts w:cstheme="minorHAnsi"/>
          <w:spacing w:val="-16"/>
        </w:rPr>
        <w:t xml:space="preserve"> </w:t>
      </w:r>
      <w:r w:rsidRPr="00F5609E">
        <w:rPr>
          <w:rFonts w:cstheme="minorHAnsi"/>
        </w:rPr>
        <w:t>igiene</w:t>
      </w:r>
      <w:r w:rsidRPr="00F5609E">
        <w:rPr>
          <w:rFonts w:cstheme="minorHAnsi"/>
          <w:spacing w:val="-2"/>
        </w:rPr>
        <w:t xml:space="preserve"> </w:t>
      </w:r>
      <w:r w:rsidRPr="00F5609E">
        <w:rPr>
          <w:rFonts w:cstheme="minorHAnsi"/>
        </w:rPr>
        <w:t xml:space="preserve">dentale </w:t>
      </w:r>
      <w:r w:rsidRPr="00F5609E">
        <w:rPr>
          <w:rFonts w:cstheme="minorHAnsi"/>
          <w:spacing w:val="-4"/>
        </w:rPr>
        <w:t>e</w:t>
      </w:r>
      <w:r w:rsidRPr="00F5609E">
        <w:rPr>
          <w:rFonts w:cstheme="minorHAnsi"/>
          <w:spacing w:val="-48"/>
        </w:rPr>
        <w:t xml:space="preserve"> </w:t>
      </w:r>
      <w:r w:rsidRPr="00F5609E">
        <w:rPr>
          <w:rFonts w:cstheme="minorHAnsi"/>
        </w:rPr>
        <w:t>trattamento topico siano</w:t>
      </w:r>
      <w:r w:rsidRPr="00F5609E">
        <w:rPr>
          <w:rFonts w:cstheme="minorHAnsi"/>
          <w:spacing w:val="2"/>
        </w:rPr>
        <w:t xml:space="preserve"> </w:t>
      </w:r>
      <w:r w:rsidRPr="00F5609E">
        <w:rPr>
          <w:rFonts w:cstheme="minorHAnsi"/>
        </w:rPr>
        <w:t>insufficienti.</w:t>
      </w:r>
    </w:p>
    <w:p w14:paraId="3E8EA161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3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Candidiasi vaginale, acuta o ricorrente, quando la terapia locale non è</w:t>
      </w:r>
      <w:r w:rsidRPr="00F5609E">
        <w:rPr>
          <w:rFonts w:cstheme="minorHAnsi"/>
          <w:spacing w:val="-26"/>
        </w:rPr>
        <w:t xml:space="preserve"> </w:t>
      </w:r>
      <w:r w:rsidRPr="00F5609E">
        <w:rPr>
          <w:rFonts w:cstheme="minorHAnsi"/>
        </w:rPr>
        <w:t>appropriata.</w:t>
      </w:r>
    </w:p>
    <w:p w14:paraId="00D1EBEC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5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Balanite da Candida, quando la terapia locale non è</w:t>
      </w:r>
      <w:r w:rsidRPr="00F5609E">
        <w:rPr>
          <w:rFonts w:cstheme="minorHAnsi"/>
          <w:spacing w:val="-19"/>
        </w:rPr>
        <w:t xml:space="preserve"> </w:t>
      </w:r>
      <w:r w:rsidRPr="00F5609E">
        <w:rPr>
          <w:rFonts w:cstheme="minorHAnsi"/>
        </w:rPr>
        <w:t>appropriata.</w:t>
      </w:r>
    </w:p>
    <w:p w14:paraId="10545C82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5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Dermatomicosi, incluse tinea pedis, tinea corporis, tinea cruris, tinea versicolor e</w:t>
      </w:r>
      <w:r w:rsidRPr="00F5609E">
        <w:rPr>
          <w:rFonts w:cstheme="minorHAnsi"/>
          <w:spacing w:val="-32"/>
        </w:rPr>
        <w:t xml:space="preserve"> </w:t>
      </w:r>
      <w:r w:rsidRPr="00F5609E">
        <w:rPr>
          <w:rFonts w:cstheme="minorHAnsi"/>
        </w:rPr>
        <w:t>infezioni cutanee da Candida, quando sia indicata la terapia</w:t>
      </w:r>
      <w:r w:rsidRPr="00F5609E">
        <w:rPr>
          <w:rFonts w:cstheme="minorHAnsi"/>
          <w:spacing w:val="-19"/>
        </w:rPr>
        <w:t xml:space="preserve"> </w:t>
      </w:r>
      <w:r w:rsidRPr="00F5609E">
        <w:rPr>
          <w:rFonts w:cstheme="minorHAnsi"/>
        </w:rPr>
        <w:t>sistemica.</w:t>
      </w:r>
    </w:p>
    <w:p w14:paraId="0F6D9B4E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0" w:lineRule="auto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Tinea unguinium (onicomicosi), quando altri trattamenti non siano considerati</w:t>
      </w:r>
      <w:r w:rsidRPr="00F5609E">
        <w:rPr>
          <w:rFonts w:cstheme="minorHAnsi"/>
          <w:spacing w:val="-27"/>
        </w:rPr>
        <w:t xml:space="preserve"> </w:t>
      </w:r>
      <w:r w:rsidRPr="00F5609E">
        <w:rPr>
          <w:rFonts w:cstheme="minorHAnsi"/>
        </w:rPr>
        <w:t>appropriati.</w:t>
      </w:r>
    </w:p>
    <w:p w14:paraId="7AEBC787" w14:textId="77777777" w:rsidR="00F5609E" w:rsidRPr="00F5609E" w:rsidRDefault="00F5609E" w:rsidP="00F5609E">
      <w:pPr>
        <w:pStyle w:val="Corpotesto"/>
        <w:spacing w:before="8"/>
        <w:jc w:val="both"/>
        <w:rPr>
          <w:rFonts w:cstheme="minorHAnsi"/>
        </w:rPr>
      </w:pPr>
    </w:p>
    <w:p w14:paraId="4252737A" w14:textId="3E0987FD" w:rsidR="00F5609E" w:rsidRPr="00F5609E" w:rsidRDefault="0055518C" w:rsidP="00F5609E">
      <w:pPr>
        <w:pStyle w:val="Corpotesto"/>
        <w:spacing w:before="1"/>
        <w:ind w:left="119"/>
        <w:jc w:val="both"/>
        <w:rPr>
          <w:rFonts w:cstheme="minorHAnsi"/>
        </w:rPr>
      </w:pPr>
      <w:r>
        <w:rPr>
          <w:rFonts w:cstheme="minorHAnsi"/>
          <w:u w:val="single"/>
        </w:rPr>
        <w:t>AZOLIX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è</w:t>
      </w:r>
      <w:r w:rsidR="00F5609E" w:rsidRPr="00F5609E">
        <w:rPr>
          <w:rFonts w:cstheme="minorHAnsi"/>
          <w:spacing w:val="-10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indicato</w:t>
      </w:r>
      <w:r w:rsidR="00F5609E" w:rsidRPr="00F5609E">
        <w:rPr>
          <w:rFonts w:cstheme="minorHAnsi"/>
          <w:spacing w:val="-6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negli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adulti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per</w:t>
      </w:r>
      <w:r w:rsidR="00F5609E" w:rsidRPr="00F5609E">
        <w:rPr>
          <w:rFonts w:cstheme="minorHAnsi"/>
          <w:spacing w:val="-9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la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profilassi</w:t>
      </w:r>
      <w:r w:rsidR="00F5609E" w:rsidRPr="00F5609E">
        <w:rPr>
          <w:rFonts w:cstheme="minorHAnsi"/>
          <w:spacing w:val="-10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di:</w:t>
      </w:r>
    </w:p>
    <w:p w14:paraId="7024E111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0" w:lineRule="auto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Recidiva di meningite criptococcica in pazienti ad alto rischio di</w:t>
      </w:r>
      <w:r w:rsidRPr="00F5609E">
        <w:rPr>
          <w:rFonts w:cstheme="minorHAnsi"/>
          <w:spacing w:val="-22"/>
        </w:rPr>
        <w:t xml:space="preserve"> </w:t>
      </w:r>
      <w:r w:rsidRPr="00F5609E">
        <w:rPr>
          <w:rFonts w:cstheme="minorHAnsi"/>
        </w:rPr>
        <w:t>ricaduta.</w:t>
      </w:r>
    </w:p>
    <w:p w14:paraId="51DB2988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5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Recidiva di candidiasi orofaringea o esofagea in pazienti affetti da HIV ad alto rischio</w:t>
      </w:r>
      <w:r w:rsidRPr="00F5609E">
        <w:rPr>
          <w:rFonts w:cstheme="minorHAnsi"/>
          <w:spacing w:val="-28"/>
        </w:rPr>
        <w:t xml:space="preserve"> </w:t>
      </w:r>
      <w:r w:rsidRPr="00F5609E">
        <w:rPr>
          <w:rFonts w:cstheme="minorHAnsi"/>
        </w:rPr>
        <w:t>di presentare</w:t>
      </w:r>
      <w:r w:rsidRPr="00F5609E">
        <w:rPr>
          <w:rFonts w:cstheme="minorHAnsi"/>
          <w:spacing w:val="-9"/>
        </w:rPr>
        <w:t xml:space="preserve"> </w:t>
      </w:r>
      <w:r w:rsidRPr="00F5609E">
        <w:rPr>
          <w:rFonts w:cstheme="minorHAnsi"/>
        </w:rPr>
        <w:t>ricadute.</w:t>
      </w:r>
    </w:p>
    <w:p w14:paraId="5FD53706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4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lastRenderedPageBreak/>
        <w:t>Per ridurre l’incidenza della candidiasi vaginale ricorrente (4 o più episodi</w:t>
      </w:r>
      <w:r w:rsidRPr="00F5609E">
        <w:rPr>
          <w:rFonts w:cstheme="minorHAnsi"/>
          <w:spacing w:val="-29"/>
        </w:rPr>
        <w:t xml:space="preserve"> </w:t>
      </w:r>
      <w:r w:rsidRPr="00F5609E">
        <w:rPr>
          <w:rFonts w:cstheme="minorHAnsi"/>
        </w:rPr>
        <w:t>all’anno).</w:t>
      </w:r>
    </w:p>
    <w:p w14:paraId="11ACBB3F" w14:textId="77777777" w:rsidR="00F5609E" w:rsidRPr="00F5609E" w:rsidRDefault="00F5609E" w:rsidP="00F5609E">
      <w:pPr>
        <w:pStyle w:val="Paragrafoelenco"/>
        <w:widowControl w:val="0"/>
        <w:numPr>
          <w:ilvl w:val="2"/>
          <w:numId w:val="6"/>
        </w:numPr>
        <w:tabs>
          <w:tab w:val="left" w:pos="803"/>
          <w:tab w:val="left" w:pos="804"/>
        </w:tabs>
        <w:autoSpaceDE w:val="0"/>
        <w:autoSpaceDN w:val="0"/>
        <w:spacing w:after="0" w:line="244" w:lineRule="exact"/>
        <w:ind w:left="803"/>
        <w:contextualSpacing w:val="0"/>
        <w:jc w:val="both"/>
        <w:rPr>
          <w:rFonts w:cstheme="minorHAnsi"/>
        </w:rPr>
      </w:pPr>
      <w:r w:rsidRPr="00F5609E">
        <w:rPr>
          <w:rFonts w:cstheme="minorHAnsi"/>
        </w:rPr>
        <w:t>Profilassi delle candidemie nei pazienti con neutropenia prolungata (es. pazienti con</w:t>
      </w:r>
      <w:r w:rsidRPr="00F5609E">
        <w:rPr>
          <w:rFonts w:cstheme="minorHAnsi"/>
          <w:spacing w:val="-34"/>
        </w:rPr>
        <w:t xml:space="preserve"> </w:t>
      </w:r>
      <w:r w:rsidRPr="00F5609E">
        <w:rPr>
          <w:rFonts w:cstheme="minorHAnsi"/>
        </w:rPr>
        <w:t>patologie ematologiche maligne sottoposti a chemioterapia o pazienti che ricevono trapianto di</w:t>
      </w:r>
      <w:r w:rsidRPr="00F5609E">
        <w:rPr>
          <w:rFonts w:cstheme="minorHAnsi"/>
          <w:spacing w:val="-35"/>
        </w:rPr>
        <w:t xml:space="preserve"> </w:t>
      </w:r>
      <w:r w:rsidRPr="00F5609E">
        <w:rPr>
          <w:rFonts w:cstheme="minorHAnsi"/>
        </w:rPr>
        <w:t>Cellule Staminali Emopoietiche (vedere paragrafo</w:t>
      </w:r>
      <w:r w:rsidRPr="00F5609E">
        <w:rPr>
          <w:rFonts w:cstheme="minorHAnsi"/>
          <w:spacing w:val="-13"/>
        </w:rPr>
        <w:t xml:space="preserve"> </w:t>
      </w:r>
      <w:r w:rsidRPr="00F5609E">
        <w:rPr>
          <w:rFonts w:cstheme="minorHAnsi"/>
        </w:rPr>
        <w:t>5.1).</w:t>
      </w:r>
    </w:p>
    <w:p w14:paraId="2A98201A" w14:textId="77777777" w:rsidR="00F5609E" w:rsidRPr="00F5609E" w:rsidRDefault="00F5609E" w:rsidP="00F5609E">
      <w:pPr>
        <w:pStyle w:val="Corpotesto"/>
        <w:jc w:val="both"/>
        <w:rPr>
          <w:rFonts w:cstheme="minorHAnsi"/>
        </w:rPr>
      </w:pPr>
    </w:p>
    <w:p w14:paraId="29145279" w14:textId="7EA98DCA" w:rsidR="00F5609E" w:rsidRPr="00F5609E" w:rsidRDefault="0055518C" w:rsidP="00F5609E">
      <w:pPr>
        <w:pStyle w:val="Corpotesto"/>
        <w:spacing w:before="1"/>
        <w:ind w:left="119"/>
        <w:jc w:val="both"/>
        <w:rPr>
          <w:rFonts w:cstheme="minorHAnsi"/>
        </w:rPr>
      </w:pPr>
      <w:r>
        <w:rPr>
          <w:rFonts w:cstheme="minorHAnsi"/>
          <w:u w:val="single"/>
        </w:rPr>
        <w:t>AZOLIX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è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indicato</w:t>
      </w:r>
      <w:r w:rsidR="00F5609E" w:rsidRPr="00F5609E">
        <w:rPr>
          <w:rFonts w:cstheme="minorHAnsi"/>
          <w:spacing w:val="-6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nei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neonati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a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termine,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lattanti,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infanti,</w:t>
      </w:r>
      <w:r w:rsidR="00F5609E" w:rsidRPr="00F5609E">
        <w:rPr>
          <w:rFonts w:cstheme="minorHAnsi"/>
          <w:spacing w:val="-10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bambini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e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adolescenti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da</w:t>
      </w:r>
      <w:r w:rsidR="00F5609E" w:rsidRPr="00F5609E">
        <w:rPr>
          <w:rFonts w:cstheme="minorHAnsi"/>
          <w:spacing w:val="-10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0</w:t>
      </w:r>
      <w:r w:rsidR="00F5609E" w:rsidRPr="00F5609E">
        <w:rPr>
          <w:rFonts w:cstheme="minorHAnsi"/>
          <w:spacing w:val="-7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a</w:t>
      </w:r>
      <w:r w:rsidR="00F5609E" w:rsidRPr="00F5609E">
        <w:rPr>
          <w:rFonts w:cstheme="minorHAnsi"/>
          <w:spacing w:val="-8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17</w:t>
      </w:r>
      <w:r w:rsidR="00F5609E" w:rsidRPr="00F5609E">
        <w:rPr>
          <w:rFonts w:cstheme="minorHAnsi"/>
          <w:spacing w:val="-6"/>
          <w:u w:val="single"/>
        </w:rPr>
        <w:t xml:space="preserve"> </w:t>
      </w:r>
      <w:r w:rsidR="00F5609E" w:rsidRPr="00F5609E">
        <w:rPr>
          <w:rFonts w:cstheme="minorHAnsi"/>
          <w:u w:val="single"/>
        </w:rPr>
        <w:t>anni:</w:t>
      </w:r>
    </w:p>
    <w:p w14:paraId="0BACBB4F" w14:textId="390D1558" w:rsidR="00F5609E" w:rsidRPr="00F5609E" w:rsidRDefault="0055518C" w:rsidP="00F5609E">
      <w:pPr>
        <w:pStyle w:val="Corpotesto"/>
        <w:spacing w:before="91"/>
        <w:ind w:left="119"/>
        <w:jc w:val="both"/>
        <w:rPr>
          <w:rFonts w:cstheme="minorHAnsi"/>
        </w:rPr>
      </w:pPr>
      <w:r>
        <w:rPr>
          <w:rFonts w:cstheme="minorHAnsi"/>
        </w:rPr>
        <w:t>AZOLIX</w:t>
      </w:r>
      <w:r w:rsidR="00F5609E" w:rsidRPr="00F5609E">
        <w:rPr>
          <w:rFonts w:cstheme="minorHAnsi"/>
        </w:rPr>
        <w:t xml:space="preserve"> è usato nel trattamento delle candidiasi delle mucose (orofaringee e esofagee), candidiasi invasive,</w:t>
      </w:r>
      <w:r w:rsidR="00F5609E" w:rsidRPr="00F5609E">
        <w:rPr>
          <w:rFonts w:cstheme="minorHAnsi"/>
          <w:spacing w:val="16"/>
        </w:rPr>
        <w:t xml:space="preserve"> </w:t>
      </w:r>
      <w:r w:rsidR="00F5609E" w:rsidRPr="00F5609E">
        <w:rPr>
          <w:rFonts w:cstheme="minorHAnsi"/>
        </w:rPr>
        <w:t>meningite</w:t>
      </w:r>
      <w:r w:rsidR="00F5609E" w:rsidRPr="00F5609E">
        <w:rPr>
          <w:rFonts w:cstheme="minorHAnsi"/>
          <w:spacing w:val="13"/>
        </w:rPr>
        <w:t xml:space="preserve"> </w:t>
      </w:r>
      <w:r w:rsidR="00F5609E" w:rsidRPr="00F5609E">
        <w:rPr>
          <w:rFonts w:cstheme="minorHAnsi"/>
        </w:rPr>
        <w:t>criptococcica</w:t>
      </w:r>
      <w:r w:rsidR="00F5609E" w:rsidRPr="00F5609E">
        <w:rPr>
          <w:rFonts w:cstheme="minorHAnsi"/>
          <w:spacing w:val="14"/>
        </w:rPr>
        <w:t xml:space="preserve"> </w:t>
      </w:r>
      <w:r w:rsidR="00F5609E" w:rsidRPr="00F5609E">
        <w:rPr>
          <w:rFonts w:cstheme="minorHAnsi"/>
        </w:rPr>
        <w:t>e</w:t>
      </w:r>
      <w:r w:rsidR="00F5609E" w:rsidRPr="00F5609E">
        <w:rPr>
          <w:rFonts w:cstheme="minorHAnsi"/>
          <w:spacing w:val="15"/>
        </w:rPr>
        <w:t xml:space="preserve"> </w:t>
      </w:r>
      <w:r w:rsidR="00F5609E" w:rsidRPr="00F5609E">
        <w:rPr>
          <w:rFonts w:cstheme="minorHAnsi"/>
        </w:rPr>
        <w:t>nella</w:t>
      </w:r>
      <w:r w:rsidR="00F5609E" w:rsidRPr="00F5609E">
        <w:rPr>
          <w:rFonts w:cstheme="minorHAnsi"/>
          <w:spacing w:val="14"/>
        </w:rPr>
        <w:t xml:space="preserve"> </w:t>
      </w:r>
      <w:r w:rsidR="00F5609E" w:rsidRPr="00F5609E">
        <w:rPr>
          <w:rFonts w:cstheme="minorHAnsi"/>
        </w:rPr>
        <w:t>profilassi</w:t>
      </w:r>
      <w:r w:rsidR="00F5609E" w:rsidRPr="00F5609E">
        <w:rPr>
          <w:rFonts w:cstheme="minorHAnsi"/>
          <w:spacing w:val="16"/>
        </w:rPr>
        <w:t xml:space="preserve"> </w:t>
      </w:r>
      <w:r w:rsidR="00F5609E" w:rsidRPr="00F5609E">
        <w:rPr>
          <w:rFonts w:cstheme="minorHAnsi"/>
        </w:rPr>
        <w:t>delle</w:t>
      </w:r>
      <w:r w:rsidR="00F5609E" w:rsidRPr="00F5609E">
        <w:rPr>
          <w:rFonts w:cstheme="minorHAnsi"/>
          <w:spacing w:val="15"/>
        </w:rPr>
        <w:t xml:space="preserve"> </w:t>
      </w:r>
      <w:r w:rsidR="00F5609E" w:rsidRPr="00F5609E">
        <w:rPr>
          <w:rFonts w:cstheme="minorHAnsi"/>
        </w:rPr>
        <w:t>candidiasi</w:t>
      </w:r>
      <w:r w:rsidR="00F5609E" w:rsidRPr="00F5609E">
        <w:rPr>
          <w:rFonts w:cstheme="minorHAnsi"/>
          <w:spacing w:val="13"/>
        </w:rPr>
        <w:t xml:space="preserve"> </w:t>
      </w:r>
      <w:r w:rsidR="00F5609E" w:rsidRPr="00F5609E">
        <w:rPr>
          <w:rFonts w:cstheme="minorHAnsi"/>
        </w:rPr>
        <w:t>nei</w:t>
      </w:r>
      <w:r w:rsidR="00F5609E" w:rsidRPr="00F5609E">
        <w:rPr>
          <w:rFonts w:cstheme="minorHAnsi"/>
          <w:spacing w:val="13"/>
        </w:rPr>
        <w:t xml:space="preserve"> </w:t>
      </w:r>
      <w:r w:rsidR="00F5609E" w:rsidRPr="00F5609E">
        <w:rPr>
          <w:rFonts w:cstheme="minorHAnsi"/>
        </w:rPr>
        <w:t>pazienti</w:t>
      </w:r>
      <w:r w:rsidR="00F5609E" w:rsidRPr="00F5609E">
        <w:rPr>
          <w:rFonts w:cstheme="minorHAnsi"/>
          <w:spacing w:val="14"/>
        </w:rPr>
        <w:t xml:space="preserve"> </w:t>
      </w:r>
      <w:r w:rsidR="00F5609E" w:rsidRPr="00F5609E">
        <w:rPr>
          <w:rFonts w:cstheme="minorHAnsi"/>
        </w:rPr>
        <w:t>immunocompromessi.</w:t>
      </w:r>
    </w:p>
    <w:p w14:paraId="7C9A86E2" w14:textId="6E4AC98D" w:rsidR="00F5609E" w:rsidRPr="00F5609E" w:rsidRDefault="0055518C" w:rsidP="00F5609E">
      <w:pPr>
        <w:pStyle w:val="Corpotesto"/>
        <w:spacing w:before="1"/>
        <w:ind w:left="119"/>
        <w:jc w:val="both"/>
        <w:rPr>
          <w:rFonts w:cstheme="minorHAnsi"/>
        </w:rPr>
      </w:pPr>
      <w:r>
        <w:rPr>
          <w:rFonts w:cstheme="minorHAnsi"/>
        </w:rPr>
        <w:t>AZOLIX</w:t>
      </w:r>
      <w:r w:rsidR="00F5609E" w:rsidRPr="00F5609E">
        <w:rPr>
          <w:rFonts w:cstheme="minorHAnsi"/>
        </w:rPr>
        <w:t xml:space="preserve"> può essere usato come terapia di mantenimento per prevenire le ricadute di meningite criptococcica nei bambini ad alto rischio di recidiva (vedere paragrafo</w:t>
      </w:r>
      <w:r w:rsidR="00F5609E" w:rsidRPr="00F5609E">
        <w:rPr>
          <w:rFonts w:cstheme="minorHAnsi"/>
          <w:spacing w:val="-2"/>
        </w:rPr>
        <w:t xml:space="preserve"> </w:t>
      </w:r>
      <w:r w:rsidR="00F5609E" w:rsidRPr="00F5609E">
        <w:rPr>
          <w:rFonts w:cstheme="minorHAnsi"/>
        </w:rPr>
        <w:t>4.4).</w:t>
      </w:r>
    </w:p>
    <w:p w14:paraId="4F358D5A" w14:textId="77777777" w:rsidR="00F5609E" w:rsidRPr="00F5609E" w:rsidRDefault="00F5609E" w:rsidP="00F5609E">
      <w:pPr>
        <w:pStyle w:val="Corpotesto"/>
        <w:spacing w:before="76"/>
        <w:ind w:left="119" w:right="208"/>
        <w:jc w:val="both"/>
        <w:rPr>
          <w:rFonts w:cstheme="minorHAnsi"/>
        </w:rPr>
      </w:pPr>
      <w:r w:rsidRPr="00F5609E">
        <w:rPr>
          <w:rFonts w:cstheme="minorHAnsi"/>
        </w:rPr>
        <w:t>La terapia può essere istituita prima che si conoscano i risultati delle colture o di altri test di laboratorio, ma, quando i risultati diventano disponibili, la terapia anti-infettiva deve essere adeguata</w:t>
      </w:r>
      <w:r w:rsidRPr="00F5609E">
        <w:rPr>
          <w:rFonts w:cstheme="minorHAnsi"/>
          <w:spacing w:val="-6"/>
        </w:rPr>
        <w:t xml:space="preserve"> </w:t>
      </w:r>
      <w:r w:rsidRPr="00F5609E">
        <w:rPr>
          <w:rFonts w:cstheme="minorHAnsi"/>
        </w:rPr>
        <w:t>conseguentemente.</w:t>
      </w:r>
    </w:p>
    <w:p w14:paraId="4B83F675" w14:textId="77777777" w:rsidR="00F5609E" w:rsidRPr="00F5609E" w:rsidRDefault="00F5609E" w:rsidP="00F5609E">
      <w:pPr>
        <w:pStyle w:val="Corpotesto"/>
        <w:ind w:left="119"/>
        <w:jc w:val="both"/>
        <w:rPr>
          <w:rFonts w:cstheme="minorHAnsi"/>
        </w:rPr>
      </w:pPr>
      <w:r w:rsidRPr="00F5609E">
        <w:rPr>
          <w:rFonts w:cstheme="minorHAnsi"/>
        </w:rPr>
        <w:t>Bisogna tenere in considerazione le linee guida ufficiali per l'uso appropriato degli</w:t>
      </w:r>
      <w:r w:rsidRPr="00F5609E">
        <w:rPr>
          <w:rFonts w:cstheme="minorHAnsi"/>
          <w:spacing w:val="-28"/>
        </w:rPr>
        <w:t xml:space="preserve"> </w:t>
      </w:r>
      <w:r w:rsidRPr="00F5609E">
        <w:rPr>
          <w:rFonts w:cstheme="minorHAnsi"/>
        </w:rPr>
        <w:t>antimicotici.</w:t>
      </w:r>
    </w:p>
    <w:p w14:paraId="75E6170F" w14:textId="4CA2DF7C" w:rsidR="0042214D" w:rsidRPr="00900C91" w:rsidRDefault="0042214D" w:rsidP="0042214D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r w:rsidR="0055518C">
        <w:t>AZOLIX</w:t>
      </w:r>
      <w:r w:rsidRPr="00900C91">
        <w:t xml:space="preserve"> e quelli del medicinale</w:t>
      </w:r>
      <w:r>
        <w:t xml:space="preserve"> di riferimento</w:t>
      </w:r>
      <w:r w:rsidRPr="00900C91">
        <w:t xml:space="preserve"> </w:t>
      </w:r>
      <w:r w:rsidR="00223594">
        <w:t>DIFLUCAN</w:t>
      </w:r>
      <w:r>
        <w:t xml:space="preserve"> autorizzato in Italia</w:t>
      </w:r>
      <w:r w:rsidRPr="00900C91">
        <w:t>.</w:t>
      </w:r>
    </w:p>
    <w:p w14:paraId="170F87C6" w14:textId="59CF04E0"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r w:rsidRPr="00900C91">
        <w:rPr>
          <w:i/>
        </w:rPr>
        <w:t>Good Clinical Practice</w:t>
      </w:r>
      <w:r w:rsidRPr="00900C91">
        <w:t xml:space="preserve"> - GCP).</w:t>
      </w:r>
    </w:p>
    <w:p w14:paraId="49D86B01" w14:textId="77777777" w:rsidR="00CC52A3" w:rsidRPr="00900C91" w:rsidRDefault="00CC52A3" w:rsidP="0042214D">
      <w:pPr>
        <w:spacing w:after="0" w:line="240" w:lineRule="auto"/>
        <w:jc w:val="both"/>
      </w:pPr>
    </w:p>
    <w:p w14:paraId="3917EDCA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14:paraId="660A2710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E8971FF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69E70DAA" w14:textId="77777777" w:rsidR="004E5A39" w:rsidRPr="00EF6711" w:rsidRDefault="004E5A39" w:rsidP="00EF6711">
      <w:pPr>
        <w:spacing w:after="0" w:line="240" w:lineRule="auto"/>
        <w:jc w:val="both"/>
      </w:pPr>
    </w:p>
    <w:p w14:paraId="60041E47" w14:textId="6E2C63B5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55518C">
        <w:rPr>
          <w:rFonts w:eastAsia="Calibri" w:cs="Calibri"/>
          <w:color w:val="000000"/>
          <w:lang w:eastAsia="it-IT"/>
        </w:rPr>
        <w:t>AZOLIX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190A7CBC" w14:textId="77777777" w:rsidR="004E5A39" w:rsidRPr="00EF6711" w:rsidRDefault="004E5A39" w:rsidP="00EF6711">
      <w:pPr>
        <w:spacing w:after="0" w:line="240" w:lineRule="auto"/>
        <w:jc w:val="both"/>
      </w:pPr>
    </w:p>
    <w:p w14:paraId="42600433" w14:textId="77777777" w:rsidR="004E5A39" w:rsidRPr="00EF6711" w:rsidRDefault="004E5A39" w:rsidP="00EF6711">
      <w:pPr>
        <w:spacing w:after="0" w:line="240" w:lineRule="auto"/>
        <w:jc w:val="both"/>
      </w:pPr>
    </w:p>
    <w:p w14:paraId="788DF27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707C5BCE" w14:textId="77777777" w:rsidR="00A13CB0" w:rsidRDefault="00A13CB0" w:rsidP="00EF6711">
      <w:pPr>
        <w:spacing w:after="0" w:line="240" w:lineRule="auto"/>
        <w:jc w:val="both"/>
        <w:rPr>
          <w:b/>
        </w:rPr>
      </w:pPr>
    </w:p>
    <w:p w14:paraId="619FA8A4" w14:textId="24EA1F79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 PRINCIPIO ATTIVO</w:t>
      </w:r>
      <w:r w:rsidR="00A13CB0">
        <w:rPr>
          <w:b/>
        </w:rPr>
        <w:t xml:space="preserve"> FLUCONAZOLO</w:t>
      </w:r>
    </w:p>
    <w:p w14:paraId="5FD780C5" w14:textId="77777777" w:rsidR="006C1F5A" w:rsidRDefault="004E5A39" w:rsidP="006C1F5A">
      <w:pPr>
        <w:pStyle w:val="Default"/>
      </w:pPr>
      <w:r w:rsidRPr="00EF6711">
        <w:rPr>
          <w:u w:val="single"/>
        </w:rPr>
        <w:t>Nome chimico</w:t>
      </w:r>
      <w:r w:rsidR="006C1F5A">
        <w:t>:</w:t>
      </w:r>
    </w:p>
    <w:p w14:paraId="45159796" w14:textId="4CCECBE5" w:rsidR="004E5A39" w:rsidRPr="002816FE" w:rsidRDefault="006C1F5A" w:rsidP="006C1F5A">
      <w:pPr>
        <w:autoSpaceDE w:val="0"/>
        <w:autoSpaceDN w:val="0"/>
        <w:adjustRightInd w:val="0"/>
        <w:spacing w:after="0" w:line="240" w:lineRule="auto"/>
      </w:pPr>
      <w:r>
        <w:t xml:space="preserve"> </w:t>
      </w:r>
      <w:r w:rsidRPr="002816FE">
        <w:t xml:space="preserve">2-(2,4-difluorophenyl)-1,3-bis (1H-1,2,4-triazol-1-yl)-propan-2-ol </w:t>
      </w:r>
    </w:p>
    <w:p w14:paraId="3470F4D2" w14:textId="77777777" w:rsidR="006C1F5A" w:rsidRPr="006C1F5A" w:rsidRDefault="006C1F5A" w:rsidP="006C1F5A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14:paraId="68652091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1E73FB27" w14:textId="50551933" w:rsidR="004E5A39" w:rsidRDefault="004E5A39" w:rsidP="00EF6711">
      <w:pPr>
        <w:spacing w:after="0" w:line="240" w:lineRule="auto"/>
        <w:jc w:val="center"/>
        <w:rPr>
          <w:highlight w:val="yellow"/>
        </w:rPr>
      </w:pPr>
    </w:p>
    <w:p w14:paraId="6BB48EDE" w14:textId="0A2BE5FF" w:rsidR="005B788F" w:rsidRDefault="002816FE" w:rsidP="00EF6711">
      <w:pPr>
        <w:spacing w:after="0" w:line="240" w:lineRule="auto"/>
        <w:jc w:val="center"/>
        <w:rPr>
          <w:highlight w:val="yellow"/>
        </w:rPr>
      </w:pPr>
      <w:r w:rsidRPr="002816FE">
        <w:rPr>
          <w:noProof/>
          <w:highlight w:val="yellow"/>
          <w:lang w:eastAsia="it-IT"/>
        </w:rPr>
        <w:drawing>
          <wp:inline distT="0" distB="0" distL="0" distR="0" wp14:anchorId="15500186" wp14:editId="20E4F230">
            <wp:extent cx="1720850" cy="13398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9D664" w14:textId="77777777" w:rsidR="005B788F" w:rsidRPr="00EF6711" w:rsidRDefault="005B788F" w:rsidP="00EF6711">
      <w:pPr>
        <w:spacing w:after="0" w:line="240" w:lineRule="auto"/>
        <w:jc w:val="center"/>
        <w:rPr>
          <w:highlight w:val="yellow"/>
        </w:rPr>
      </w:pPr>
    </w:p>
    <w:p w14:paraId="6276D850" w14:textId="0D094A33" w:rsidR="004E5A39" w:rsidRPr="002816FE" w:rsidRDefault="004E5A39" w:rsidP="002816FE">
      <w:pPr>
        <w:pStyle w:val="Default"/>
        <w:rPr>
          <w:rFonts w:asciiTheme="minorHAnsi" w:hAnsiTheme="minorHAnsi" w:cstheme="minorHAnsi"/>
        </w:rPr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2816FE" w:rsidRPr="002816FE">
        <w:rPr>
          <w:rFonts w:asciiTheme="minorHAnsi" w:hAnsiTheme="minorHAnsi" w:cstheme="minorHAnsi"/>
        </w:rPr>
        <w:t xml:space="preserve"> </w:t>
      </w:r>
      <w:r w:rsidR="002816FE" w:rsidRPr="002816FE">
        <w:rPr>
          <w:rFonts w:asciiTheme="minorHAnsi" w:hAnsiTheme="minorHAnsi" w:cstheme="minorHAnsi"/>
          <w:sz w:val="23"/>
          <w:szCs w:val="23"/>
        </w:rPr>
        <w:t>C</w:t>
      </w:r>
      <w:r w:rsidR="002816FE" w:rsidRPr="002816FE">
        <w:rPr>
          <w:rFonts w:asciiTheme="minorHAnsi" w:hAnsiTheme="minorHAnsi" w:cstheme="minorHAnsi"/>
          <w:sz w:val="16"/>
          <w:szCs w:val="16"/>
        </w:rPr>
        <w:t>13</w:t>
      </w:r>
      <w:r w:rsidR="002816FE" w:rsidRPr="002816FE">
        <w:rPr>
          <w:rFonts w:asciiTheme="minorHAnsi" w:hAnsiTheme="minorHAnsi" w:cstheme="minorHAnsi"/>
          <w:sz w:val="23"/>
          <w:szCs w:val="23"/>
        </w:rPr>
        <w:t>H</w:t>
      </w:r>
      <w:r w:rsidR="002816FE" w:rsidRPr="002816FE">
        <w:rPr>
          <w:rFonts w:asciiTheme="minorHAnsi" w:hAnsiTheme="minorHAnsi" w:cstheme="minorHAnsi"/>
          <w:sz w:val="16"/>
          <w:szCs w:val="16"/>
        </w:rPr>
        <w:t>12</w:t>
      </w:r>
      <w:r w:rsidR="002816FE" w:rsidRPr="002816FE">
        <w:rPr>
          <w:rFonts w:asciiTheme="minorHAnsi" w:hAnsiTheme="minorHAnsi" w:cstheme="minorHAnsi"/>
          <w:sz w:val="23"/>
          <w:szCs w:val="23"/>
        </w:rPr>
        <w:t>F</w:t>
      </w:r>
      <w:r w:rsidR="002816FE" w:rsidRPr="002816FE">
        <w:rPr>
          <w:rFonts w:asciiTheme="minorHAnsi" w:hAnsiTheme="minorHAnsi" w:cstheme="minorHAnsi"/>
          <w:sz w:val="16"/>
          <w:szCs w:val="16"/>
        </w:rPr>
        <w:t>2</w:t>
      </w:r>
      <w:r w:rsidR="002816FE" w:rsidRPr="002816FE">
        <w:rPr>
          <w:rFonts w:asciiTheme="minorHAnsi" w:hAnsiTheme="minorHAnsi" w:cstheme="minorHAnsi"/>
          <w:sz w:val="23"/>
          <w:szCs w:val="23"/>
        </w:rPr>
        <w:t>N</w:t>
      </w:r>
      <w:r w:rsidR="002816FE" w:rsidRPr="002816FE">
        <w:rPr>
          <w:rFonts w:asciiTheme="minorHAnsi" w:hAnsiTheme="minorHAnsi" w:cstheme="minorHAnsi"/>
          <w:sz w:val="16"/>
          <w:szCs w:val="16"/>
        </w:rPr>
        <w:t>6</w:t>
      </w:r>
      <w:r w:rsidR="002816FE" w:rsidRPr="002816FE">
        <w:rPr>
          <w:rFonts w:asciiTheme="minorHAnsi" w:hAnsiTheme="minorHAnsi" w:cstheme="minorHAnsi"/>
          <w:sz w:val="23"/>
          <w:szCs w:val="23"/>
        </w:rPr>
        <w:t>O</w:t>
      </w:r>
    </w:p>
    <w:p w14:paraId="04556A67" w14:textId="26E471AA" w:rsidR="004E5A39" w:rsidRPr="00EF6711" w:rsidRDefault="004E5A39" w:rsidP="002816FE">
      <w:pPr>
        <w:pStyle w:val="Default"/>
      </w:pPr>
      <w:r w:rsidRPr="00EF6711">
        <w:rPr>
          <w:u w:val="single"/>
        </w:rPr>
        <w:lastRenderedPageBreak/>
        <w:t>Peso molecolare</w:t>
      </w:r>
      <w:r w:rsidRPr="00EF6711">
        <w:t>:</w:t>
      </w:r>
      <w:r w:rsidR="002816FE">
        <w:t xml:space="preserve"> </w:t>
      </w:r>
      <w:r w:rsidR="002816FE">
        <w:rPr>
          <w:sz w:val="23"/>
          <w:szCs w:val="23"/>
        </w:rPr>
        <w:t>306.3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14:paraId="5BDFB620" w14:textId="48178949" w:rsidR="004E5A39" w:rsidRPr="00D07244" w:rsidRDefault="004E5A39" w:rsidP="002816FE">
      <w:pPr>
        <w:pStyle w:val="Default"/>
      </w:pPr>
      <w:r w:rsidRPr="00D07244">
        <w:rPr>
          <w:rFonts w:asciiTheme="minorHAnsi" w:hAnsiTheme="minorHAnsi" w:cstheme="minorBidi"/>
          <w:color w:val="auto"/>
          <w:sz w:val="22"/>
          <w:szCs w:val="22"/>
          <w:u w:val="single"/>
        </w:rPr>
        <w:t xml:space="preserve">CAS: </w:t>
      </w:r>
      <w:r w:rsidR="002816FE" w:rsidRPr="00D07244">
        <w:rPr>
          <w:sz w:val="22"/>
          <w:szCs w:val="22"/>
        </w:rPr>
        <w:t>[86386-73-4]</w:t>
      </w:r>
    </w:p>
    <w:p w14:paraId="305AD91F" w14:textId="227649DB" w:rsidR="004E5A39" w:rsidRPr="00D07244" w:rsidRDefault="004E5A39" w:rsidP="00EF6711">
      <w:pPr>
        <w:spacing w:after="0" w:line="240" w:lineRule="auto"/>
        <w:jc w:val="both"/>
      </w:pPr>
      <w:r w:rsidRPr="00D07244">
        <w:rPr>
          <w:u w:val="single"/>
        </w:rPr>
        <w:t>Aspetto</w:t>
      </w:r>
      <w:r w:rsidRPr="00D07244">
        <w:t xml:space="preserve">: </w:t>
      </w:r>
      <w:r w:rsidR="00D07244" w:rsidRPr="00D07244">
        <w:t>polvere cristallina bianca o quasi bianca, igroscopica</w:t>
      </w:r>
      <w:r w:rsidR="00D07244">
        <w:t>.</w:t>
      </w:r>
    </w:p>
    <w:p w14:paraId="28483887" w14:textId="414D6DC9" w:rsidR="004E5A39" w:rsidRPr="00D07244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07244">
        <w:rPr>
          <w:u w:val="single"/>
        </w:rPr>
        <w:t>Solubilità</w:t>
      </w:r>
      <w:r w:rsidRPr="00D07244">
        <w:t xml:space="preserve">: </w:t>
      </w:r>
      <w:r w:rsidR="002C3772">
        <w:t xml:space="preserve">leggermente solubile in acqua, molto solubile in metanolo, solubile in acetone. </w:t>
      </w:r>
    </w:p>
    <w:p w14:paraId="75AD6AB5" w14:textId="77777777" w:rsidR="004E5A39" w:rsidRPr="00D07244" w:rsidRDefault="004E5A39" w:rsidP="00EF6711">
      <w:pPr>
        <w:spacing w:after="0" w:line="240" w:lineRule="auto"/>
        <w:jc w:val="both"/>
      </w:pPr>
    </w:p>
    <w:p w14:paraId="1ADE2A06" w14:textId="387E15E1" w:rsidR="000B7AC8" w:rsidRPr="00A72D8A" w:rsidRDefault="000B7AC8" w:rsidP="000B7AC8">
      <w:pPr>
        <w:spacing w:after="0" w:line="240" w:lineRule="auto"/>
        <w:jc w:val="both"/>
      </w:pPr>
      <w:r w:rsidRPr="0070238B">
        <w:t>Il principio</w:t>
      </w:r>
      <w:r w:rsidRPr="0037110B">
        <w:t xml:space="preserve"> attivo è presente in Farmacopea Europea</w:t>
      </w:r>
      <w:r w:rsidRPr="00A72D8A">
        <w:t xml:space="preserve"> 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581A3AF8" w14:textId="1792EF34" w:rsidR="00F92B7F" w:rsidRPr="00F92B7F" w:rsidRDefault="000B7AC8" w:rsidP="00F92B7F"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92B7F">
        <w:t>-</w:t>
      </w:r>
      <w:r w:rsidRPr="00F93450">
        <w:t xml:space="preserve">test è definito in </w:t>
      </w:r>
      <w:r w:rsidR="00F92B7F">
        <w:t>36</w:t>
      </w:r>
      <w:r w:rsidRPr="00F93450">
        <w:t xml:space="preserve"> </w:t>
      </w:r>
      <w:r>
        <w:t>m</w:t>
      </w:r>
      <w:r w:rsidRPr="00F93450">
        <w:t>esi</w:t>
      </w:r>
      <w:r>
        <w:t xml:space="preserve">, quando confezionato </w:t>
      </w:r>
      <w:r w:rsidR="00F92B7F">
        <w:t xml:space="preserve">in </w:t>
      </w:r>
      <w:r w:rsidR="00F92B7F" w:rsidRPr="00F92B7F">
        <w:t>sacche in doppio polietilene, in una sacca</w:t>
      </w:r>
      <w:r w:rsidR="00F92B7F">
        <w:t xml:space="preserve"> </w:t>
      </w:r>
      <w:r w:rsidR="00F92B7F" w:rsidRPr="00F92B7F">
        <w:t>tripla laminata (PE tereftalato/alluminio/PE), posta in un contenitore in PE.</w:t>
      </w:r>
    </w:p>
    <w:p w14:paraId="73C20530" w14:textId="77777777" w:rsidR="000B7AC8" w:rsidRPr="00EF6711" w:rsidRDefault="000B7AC8" w:rsidP="00EF6711">
      <w:pPr>
        <w:spacing w:after="0" w:line="240" w:lineRule="auto"/>
        <w:jc w:val="both"/>
      </w:pPr>
    </w:p>
    <w:p w14:paraId="754DEDF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49AEC30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507C69C3" w14:textId="0FA5EE4F" w:rsidR="004E5A39" w:rsidRPr="002B7FB0" w:rsidRDefault="0055518C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AZOLIX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2B7FB0">
        <w:rPr>
          <w:rFonts w:eastAsia="Calibri" w:cs="Calibri"/>
          <w:color w:val="000000"/>
          <w:lang w:eastAsia="it-IT"/>
        </w:rPr>
        <w:t>capsule contenenti 100 mg, 150 mg e 200 mg di principio attivo.</w:t>
      </w:r>
    </w:p>
    <w:p w14:paraId="1999A061" w14:textId="13EC4990" w:rsidR="00C807DA" w:rsidRPr="00C807DA" w:rsidRDefault="004E5A39" w:rsidP="00C807DA">
      <w:pPr>
        <w:spacing w:after="0" w:line="240" w:lineRule="auto"/>
        <w:jc w:val="both"/>
      </w:pPr>
      <w:r w:rsidRPr="00EF6711">
        <w:t>Gli eccipienti</w:t>
      </w:r>
      <w:r w:rsidR="00C60FD5">
        <w:t xml:space="preserve"> contenuti all’interno della capsula</w:t>
      </w:r>
      <w:r w:rsidRPr="00EF6711">
        <w:t xml:space="preserve"> sono </w:t>
      </w:r>
      <w:r w:rsidR="00C60FD5" w:rsidRPr="0039247B">
        <w:t>Lattosio,</w:t>
      </w:r>
      <w:r w:rsidR="00C60FD5" w:rsidRPr="0039247B">
        <w:rPr>
          <w:spacing w:val="-27"/>
        </w:rPr>
        <w:t xml:space="preserve"> </w:t>
      </w:r>
      <w:r w:rsidR="00C60FD5" w:rsidRPr="0039247B">
        <w:t>Silice</w:t>
      </w:r>
      <w:r w:rsidR="00C60FD5" w:rsidRPr="0039247B">
        <w:rPr>
          <w:spacing w:val="-27"/>
        </w:rPr>
        <w:t xml:space="preserve"> </w:t>
      </w:r>
      <w:r w:rsidR="00C60FD5" w:rsidRPr="0039247B">
        <w:t>colloidale</w:t>
      </w:r>
      <w:r w:rsidR="00C60FD5" w:rsidRPr="0039247B">
        <w:rPr>
          <w:spacing w:val="-27"/>
        </w:rPr>
        <w:t xml:space="preserve"> </w:t>
      </w:r>
      <w:r w:rsidR="00C60FD5" w:rsidRPr="0039247B">
        <w:t>diossido,</w:t>
      </w:r>
      <w:r w:rsidR="00C60FD5" w:rsidRPr="0039247B">
        <w:rPr>
          <w:spacing w:val="-26"/>
        </w:rPr>
        <w:t xml:space="preserve"> </w:t>
      </w:r>
      <w:r w:rsidR="00C60FD5" w:rsidRPr="0039247B">
        <w:t>Amido</w:t>
      </w:r>
      <w:r w:rsidR="00C60FD5" w:rsidRPr="0039247B">
        <w:rPr>
          <w:spacing w:val="-31"/>
        </w:rPr>
        <w:t xml:space="preserve"> </w:t>
      </w:r>
      <w:r w:rsidR="00C60FD5" w:rsidRPr="0039247B">
        <w:t>di</w:t>
      </w:r>
      <w:r w:rsidR="00C60FD5" w:rsidRPr="0039247B">
        <w:rPr>
          <w:spacing w:val="-30"/>
        </w:rPr>
        <w:t xml:space="preserve"> </w:t>
      </w:r>
      <w:r w:rsidR="00C60FD5" w:rsidRPr="0039247B">
        <w:t>mais,</w:t>
      </w:r>
      <w:r w:rsidR="00C60FD5" w:rsidRPr="0039247B">
        <w:rPr>
          <w:spacing w:val="-31"/>
        </w:rPr>
        <w:t xml:space="preserve"> </w:t>
      </w:r>
      <w:r w:rsidR="00C60FD5" w:rsidRPr="0039247B">
        <w:t>Magnesio</w:t>
      </w:r>
      <w:r w:rsidR="00C60FD5" w:rsidRPr="0039247B">
        <w:rPr>
          <w:spacing w:val="-29"/>
        </w:rPr>
        <w:t xml:space="preserve"> </w:t>
      </w:r>
      <w:r w:rsidR="00C60FD5" w:rsidRPr="0039247B">
        <w:t>stearato,</w:t>
      </w:r>
      <w:r w:rsidR="00C60FD5" w:rsidRPr="0039247B">
        <w:rPr>
          <w:spacing w:val="-31"/>
        </w:rPr>
        <w:t xml:space="preserve"> </w:t>
      </w:r>
      <w:r w:rsidR="00C60FD5" w:rsidRPr="0039247B">
        <w:t>Sodio</w:t>
      </w:r>
      <w:r w:rsidR="00C60FD5" w:rsidRPr="0039247B">
        <w:rPr>
          <w:spacing w:val="-30"/>
        </w:rPr>
        <w:t xml:space="preserve"> </w:t>
      </w:r>
      <w:r w:rsidR="00C60FD5" w:rsidRPr="0039247B">
        <w:t>laurilsolfato</w:t>
      </w:r>
      <w:r w:rsidR="00C60FD5">
        <w:t>.</w:t>
      </w:r>
      <w:r w:rsidR="00C807DA">
        <w:t xml:space="preserve"> Additivi e coloranti presenti negli opercoli sono </w:t>
      </w:r>
      <w:r w:rsidR="00C807DA" w:rsidRPr="00C807DA">
        <w:t xml:space="preserve">Titanio diossido (E171), Ossido di ferro giallo (E172), Patent blue V (E131), Giallo arancio (E110), </w:t>
      </w:r>
      <w:r w:rsidR="00C807DA" w:rsidRPr="0039247B">
        <w:t>Indigotina</w:t>
      </w:r>
      <w:r w:rsidR="00C807DA" w:rsidRPr="0039247B">
        <w:rPr>
          <w:spacing w:val="-3"/>
        </w:rPr>
        <w:t xml:space="preserve"> (</w:t>
      </w:r>
      <w:r w:rsidR="00C807DA" w:rsidRPr="0039247B">
        <w:t>E132),</w:t>
      </w:r>
      <w:r w:rsidR="00C807DA" w:rsidRPr="0039247B">
        <w:rPr>
          <w:spacing w:val="-6"/>
        </w:rPr>
        <w:t xml:space="preserve"> </w:t>
      </w:r>
      <w:r w:rsidR="00C807DA" w:rsidRPr="0039247B">
        <w:t>Giallo</w:t>
      </w:r>
      <w:r w:rsidR="00C807DA" w:rsidRPr="0039247B">
        <w:rPr>
          <w:spacing w:val="-2"/>
        </w:rPr>
        <w:t xml:space="preserve"> </w:t>
      </w:r>
      <w:r w:rsidR="00C807DA" w:rsidRPr="0039247B">
        <w:t>chinolina</w:t>
      </w:r>
      <w:r w:rsidR="00C807DA" w:rsidRPr="0039247B">
        <w:rPr>
          <w:spacing w:val="-4"/>
        </w:rPr>
        <w:t xml:space="preserve"> (</w:t>
      </w:r>
      <w:r w:rsidR="00C807DA" w:rsidRPr="0039247B">
        <w:t>E104),</w:t>
      </w:r>
      <w:r w:rsidR="00C807DA" w:rsidRPr="0039247B">
        <w:rPr>
          <w:spacing w:val="-3"/>
        </w:rPr>
        <w:t xml:space="preserve"> </w:t>
      </w:r>
      <w:r w:rsidR="00C807DA" w:rsidRPr="0039247B">
        <w:t>Gelatin</w:t>
      </w:r>
      <w:r w:rsidR="00C807DA">
        <w:t>a.</w:t>
      </w:r>
    </w:p>
    <w:p w14:paraId="5F2DE985" w14:textId="44DEF769" w:rsidR="00C807DA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C807DA" w:rsidRPr="00C807DA">
        <w:t>Ossido di ferro giallo (E172)</w:t>
      </w:r>
      <w:r w:rsidR="00C807DA">
        <w:t xml:space="preserve">, </w:t>
      </w:r>
      <w:r w:rsidR="00C807DA" w:rsidRPr="00C807DA">
        <w:t xml:space="preserve">Patent blue V (E131), Giallo arancio (E110), </w:t>
      </w:r>
      <w:r w:rsidR="00C807DA" w:rsidRPr="0039247B">
        <w:t>Indigotina</w:t>
      </w:r>
      <w:r w:rsidR="00C807DA" w:rsidRPr="0039247B">
        <w:rPr>
          <w:spacing w:val="-3"/>
        </w:rPr>
        <w:t xml:space="preserve"> (</w:t>
      </w:r>
      <w:r w:rsidR="00C807DA" w:rsidRPr="0039247B">
        <w:t>E132),</w:t>
      </w:r>
      <w:r w:rsidR="00C807DA" w:rsidRPr="0039247B">
        <w:rPr>
          <w:spacing w:val="-6"/>
        </w:rPr>
        <w:t xml:space="preserve"> </w:t>
      </w:r>
      <w:r w:rsidR="00C807DA" w:rsidRPr="0039247B">
        <w:t>Giallo</w:t>
      </w:r>
      <w:r w:rsidR="00C807DA" w:rsidRPr="0039247B">
        <w:rPr>
          <w:spacing w:val="-2"/>
        </w:rPr>
        <w:t xml:space="preserve"> </w:t>
      </w:r>
      <w:r w:rsidR="00C807DA" w:rsidRPr="0039247B">
        <w:t>chinolina</w:t>
      </w:r>
      <w:r w:rsidR="00C807DA" w:rsidRPr="0039247B">
        <w:rPr>
          <w:spacing w:val="-4"/>
        </w:rPr>
        <w:t xml:space="preserve"> (</w:t>
      </w:r>
      <w:r w:rsidR="00C807DA" w:rsidRPr="0039247B">
        <w:t>E104</w:t>
      </w:r>
      <w:r w:rsidR="00C807DA">
        <w:t xml:space="preserve">) </w:t>
      </w:r>
      <w:r>
        <w:t xml:space="preserve">per i quali </w:t>
      </w:r>
      <w:r w:rsidR="000A5ED9">
        <w:t xml:space="preserve">il </w:t>
      </w:r>
      <w:r>
        <w:t>produttor</w:t>
      </w:r>
      <w:r w:rsidR="000A5ED9">
        <w:t>e</w:t>
      </w:r>
      <w:r>
        <w:t xml:space="preserve"> </w:t>
      </w:r>
      <w:r w:rsidR="00C807DA">
        <w:t xml:space="preserve">ne </w:t>
      </w:r>
      <w:r>
        <w:t xml:space="preserve">ha </w:t>
      </w:r>
      <w:r w:rsidR="00C807DA">
        <w:t xml:space="preserve">dichiarato la conformità alla Direttiva </w:t>
      </w:r>
      <w:r w:rsidR="00C807DA" w:rsidRPr="00C807DA">
        <w:t>95/45/EC</w:t>
      </w:r>
      <w:r w:rsidR="00C807DA">
        <w:t xml:space="preserve"> concernente i criteri di purezza specifici relativi ai coloranti da utilizzare nei prodotti alimentari.</w:t>
      </w:r>
    </w:p>
    <w:p w14:paraId="78BB9524" w14:textId="2862816C" w:rsidR="000808A3" w:rsidRPr="00FE7080" w:rsidRDefault="006A484D" w:rsidP="000808A3">
      <w:pPr>
        <w:spacing w:after="0" w:line="240" w:lineRule="auto"/>
        <w:jc w:val="both"/>
      </w:pPr>
      <w:r w:rsidRPr="006A484D">
        <w:t xml:space="preserve">Gli eccipienti </w:t>
      </w:r>
      <w:r w:rsidR="000808A3" w:rsidRPr="006A484D">
        <w:t xml:space="preserve">di originale animale </w:t>
      </w:r>
      <w:r w:rsidRPr="006A484D">
        <w:t xml:space="preserve">sono </w:t>
      </w:r>
      <w:r w:rsidR="000808A3" w:rsidRPr="006A484D">
        <w:t>il lattosio</w:t>
      </w:r>
      <w:r w:rsidRPr="006A484D">
        <w:t xml:space="preserve"> e la gelatina</w:t>
      </w:r>
      <w:r w:rsidR="000808A3" w:rsidRPr="006A484D">
        <w:t xml:space="preserve">; </w:t>
      </w:r>
      <w:r w:rsidRPr="006A484D">
        <w:t>per il primo è</w:t>
      </w:r>
      <w:r w:rsidR="000808A3" w:rsidRPr="006A484D">
        <w:t xml:space="preserve"> stata fornita</w:t>
      </w:r>
      <w:r w:rsidR="000808A3" w:rsidRPr="00FE7080">
        <w:t xml:space="preserve"> una dichiarazione che nella sua produzione sono utilizzati animali sani della stessa qualità utilizzata per il consumo umano.</w:t>
      </w:r>
    </w:p>
    <w:p w14:paraId="4F557A71" w14:textId="3775419A" w:rsidR="000808A3" w:rsidRDefault="006A484D" w:rsidP="000808A3">
      <w:pPr>
        <w:spacing w:after="0" w:line="240" w:lineRule="auto"/>
        <w:jc w:val="both"/>
        <w:rPr>
          <w:noProof/>
        </w:rPr>
      </w:pPr>
      <w:r>
        <w:t>Relativamente all’impiego della gelatina,</w:t>
      </w:r>
      <w:r w:rsidR="000808A3" w:rsidRPr="00F93450">
        <w:t xml:space="preserve"> </w:t>
      </w:r>
      <w:r w:rsidR="000808A3">
        <w:t xml:space="preserve">a tutti i produttori utilizzati </w:t>
      </w:r>
      <w:r w:rsidR="000808A3" w:rsidRPr="00845AF1">
        <w:t>il Direttorato Europeo per la Qualità dei Medicinali (</w:t>
      </w:r>
      <w:r w:rsidR="000808A3" w:rsidRPr="00845AF1">
        <w:rPr>
          <w:i/>
        </w:rPr>
        <w:t>European Directorate for Quality of Medicnals</w:t>
      </w:r>
      <w:r w:rsidR="000808A3" w:rsidRPr="00845AF1">
        <w:t xml:space="preserve"> – EDQM) ha</w:t>
      </w:r>
      <w:r w:rsidR="000808A3">
        <w:t xml:space="preserve"> rilasciato</w:t>
      </w:r>
      <w:r w:rsidR="000808A3" w:rsidRPr="00845AF1">
        <w:t xml:space="preserve"> </w:t>
      </w:r>
      <w:r w:rsidR="000808A3">
        <w:t>i</w:t>
      </w:r>
      <w:r w:rsidR="000808A3" w:rsidRPr="00845AF1">
        <w:t xml:space="preserve"> certificat</w:t>
      </w:r>
      <w:r w:rsidR="000808A3">
        <w:t>i</w:t>
      </w:r>
      <w:r w:rsidR="000808A3" w:rsidRPr="00845AF1">
        <w:t xml:space="preserve"> di conformità alla Farmacopea Europea</w:t>
      </w:r>
      <w:r w:rsidR="000808A3">
        <w:t xml:space="preserve"> che ne certificano la sicurezza d’uso.</w:t>
      </w:r>
      <w:r w:rsidR="000808A3">
        <w:rPr>
          <w:noProof/>
        </w:rPr>
        <w:t xml:space="preserve"> </w:t>
      </w:r>
    </w:p>
    <w:p w14:paraId="4C63A88D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264604DD" w14:textId="77777777" w:rsidR="004E5A39" w:rsidRPr="00EF6711" w:rsidRDefault="004E5A39" w:rsidP="00EF6711">
      <w:pPr>
        <w:spacing w:after="0" w:line="240" w:lineRule="auto"/>
        <w:jc w:val="both"/>
      </w:pPr>
    </w:p>
    <w:p w14:paraId="67354B6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0299B1D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D474FC7" w14:textId="46D8307C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223594">
        <w:rPr>
          <w:rFonts w:eastAsia="Calibri" w:cs="Calibri"/>
          <w:lang w:eastAsia="it-IT"/>
        </w:rPr>
        <w:t>DIFLUCAN</w:t>
      </w:r>
      <w:r w:rsidR="006A484D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14:paraId="13CC6F9F" w14:textId="77777777" w:rsidR="004E5A39" w:rsidRPr="00EF6711" w:rsidRDefault="004E5A39" w:rsidP="00EF6711">
      <w:pPr>
        <w:spacing w:after="0" w:line="240" w:lineRule="auto"/>
        <w:jc w:val="both"/>
      </w:pPr>
    </w:p>
    <w:p w14:paraId="24E2E79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2FDAD0D0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7889904E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5071EAE2" w14:textId="77777777" w:rsidR="004E5A39" w:rsidRPr="00EF6711" w:rsidRDefault="004E5A39" w:rsidP="00EF6711">
      <w:pPr>
        <w:spacing w:after="0" w:line="240" w:lineRule="auto"/>
        <w:jc w:val="both"/>
      </w:pPr>
    </w:p>
    <w:p w14:paraId="3D4CC55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453B1091" w14:textId="77234AD9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="000808A3">
        <w:t>per i diversi dosaggi del prodott</w:t>
      </w:r>
      <w:r w:rsidR="006A484D">
        <w:t>o</w:t>
      </w:r>
      <w:r w:rsidR="000808A3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05F7577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7CE3C42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48E7F38A" w14:textId="75579A6B" w:rsidR="00BA0ACD" w:rsidRPr="00EF6711" w:rsidRDefault="0055518C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AZOLIX</w:t>
      </w:r>
      <w:r w:rsidR="006A48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6A484D">
        <w:t>blister</w:t>
      </w:r>
      <w:r w:rsidR="006A484D" w:rsidRPr="006A484D">
        <w:t xml:space="preserve"> in PVC/PVDC/Al</w:t>
      </w:r>
      <w:r w:rsidR="006A484D">
        <w:t>.</w:t>
      </w:r>
    </w:p>
    <w:p w14:paraId="0576CEFA" w14:textId="0E35F39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</w:t>
      </w:r>
      <w:r w:rsidR="00773833">
        <w:t xml:space="preserve"> </w:t>
      </w:r>
      <w:r w:rsidRPr="00EF6711">
        <w:t>per il medicinale.</w:t>
      </w:r>
    </w:p>
    <w:p w14:paraId="39EEF821" w14:textId="77777777" w:rsidR="00BA0ACD" w:rsidRPr="00EF6711" w:rsidRDefault="00BA0ACD" w:rsidP="00EF6711">
      <w:pPr>
        <w:spacing w:after="0" w:line="240" w:lineRule="auto"/>
        <w:jc w:val="both"/>
      </w:pPr>
    </w:p>
    <w:p w14:paraId="1FB1E36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Stabilità</w:t>
      </w:r>
    </w:p>
    <w:p w14:paraId="066CCE78" w14:textId="6C7AB07C" w:rsidR="004E5A39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773833">
        <w:t xml:space="preserve">3 </w:t>
      </w:r>
      <w:r w:rsidR="00265B61">
        <w:t>anni</w:t>
      </w:r>
      <w:r w:rsidRPr="00EF6711">
        <w:t xml:space="preserve"> </w:t>
      </w:r>
      <w:r w:rsidR="000808A3">
        <w:t xml:space="preserve">con conservazione a temperatura non superiore a </w:t>
      </w:r>
      <w:r w:rsidR="00773833">
        <w:t>25°C.</w:t>
      </w:r>
    </w:p>
    <w:p w14:paraId="34EF05A3" w14:textId="77777777" w:rsidR="00773833" w:rsidRDefault="00773833" w:rsidP="00EF6711">
      <w:pPr>
        <w:spacing w:after="0" w:line="240" w:lineRule="auto"/>
        <w:jc w:val="both"/>
        <w:rPr>
          <w:b/>
        </w:rPr>
      </w:pPr>
    </w:p>
    <w:p w14:paraId="12966D87" w14:textId="39D17E82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2FF48E90" w14:textId="7AFF8A21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55518C">
        <w:rPr>
          <w:rFonts w:eastAsia="Calibri" w:cs="Calibri"/>
          <w:color w:val="000000"/>
          <w:lang w:eastAsia="it-IT"/>
        </w:rPr>
        <w:t>AZOLIX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55518C">
        <w:rPr>
          <w:rFonts w:eastAsia="Calibri" w:cs="Calibri"/>
          <w:color w:val="000000"/>
          <w:lang w:eastAsia="it-IT"/>
        </w:rPr>
        <w:t>AZOLIX</w:t>
      </w:r>
      <w:r w:rsidR="00265B61" w:rsidRPr="00EF6711">
        <w:t xml:space="preserve"> </w:t>
      </w:r>
      <w:r w:rsidRPr="00EF6711">
        <w:t>dal punto di vista chimico-farmaceutico.</w:t>
      </w:r>
    </w:p>
    <w:p w14:paraId="540DFED5" w14:textId="77777777" w:rsidR="004E5A39" w:rsidRPr="00EF6711" w:rsidRDefault="004E5A39" w:rsidP="00EF6711">
      <w:pPr>
        <w:spacing w:after="0" w:line="240" w:lineRule="auto"/>
        <w:jc w:val="both"/>
      </w:pPr>
    </w:p>
    <w:p w14:paraId="37F60706" w14:textId="77777777" w:rsidR="004E5A39" w:rsidRPr="00EF6711" w:rsidRDefault="004E5A39" w:rsidP="00EF6711">
      <w:pPr>
        <w:spacing w:after="0" w:line="240" w:lineRule="auto"/>
        <w:jc w:val="both"/>
      </w:pPr>
    </w:p>
    <w:p w14:paraId="74783C4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43AC89F7" w14:textId="4D82FCAE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55518C">
        <w:rPr>
          <w:rFonts w:eastAsia="Calibri" w:cs="Calibri"/>
          <w:bCs/>
          <w:color w:val="000000"/>
          <w:lang w:eastAsia="it-IT"/>
        </w:rPr>
        <w:t>AZOLIX</w:t>
      </w:r>
      <w:r w:rsidR="00853EC6" w:rsidRPr="00853EC6">
        <w:rPr>
          <w:rFonts w:eastAsia="Calibri" w:cs="Calibri"/>
          <w:bCs/>
          <w:color w:val="000000"/>
          <w:lang w:eastAsia="it-IT"/>
        </w:rPr>
        <w:t xml:space="preserve"> </w:t>
      </w:r>
      <w:r w:rsidRPr="00EF6711">
        <w:t xml:space="preserve">contiene </w:t>
      </w:r>
      <w:r w:rsidR="00C72205">
        <w:t xml:space="preserve">un </w:t>
      </w:r>
      <w:r w:rsidRPr="00EF6711">
        <w:t>principi</w:t>
      </w:r>
      <w:r w:rsidR="00C72205">
        <w:t>o</w:t>
      </w:r>
      <w:r w:rsidRPr="00EF6711">
        <w:t xml:space="preserve"> attiv</w:t>
      </w:r>
      <w:r w:rsidR="00C72205">
        <w:t>o</w:t>
      </w:r>
      <w:r w:rsidRPr="00EF6711">
        <w:t xml:space="preserve"> not</w:t>
      </w:r>
      <w:r w:rsidR="00C72205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223594">
        <w:rPr>
          <w:rFonts w:eastAsia="Calibri" w:cs="Calibri"/>
          <w:lang w:eastAsia="it-IT"/>
        </w:rPr>
        <w:t>DIFLUCAN</w:t>
      </w:r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4D35A86A" w14:textId="77777777" w:rsidR="004E5A39" w:rsidRPr="00853EC6" w:rsidRDefault="000808A3" w:rsidP="00853EC6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826817">
        <w:rPr>
          <w:bCs/>
        </w:rPr>
        <w:t>fluconazolo</w:t>
      </w:r>
      <w:r w:rsidR="00853EC6" w:rsidRPr="00853EC6">
        <w:rPr>
          <w:bCs/>
        </w:rPr>
        <w:t xml:space="preserve"> </w:t>
      </w:r>
      <w:r>
        <w:t xml:space="preserve">sono ben conosciute; pertanto, non sono richiesti ulteriori studi non clinici. Il richiedente l’AIC ha presentato una overview redatta da un esperto qualificato che ha fornito una approfondita rassegna dei dati bibliografici farmacologici, farmacocinetici e tossicologici di </w:t>
      </w:r>
      <w:r w:rsidR="00826817">
        <w:rPr>
          <w:bCs/>
        </w:rPr>
        <w:t>fluconazolo</w:t>
      </w:r>
      <w:r w:rsidR="00853EC6">
        <w:rPr>
          <w:bCs/>
        </w:rPr>
        <w:t>.</w:t>
      </w:r>
    </w:p>
    <w:p w14:paraId="1E8AC2A0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4C593EFA" w14:textId="77777777" w:rsidR="004E5A39" w:rsidRPr="00EF6711" w:rsidRDefault="004E5A39" w:rsidP="00EF6711">
      <w:pPr>
        <w:spacing w:after="0" w:line="240" w:lineRule="auto"/>
        <w:jc w:val="both"/>
      </w:pPr>
    </w:p>
    <w:p w14:paraId="16D1E845" w14:textId="77777777" w:rsidR="004E5A39" w:rsidRPr="00EF6711" w:rsidRDefault="004E5A39" w:rsidP="00EF6711">
      <w:pPr>
        <w:spacing w:after="0" w:line="240" w:lineRule="auto"/>
        <w:jc w:val="both"/>
      </w:pPr>
    </w:p>
    <w:p w14:paraId="0DC864A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5BCB10DF" w14:textId="54DFC6E6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Calibri" w:cs="Calibri"/>
          <w:bCs/>
          <w:color w:val="000000"/>
          <w:lang w:eastAsia="it-IT"/>
        </w:rPr>
        <w:t>AZOLIX</w:t>
      </w:r>
      <w:r w:rsidR="000808A3" w:rsidRPr="00853EC6">
        <w:rPr>
          <w:rFonts w:eastAsia="Calibri" w:cs="Calibri"/>
          <w:color w:val="000000"/>
          <w:lang w:eastAsia="it-IT"/>
        </w:rPr>
        <w:t xml:space="preserve"> </w:t>
      </w:r>
      <w:r w:rsidR="00826817" w:rsidRPr="00826817">
        <w:t>è indicato nelle seguenti infez</w:t>
      </w:r>
      <w:r w:rsidR="00826817">
        <w:t>ioni micotiche</w:t>
      </w:r>
      <w:r w:rsidR="00826817" w:rsidRPr="00826817">
        <w:t>.</w:t>
      </w:r>
    </w:p>
    <w:p w14:paraId="1853148E" w14:textId="77777777" w:rsidR="00826817" w:rsidRPr="00826817" w:rsidRDefault="00826817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6484162" w14:textId="17CD8DDA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u w:val="single"/>
        </w:rPr>
      </w:pPr>
      <w:r>
        <w:rPr>
          <w:bCs/>
          <w:u w:val="single"/>
        </w:rPr>
        <w:t>AZOLIX</w:t>
      </w:r>
      <w:r w:rsidR="00826817" w:rsidRPr="00826817">
        <w:rPr>
          <w:bCs/>
          <w:u w:val="single"/>
        </w:rPr>
        <w:t xml:space="preserve"> è indicato negli adulti per il trattamento di</w:t>
      </w:r>
      <w:r w:rsidR="00826817" w:rsidRPr="00826817">
        <w:rPr>
          <w:b/>
          <w:bCs/>
          <w:u w:val="single"/>
        </w:rPr>
        <w:t>:</w:t>
      </w:r>
    </w:p>
    <w:p w14:paraId="5D013679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Meningite criptococcica.</w:t>
      </w:r>
    </w:p>
    <w:p w14:paraId="1293B30D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Coc</w:t>
      </w:r>
      <w:r>
        <w:t>cidioidomicosi</w:t>
      </w:r>
      <w:r w:rsidRPr="00826817">
        <w:t>.</w:t>
      </w:r>
    </w:p>
    <w:p w14:paraId="4748AD33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Candidiasi invasiva.</w:t>
      </w:r>
    </w:p>
    <w:p w14:paraId="4A294F33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Candidiasi delle mucose, incluse candidiasi orofaringea, candidiasi esofagea, candiduria e</w:t>
      </w:r>
    </w:p>
    <w:p w14:paraId="2DD030EB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 xml:space="preserve">candidiasi mucocutanea cronica. </w:t>
      </w:r>
    </w:p>
    <w:p w14:paraId="26F17599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Candidiasi orale atrofica cronica (stomatite da protesi dentale), nel caso in cui igiene dentale e trattamento topico siano insufficienti.</w:t>
      </w:r>
    </w:p>
    <w:p w14:paraId="18393A56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Candidiasi vaginale, acuta o ricorrente, quando la terapia locale non è appropriata.</w:t>
      </w:r>
    </w:p>
    <w:p w14:paraId="667FC138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Balanite da Candida, quando la terapia locale non è appropriata.</w:t>
      </w:r>
    </w:p>
    <w:p w14:paraId="4E24623A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Dermatomicosi, incluse tinea pedis, tinea corporis, tinea cruris, tinea versicolor e infezioni</w:t>
      </w:r>
    </w:p>
    <w:p w14:paraId="64D91F96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cutanee da Candida, quando sia indicata la terapia sistemica.</w:t>
      </w:r>
    </w:p>
    <w:p w14:paraId="789DB97F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Tinea unguinium (onicomicosi), quando altri trattamenti non siano considerati appropriati.</w:t>
      </w:r>
    </w:p>
    <w:p w14:paraId="55E22E94" w14:textId="77777777" w:rsidR="00826817" w:rsidRPr="00826817" w:rsidRDefault="00826817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121BDE7" w14:textId="5DFAF1A9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u w:val="single"/>
        </w:rPr>
        <w:t>AZOLIX</w:t>
      </w:r>
      <w:r w:rsidR="00826817" w:rsidRPr="00826817">
        <w:rPr>
          <w:u w:val="single"/>
        </w:rPr>
        <w:t xml:space="preserve"> è indicato negli adulti per la profilassi di:</w:t>
      </w:r>
    </w:p>
    <w:p w14:paraId="667F3476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Recidiva di meningite criptococcica in pazienti ad alto rischio di ricaduta.</w:t>
      </w:r>
    </w:p>
    <w:p w14:paraId="390C8223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Recidiva di candidiasi orofaringea o esofagea in pazienti affetti da HIV ad alto rischio di</w:t>
      </w:r>
    </w:p>
    <w:p w14:paraId="2FE94871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presentare ricadute.</w:t>
      </w:r>
    </w:p>
    <w:p w14:paraId="238CD4B8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Per ridurre l’incidenza della candidiasi vaginale ricorrente (4 o più episodi all’anno).</w:t>
      </w:r>
    </w:p>
    <w:p w14:paraId="6CC95D20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Profilassi delle candidemie nei pazienti con neutropenia prolungata (es. pazienti con patologie</w:t>
      </w:r>
    </w:p>
    <w:p w14:paraId="04067D01" w14:textId="77777777" w:rsidR="00826817" w:rsidRPr="00826817" w:rsidRDefault="00826817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ematologiche maligne sottoposti a chemioterapia o pazienti che ricevono trapianto di Cellule</w:t>
      </w:r>
    </w:p>
    <w:p w14:paraId="07F643E4" w14:textId="77777777" w:rsidR="00826817" w:rsidRPr="00826817" w:rsidRDefault="00826817" w:rsidP="00826817">
      <w:pPr>
        <w:numPr>
          <w:ilvl w:val="2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26817">
        <w:t>Staminal</w:t>
      </w:r>
      <w:r>
        <w:t>i Emopoietiche</w:t>
      </w:r>
      <w:r w:rsidRPr="00826817">
        <w:t>.</w:t>
      </w:r>
    </w:p>
    <w:p w14:paraId="0D9741F8" w14:textId="77777777" w:rsidR="00826817" w:rsidRPr="00826817" w:rsidRDefault="00826817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ECA8D26" w14:textId="008AB67B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u w:val="single"/>
        </w:rPr>
        <w:t>AZOLIX</w:t>
      </w:r>
      <w:r w:rsidR="00826817" w:rsidRPr="00826817">
        <w:rPr>
          <w:u w:val="single"/>
        </w:rPr>
        <w:t xml:space="preserve"> è indicato nei neonati a termine, lattanti, infanti, bambini e adolescenti da 0 a 17 anni:</w:t>
      </w:r>
    </w:p>
    <w:p w14:paraId="3B95E4A4" w14:textId="77777777" w:rsidR="00826817" w:rsidRPr="00826817" w:rsidRDefault="00826817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071288C" w14:textId="32E63FE1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AZOLIX</w:t>
      </w:r>
      <w:r w:rsidR="00826817" w:rsidRPr="00826817">
        <w:t xml:space="preserve"> è usato nel trattamento delle candidiasi delle mucose (orofaringee e esofagee), candidiasi invasive, meningite criptococcica e nella profilassi delle candidiasi nei pazienti immunocompromessi.</w:t>
      </w:r>
    </w:p>
    <w:p w14:paraId="102D227B" w14:textId="58FDC204" w:rsidR="00826817" w:rsidRPr="00826817" w:rsidRDefault="0055518C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AZOLIX</w:t>
      </w:r>
      <w:r w:rsidR="00826817" w:rsidRPr="00826817">
        <w:t xml:space="preserve"> può essere usato come terapia di mantenimento per prevenire le ricadute di meningite criptococcica nei bambini ad alto risch</w:t>
      </w:r>
      <w:r w:rsidR="00826817">
        <w:t>io di recidiva</w:t>
      </w:r>
      <w:r w:rsidR="00826817" w:rsidRPr="00826817">
        <w:t>.</w:t>
      </w:r>
    </w:p>
    <w:p w14:paraId="2E909530" w14:textId="77777777" w:rsidR="004E5A39" w:rsidRPr="00EF6711" w:rsidRDefault="004E5A39" w:rsidP="0082681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BB822DF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621EB1B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4E93D274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17FD8F59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75710FB0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144EDE">
        <w:rPr>
          <w:bCs/>
        </w:rPr>
        <w:t>fluconazolo</w:t>
      </w:r>
      <w:r w:rsidR="00853EC6" w:rsidRPr="00853EC6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0D73C249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2CF11B00" w14:textId="77777777"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38A5967B" w14:textId="240A71FE"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r w:rsidR="00144EDE">
        <w:rPr>
          <w:bCs/>
        </w:rPr>
        <w:t>fluconazolo</w:t>
      </w:r>
      <w:r w:rsidR="00853EC6" w:rsidRPr="00853EC6"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55518C">
        <w:rPr>
          <w:rFonts w:eastAsia="Calibri" w:cs="Calibri"/>
          <w:bCs/>
          <w:color w:val="000000"/>
          <w:lang w:eastAsia="it-IT"/>
        </w:rPr>
        <w:t>AZOLIX</w:t>
      </w:r>
      <w:r w:rsidR="00853EC6" w:rsidRPr="00853EC6">
        <w:rPr>
          <w:rFonts w:eastAsia="Calibri" w:cs="Calibri"/>
          <w:color w:val="000000"/>
          <w:lang w:eastAsia="it-IT"/>
        </w:rPr>
        <w:t xml:space="preserve"> </w:t>
      </w:r>
      <w:r w:rsidRPr="006727BD">
        <w:t xml:space="preserve">contiene </w:t>
      </w:r>
      <w:r w:rsidR="00144EDE">
        <w:t xml:space="preserve">un </w:t>
      </w:r>
      <w:r w:rsidRPr="006727BD">
        <w:t>principi</w:t>
      </w:r>
      <w:r w:rsidR="00144EDE">
        <w:t>o</w:t>
      </w:r>
      <w:r w:rsidRPr="006727BD">
        <w:t xml:space="preserve"> attiv</w:t>
      </w:r>
      <w:r w:rsidR="00144EDE">
        <w:t>o</w:t>
      </w:r>
      <w:r w:rsidRPr="006727BD">
        <w:t xml:space="preserve"> not</w:t>
      </w:r>
      <w:r w:rsidR="00144EDE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r w:rsidR="00223594">
        <w:t>DIFLUCAN</w:t>
      </w:r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55518C">
        <w:rPr>
          <w:rFonts w:eastAsia="Calibri" w:cs="Calibri"/>
          <w:bCs/>
          <w:color w:val="000000"/>
          <w:lang w:eastAsia="it-IT"/>
        </w:rPr>
        <w:t>AZOLIX</w:t>
      </w:r>
      <w:r w:rsidR="006727BD" w:rsidRPr="00853EC6">
        <w:rPr>
          <w:rFonts w:eastAsia="Calibri" w:cs="Calibri"/>
          <w:color w:val="000000"/>
          <w:lang w:eastAsia="it-IT"/>
        </w:rPr>
        <w:t xml:space="preserve"> </w:t>
      </w:r>
      <w:r w:rsidR="00BE7CDB" w:rsidRPr="006727BD">
        <w:t xml:space="preserve">contiene </w:t>
      </w:r>
      <w:r w:rsidR="00144EDE">
        <w:t xml:space="preserve">un </w:t>
      </w:r>
      <w:r w:rsidR="00BE7CDB" w:rsidRPr="006727BD">
        <w:t>principi</w:t>
      </w:r>
      <w:r w:rsidR="00144EDE">
        <w:t>o attivo</w:t>
      </w:r>
      <w:r w:rsidR="00BE7CDB" w:rsidRPr="006727BD">
        <w:t xml:space="preserve"> not</w:t>
      </w:r>
      <w:r w:rsidR="00144EDE">
        <w:t>o</w:t>
      </w:r>
      <w:r w:rsidR="00BE7CDB" w:rsidRPr="006727BD">
        <w:t xml:space="preserve"> e present</w:t>
      </w:r>
      <w:r w:rsidR="00144EDE">
        <w:t>e</w:t>
      </w:r>
      <w:r w:rsidR="00BE7CDB" w:rsidRPr="006727BD">
        <w:t xml:space="preserve"> nel medicinale </w:t>
      </w:r>
      <w:r w:rsidR="006727BD">
        <w:t xml:space="preserve">di riferimento </w:t>
      </w:r>
      <w:r w:rsidR="00223594">
        <w:t>DIFLUCAN</w:t>
      </w:r>
      <w:r w:rsidR="00144EDE">
        <w:t xml:space="preserve"> </w:t>
      </w:r>
      <w:r w:rsidR="00BE7CDB" w:rsidRPr="006727BD">
        <w:t>autorizzato in Italia da più di 10 anni.</w:t>
      </w:r>
    </w:p>
    <w:p w14:paraId="438AD176" w14:textId="77777777"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14:paraId="3F928178" w14:textId="77777777"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14:paraId="727DBE1E" w14:textId="5A50D7B3"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55518C">
        <w:rPr>
          <w:rFonts w:eastAsia="Calibri" w:cs="Calibri"/>
          <w:bCs/>
          <w:color w:val="000000"/>
          <w:lang w:eastAsia="it-IT"/>
        </w:rPr>
        <w:t>AZOLIX</w:t>
      </w:r>
      <w:r w:rsidR="00853EC6" w:rsidRPr="00853EC6">
        <w:rPr>
          <w:rFonts w:eastAsia="Calibri" w:cs="Calibri"/>
          <w:color w:val="000000"/>
          <w:lang w:eastAsia="it-IT"/>
        </w:rPr>
        <w:t xml:space="preserve"> </w:t>
      </w:r>
      <w:r w:rsidRPr="009F5FC7">
        <w:t xml:space="preserve">e quelli del medicinale </w:t>
      </w:r>
      <w:r>
        <w:t xml:space="preserve">di riferimento </w:t>
      </w:r>
      <w:r w:rsidR="00223594">
        <w:t>DIFLUCAN</w:t>
      </w:r>
      <w:r w:rsidR="00853EC6">
        <w:t>.</w:t>
      </w:r>
    </w:p>
    <w:p w14:paraId="5CF389D2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14:paraId="05FB2020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14:paraId="0E0C0F25" w14:textId="77777777"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 xml:space="preserve">maggiore </w:t>
      </w:r>
      <w:r w:rsidR="003B3587">
        <w:t xml:space="preserve">200 </w:t>
      </w:r>
      <w:r w:rsidR="00853EC6" w:rsidRPr="00853EC6">
        <w:t xml:space="preserve">mg </w:t>
      </w:r>
      <w:r w:rsidRPr="00333936">
        <w:t>per lo studio di bioequivalenza è st</w:t>
      </w:r>
      <w:r>
        <w:t>ato op</w:t>
      </w:r>
      <w:r w:rsidR="00853EC6">
        <w:t>portunamente giustificato</w:t>
      </w:r>
      <w:r>
        <w:t>.</w:t>
      </w:r>
    </w:p>
    <w:p w14:paraId="7FADB5A9" w14:textId="77777777" w:rsidR="005049A1" w:rsidRPr="005D5D07" w:rsidRDefault="00853EC6" w:rsidP="005049A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>Lo studio di bioequivalenza è</w:t>
      </w:r>
      <w:r w:rsidR="005049A1">
        <w:rPr>
          <w:rFonts w:ascii="Calibri" w:hAnsi="Calibri"/>
        </w:rPr>
        <w:t xml:space="preserve"> uno studio </w:t>
      </w:r>
      <w:r w:rsidR="005049A1" w:rsidRPr="005D5D07">
        <w:rPr>
          <w:rFonts w:ascii="Calibri" w:hAnsi="Calibri"/>
        </w:rPr>
        <w:t xml:space="preserve">comparativo, randomizzato, a dose singola, 2-periodi, </w:t>
      </w:r>
      <w:r w:rsidR="005049A1" w:rsidRPr="00F36FEA">
        <w:rPr>
          <w:rFonts w:ascii="Calibri" w:hAnsi="Calibri"/>
        </w:rPr>
        <w:t xml:space="preserve">crossover condotto in </w:t>
      </w:r>
      <w:r w:rsidR="003B3587">
        <w:rPr>
          <w:rFonts w:ascii="Calibri" w:hAnsi="Calibri"/>
        </w:rPr>
        <w:t>27</w:t>
      </w:r>
      <w:r w:rsidR="005049A1" w:rsidRPr="00F36FEA">
        <w:rPr>
          <w:rFonts w:ascii="Calibri" w:hAnsi="Calibri"/>
        </w:rPr>
        <w:t xml:space="preserve"> volontari sani con somministrazione a digiuno. </w:t>
      </w:r>
      <w:r w:rsidR="005049A1" w:rsidRPr="00F36FEA">
        <w:rPr>
          <w:rFonts w:ascii="Calibri" w:hAnsi="Calibri" w:cs="Arial"/>
        </w:rPr>
        <w:t xml:space="preserve">Dopo una notte di digiuno, il medicinale è stato somministrato con acqua. </w:t>
      </w:r>
      <w:r w:rsidR="005049A1" w:rsidRPr="00F36FEA">
        <w:rPr>
          <w:rFonts w:ascii="Calibri" w:hAnsi="Calibri"/>
        </w:rPr>
        <w:t xml:space="preserve">Un soddisfacente periodo di wash-out di </w:t>
      </w:r>
      <w:r w:rsidR="000759F6">
        <w:rPr>
          <w:rFonts w:ascii="Calibri" w:hAnsi="Calibri" w:cs="Arial"/>
        </w:rPr>
        <w:t>14</w:t>
      </w:r>
      <w:r w:rsidR="005049A1" w:rsidRPr="00F36FEA">
        <w:rPr>
          <w:rFonts w:ascii="Calibri" w:hAnsi="Calibri" w:cs="Arial"/>
        </w:rPr>
        <w:t xml:space="preserve"> giorni è stato previsto tra le somministrazioni in ogni gruppo.</w:t>
      </w:r>
    </w:p>
    <w:p w14:paraId="461F0F94" w14:textId="77777777"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 xml:space="preserve">Campioni di sangue sono stati prelevati al tempo zero (pre-dose) e a specificati tempi fino a </w:t>
      </w:r>
      <w:r w:rsidR="000759F6">
        <w:rPr>
          <w:rFonts w:ascii="Calibri" w:hAnsi="Calibri" w:cs="Arial"/>
        </w:rPr>
        <w:t>72</w:t>
      </w:r>
      <w:r w:rsidRPr="009F5FC7">
        <w:rPr>
          <w:rFonts w:ascii="Calibri" w:hAnsi="Calibri" w:cs="Arial"/>
        </w:rPr>
        <w:t xml:space="preserve"> ore dopo la somministrazione. I livelli plasmatici di </w:t>
      </w:r>
      <w:r w:rsidR="003B3587">
        <w:rPr>
          <w:rFonts w:ascii="Calibri" w:hAnsi="Calibri" w:cs="Arial"/>
          <w:bCs/>
        </w:rPr>
        <w:t>fluconazolo</w:t>
      </w:r>
      <w:r w:rsidR="000759F6" w:rsidRPr="000759F6">
        <w:rPr>
          <w:rFonts w:ascii="Calibri" w:hAnsi="Calibri" w:cs="Arial"/>
          <w:bCs/>
        </w:rPr>
        <w:t xml:space="preserve"> </w:t>
      </w:r>
      <w:r w:rsidRPr="009F5FC7">
        <w:rPr>
          <w:rFonts w:ascii="Calibri" w:hAnsi="Calibri" w:cs="Arial"/>
        </w:rPr>
        <w:t xml:space="preserve">sono stati determinati mediante un metodo analitico </w:t>
      </w:r>
      <w:r w:rsidR="000759F6">
        <w:rPr>
          <w:rFonts w:ascii="Calibri" w:hAnsi="Calibri" w:cs="Arial"/>
        </w:rPr>
        <w:t>HPLC- MS</w:t>
      </w:r>
      <w:r w:rsidRPr="009F5FC7">
        <w:rPr>
          <w:rFonts w:ascii="Calibri" w:hAnsi="Calibri" w:cs="Arial"/>
        </w:rPr>
        <w:t xml:space="preserve"> opportunamente convalidato.</w:t>
      </w:r>
    </w:p>
    <w:p w14:paraId="30A56BEC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r w:rsidR="00553285">
        <w:rPr>
          <w:rFonts w:ascii="Calibri" w:hAnsi="Calibri" w:cs="Arial"/>
        </w:rPr>
        <w:t>fluconazolo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r w:rsidR="000759F6" w:rsidRPr="000759F6">
        <w:rPr>
          <w:rFonts w:ascii="Calibri" w:hAnsi="Calibri" w:cs="Arial"/>
        </w:rPr>
        <w:t>AUC</w:t>
      </w:r>
      <w:r w:rsidR="000759F6" w:rsidRPr="000759F6">
        <w:rPr>
          <w:rFonts w:ascii="Calibri" w:hAnsi="Calibri" w:cs="Arial"/>
          <w:vertAlign w:val="subscript"/>
        </w:rPr>
        <w:t>0-72h</w:t>
      </w:r>
      <w:r w:rsidR="000759F6" w:rsidRPr="000759F6">
        <w:rPr>
          <w:rFonts w:ascii="Calibri" w:hAnsi="Calibri" w:cs="Arial"/>
        </w:rPr>
        <w:t>, C</w:t>
      </w:r>
      <w:r w:rsidR="000759F6" w:rsidRPr="000759F6">
        <w:rPr>
          <w:rFonts w:ascii="Calibri" w:hAnsi="Calibri" w:cs="Arial"/>
          <w:vertAlign w:val="subscript"/>
        </w:rPr>
        <w:t>max</w:t>
      </w:r>
      <w:r w:rsidR="000759F6" w:rsidRPr="000759F6">
        <w:rPr>
          <w:rFonts w:ascii="Calibri" w:hAnsi="Calibri" w:cs="Arial"/>
        </w:rPr>
        <w:t>, t</w:t>
      </w:r>
      <w:r w:rsidR="000759F6" w:rsidRPr="000759F6">
        <w:rPr>
          <w:rFonts w:ascii="Calibri" w:hAnsi="Calibri" w:cs="Arial"/>
          <w:vertAlign w:val="subscript"/>
        </w:rPr>
        <w:t>max</w:t>
      </w:r>
      <w:r w:rsidR="000759F6" w:rsidRPr="000759F6">
        <w:rPr>
          <w:rFonts w:ascii="Calibri" w:hAnsi="Calibri" w:cs="Arial"/>
        </w:rPr>
        <w:t>, K</w:t>
      </w:r>
      <w:r w:rsidR="000759F6" w:rsidRPr="000759F6">
        <w:rPr>
          <w:rFonts w:ascii="Calibri" w:hAnsi="Calibri" w:cs="Arial"/>
          <w:vertAlign w:val="subscript"/>
        </w:rPr>
        <w:t>el</w:t>
      </w:r>
      <w:r w:rsidR="000759F6" w:rsidRPr="000759F6">
        <w:rPr>
          <w:rFonts w:ascii="Calibri" w:hAnsi="Calibri" w:cs="Arial"/>
        </w:rPr>
        <w:t>, t</w:t>
      </w:r>
      <w:r w:rsidR="000759F6" w:rsidRPr="000759F6">
        <w:rPr>
          <w:rFonts w:ascii="Calibri" w:hAnsi="Calibri" w:cs="Arial"/>
          <w:vertAlign w:val="subscript"/>
        </w:rPr>
        <w:t>½</w:t>
      </w:r>
      <w:r w:rsidR="00553285">
        <w:rPr>
          <w:rFonts w:ascii="Calibri" w:hAnsi="Calibri" w:cs="Arial"/>
        </w:rPr>
        <w:t xml:space="preserve">. </w:t>
      </w:r>
      <w:r w:rsidRPr="009F5FC7">
        <w:rPr>
          <w:rFonts w:ascii="Calibri" w:hAnsi="Calibri" w:cs="Arial"/>
        </w:rPr>
        <w:t>La bioequivalenza tra medicinale test e medicinale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</w:t>
      </w:r>
      <w:r w:rsidR="00553285" w:rsidRPr="00553285">
        <w:rPr>
          <w:rFonts w:ascii="Calibri" w:hAnsi="Calibri" w:cs="Arial"/>
        </w:rPr>
        <w:t>AUC</w:t>
      </w:r>
      <w:r w:rsidR="00553285" w:rsidRPr="00553285">
        <w:rPr>
          <w:rFonts w:ascii="Calibri" w:hAnsi="Calibri" w:cs="Arial"/>
          <w:vertAlign w:val="subscript"/>
        </w:rPr>
        <w:t>0-72h</w:t>
      </w:r>
      <w:r w:rsidR="00553285">
        <w:rPr>
          <w:rFonts w:ascii="Calibri" w:hAnsi="Calibri" w:cs="Arial"/>
        </w:rPr>
        <w:t xml:space="preserve">, </w:t>
      </w:r>
      <w:r w:rsidRPr="009F5FC7">
        <w:rPr>
          <w:rFonts w:ascii="Calibri" w:hAnsi="Calibri" w:cs="Arial"/>
        </w:rPr>
        <w:t>cadono nel range di accettabilità di 0.80-1.25 (80%-125%).</w:t>
      </w:r>
    </w:p>
    <w:p w14:paraId="5529F754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14:paraId="46022D01" w14:textId="77777777"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14:paraId="5C8550E2" w14:textId="77777777" w:rsidR="005049A1" w:rsidRPr="009F5FC7" w:rsidRDefault="00553285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27</w:t>
      </w:r>
      <w:r w:rsidR="005049A1" w:rsidRPr="009F5FC7">
        <w:rPr>
          <w:rFonts w:ascii="Calibri" w:hAnsi="Calibri" w:cs="Arial"/>
        </w:rPr>
        <w:t xml:space="preserve"> volontari sani son</w:t>
      </w:r>
      <w:r w:rsidR="000759F6">
        <w:rPr>
          <w:rFonts w:ascii="Calibri" w:hAnsi="Calibri" w:cs="Arial"/>
        </w:rPr>
        <w:t>o</w:t>
      </w:r>
      <w:r>
        <w:rPr>
          <w:rFonts w:ascii="Calibri" w:hAnsi="Calibri" w:cs="Arial"/>
        </w:rPr>
        <w:t xml:space="preserve"> stati arruolati nello studio e 27 volontari sani</w:t>
      </w:r>
      <w:r w:rsidR="000759F6">
        <w:rPr>
          <w:rFonts w:ascii="Calibri" w:hAnsi="Calibri" w:cs="Arial"/>
        </w:rPr>
        <w:t xml:space="preserve">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14:paraId="017CDFEC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2EA710D7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5A3DD31C" w14:textId="77777777"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manifestati </w:t>
      </w:r>
      <w:r w:rsidR="00553285">
        <w:t>3</w:t>
      </w:r>
      <w:r>
        <w:t xml:space="preserve"> eventi</w:t>
      </w:r>
      <w:r w:rsidRPr="009F5FC7">
        <w:t xml:space="preserve"> avvers</w:t>
      </w:r>
      <w:r>
        <w:t>i</w:t>
      </w:r>
      <w:r w:rsidR="00F90F1F">
        <w:t xml:space="preserve"> (</w:t>
      </w:r>
      <w:r w:rsidR="00553285">
        <w:t>rash</w:t>
      </w:r>
      <w:r w:rsidR="00F90F1F">
        <w:t xml:space="preserve">, cefalea, </w:t>
      </w:r>
      <w:r w:rsidR="00553285">
        <w:t>aumento AST</w:t>
      </w:r>
      <w:r w:rsidR="00F90F1F">
        <w:t>, vampate di calore)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53285">
        <w:rPr>
          <w:rFonts w:ascii="Calibri" w:hAnsi="Calibri" w:cs="Arial"/>
        </w:rPr>
        <w:t>3</w:t>
      </w:r>
      <w:r w:rsidR="00F90F1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soggetti</w:t>
      </w:r>
      <w:r w:rsidRPr="009F5FC7">
        <w:t xml:space="preserve">. </w:t>
      </w:r>
      <w:r w:rsidRPr="009F5FC7">
        <w:rPr>
          <w:rFonts w:ascii="Calibri" w:hAnsi="Calibri" w:cs="Arial"/>
        </w:rPr>
        <w:t>Non sono stati rilevati eventi avversi gravi.</w:t>
      </w:r>
    </w:p>
    <w:p w14:paraId="10D8B7B2" w14:textId="77777777" w:rsidR="005049A1" w:rsidRPr="009F5FC7" w:rsidRDefault="005049A1" w:rsidP="005049A1">
      <w:pPr>
        <w:spacing w:after="0" w:line="240" w:lineRule="auto"/>
      </w:pPr>
    </w:p>
    <w:p w14:paraId="650BF3A4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168EBB77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14:paraId="7CBA7262" w14:textId="77777777" w:rsidR="005049A1" w:rsidRDefault="005049A1" w:rsidP="005049A1">
      <w:pPr>
        <w:pStyle w:val="Paragrafoelenco"/>
        <w:spacing w:after="0" w:line="240" w:lineRule="auto"/>
        <w:ind w:left="0"/>
        <w:jc w:val="both"/>
      </w:pPr>
    </w:p>
    <w:p w14:paraId="17C3159C" w14:textId="77777777" w:rsidR="005049A1" w:rsidRDefault="005049A1" w:rsidP="005049A1">
      <w:pPr>
        <w:spacing w:after="0" w:line="240" w:lineRule="auto"/>
        <w:rPr>
          <w:rFonts w:cs="Arial"/>
          <w:i/>
        </w:rPr>
      </w:pPr>
    </w:p>
    <w:p w14:paraId="3220CCD3" w14:textId="77777777" w:rsidR="005049A1" w:rsidRDefault="00553285" w:rsidP="005049A1">
      <w:pPr>
        <w:spacing w:after="0" w:line="240" w:lineRule="auto"/>
        <w:rPr>
          <w:rFonts w:cs="Arial"/>
          <w:i/>
        </w:rPr>
      </w:pPr>
      <w:r w:rsidRPr="000019D9">
        <w:rPr>
          <w:noProof/>
          <w:lang w:eastAsia="it-IT"/>
        </w:rPr>
        <w:drawing>
          <wp:inline distT="0" distB="0" distL="0" distR="0" wp14:anchorId="69B22382" wp14:editId="720927A3">
            <wp:extent cx="4865370" cy="102679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5E9B9C" w14:textId="77777777" w:rsidR="00F90F1F" w:rsidRDefault="00F90F1F" w:rsidP="005049A1">
      <w:pPr>
        <w:spacing w:after="0" w:line="240" w:lineRule="auto"/>
        <w:rPr>
          <w:rFonts w:cs="Arial"/>
          <w:i/>
        </w:rPr>
      </w:pPr>
    </w:p>
    <w:p w14:paraId="5B848B28" w14:textId="77777777" w:rsidR="00F90F1F" w:rsidRDefault="00F90F1F" w:rsidP="005049A1">
      <w:pPr>
        <w:spacing w:after="0" w:line="240" w:lineRule="auto"/>
        <w:rPr>
          <w:rFonts w:cs="Arial"/>
          <w:i/>
        </w:rPr>
      </w:pPr>
    </w:p>
    <w:p w14:paraId="06DB756C" w14:textId="77777777"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14:paraId="2C345553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6EBA279E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14:paraId="768EC9C3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5EDF374C" w14:textId="5F55EA2B"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 di sicur</w:t>
      </w:r>
      <w:r w:rsidR="00F90F1F">
        <w:rPr>
          <w:rFonts w:cs="Arial"/>
        </w:rPr>
        <w:t>ezza e l’efficacia del principi</w:t>
      </w:r>
      <w:r w:rsidR="00553285">
        <w:rPr>
          <w:rFonts w:cs="Arial"/>
        </w:rPr>
        <w:t xml:space="preserve">o </w:t>
      </w:r>
      <w:r w:rsidRPr="009F5FC7">
        <w:rPr>
          <w:rFonts w:cs="Arial"/>
        </w:rPr>
        <w:t>attiv</w:t>
      </w:r>
      <w:r w:rsidR="00553285">
        <w:rPr>
          <w:rFonts w:cs="Arial"/>
        </w:rPr>
        <w:t>o</w:t>
      </w:r>
      <w:r w:rsidRPr="009F5FC7">
        <w:rPr>
          <w:rFonts w:cs="Arial"/>
        </w:rPr>
        <w:t xml:space="preserve"> di </w:t>
      </w:r>
      <w:r w:rsidR="0055518C">
        <w:rPr>
          <w:rFonts w:cs="Arial"/>
        </w:rPr>
        <w:t>AZOLIX</w:t>
      </w:r>
      <w:r w:rsidR="00553285">
        <w:rPr>
          <w:rFonts w:cs="Arial"/>
        </w:rPr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14:paraId="34594962" w14:textId="77777777"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60610838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0585417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42CFBAB" w14:textId="30D7A73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5518C">
        <w:t>AZOLIX</w:t>
      </w:r>
      <w:r w:rsidRPr="00EF6711">
        <w:t>.</w:t>
      </w:r>
    </w:p>
    <w:p w14:paraId="2CBFCAFB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54DABC53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30C62B0F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6779E62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14:paraId="0875875F" w14:textId="50CC251A" w:rsidR="00C600E0" w:rsidRPr="00C600E0" w:rsidRDefault="00C600E0" w:rsidP="00C600E0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T</w:t>
            </w:r>
            <w:r w:rsidRPr="00C600E0">
              <w:rPr>
                <w:sz w:val="20"/>
              </w:rPr>
              <w:t>racciamento cardiaco anomalo dell'elettrocardiogramma (ECG) e torsione</w:t>
            </w:r>
            <w:r>
              <w:rPr>
                <w:sz w:val="20"/>
              </w:rPr>
              <w:t xml:space="preserve"> </w:t>
            </w:r>
            <w:r w:rsidRPr="00C600E0">
              <w:rPr>
                <w:sz w:val="20"/>
              </w:rPr>
              <w:t>dei picchi sull'ECG. (Prolungamento dell'intervallo QT e</w:t>
            </w:r>
          </w:p>
          <w:p w14:paraId="608B776D" w14:textId="2F12D2D7" w:rsidR="00C600E0" w:rsidRDefault="00C600E0" w:rsidP="00C600E0">
            <w:pPr>
              <w:spacing w:after="0" w:line="240" w:lineRule="auto"/>
              <w:rPr>
                <w:sz w:val="20"/>
              </w:rPr>
            </w:pPr>
            <w:r w:rsidRPr="00C600E0">
              <w:rPr>
                <w:sz w:val="20"/>
              </w:rPr>
              <w:t>torsione di punta)</w:t>
            </w:r>
            <w:r>
              <w:rPr>
                <w:sz w:val="20"/>
              </w:rPr>
              <w:t>.</w:t>
            </w:r>
          </w:p>
          <w:p w14:paraId="02CAB7B3" w14:textId="002F49BE" w:rsidR="00C600E0" w:rsidRPr="00C600E0" w:rsidRDefault="00C600E0" w:rsidP="00C600E0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Modifica nella quantità</w:t>
            </w:r>
            <w:r w:rsidRPr="00C600E0">
              <w:rPr>
                <w:sz w:val="20"/>
              </w:rPr>
              <w:t xml:space="preserve"> di fluconazolo o altri medicinali nel sangue</w:t>
            </w:r>
            <w:r>
              <w:rPr>
                <w:sz w:val="20"/>
              </w:rPr>
              <w:t xml:space="preserve"> </w:t>
            </w:r>
            <w:r w:rsidRPr="00C600E0">
              <w:rPr>
                <w:sz w:val="20"/>
              </w:rPr>
              <w:t>(Concentrazione plasmatica modificata di fluconazolo o altr</w:t>
            </w:r>
            <w:r>
              <w:rPr>
                <w:sz w:val="20"/>
              </w:rPr>
              <w:t xml:space="preserve">i </w:t>
            </w:r>
            <w:r w:rsidRPr="00C600E0">
              <w:rPr>
                <w:sz w:val="20"/>
              </w:rPr>
              <w:t xml:space="preserve">farmaci concomitanti a causa dell'interazione </w:t>
            </w:r>
            <w:r>
              <w:rPr>
                <w:sz w:val="20"/>
              </w:rPr>
              <w:t xml:space="preserve">con </w:t>
            </w:r>
            <w:r w:rsidRPr="00C600E0">
              <w:rPr>
                <w:sz w:val="20"/>
              </w:rPr>
              <w:t>CYP)</w:t>
            </w:r>
            <w:r>
              <w:rPr>
                <w:sz w:val="20"/>
              </w:rPr>
              <w:t>.</w:t>
            </w:r>
          </w:p>
          <w:p w14:paraId="38F80B4C" w14:textId="3CF3B4C9" w:rsidR="00C600E0" w:rsidRPr="00C600E0" w:rsidRDefault="00C600E0" w:rsidP="00C600E0">
            <w:pPr>
              <w:spacing w:after="0" w:line="240" w:lineRule="auto"/>
              <w:rPr>
                <w:sz w:val="20"/>
              </w:rPr>
            </w:pPr>
            <w:r w:rsidRPr="00C600E0">
              <w:rPr>
                <w:sz w:val="20"/>
              </w:rPr>
              <w:t>- Gravi reazioni cutanee / cicatrici (inclusi SIS, TFN ed eruzione cutanea</w:t>
            </w:r>
            <w:r>
              <w:rPr>
                <w:sz w:val="20"/>
              </w:rPr>
              <w:t xml:space="preserve"> in </w:t>
            </w:r>
            <w:r w:rsidRPr="00C600E0">
              <w:rPr>
                <w:sz w:val="20"/>
              </w:rPr>
              <w:t>pazienti suscettibili)</w:t>
            </w:r>
          </w:p>
          <w:p w14:paraId="1ED63DB9" w14:textId="77777777" w:rsidR="00C600E0" w:rsidRPr="00C600E0" w:rsidRDefault="00C600E0" w:rsidP="00C600E0">
            <w:pPr>
              <w:spacing w:after="0" w:line="240" w:lineRule="auto"/>
              <w:rPr>
                <w:sz w:val="20"/>
              </w:rPr>
            </w:pPr>
            <w:r w:rsidRPr="00C600E0">
              <w:rPr>
                <w:sz w:val="20"/>
              </w:rPr>
              <w:t>- Epatotossicità</w:t>
            </w:r>
          </w:p>
          <w:p w14:paraId="5982AB80" w14:textId="1C0AB741" w:rsidR="00C600E0" w:rsidRDefault="00C600E0" w:rsidP="00C600E0">
            <w:pPr>
              <w:spacing w:after="0" w:line="240" w:lineRule="auto"/>
              <w:rPr>
                <w:sz w:val="20"/>
              </w:rPr>
            </w:pPr>
            <w:r w:rsidRPr="00C600E0">
              <w:rPr>
                <w:sz w:val="20"/>
              </w:rPr>
              <w:t>- Aborto spontaneo e nati morti</w:t>
            </w:r>
          </w:p>
          <w:p w14:paraId="1603F477" w14:textId="00CA00C0" w:rsidR="00C600E0" w:rsidRPr="00BE7CDB" w:rsidRDefault="00C600E0" w:rsidP="00C600E0">
            <w:pPr>
              <w:spacing w:after="0" w:line="240" w:lineRule="auto"/>
              <w:rPr>
                <w:sz w:val="20"/>
              </w:rPr>
            </w:pPr>
          </w:p>
        </w:tc>
      </w:tr>
      <w:tr w:rsidR="00265B61" w:rsidRPr="001810E1" w14:paraId="29999EAD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6EB045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15F69BD" w14:textId="77777777" w:rsidR="00265B61" w:rsidRDefault="00C600E0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Tossicità riproduttiva</w:t>
            </w:r>
          </w:p>
          <w:p w14:paraId="5A6D2E64" w14:textId="193C1788" w:rsidR="00305105" w:rsidRPr="00BE7CDB" w:rsidRDefault="00305105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</w:tc>
      </w:tr>
      <w:tr w:rsidR="00265B61" w:rsidRPr="00474E7B" w14:paraId="55C0F286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691F5A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5BA4" w14:textId="089362A5" w:rsidR="00265B61" w:rsidRDefault="00305105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Impiego </w:t>
            </w:r>
            <w:r w:rsidR="00C600E0">
              <w:rPr>
                <w:sz w:val="20"/>
              </w:rPr>
              <w:t xml:space="preserve">in pazienti con </w:t>
            </w:r>
            <w:r>
              <w:rPr>
                <w:sz w:val="20"/>
              </w:rPr>
              <w:t>compromissione epatica.</w:t>
            </w:r>
          </w:p>
          <w:p w14:paraId="2CE484A1" w14:textId="3B0E2E87" w:rsidR="00305105" w:rsidRPr="00BE7CDB" w:rsidRDefault="00305105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Impiego nella popolazione pediatrica nell’ indicazione da candidiasi genitale.</w:t>
            </w:r>
          </w:p>
        </w:tc>
      </w:tr>
    </w:tbl>
    <w:p w14:paraId="6624D6F1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133A7DD7" w14:textId="77777777" w:rsidR="0095240A" w:rsidRDefault="0095240A" w:rsidP="00EF6711">
      <w:pPr>
        <w:pStyle w:val="Paragrafoelenco"/>
        <w:spacing w:after="0" w:line="240" w:lineRule="auto"/>
        <w:ind w:left="0"/>
        <w:jc w:val="both"/>
      </w:pPr>
    </w:p>
    <w:p w14:paraId="2E56DAB5" w14:textId="0BCDED80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55110E9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0A69C9F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774EB8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B7C9718" w14:textId="5406ADA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55518C">
        <w:t>AZOLIX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75BD79FD" w14:textId="100B4E0F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55518C">
        <w:t>AZOLIX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00FDCBE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3854E6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C1D1F8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144E80A7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2AA4E4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A8AAC52" w14:textId="77777777" w:rsidR="004E5A39" w:rsidRPr="00EF6711" w:rsidRDefault="004E5A39" w:rsidP="00EF6711">
      <w:pPr>
        <w:spacing w:after="0" w:line="240" w:lineRule="auto"/>
        <w:jc w:val="both"/>
      </w:pPr>
    </w:p>
    <w:p w14:paraId="3501C98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209C8D05" w14:textId="4B7EF814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55518C">
        <w:t>AZOLIX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30DAB7E8" w14:textId="57529926"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55518C">
        <w:rPr>
          <w:rFonts w:eastAsia="Calibri" w:cs="Calibri"/>
          <w:color w:val="000000"/>
          <w:lang w:eastAsia="it-IT"/>
        </w:rPr>
        <w:t>AZOLIX</w:t>
      </w:r>
      <w:r w:rsidR="00B82CDD">
        <w:rPr>
          <w:rFonts w:eastAsia="Calibri" w:cs="Calibri"/>
          <w:color w:val="000000"/>
          <w:lang w:eastAsia="it-IT"/>
        </w:rPr>
        <w:t xml:space="preserve"> </w:t>
      </w:r>
      <w:r w:rsidR="00F90F1F" w:rsidRPr="00F90F1F">
        <w:rPr>
          <w:rFonts w:eastAsia="Calibri" w:cs="Calibri"/>
          <w:color w:val="000000"/>
          <w:lang w:eastAsia="it-IT"/>
        </w:rPr>
        <w:t xml:space="preserve"> </w:t>
      </w:r>
      <w:r>
        <w:t xml:space="preserve"> il medicinale di riferimento </w:t>
      </w:r>
      <w:r w:rsidR="00223594">
        <w:t>DIFLUCAN</w:t>
      </w:r>
      <w:r w:rsidR="005C4AE7">
        <w:t xml:space="preserve"> </w:t>
      </w:r>
      <w:r w:rsidR="00F90F1F">
        <w:t>sono bioequivalenti</w:t>
      </w:r>
      <w:r>
        <w:t>.</w:t>
      </w:r>
    </w:p>
    <w:p w14:paraId="51CE16DF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Il rapporto beneficio/rischio è considerato positivo.</w:t>
      </w:r>
    </w:p>
    <w:p w14:paraId="6A504FD0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2612C07F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F3274" w16cex:dateUtc="2021-03-31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CBC444" w16cid:durableId="240F32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854C6"/>
    <w:multiLevelType w:val="multilevel"/>
    <w:tmpl w:val="D77C3210"/>
    <w:lvl w:ilvl="0">
      <w:start w:val="1"/>
      <w:numFmt w:val="decimal"/>
      <w:lvlText w:val="%1."/>
      <w:lvlJc w:val="left"/>
      <w:pPr>
        <w:ind w:left="686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67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ind w:left="621" w:hanging="543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1924" w:hanging="54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29" w:hanging="54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34" w:hanging="54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39" w:hanging="54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44" w:hanging="54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49" w:hanging="543"/>
      </w:pPr>
      <w:rPr>
        <w:rFonts w:hint="default"/>
        <w:lang w:val="it-IT" w:eastAsia="en-US" w:bidi="ar-SA"/>
      </w:rPr>
    </w:lvl>
  </w:abstractNum>
  <w:abstractNum w:abstractNumId="6" w15:restartNumberingAfterBreak="0">
    <w:nsid w:val="7AA71C5E"/>
    <w:multiLevelType w:val="hybridMultilevel"/>
    <w:tmpl w:val="E5CEC6C4"/>
    <w:lvl w:ilvl="0" w:tplc="E9B2FC80">
      <w:numFmt w:val="bullet"/>
      <w:lvlText w:val="-"/>
      <w:lvlJc w:val="left"/>
      <w:pPr>
        <w:ind w:left="1381" w:hanging="545"/>
      </w:pPr>
      <w:rPr>
        <w:rFonts w:ascii="Times New Roman" w:eastAsia="Times New Roman" w:hAnsi="Times New Roman" w:cs="Times New Roman" w:hint="default"/>
        <w:w w:val="97"/>
        <w:sz w:val="22"/>
        <w:szCs w:val="22"/>
        <w:lang w:val="it-IT" w:eastAsia="en-US" w:bidi="ar-SA"/>
      </w:rPr>
    </w:lvl>
    <w:lvl w:ilvl="1" w:tplc="44640F34">
      <w:numFmt w:val="bullet"/>
      <w:lvlText w:val="•"/>
      <w:lvlJc w:val="left"/>
      <w:pPr>
        <w:ind w:left="2285" w:hanging="545"/>
      </w:pPr>
      <w:rPr>
        <w:rFonts w:hint="default"/>
        <w:lang w:val="it-IT" w:eastAsia="en-US" w:bidi="ar-SA"/>
      </w:rPr>
    </w:lvl>
    <w:lvl w:ilvl="2" w:tplc="B8BC8E8A">
      <w:numFmt w:val="bullet"/>
      <w:lvlText w:val="•"/>
      <w:lvlJc w:val="left"/>
      <w:pPr>
        <w:ind w:left="3191" w:hanging="545"/>
      </w:pPr>
      <w:rPr>
        <w:rFonts w:hint="default"/>
        <w:lang w:val="it-IT" w:eastAsia="en-US" w:bidi="ar-SA"/>
      </w:rPr>
    </w:lvl>
    <w:lvl w:ilvl="3" w:tplc="DEE6AA3E">
      <w:numFmt w:val="bullet"/>
      <w:lvlText w:val="•"/>
      <w:lvlJc w:val="left"/>
      <w:pPr>
        <w:ind w:left="4097" w:hanging="545"/>
      </w:pPr>
      <w:rPr>
        <w:rFonts w:hint="default"/>
        <w:lang w:val="it-IT" w:eastAsia="en-US" w:bidi="ar-SA"/>
      </w:rPr>
    </w:lvl>
    <w:lvl w:ilvl="4" w:tplc="BCA0D568">
      <w:numFmt w:val="bullet"/>
      <w:lvlText w:val="•"/>
      <w:lvlJc w:val="left"/>
      <w:pPr>
        <w:ind w:left="5003" w:hanging="545"/>
      </w:pPr>
      <w:rPr>
        <w:rFonts w:hint="default"/>
        <w:lang w:val="it-IT" w:eastAsia="en-US" w:bidi="ar-SA"/>
      </w:rPr>
    </w:lvl>
    <w:lvl w:ilvl="5" w:tplc="9D2C4842">
      <w:numFmt w:val="bullet"/>
      <w:lvlText w:val="•"/>
      <w:lvlJc w:val="left"/>
      <w:pPr>
        <w:ind w:left="5909" w:hanging="545"/>
      </w:pPr>
      <w:rPr>
        <w:rFonts w:hint="default"/>
        <w:lang w:val="it-IT" w:eastAsia="en-US" w:bidi="ar-SA"/>
      </w:rPr>
    </w:lvl>
    <w:lvl w:ilvl="6" w:tplc="95685412">
      <w:numFmt w:val="bullet"/>
      <w:lvlText w:val="•"/>
      <w:lvlJc w:val="left"/>
      <w:pPr>
        <w:ind w:left="6815" w:hanging="545"/>
      </w:pPr>
      <w:rPr>
        <w:rFonts w:hint="default"/>
        <w:lang w:val="it-IT" w:eastAsia="en-US" w:bidi="ar-SA"/>
      </w:rPr>
    </w:lvl>
    <w:lvl w:ilvl="7" w:tplc="D2523D4C">
      <w:numFmt w:val="bullet"/>
      <w:lvlText w:val="•"/>
      <w:lvlJc w:val="left"/>
      <w:pPr>
        <w:ind w:left="7721" w:hanging="545"/>
      </w:pPr>
      <w:rPr>
        <w:rFonts w:hint="default"/>
        <w:lang w:val="it-IT" w:eastAsia="en-US" w:bidi="ar-SA"/>
      </w:rPr>
    </w:lvl>
    <w:lvl w:ilvl="8" w:tplc="E4483A46">
      <w:numFmt w:val="bullet"/>
      <w:lvlText w:val="•"/>
      <w:lvlJc w:val="left"/>
      <w:pPr>
        <w:ind w:left="8627" w:hanging="5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1CCD"/>
    <w:rsid w:val="00013020"/>
    <w:rsid w:val="00014743"/>
    <w:rsid w:val="00022511"/>
    <w:rsid w:val="00023CEA"/>
    <w:rsid w:val="00062636"/>
    <w:rsid w:val="00066404"/>
    <w:rsid w:val="000759F6"/>
    <w:rsid w:val="000808A3"/>
    <w:rsid w:val="000A4BA1"/>
    <w:rsid w:val="000A5ED9"/>
    <w:rsid w:val="000B5758"/>
    <w:rsid w:val="000B7AC8"/>
    <w:rsid w:val="000E1F86"/>
    <w:rsid w:val="000E4494"/>
    <w:rsid w:val="000F658F"/>
    <w:rsid w:val="00111E9E"/>
    <w:rsid w:val="00141A6C"/>
    <w:rsid w:val="00144EDE"/>
    <w:rsid w:val="001460CA"/>
    <w:rsid w:val="001A344A"/>
    <w:rsid w:val="001C15DF"/>
    <w:rsid w:val="00223594"/>
    <w:rsid w:val="002549CD"/>
    <w:rsid w:val="00265B61"/>
    <w:rsid w:val="00267F8B"/>
    <w:rsid w:val="00275830"/>
    <w:rsid w:val="00277A0E"/>
    <w:rsid w:val="002816FE"/>
    <w:rsid w:val="002B7FB0"/>
    <w:rsid w:val="002C3772"/>
    <w:rsid w:val="002E309D"/>
    <w:rsid w:val="002F2543"/>
    <w:rsid w:val="002F4000"/>
    <w:rsid w:val="00300BEA"/>
    <w:rsid w:val="00305105"/>
    <w:rsid w:val="003061E0"/>
    <w:rsid w:val="0033732D"/>
    <w:rsid w:val="00367CE0"/>
    <w:rsid w:val="003B3587"/>
    <w:rsid w:val="003F2873"/>
    <w:rsid w:val="00403DB0"/>
    <w:rsid w:val="00410BCC"/>
    <w:rsid w:val="0042214D"/>
    <w:rsid w:val="00423A97"/>
    <w:rsid w:val="004241AC"/>
    <w:rsid w:val="004609F8"/>
    <w:rsid w:val="004913C2"/>
    <w:rsid w:val="004B20A8"/>
    <w:rsid w:val="004D0FF0"/>
    <w:rsid w:val="004E5A39"/>
    <w:rsid w:val="00500ACA"/>
    <w:rsid w:val="005049A1"/>
    <w:rsid w:val="00504FC1"/>
    <w:rsid w:val="005176CE"/>
    <w:rsid w:val="0053652E"/>
    <w:rsid w:val="00551552"/>
    <w:rsid w:val="00553285"/>
    <w:rsid w:val="0055518C"/>
    <w:rsid w:val="0056372C"/>
    <w:rsid w:val="00567615"/>
    <w:rsid w:val="0059424A"/>
    <w:rsid w:val="005950D6"/>
    <w:rsid w:val="005B788F"/>
    <w:rsid w:val="005C4AE7"/>
    <w:rsid w:val="005E4B14"/>
    <w:rsid w:val="00621AE2"/>
    <w:rsid w:val="00637745"/>
    <w:rsid w:val="00642D6A"/>
    <w:rsid w:val="0064646C"/>
    <w:rsid w:val="00654D9E"/>
    <w:rsid w:val="00664931"/>
    <w:rsid w:val="006727BD"/>
    <w:rsid w:val="006A484D"/>
    <w:rsid w:val="006B311C"/>
    <w:rsid w:val="006B3E12"/>
    <w:rsid w:val="006C1F5A"/>
    <w:rsid w:val="006D7B8C"/>
    <w:rsid w:val="0070238B"/>
    <w:rsid w:val="00716DF5"/>
    <w:rsid w:val="007170D7"/>
    <w:rsid w:val="007221B6"/>
    <w:rsid w:val="00766E26"/>
    <w:rsid w:val="0077310E"/>
    <w:rsid w:val="00773833"/>
    <w:rsid w:val="00780F17"/>
    <w:rsid w:val="00797416"/>
    <w:rsid w:val="007D5BAF"/>
    <w:rsid w:val="008176B7"/>
    <w:rsid w:val="00823F4C"/>
    <w:rsid w:val="00826817"/>
    <w:rsid w:val="00836F3F"/>
    <w:rsid w:val="00853EC6"/>
    <w:rsid w:val="008547B3"/>
    <w:rsid w:val="008819D4"/>
    <w:rsid w:val="0088216F"/>
    <w:rsid w:val="00893B05"/>
    <w:rsid w:val="008A6FEC"/>
    <w:rsid w:val="008B60D7"/>
    <w:rsid w:val="008C3D30"/>
    <w:rsid w:val="008D1529"/>
    <w:rsid w:val="00943785"/>
    <w:rsid w:val="0095240A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13CB0"/>
    <w:rsid w:val="00A40FF3"/>
    <w:rsid w:val="00A46119"/>
    <w:rsid w:val="00A62D55"/>
    <w:rsid w:val="00A908B9"/>
    <w:rsid w:val="00A966D1"/>
    <w:rsid w:val="00A970CB"/>
    <w:rsid w:val="00B023E9"/>
    <w:rsid w:val="00B1186F"/>
    <w:rsid w:val="00B1642D"/>
    <w:rsid w:val="00B30431"/>
    <w:rsid w:val="00B82CDD"/>
    <w:rsid w:val="00BA0ACD"/>
    <w:rsid w:val="00BB2AF8"/>
    <w:rsid w:val="00BB574F"/>
    <w:rsid w:val="00BB7B54"/>
    <w:rsid w:val="00BC671C"/>
    <w:rsid w:val="00BC74C2"/>
    <w:rsid w:val="00BE2463"/>
    <w:rsid w:val="00BE7CDB"/>
    <w:rsid w:val="00BF55B9"/>
    <w:rsid w:val="00BF746D"/>
    <w:rsid w:val="00BF7A42"/>
    <w:rsid w:val="00C2565A"/>
    <w:rsid w:val="00C33A3A"/>
    <w:rsid w:val="00C40051"/>
    <w:rsid w:val="00C42AAC"/>
    <w:rsid w:val="00C600E0"/>
    <w:rsid w:val="00C60FD5"/>
    <w:rsid w:val="00C66597"/>
    <w:rsid w:val="00C72205"/>
    <w:rsid w:val="00C807DA"/>
    <w:rsid w:val="00C90EF6"/>
    <w:rsid w:val="00CA6F00"/>
    <w:rsid w:val="00CC52A3"/>
    <w:rsid w:val="00CC7AFF"/>
    <w:rsid w:val="00CE62A1"/>
    <w:rsid w:val="00D04A5B"/>
    <w:rsid w:val="00D07244"/>
    <w:rsid w:val="00D20170"/>
    <w:rsid w:val="00D212AA"/>
    <w:rsid w:val="00D36F62"/>
    <w:rsid w:val="00D60600"/>
    <w:rsid w:val="00DB359A"/>
    <w:rsid w:val="00E10D6C"/>
    <w:rsid w:val="00E43089"/>
    <w:rsid w:val="00E74D63"/>
    <w:rsid w:val="00E83F8D"/>
    <w:rsid w:val="00EC3589"/>
    <w:rsid w:val="00EF062E"/>
    <w:rsid w:val="00EF6711"/>
    <w:rsid w:val="00F10C8B"/>
    <w:rsid w:val="00F5609E"/>
    <w:rsid w:val="00F66767"/>
    <w:rsid w:val="00F85989"/>
    <w:rsid w:val="00F90F1F"/>
    <w:rsid w:val="00F92B7F"/>
    <w:rsid w:val="00F96473"/>
    <w:rsid w:val="00F9712A"/>
    <w:rsid w:val="00FA2702"/>
    <w:rsid w:val="00FC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CB22"/>
  <w15:docId w15:val="{206D72B8-3710-42D4-8608-F2EF9C61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1"/>
    <w:qFormat/>
    <w:rsid w:val="00F5609E"/>
    <w:pPr>
      <w:widowControl w:val="0"/>
      <w:autoSpaceDE w:val="0"/>
      <w:autoSpaceDN w:val="0"/>
      <w:spacing w:after="0" w:line="228" w:lineRule="exact"/>
      <w:ind w:left="827" w:hanging="567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8268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26817"/>
  </w:style>
  <w:style w:type="character" w:styleId="Rimandocommento">
    <w:name w:val="annotation reference"/>
    <w:basedOn w:val="Carpredefinitoparagrafo"/>
    <w:uiPriority w:val="99"/>
    <w:semiHidden/>
    <w:unhideWhenUsed/>
    <w:rsid w:val="007731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31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31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31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310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310E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F5609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6C1F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jpeg"/><Relationship Id="rId15" Type="http://schemas.microsoft.com/office/2016/09/relationships/commentsIds" Target="commentsId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60</cp:revision>
  <dcterms:created xsi:type="dcterms:W3CDTF">2021-03-26T12:18:00Z</dcterms:created>
  <dcterms:modified xsi:type="dcterms:W3CDTF">2021-08-03T13:10:00Z</dcterms:modified>
</cp:coreProperties>
</file>