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F0CB0" w14:textId="77777777" w:rsidR="004241AC" w:rsidRPr="002A3F14" w:rsidRDefault="004241AC" w:rsidP="001B5B48">
      <w:pPr>
        <w:pStyle w:val="Sottotitolo"/>
        <w:rPr>
          <w:lang w:val="en-US"/>
        </w:rPr>
      </w:pPr>
    </w:p>
    <w:p w14:paraId="6FB67C60" w14:textId="77777777" w:rsidR="004241AC" w:rsidRDefault="008172E2" w:rsidP="004241AC">
      <w:pPr>
        <w:spacing w:after="0" w:line="240" w:lineRule="auto"/>
        <w:jc w:val="center"/>
        <w:rPr>
          <w:b/>
        </w:rPr>
      </w:pPr>
      <w:r>
        <w:rPr>
          <w:noProof/>
          <w:lang w:eastAsia="it-IT"/>
        </w:rPr>
        <w:drawing>
          <wp:inline distT="0" distB="0" distL="0" distR="0" wp14:anchorId="36FE94A7" wp14:editId="5F99AB19">
            <wp:extent cx="3091682" cy="1119963"/>
            <wp:effectExtent l="19050" t="0" r="0" b="0"/>
            <wp:docPr id="7" name="Immagine 7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51" cy="112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CE50CE" w14:textId="77777777" w:rsidR="008172E2" w:rsidRDefault="008172E2" w:rsidP="00823F4C">
      <w:pPr>
        <w:spacing w:after="0" w:line="240" w:lineRule="auto"/>
        <w:jc w:val="center"/>
        <w:rPr>
          <w:b/>
          <w:sz w:val="28"/>
        </w:rPr>
      </w:pPr>
      <w:bookmarkStart w:id="0" w:name="Text15"/>
    </w:p>
    <w:p w14:paraId="73FED842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12BB4B9F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650DF1D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78C38E5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96F8F78" w14:textId="77777777" w:rsidR="00BF7A42" w:rsidRDefault="0048108F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ESOMEFLUX</w:t>
      </w:r>
    </w:p>
    <w:p w14:paraId="07DFC61D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2EC00002" w14:textId="252870C1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2C5ABC">
        <w:rPr>
          <w:snapToGrid w:val="0"/>
        </w:rPr>
        <w:t>esomepr</w:t>
      </w:r>
      <w:r w:rsidR="00AE5E2F">
        <w:rPr>
          <w:snapToGrid w:val="0"/>
        </w:rPr>
        <w:t>a</w:t>
      </w:r>
      <w:r w:rsidR="002C5ABC">
        <w:rPr>
          <w:snapToGrid w:val="0"/>
        </w:rPr>
        <w:t>zolo</w:t>
      </w:r>
      <w:proofErr w:type="spellEnd"/>
      <w:r w:rsidRPr="00A966D1">
        <w:rPr>
          <w:snapToGrid w:val="0"/>
        </w:rPr>
        <w:t>)</w:t>
      </w:r>
    </w:p>
    <w:p w14:paraId="16CD0C6B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362277B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79185E1" w14:textId="77777777" w:rsidR="00797416" w:rsidRPr="00C9272B" w:rsidRDefault="00B8686B" w:rsidP="004241AC">
      <w:pPr>
        <w:spacing w:after="0" w:line="240" w:lineRule="auto"/>
        <w:jc w:val="center"/>
        <w:rPr>
          <w:rFonts w:cstheme="minorHAnsi"/>
          <w:b/>
        </w:rPr>
      </w:pPr>
      <w:r w:rsidRPr="00C9272B">
        <w:rPr>
          <w:rFonts w:cstheme="minorHAnsi"/>
          <w:b/>
        </w:rPr>
        <w:t xml:space="preserve">Pensa </w:t>
      </w:r>
      <w:proofErr w:type="spellStart"/>
      <w:r w:rsidRPr="00C9272B">
        <w:rPr>
          <w:rFonts w:cstheme="minorHAnsi"/>
          <w:b/>
        </w:rPr>
        <w:t>Pharma</w:t>
      </w:r>
      <w:proofErr w:type="spellEnd"/>
      <w:r w:rsidRPr="00C9272B">
        <w:rPr>
          <w:rFonts w:cstheme="minorHAnsi"/>
          <w:b/>
        </w:rPr>
        <w:t xml:space="preserve"> </w:t>
      </w:r>
      <w:proofErr w:type="spellStart"/>
      <w:r w:rsidRPr="00C9272B">
        <w:rPr>
          <w:rFonts w:cstheme="minorHAnsi"/>
          <w:b/>
        </w:rPr>
        <w:t>S.p.A</w:t>
      </w:r>
      <w:proofErr w:type="spellEnd"/>
    </w:p>
    <w:p w14:paraId="24C9EDAB" w14:textId="77777777" w:rsidR="00EC3589" w:rsidRPr="00B8686B" w:rsidRDefault="00BF7A42" w:rsidP="004241AC">
      <w:pPr>
        <w:spacing w:after="0" w:line="240" w:lineRule="auto"/>
        <w:jc w:val="center"/>
        <w:rPr>
          <w:b/>
          <w:highlight w:val="yellow"/>
        </w:rPr>
      </w:pPr>
      <w:r w:rsidRPr="00B8686B">
        <w:rPr>
          <w:b/>
          <w:highlight w:val="yellow"/>
        </w:rPr>
        <w:t xml:space="preserve"> </w:t>
      </w:r>
    </w:p>
    <w:p w14:paraId="71AF865F" w14:textId="77777777" w:rsidR="004609F8" w:rsidRPr="00B8686B" w:rsidRDefault="004609F8" w:rsidP="004241AC">
      <w:pPr>
        <w:spacing w:after="0" w:line="240" w:lineRule="auto"/>
        <w:jc w:val="center"/>
        <w:rPr>
          <w:b/>
          <w:highlight w:val="yellow"/>
        </w:rPr>
      </w:pPr>
    </w:p>
    <w:p w14:paraId="75C2CEC3" w14:textId="77777777" w:rsidR="00797416" w:rsidRPr="00062636" w:rsidRDefault="004241AC" w:rsidP="004241AC">
      <w:pPr>
        <w:spacing w:after="0" w:line="240" w:lineRule="auto"/>
        <w:jc w:val="center"/>
        <w:rPr>
          <w:b/>
        </w:rPr>
      </w:pPr>
      <w:r w:rsidRPr="00C9272B">
        <w:rPr>
          <w:b/>
        </w:rPr>
        <w:t xml:space="preserve">Numero di AIC: </w:t>
      </w:r>
      <w:r w:rsidR="00C9272B" w:rsidRPr="00C9272B">
        <w:rPr>
          <w:rFonts w:cs="Helvetica"/>
          <w:b/>
        </w:rPr>
        <w:t>044835</w:t>
      </w:r>
    </w:p>
    <w:bookmarkEnd w:id="0"/>
    <w:p w14:paraId="4D83108A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381E6828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018EA133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57CACCC3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1A1E2744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1D7827">
        <w:rPr>
          <w:rFonts w:eastAsia="Calibri" w:cs="Calibri"/>
          <w:color w:val="000000"/>
          <w:lang w:eastAsia="it-IT"/>
        </w:rPr>
        <w:t>ESOMEFLUX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1D7827">
        <w:rPr>
          <w:rFonts w:eastAsia="Calibri" w:cs="Calibri"/>
          <w:color w:val="000000"/>
          <w:lang w:eastAsia="it-IT"/>
        </w:rPr>
        <w:t>ESOMEFLUX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1D7827">
        <w:rPr>
          <w:rFonts w:eastAsia="Calibri" w:cs="Calibri"/>
          <w:color w:val="000000"/>
          <w:lang w:eastAsia="it-IT"/>
        </w:rPr>
        <w:t>ESOMEFLUX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11D51327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A13086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364C8288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0385A33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CE9123E" w14:textId="77777777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1D7827">
        <w:rPr>
          <w:rFonts w:eastAsia="Calibri" w:cs="Calibri"/>
          <w:b/>
          <w:color w:val="000000"/>
          <w:lang w:eastAsia="it-IT"/>
        </w:rPr>
        <w:t>ESOMEFLUX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146DCBD0" w14:textId="4678FB30" w:rsidR="00797416" w:rsidRDefault="001D7827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ESOMEFLUX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8686B">
        <w:rPr>
          <w:rFonts w:eastAsia="Calibri" w:cs="Calibri"/>
          <w:color w:val="000000"/>
          <w:lang w:eastAsia="it-IT"/>
        </w:rPr>
        <w:t>esomeprazolo</w:t>
      </w:r>
      <w:proofErr w:type="spellEnd"/>
      <w:r w:rsidR="0060458E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</w:t>
      </w:r>
      <w:r w:rsidR="0002647D">
        <w:rPr>
          <w:rFonts w:eastAsia="Calibri" w:cs="Calibri"/>
          <w:color w:val="000000"/>
          <w:lang w:eastAsia="it-IT"/>
        </w:rPr>
        <w:t xml:space="preserve"> </w:t>
      </w:r>
      <w:r w:rsidR="00A81F9A">
        <w:rPr>
          <w:rFonts w:eastAsia="Calibri" w:cs="Calibri"/>
          <w:color w:val="000000"/>
          <w:lang w:eastAsia="it-IT"/>
        </w:rPr>
        <w:t xml:space="preserve">capsule rigide gastroresistenti contenenti 20 mg </w:t>
      </w:r>
      <w:r w:rsidR="00797416">
        <w:rPr>
          <w:rFonts w:eastAsia="Calibri" w:cs="Calibri"/>
          <w:color w:val="000000"/>
          <w:lang w:eastAsia="it-IT"/>
        </w:rPr>
        <w:t>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02647D">
        <w:rPr>
          <w:rFonts w:eastAsia="Calibri" w:cs="Calibri"/>
          <w:color w:val="000000"/>
          <w:lang w:eastAsia="it-IT"/>
        </w:rPr>
        <w:t>.</w:t>
      </w:r>
    </w:p>
    <w:p w14:paraId="5330A4A2" w14:textId="77777777" w:rsidR="006B311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  <w:lang w:eastAsia="it-IT"/>
        </w:rPr>
      </w:pPr>
    </w:p>
    <w:p w14:paraId="0C28ABED" w14:textId="5C32E727" w:rsidR="00797416" w:rsidRDefault="00ED04B0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Il</w:t>
      </w:r>
      <w:r w:rsidR="00797416" w:rsidRPr="00E83F8D">
        <w:rPr>
          <w:rFonts w:eastAsia="Calibri" w:cs="Calibri"/>
          <w:color w:val="000000"/>
          <w:lang w:eastAsia="it-IT"/>
        </w:rPr>
        <w:t xml:space="preserve"> medicinale di riferimento</w:t>
      </w:r>
      <w:r>
        <w:rPr>
          <w:rFonts w:eastAsia="Calibri" w:cs="Calibri"/>
          <w:color w:val="000000"/>
          <w:lang w:eastAsia="it-IT"/>
        </w:rPr>
        <w:t xml:space="preserve"> di ESOMEFLUX è </w:t>
      </w:r>
      <w:proofErr w:type="spellStart"/>
      <w:r>
        <w:rPr>
          <w:rFonts w:eastAsia="Calibri" w:cs="Calibri"/>
          <w:color w:val="000000"/>
          <w:lang w:eastAsia="it-IT"/>
        </w:rPr>
        <w:t>Nexium</w:t>
      </w:r>
      <w:proofErr w:type="spellEnd"/>
      <w:r>
        <w:rPr>
          <w:rFonts w:eastAsia="Calibri" w:cs="Calibri"/>
          <w:color w:val="000000"/>
          <w:lang w:eastAsia="it-IT"/>
        </w:rPr>
        <w:t xml:space="preserve"> 20 mg compresse gastroresistenti (</w:t>
      </w:r>
      <w:r w:rsidRPr="00F21B3F">
        <w:rPr>
          <w:rFonts w:ascii="Calibri" w:hAnsi="Calibri" w:cs="Arial"/>
        </w:rPr>
        <w:t>AstraZeneca S.p.A.</w:t>
      </w:r>
      <w:r>
        <w:rPr>
          <w:rFonts w:ascii="Calibri" w:hAnsi="Calibri" w:cs="Arial"/>
        </w:rPr>
        <w:t xml:space="preserve">) </w:t>
      </w:r>
      <w:r>
        <w:rPr>
          <w:rFonts w:eastAsia="Calibri" w:cs="Calibri"/>
          <w:color w:val="000000"/>
          <w:lang w:eastAsia="it-IT"/>
        </w:rPr>
        <w:t>già autorizzato in Italia con una procedura di mutuo riconoscimento con la Svezia come stato di riferimento (</w:t>
      </w:r>
      <w:hyperlink r:id="rId6" w:history="1">
        <w:r w:rsidRPr="006D3B30">
          <w:rPr>
            <w:rStyle w:val="Collegamentoipertestuale"/>
            <w:rFonts w:eastAsia="Calibri" w:cs="Calibri"/>
            <w:lang w:eastAsia="it-IT"/>
          </w:rPr>
          <w:t>http://www.lakemedelsverket.se/</w:t>
        </w:r>
      </w:hyperlink>
      <w:r>
        <w:rPr>
          <w:rFonts w:eastAsia="Calibri" w:cs="Calibri"/>
          <w:color w:val="000000"/>
          <w:lang w:eastAsia="it-IT"/>
        </w:rPr>
        <w:t xml:space="preserve">). </w:t>
      </w:r>
      <w:proofErr w:type="spellStart"/>
      <w:r w:rsidRPr="002B1B58">
        <w:rPr>
          <w:rFonts w:cs="Arial"/>
        </w:rPr>
        <w:t>Esomeflux</w:t>
      </w:r>
      <w:proofErr w:type="spellEnd"/>
      <w:r w:rsidRPr="002B1B58">
        <w:rPr>
          <w:rFonts w:cs="Arial"/>
        </w:rPr>
        <w:t xml:space="preserve"> </w:t>
      </w:r>
      <w:r w:rsidR="002B1B58" w:rsidRPr="002B1B58">
        <w:rPr>
          <w:rFonts w:cs="Arial"/>
        </w:rPr>
        <w:t xml:space="preserve">fa riferimento per le indicazioni terapeutiche al medicinale </w:t>
      </w:r>
      <w:proofErr w:type="spellStart"/>
      <w:r w:rsidRPr="002B1B58">
        <w:rPr>
          <w:rFonts w:cs="Arial"/>
        </w:rPr>
        <w:t>Nexium</w:t>
      </w:r>
      <w:proofErr w:type="spellEnd"/>
      <w:r w:rsidRPr="002B1B58">
        <w:rPr>
          <w:rFonts w:cs="Arial"/>
        </w:rPr>
        <w:t xml:space="preserve"> Control 20 mg compresse gastroresistenti</w:t>
      </w:r>
      <w:r w:rsidRPr="002B1B58">
        <w:rPr>
          <w:rFonts w:eastAsia="Calibri" w:cs="Calibri"/>
          <w:color w:val="000000"/>
          <w:lang w:eastAsia="it-IT"/>
        </w:rPr>
        <w:t>. S</w:t>
      </w:r>
      <w:r w:rsidR="00300BEA" w:rsidRPr="002B1B58">
        <w:rPr>
          <w:rFonts w:eastAsia="Calibri" w:cs="Calibri"/>
          <w:color w:val="000000"/>
          <w:lang w:eastAsia="it-IT"/>
        </w:rPr>
        <w:t>ul sito dell’Agenzia Italiana del Farmaco (AIFA) (</w:t>
      </w:r>
      <w:hyperlink r:id="rId7" w:history="1">
        <w:r w:rsidR="00300BEA" w:rsidRPr="002B1B5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0BEA" w:rsidRPr="002B1B58">
        <w:rPr>
          <w:rFonts w:eastAsia="Calibri" w:cs="Calibri"/>
          <w:lang w:eastAsia="it-IT"/>
        </w:rPr>
        <w:t>)</w:t>
      </w:r>
      <w:r w:rsidR="00300BEA" w:rsidRPr="002B1B58">
        <w:t xml:space="preserve"> </w:t>
      </w:r>
      <w:r w:rsidR="00300BEA" w:rsidRPr="002B1B58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Pr="002B1B58">
        <w:rPr>
          <w:rFonts w:eastAsia="Calibri" w:cs="Calibri"/>
          <w:color w:val="000000"/>
          <w:lang w:eastAsia="it-IT"/>
        </w:rPr>
        <w:t>Nexium</w:t>
      </w:r>
      <w:proofErr w:type="spellEnd"/>
      <w:r w:rsidRPr="002B1B58">
        <w:rPr>
          <w:rFonts w:eastAsia="Calibri" w:cs="Calibri"/>
          <w:color w:val="000000"/>
          <w:lang w:eastAsia="it-IT"/>
        </w:rPr>
        <w:t xml:space="preserve"> Control</w:t>
      </w:r>
      <w:r w:rsidR="00300BEA" w:rsidRPr="002B1B58">
        <w:rPr>
          <w:rFonts w:eastAsia="Calibri" w:cs="Calibri"/>
          <w:color w:val="000000"/>
          <w:lang w:eastAsia="it-IT"/>
        </w:rPr>
        <w:t>.</w:t>
      </w:r>
    </w:p>
    <w:p w14:paraId="0F586B1B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E11B3A3" w14:textId="77777777" w:rsidR="00BB2AF8" w:rsidRDefault="001D7827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ESOMEFLUX</w:t>
      </w:r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BB2AF8">
        <w:rPr>
          <w:rFonts w:eastAsia="Calibri" w:cs="Calibri"/>
          <w:lang w:eastAsia="it-IT"/>
        </w:rPr>
        <w:t>:</w:t>
      </w:r>
    </w:p>
    <w:p w14:paraId="18256356" w14:textId="77777777" w:rsidR="00007F8A" w:rsidRPr="00007F8A" w:rsidRDefault="00007F8A" w:rsidP="00007F8A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007F8A">
        <w:rPr>
          <w:rFonts w:ascii="Calibri" w:hAnsi="Calibri" w:cs="Calibri"/>
        </w:rPr>
        <w:t>negli adulti per il trattamento a breve termine dei sintomi da reflusso (per esempio, bruciore di stomaco e rigurgito acido).</w:t>
      </w:r>
    </w:p>
    <w:p w14:paraId="6D609C07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2E4EA4D1" w14:textId="77777777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1D7827">
        <w:rPr>
          <w:rFonts w:eastAsia="Calibri" w:cs="Calibri"/>
          <w:b/>
          <w:color w:val="000000"/>
          <w:lang w:eastAsia="it-IT"/>
        </w:rPr>
        <w:t>ESOMEFLUX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1A15AB89" w14:textId="77777777" w:rsidR="001C15DF" w:rsidRPr="001C15DF" w:rsidRDefault="001D7827" w:rsidP="001C15DF">
      <w:pPr>
        <w:tabs>
          <w:tab w:val="left" w:pos="0"/>
        </w:tabs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ESOMEFLUX</w:t>
      </w:r>
      <w:r w:rsidR="001C15DF" w:rsidRPr="001C15DF">
        <w:rPr>
          <w:rFonts w:eastAsia="Calibri" w:cs="Calibri"/>
          <w:color w:val="000000"/>
          <w:lang w:eastAsia="it-IT"/>
        </w:rPr>
        <w:t xml:space="preserve"> </w:t>
      </w:r>
      <w:r w:rsidR="001C15DF" w:rsidRPr="001C15DF">
        <w:rPr>
          <w:rFonts w:cs="Arial"/>
        </w:rPr>
        <w:t>è un medicinale di automedicazione (OTC) e non necessita di prescrizione del medico.</w:t>
      </w:r>
    </w:p>
    <w:p w14:paraId="4C6276CB" w14:textId="77777777"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14:paraId="78742348" w14:textId="77777777" w:rsidR="00BB2AF8" w:rsidRPr="00B7597D" w:rsidRDefault="00BB2AF8" w:rsidP="001C15DF">
      <w:pPr>
        <w:tabs>
          <w:tab w:val="left" w:pos="0"/>
        </w:tabs>
        <w:spacing w:after="0" w:line="240" w:lineRule="auto"/>
        <w:jc w:val="both"/>
      </w:pPr>
      <w:r w:rsidRPr="00B7597D">
        <w:lastRenderedPageBreak/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Pr="00B7597D">
        <w:t xml:space="preserve">è di </w:t>
      </w:r>
      <w:r w:rsidR="00D860EB">
        <w:t>20</w:t>
      </w:r>
      <w:r w:rsidR="00300BEA">
        <w:t xml:space="preserve"> mg</w:t>
      </w:r>
      <w:r w:rsidR="00AA1305">
        <w:t xml:space="preserve">, </w:t>
      </w:r>
      <w:r w:rsidR="00D860EB">
        <w:t>una capsula</w:t>
      </w:r>
      <w:r w:rsidR="001C15DF">
        <w:t xml:space="preserve"> </w:t>
      </w:r>
      <w:r w:rsidR="00D860EB">
        <w:t>al giorno</w:t>
      </w:r>
      <w:r w:rsidR="00AA1305">
        <w:t xml:space="preserve"> assunta</w:t>
      </w:r>
      <w:r w:rsidR="00D860EB">
        <w:t xml:space="preserve"> </w:t>
      </w:r>
      <w:r w:rsidR="001C15DF">
        <w:t xml:space="preserve">ogni </w:t>
      </w:r>
      <w:r w:rsidR="00D860EB">
        <w:t>24</w:t>
      </w:r>
      <w:r w:rsidR="001C15DF">
        <w:t xml:space="preserve"> ore</w:t>
      </w:r>
      <w:r w:rsidR="00D860EB">
        <w:t>;</w:t>
      </w:r>
      <w:r w:rsidR="008A6FEC">
        <w:t xml:space="preserve"> la durata massima di trattamento</w:t>
      </w:r>
      <w:r w:rsidR="00D860EB">
        <w:t xml:space="preserve"> è </w:t>
      </w:r>
      <w:r w:rsidR="00AE176F">
        <w:t>di</w:t>
      </w:r>
      <w:r w:rsidR="00D860EB">
        <w:t xml:space="preserve"> 14 giorni.</w:t>
      </w:r>
    </w:p>
    <w:p w14:paraId="1A7A83AF" w14:textId="77777777" w:rsidR="008A6FEC" w:rsidRDefault="008A6FEC" w:rsidP="008A6FEC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highlight w:val="green"/>
        </w:rPr>
      </w:pPr>
    </w:p>
    <w:p w14:paraId="691A943B" w14:textId="77777777"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t>Questo medicinale non è raccomandato nella popolazione pediatrica in quanto non sono disponibili dati sull’uso in questa fascia di età.</w:t>
      </w:r>
    </w:p>
    <w:p w14:paraId="3BB59C76" w14:textId="77777777" w:rsidR="00BB2AF8" w:rsidRPr="001C15DF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14:paraId="41402C77" w14:textId="77777777" w:rsidR="00AE176F" w:rsidRDefault="001C15DF" w:rsidP="00AE176F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>L</w:t>
      </w:r>
      <w:r w:rsidRPr="00D95D44">
        <w:t xml:space="preserve">e </w:t>
      </w:r>
      <w:r w:rsidR="00AE176F">
        <w:t>capsule</w:t>
      </w:r>
      <w:r w:rsidRPr="00D95D44">
        <w:t xml:space="preserve"> </w:t>
      </w:r>
      <w:r>
        <w:t>devono essere assunte intere (non frantumate o masticate) con un po’</w:t>
      </w:r>
      <w:r w:rsidRPr="00D95D44">
        <w:t xml:space="preserve"> d’</w:t>
      </w:r>
      <w:r>
        <w:t>acqua indipendentemente dai pasti</w:t>
      </w:r>
      <w:r w:rsidR="00AE176F">
        <w:t>.</w:t>
      </w:r>
    </w:p>
    <w:p w14:paraId="55F6A3A7" w14:textId="77777777" w:rsidR="00AE176F" w:rsidRPr="00AE176F" w:rsidRDefault="00AE176F" w:rsidP="00AE176F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71F11003" w14:textId="77777777" w:rsidR="00AE176F" w:rsidRDefault="00AE176F" w:rsidP="00AE176F">
      <w:pPr>
        <w:autoSpaceDE w:val="0"/>
        <w:autoSpaceDN w:val="0"/>
        <w:adjustRightInd w:val="0"/>
        <w:jc w:val="both"/>
        <w:rPr>
          <w:lang w:val="x-none"/>
        </w:rPr>
      </w:pPr>
      <w:r>
        <w:rPr>
          <w:lang w:val="x-none"/>
        </w:rPr>
        <w:t>Nei pazienti che hanno difficoltà a deglutire, le capsule possono anche essere aperte ed i granuli possono essere mescolati in mezzo bicchiere di acqua non gassata. Non utilizzare altri liquidi in quanto il rivestimento gastroresistente può dissolversi. Bere l’acqua con i granuli immediatamente o entro 30 minuti.</w:t>
      </w:r>
      <w:r>
        <w:t xml:space="preserve"> </w:t>
      </w:r>
      <w:r>
        <w:rPr>
          <w:lang w:val="x-none"/>
        </w:rPr>
        <w:t>Sciacquare il bicchiere riempiendolo a metà con acqua e berne il contenuto. I granuli non devono essere masticati o frantumati.</w:t>
      </w:r>
    </w:p>
    <w:p w14:paraId="480034D5" w14:textId="6DAC04DA" w:rsidR="00F96473" w:rsidRPr="00AE176F" w:rsidRDefault="00AE176F" w:rsidP="00AE176F">
      <w:pPr>
        <w:autoSpaceDE w:val="0"/>
        <w:autoSpaceDN w:val="0"/>
        <w:adjustRightInd w:val="0"/>
        <w:jc w:val="both"/>
      </w:pPr>
      <w:r>
        <w:rPr>
          <w:lang w:val="x-none"/>
        </w:rPr>
        <w:t>Per</w:t>
      </w:r>
      <w:r>
        <w:t xml:space="preserve"> i pazienti</w:t>
      </w:r>
      <w:r>
        <w:rPr>
          <w:lang w:val="x-none"/>
        </w:rPr>
        <w:t xml:space="preserve"> che non possono deglutire </w:t>
      </w:r>
      <w:proofErr w:type="spellStart"/>
      <w:r w:rsidR="00150710">
        <w:t>é</w:t>
      </w:r>
      <w:proofErr w:type="spellEnd"/>
      <w:r>
        <w:rPr>
          <w:lang w:val="x-none"/>
        </w:rPr>
        <w:t xml:space="preserve"> possibile aprire le capsule e mescolare i granuli in acqua non gassata e somministrarli mediante un sondino gastrico.</w:t>
      </w:r>
    </w:p>
    <w:p w14:paraId="4AF79F07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1D7827">
        <w:rPr>
          <w:rFonts w:eastAsia="Calibri" w:cs="Calibri"/>
          <w:b/>
          <w:color w:val="000000"/>
          <w:lang w:eastAsia="it-IT"/>
        </w:rPr>
        <w:t>ESOMEFLUX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189CAC9B" w14:textId="07816E7C" w:rsidR="00EA0CD2" w:rsidRDefault="001D7827" w:rsidP="00EA0CD2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ESOMEFLUX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DF2B88">
        <w:t>A02BC05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B8686B">
        <w:rPr>
          <w:rFonts w:eastAsia="Calibri" w:cs="Calibri"/>
          <w:color w:val="000000"/>
          <w:lang w:eastAsia="it-IT"/>
        </w:rPr>
        <w:t>esomeprazolo</w:t>
      </w:r>
      <w:proofErr w:type="spellEnd"/>
      <w:r w:rsidR="008B5B6D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BB2AF8" w:rsidRPr="00EF6711">
        <w:t>appartiene alla classe de</w:t>
      </w:r>
      <w:r w:rsidR="00547B7F">
        <w:t>gli inibitori della pompa protonica</w:t>
      </w:r>
      <w:r w:rsidR="00BB2AF8" w:rsidRPr="00EF6711">
        <w:t xml:space="preserve"> e agisce </w:t>
      </w:r>
      <w:r w:rsidR="00EA0CD2" w:rsidRPr="00EA0CD2">
        <w:t>riducendo la quantità di acido prodotta dallo stomaco.</w:t>
      </w:r>
    </w:p>
    <w:p w14:paraId="4D9680B6" w14:textId="77777777" w:rsidR="00EA0CD2" w:rsidRPr="00EA0CD2" w:rsidRDefault="00EA0CD2" w:rsidP="00EA0CD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</w:p>
    <w:p w14:paraId="21D4AE1F" w14:textId="77777777" w:rsidR="00BB2AF8" w:rsidRPr="00547B7F" w:rsidRDefault="00BB2AF8" w:rsidP="00547B7F">
      <w:pPr>
        <w:autoSpaceDE w:val="0"/>
        <w:autoSpaceDN w:val="0"/>
        <w:adjustRightInd w:val="0"/>
        <w:jc w:val="both"/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1D7827">
        <w:rPr>
          <w:rFonts w:eastAsia="Calibri" w:cs="Calibri"/>
          <w:b/>
          <w:color w:val="000000"/>
          <w:lang w:eastAsia="it-IT"/>
        </w:rPr>
        <w:t>ESOMEFLUX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7728933B" w14:textId="4542FE8E" w:rsidR="006B311C" w:rsidRPr="00790A8A" w:rsidRDefault="00F96473" w:rsidP="00790A8A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r w:rsidR="001D7827">
        <w:rPr>
          <w:rFonts w:eastAsia="Calibri" w:cs="Calibri"/>
          <w:color w:val="000000"/>
          <w:lang w:eastAsia="it-IT"/>
        </w:rPr>
        <w:t>ESOMEFLUX</w:t>
      </w:r>
      <w:r>
        <w:rPr>
          <w:rFonts w:eastAsia="Calibri" w:cs="Calibri"/>
          <w:color w:val="000000"/>
          <w:lang w:eastAsia="it-IT"/>
        </w:rPr>
        <w:t xml:space="preserve"> </w:t>
      </w:r>
      <w:r w:rsidRPr="00D85E7D">
        <w:rPr>
          <w:rFonts w:cs="Arial"/>
        </w:rPr>
        <w:t xml:space="preserve">è un </w:t>
      </w:r>
      <w:r w:rsidRPr="00F933A2">
        <w:rPr>
          <w:rFonts w:cs="Arial"/>
        </w:rPr>
        <w:t>medicinale</w:t>
      </w:r>
      <w:r w:rsidR="00587F23">
        <w:rPr>
          <w:rFonts w:cs="Arial"/>
        </w:rPr>
        <w:t xml:space="preserve"> </w:t>
      </w:r>
      <w:r w:rsidR="00587F23" w:rsidRPr="00603E4C">
        <w:rPr>
          <w:rFonts w:cs="Arial"/>
        </w:rPr>
        <w:t>equivalente</w:t>
      </w:r>
      <w:r w:rsidRPr="00D85E7D">
        <w:rPr>
          <w:rFonts w:cs="Arial"/>
        </w:rPr>
        <w:t>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 xml:space="preserve">la bioequivalenza rispetto al medicinale di riferimento </w:t>
      </w:r>
      <w:proofErr w:type="spellStart"/>
      <w:r w:rsidR="00790A8A">
        <w:rPr>
          <w:rFonts w:cs="Arial"/>
        </w:rPr>
        <w:t>Nexium</w:t>
      </w:r>
      <w:proofErr w:type="spellEnd"/>
      <w:r w:rsidR="00790A8A">
        <w:rPr>
          <w:rFonts w:cs="Arial"/>
        </w:rPr>
        <w:t>.</w:t>
      </w:r>
      <w:r w:rsidRPr="00D85E7D">
        <w:rPr>
          <w:rFonts w:cs="Arial"/>
        </w:rPr>
        <w:t xml:space="preserve"> Due medicinali sono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14:paraId="6AA53292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E91F9DB" w14:textId="77777777" w:rsidR="006B311C" w:rsidRPr="00790A8A" w:rsidRDefault="00BB2AF8" w:rsidP="00790A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1D7827">
        <w:rPr>
          <w:rFonts w:eastAsia="Calibri" w:cs="Calibri"/>
          <w:b/>
          <w:color w:val="000000"/>
          <w:lang w:eastAsia="it-IT"/>
        </w:rPr>
        <w:t>ESOMEFLUX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212B3933" w14:textId="136E4DB9" w:rsidR="00BB2AF8" w:rsidRPr="002A3F14" w:rsidRDefault="001D7827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B2DED">
        <w:rPr>
          <w:rFonts w:eastAsia="Calibri" w:cs="Calibri"/>
          <w:color w:val="000000"/>
          <w:lang w:eastAsia="it-IT"/>
        </w:rPr>
        <w:t>ESOMEFLUX</w:t>
      </w:r>
      <w:r w:rsidR="007170D7" w:rsidRPr="00AB2DED">
        <w:rPr>
          <w:rFonts w:ascii="Calibri" w:hAnsi="Calibri" w:cs="Arial"/>
        </w:rPr>
        <w:t xml:space="preserve"> </w:t>
      </w:r>
      <w:r w:rsidR="00BB2AF8" w:rsidRPr="00AB2DED">
        <w:rPr>
          <w:rFonts w:eastAsia="Calibri" w:cs="Calibri"/>
          <w:lang w:eastAsia="it-IT"/>
        </w:rPr>
        <w:t xml:space="preserve">è </w:t>
      </w:r>
      <w:proofErr w:type="spellStart"/>
      <w:r w:rsidR="00BB2AF8" w:rsidRPr="00AB2DED">
        <w:rPr>
          <w:rFonts w:eastAsia="Calibri" w:cs="Calibri"/>
          <w:lang w:eastAsia="it-IT"/>
        </w:rPr>
        <w:t>bioequivalente</w:t>
      </w:r>
      <w:proofErr w:type="spellEnd"/>
      <w:r w:rsidR="00BB2AF8" w:rsidRPr="00AB2DED">
        <w:rPr>
          <w:rFonts w:eastAsia="Calibri" w:cs="Calibri"/>
          <w:lang w:eastAsia="it-IT"/>
        </w:rPr>
        <w:t xml:space="preserve"> al medicinale di riferimento; pertanto, i suoi benefici e rischi sono sovrapponibili a quelli del medicinale di riferimento.</w:t>
      </w:r>
      <w:r w:rsidR="00BB2AF8" w:rsidRPr="002A3F14">
        <w:rPr>
          <w:rFonts w:eastAsia="Calibri" w:cs="Calibri"/>
          <w:lang w:eastAsia="it-IT"/>
        </w:rPr>
        <w:t xml:space="preserve"> </w:t>
      </w:r>
    </w:p>
    <w:p w14:paraId="123E2FEC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6C134C4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1D7827">
        <w:rPr>
          <w:rFonts w:eastAsia="Calibri" w:cs="Calibri"/>
          <w:b/>
          <w:color w:val="000000"/>
          <w:lang w:eastAsia="it-IT"/>
        </w:rPr>
        <w:t>ESOMEFLUX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14:paraId="6D1240B5" w14:textId="77777777"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</w:t>
      </w:r>
      <w:r w:rsidR="00790A8A">
        <w:rPr>
          <w:rFonts w:eastAsia="Calibri" w:cs="Calibri"/>
          <w:lang w:eastAsia="it-IT"/>
        </w:rPr>
        <w:t xml:space="preserve"> </w:t>
      </w:r>
      <w:r w:rsidR="00790A8A" w:rsidRPr="00790A8A">
        <w:rPr>
          <w:rFonts w:eastAsia="Calibri" w:cs="Calibri"/>
          <w:bCs/>
          <w:iCs/>
          <w:lang w:eastAsia="it-IT"/>
        </w:rPr>
        <w:t>6, 7 e 8 Novembre 2019</w:t>
      </w:r>
      <w:r w:rsidRPr="00666CCE">
        <w:rPr>
          <w:rFonts w:eastAsia="Calibri" w:cs="Calibri"/>
          <w:lang w:eastAsia="it-IT"/>
        </w:rPr>
        <w:t xml:space="preserve"> </w:t>
      </w:r>
      <w:r w:rsidR="00790A8A">
        <w:rPr>
          <w:rFonts w:eastAsia="Calibri" w:cs="Calibri"/>
          <w:lang w:eastAsia="it-IT"/>
        </w:rPr>
        <w:t>(</w:t>
      </w:r>
      <w:r w:rsidR="00790A8A" w:rsidRPr="00790A8A">
        <w:rPr>
          <w:rFonts w:eastAsia="Calibri" w:cs="Calibri"/>
          <w:bCs/>
          <w:iCs/>
          <w:lang w:eastAsia="it-IT"/>
        </w:rPr>
        <w:t>Verbale CTS n.16</w:t>
      </w:r>
      <w:r w:rsidR="00790A8A">
        <w:rPr>
          <w:rFonts w:eastAsia="Calibri" w:cs="Calibri"/>
          <w:bCs/>
          <w:iCs/>
          <w:lang w:eastAsia="it-IT"/>
        </w:rPr>
        <w:t>)</w:t>
      </w:r>
      <w:r w:rsidR="00790A8A" w:rsidRPr="00790A8A">
        <w:rPr>
          <w:rFonts w:eastAsia="Calibri" w:cs="Calibri"/>
          <w:bCs/>
          <w:iCs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ha concluso che, conformemente ai requisiti della normativa vigente, </w:t>
      </w:r>
      <w:r>
        <w:rPr>
          <w:rFonts w:eastAsia="Calibri" w:cs="Calibri"/>
          <w:lang w:eastAsia="it-IT"/>
        </w:rPr>
        <w:t>come nel caso del medicinale di riferimento</w:t>
      </w:r>
      <w:r w:rsidR="00790A8A">
        <w:rPr>
          <w:rFonts w:eastAsia="Calibri" w:cs="Calibri"/>
          <w:lang w:eastAsia="it-IT"/>
        </w:rPr>
        <w:t xml:space="preserve"> </w:t>
      </w:r>
      <w:proofErr w:type="spellStart"/>
      <w:r w:rsidR="00790A8A">
        <w:rPr>
          <w:rFonts w:eastAsia="Calibri" w:cs="Calibri"/>
          <w:lang w:eastAsia="it-IT"/>
        </w:rPr>
        <w:t>Nexium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C9272B">
        <w:rPr>
          <w:rFonts w:eastAsia="Calibri" w:cs="Calibri"/>
          <w:lang w:eastAsia="it-IT"/>
        </w:rPr>
        <w:t>medicinale</w:t>
      </w:r>
      <w:r w:rsidR="00790A8A" w:rsidRPr="00C9272B">
        <w:rPr>
          <w:rFonts w:eastAsia="Calibri" w:cs="Calibri"/>
          <w:lang w:eastAsia="it-IT"/>
        </w:rPr>
        <w:t xml:space="preserve"> </w:t>
      </w:r>
      <w:proofErr w:type="spellStart"/>
      <w:r w:rsidR="00790A8A" w:rsidRPr="00C9272B">
        <w:rPr>
          <w:rFonts w:eastAsia="Calibri" w:cs="Calibri"/>
          <w:lang w:eastAsia="it-IT"/>
        </w:rPr>
        <w:t>Cbis</w:t>
      </w:r>
      <w:proofErr w:type="spellEnd"/>
      <w:r w:rsidR="00790A8A" w:rsidRPr="00C9272B">
        <w:rPr>
          <w:rFonts w:eastAsia="Calibri" w:cs="Calibri"/>
          <w:lang w:eastAsia="it-IT"/>
        </w:rPr>
        <w:t>.</w:t>
      </w:r>
    </w:p>
    <w:p w14:paraId="7049432E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45A33D69" w14:textId="77777777"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2277CF2C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D7827">
        <w:rPr>
          <w:rFonts w:eastAsia="Calibri" w:cs="Calibri"/>
          <w:b/>
          <w:color w:val="000000"/>
          <w:lang w:eastAsia="it-IT"/>
        </w:rPr>
        <w:t>ESOMEFLUX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69537F48" w14:textId="77777777"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4241AC" w:rsidRPr="007170D7">
        <w:rPr>
          <w:rFonts w:eastAsia="Calibri" w:cs="Calibri"/>
          <w:lang w:eastAsia="it-IT"/>
        </w:rPr>
        <w:t>.</w:t>
      </w:r>
    </w:p>
    <w:p w14:paraId="4346E51E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11D08253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7245624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1D7827">
        <w:rPr>
          <w:rFonts w:eastAsia="Calibri" w:cs="Calibri"/>
          <w:b/>
          <w:color w:val="000000"/>
          <w:lang w:eastAsia="it-IT"/>
        </w:rPr>
        <w:t>ESOMEFLUX</w:t>
      </w:r>
    </w:p>
    <w:p w14:paraId="18094818" w14:textId="07404697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>Il</w:t>
      </w:r>
      <w:r w:rsidR="001C65D9">
        <w:rPr>
          <w:rFonts w:eastAsia="Calibri" w:cs="Calibri"/>
          <w:bCs/>
          <w:iCs/>
          <w:lang w:eastAsia="it-IT"/>
        </w:rPr>
        <w:t xml:space="preserve"> </w:t>
      </w:r>
      <w:r w:rsidR="00FA73C0">
        <w:rPr>
          <w:rFonts w:eastAsia="Calibri" w:cs="Calibri"/>
          <w:bCs/>
          <w:iCs/>
          <w:lang w:eastAsia="it-IT"/>
        </w:rPr>
        <w:t>0</w:t>
      </w:r>
      <w:bookmarkStart w:id="1" w:name="_GoBack"/>
      <w:bookmarkEnd w:id="1"/>
      <w:r w:rsidR="001C65D9">
        <w:rPr>
          <w:rFonts w:eastAsia="Calibri" w:cs="Calibri"/>
          <w:bCs/>
          <w:iCs/>
          <w:lang w:eastAsia="it-IT"/>
        </w:rPr>
        <w:t>1/03/2021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1D7827">
        <w:rPr>
          <w:rFonts w:eastAsia="Calibri" w:cs="Calibri"/>
          <w:color w:val="000000"/>
          <w:lang w:eastAsia="it-IT"/>
        </w:rPr>
        <w:t>ESOMEFLUX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371F9038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0EC8378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1C7C653E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8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6B44BC69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46FCED86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7030FE60" w14:textId="692328CF" w:rsidR="004241AC" w:rsidRPr="001C65D9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 w:rsidRPr="00FE0DD0">
        <w:rPr>
          <w:rFonts w:eastAsia="Calibri" w:cs="Calibri"/>
          <w:lang w:eastAsia="it-IT"/>
        </w:rPr>
        <w:t xml:space="preserve">data </w:t>
      </w:r>
      <w:r w:rsidR="00FE0DD0" w:rsidRPr="00FE0DD0">
        <w:rPr>
          <w:rFonts w:eastAsia="Calibri" w:cs="Calibri"/>
          <w:lang w:eastAsia="it-IT"/>
        </w:rPr>
        <w:t>24/</w:t>
      </w:r>
      <w:r w:rsidR="00790A8A" w:rsidRPr="00FE0DD0">
        <w:rPr>
          <w:rFonts w:eastAsia="Calibri" w:cs="Calibri"/>
          <w:sz w:val="20"/>
          <w:lang w:eastAsia="it-IT"/>
        </w:rPr>
        <w:t>0</w:t>
      </w:r>
      <w:r w:rsidR="001C65D9" w:rsidRPr="00FE0DD0">
        <w:rPr>
          <w:rFonts w:eastAsia="Calibri" w:cs="Calibri"/>
          <w:sz w:val="20"/>
          <w:lang w:eastAsia="it-IT"/>
        </w:rPr>
        <w:t>3</w:t>
      </w:r>
      <w:r w:rsidR="00790A8A" w:rsidRPr="00FE0DD0">
        <w:rPr>
          <w:rFonts w:eastAsia="Calibri" w:cs="Calibri"/>
          <w:sz w:val="20"/>
          <w:lang w:eastAsia="it-IT"/>
        </w:rPr>
        <w:t>/2021</w:t>
      </w:r>
      <w:r w:rsidRPr="001C65D9">
        <w:rPr>
          <w:rFonts w:eastAsia="Calibri" w:cs="Calibri"/>
          <w:lang w:eastAsia="it-IT"/>
        </w:rPr>
        <w:t xml:space="preserve">. </w:t>
      </w:r>
    </w:p>
    <w:p w14:paraId="229B9AC5" w14:textId="77777777" w:rsidR="004E5A39" w:rsidRPr="001C65D9" w:rsidRDefault="004E5A39" w:rsidP="004E5A39">
      <w:pPr>
        <w:spacing w:after="0" w:line="240" w:lineRule="auto"/>
        <w:jc w:val="center"/>
        <w:rPr>
          <w:sz w:val="28"/>
        </w:rPr>
      </w:pPr>
    </w:p>
    <w:p w14:paraId="468D2EA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1431076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4DB524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CEFB48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2EE416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94F6DB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73033B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F3D86B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665149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ED381A1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320CDB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C8193B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20DAFD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21F0D4A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C4DAF58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B4C862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1C469E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720936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7C46668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4998B4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18036E6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4EC6D9D0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D9EEC9C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14E7F3AB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217B962E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1D3D18E3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4BF07C74" w14:textId="77777777" w:rsidR="004E5A39" w:rsidRDefault="004E5A39" w:rsidP="004E5A39">
      <w:pPr>
        <w:spacing w:after="0" w:line="240" w:lineRule="auto"/>
        <w:jc w:val="both"/>
      </w:pPr>
    </w:p>
    <w:p w14:paraId="63E34CA0" w14:textId="77777777" w:rsidR="004E5A39" w:rsidRDefault="004E5A39" w:rsidP="004E5A39">
      <w:pPr>
        <w:spacing w:after="0" w:line="240" w:lineRule="auto"/>
        <w:jc w:val="both"/>
      </w:pPr>
    </w:p>
    <w:p w14:paraId="21FF71D7" w14:textId="77777777" w:rsidR="004E5A39" w:rsidRDefault="004E5A39" w:rsidP="004E5A39">
      <w:pPr>
        <w:spacing w:after="0" w:line="240" w:lineRule="auto"/>
        <w:jc w:val="both"/>
      </w:pPr>
    </w:p>
    <w:p w14:paraId="5FBF052B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3E362813" w14:textId="77777777" w:rsidR="004E5A39" w:rsidRPr="002A3F14" w:rsidRDefault="004E5A39" w:rsidP="004E5A39">
      <w:pPr>
        <w:spacing w:after="0" w:line="240" w:lineRule="auto"/>
        <w:jc w:val="both"/>
      </w:pPr>
    </w:p>
    <w:p w14:paraId="3EAC387E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70002093" w14:textId="77777777" w:rsidR="004E5A39" w:rsidRPr="0033523E" w:rsidRDefault="004E5A39" w:rsidP="004E5A39">
      <w:pPr>
        <w:pStyle w:val="Paragrafoelenco"/>
        <w:rPr>
          <w:b/>
        </w:rPr>
      </w:pPr>
    </w:p>
    <w:p w14:paraId="4FEE8955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0D176B4E" w14:textId="77777777" w:rsidR="004E5A39" w:rsidRPr="0033523E" w:rsidRDefault="004E5A39" w:rsidP="004E5A39">
      <w:pPr>
        <w:pStyle w:val="Paragrafoelenco"/>
        <w:rPr>
          <w:b/>
        </w:rPr>
      </w:pPr>
    </w:p>
    <w:p w14:paraId="567C589D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7B607199" w14:textId="77777777" w:rsidR="004E5A39" w:rsidRPr="0033523E" w:rsidRDefault="004E5A39" w:rsidP="004E5A39">
      <w:pPr>
        <w:pStyle w:val="Paragrafoelenco"/>
        <w:rPr>
          <w:b/>
        </w:rPr>
      </w:pPr>
    </w:p>
    <w:p w14:paraId="3DF2F05F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2BFC34AB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057D5AE4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68C6605" w14:textId="48ACF9A1" w:rsidR="00CC52A3" w:rsidRDefault="00CC52A3" w:rsidP="004E5A39"/>
    <w:p w14:paraId="4332A3AF" w14:textId="77777777" w:rsidR="00EF6711" w:rsidRDefault="00EF6711" w:rsidP="004E5A39"/>
    <w:p w14:paraId="08BE5090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14:paraId="08254B94" w14:textId="468161C4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427AFB" w:rsidRPr="00427AFB">
        <w:t xml:space="preserve">Pensa Pharma S.p.a. </w:t>
      </w:r>
      <w:r w:rsidRPr="00EF6711">
        <w:t xml:space="preserve">l’autorizzazione all’immissione in commercio (AIC) per il medicinale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>il</w:t>
      </w:r>
      <w:r w:rsidR="00427AFB">
        <w:rPr>
          <w:rFonts w:eastAsia="Calibri" w:cs="Calibri"/>
          <w:bCs/>
          <w:iCs/>
          <w:lang w:eastAsia="it-IT"/>
        </w:rPr>
        <w:t xml:space="preserve"> 1/03/2021.</w:t>
      </w:r>
    </w:p>
    <w:p w14:paraId="19D12723" w14:textId="77777777" w:rsidR="004E5A39" w:rsidRPr="00EF6711" w:rsidRDefault="004E5A39" w:rsidP="00EF6711">
      <w:pPr>
        <w:spacing w:after="0" w:line="240" w:lineRule="auto"/>
        <w:jc w:val="both"/>
      </w:pPr>
    </w:p>
    <w:p w14:paraId="4770002F" w14:textId="3965ED0F" w:rsidR="00B15ED7" w:rsidRPr="00B15ED7" w:rsidRDefault="001D7827" w:rsidP="00B15ED7">
      <w:pPr>
        <w:pStyle w:val="PreformattatoHTML"/>
        <w:tabs>
          <w:tab w:val="left" w:pos="10944"/>
        </w:tabs>
        <w:rPr>
          <w:rFonts w:asciiTheme="minorHAnsi" w:hAnsiTheme="minorHAnsi" w:cstheme="minorHAnsi"/>
          <w:color w:val="444444"/>
          <w:sz w:val="22"/>
          <w:szCs w:val="22"/>
        </w:rPr>
      </w:pPr>
      <w:r w:rsidRPr="00B15ED7">
        <w:rPr>
          <w:rFonts w:asciiTheme="minorHAnsi" w:eastAsia="Calibri" w:hAnsiTheme="minorHAnsi" w:cstheme="minorHAnsi"/>
          <w:color w:val="000000"/>
          <w:sz w:val="22"/>
          <w:szCs w:val="22"/>
        </w:rPr>
        <w:t>ESOMEFLUX</w:t>
      </w:r>
      <w:r w:rsidR="007170D7" w:rsidRPr="00B15ED7">
        <w:rPr>
          <w:rFonts w:asciiTheme="minorHAnsi" w:eastAsia="Calibri" w:hAnsiTheme="minorHAnsi" w:cstheme="minorHAnsi"/>
          <w:bCs/>
          <w:iCs/>
          <w:sz w:val="22"/>
          <w:szCs w:val="22"/>
        </w:rPr>
        <w:t xml:space="preserve"> </w:t>
      </w:r>
      <w:r w:rsidR="00EF6711" w:rsidRPr="00B15ED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può essere ottenuto </w:t>
      </w:r>
      <w:r w:rsidR="00B15ED7" w:rsidRPr="00B15ED7">
        <w:rPr>
          <w:rFonts w:asciiTheme="minorHAnsi" w:eastAsia="Calibri" w:hAnsiTheme="minorHAnsi" w:cstheme="minorHAnsi"/>
          <w:color w:val="000000"/>
          <w:sz w:val="22"/>
          <w:szCs w:val="22"/>
        </w:rPr>
        <w:t>senza prescrizione medica (</w:t>
      </w:r>
      <w:r w:rsidR="00BA5E0E">
        <w:rPr>
          <w:rFonts w:asciiTheme="minorHAnsi" w:eastAsia="Calibri" w:hAnsiTheme="minorHAnsi" w:cstheme="minorHAnsi"/>
          <w:color w:val="000000"/>
          <w:sz w:val="22"/>
          <w:szCs w:val="22"/>
        </w:rPr>
        <w:t>medicinale di automedicazione).</w:t>
      </w:r>
    </w:p>
    <w:p w14:paraId="3B7E3EAF" w14:textId="77777777" w:rsidR="00B15ED7" w:rsidRPr="00EF6711" w:rsidRDefault="00B15ED7" w:rsidP="00B15ED7">
      <w:pPr>
        <w:autoSpaceDE w:val="0"/>
        <w:autoSpaceDN w:val="0"/>
        <w:adjustRightInd w:val="0"/>
        <w:spacing w:after="0" w:line="240" w:lineRule="auto"/>
        <w:jc w:val="both"/>
      </w:pPr>
    </w:p>
    <w:p w14:paraId="62FA1F77" w14:textId="25219E95" w:rsidR="004E5A39" w:rsidRPr="00EF6711" w:rsidRDefault="004E5A39" w:rsidP="00EF6711">
      <w:pPr>
        <w:spacing w:after="0" w:line="240" w:lineRule="auto"/>
        <w:jc w:val="both"/>
      </w:pPr>
      <w:r w:rsidRPr="00EF6711">
        <w:t>Questa procedura è stata presentata ai sensi dell’art.</w:t>
      </w:r>
      <w:r w:rsidR="00303835">
        <w:t xml:space="preserve"> 10.3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14:paraId="3095F944" w14:textId="77777777"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7F1C9C82" w14:textId="6415DD67" w:rsidR="004E5A39" w:rsidRPr="00EF6711" w:rsidRDefault="001D7827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ESOMEFLUX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proofErr w:type="spellStart"/>
      <w:r w:rsidR="00B15ED7">
        <w:rPr>
          <w:rFonts w:eastAsia="Calibri" w:cs="Calibri"/>
          <w:lang w:eastAsia="it-IT"/>
        </w:rPr>
        <w:t>esomeprazolo</w:t>
      </w:r>
      <w:proofErr w:type="spellEnd"/>
      <w:r w:rsidR="00B15ED7" w:rsidRPr="00EF6711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noto</w:t>
      </w:r>
      <w:r w:rsidR="0042214D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 w:rsidR="00C6559F">
        <w:rPr>
          <w:rFonts w:eastAsia="Calibri" w:cs="Calibri"/>
          <w:lang w:eastAsia="it-IT"/>
        </w:rPr>
        <w:t>Nexium</w:t>
      </w:r>
      <w:proofErr w:type="spellEnd"/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14:paraId="07AD196C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437DD226" w14:textId="542925E6" w:rsidR="00C6559F" w:rsidRPr="001345C2" w:rsidRDefault="001D7827" w:rsidP="001345C2">
      <w:pPr>
        <w:autoSpaceDE w:val="0"/>
        <w:autoSpaceDN w:val="0"/>
        <w:adjustRightInd w:val="0"/>
        <w:jc w:val="both"/>
      </w:pPr>
      <w:r>
        <w:rPr>
          <w:rFonts w:eastAsia="Calibri" w:cs="Calibri"/>
          <w:color w:val="000000"/>
          <w:lang w:eastAsia="it-IT"/>
        </w:rPr>
        <w:t>ESOMEFLUX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="00C6559F" w:rsidRPr="00C6559F">
        <w:t>A02BC05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 w:rsidR="00C6559F">
        <w:rPr>
          <w:rFonts w:eastAsia="Calibri" w:cs="Calibri"/>
          <w:lang w:eastAsia="it-IT"/>
        </w:rPr>
        <w:t>esomeprazolo</w:t>
      </w:r>
      <w:proofErr w:type="spellEnd"/>
      <w:r w:rsidR="00C6559F">
        <w:rPr>
          <w:rFonts w:eastAsia="Calibri" w:cs="Calibri"/>
          <w:lang w:eastAsia="it-IT"/>
        </w:rPr>
        <w:t>,</w:t>
      </w:r>
      <w:r w:rsidR="00F3432F">
        <w:rPr>
          <w:rFonts w:eastAsia="Calibri" w:cs="Calibri"/>
          <w:bCs/>
          <w:lang w:eastAsia="it-IT"/>
        </w:rPr>
        <w:t xml:space="preserve"> </w:t>
      </w:r>
      <w:r w:rsidR="00F3432F">
        <w:t>l’</w:t>
      </w:r>
      <w:r w:rsidR="00F3432F" w:rsidRPr="00B026D7">
        <w:rPr>
          <w:i/>
        </w:rPr>
        <w:t>S</w:t>
      </w:r>
      <w:r w:rsidR="00F3432F">
        <w:t xml:space="preserve">-isomero di </w:t>
      </w:r>
      <w:proofErr w:type="spellStart"/>
      <w:r w:rsidR="00F3432F">
        <w:t>omeprazolo</w:t>
      </w:r>
      <w:proofErr w:type="spellEnd"/>
      <w:r w:rsidR="00F3432F">
        <w:t xml:space="preserve">, </w:t>
      </w:r>
      <w:r w:rsidR="00C6559F" w:rsidRPr="00C6559F">
        <w:rPr>
          <w:rFonts w:eastAsia="Calibri" w:cs="Calibri"/>
          <w:bCs/>
          <w:lang w:eastAsia="it-IT"/>
        </w:rPr>
        <w:t xml:space="preserve">il quale riduce la secrezione acida gastrica mediante un meccanismo di azione specifico e selettivo.  </w:t>
      </w:r>
      <w:proofErr w:type="spellStart"/>
      <w:r w:rsidR="00C6559F" w:rsidRPr="00C6559F">
        <w:rPr>
          <w:rFonts w:eastAsia="Calibri" w:cs="Calibri"/>
          <w:bCs/>
          <w:lang w:eastAsia="it-IT"/>
        </w:rPr>
        <w:t>Esomeprazolo</w:t>
      </w:r>
      <w:proofErr w:type="spellEnd"/>
      <w:r w:rsidR="00C6559F" w:rsidRPr="00C6559F">
        <w:rPr>
          <w:rFonts w:eastAsia="Calibri" w:cs="Calibri"/>
          <w:bCs/>
          <w:lang w:eastAsia="it-IT"/>
        </w:rPr>
        <w:t xml:space="preserve"> è un inibitore specifico della pompa acida a livello della cellula parietale. Entrambi gli isomeri di </w:t>
      </w:r>
      <w:proofErr w:type="spellStart"/>
      <w:r w:rsidR="00C6559F" w:rsidRPr="00C6559F">
        <w:rPr>
          <w:rFonts w:eastAsia="Calibri" w:cs="Calibri"/>
          <w:bCs/>
          <w:lang w:eastAsia="it-IT"/>
        </w:rPr>
        <w:t>omeprazolo</w:t>
      </w:r>
      <w:proofErr w:type="spellEnd"/>
      <w:r w:rsidR="00C6559F" w:rsidRPr="00C6559F">
        <w:rPr>
          <w:rFonts w:eastAsia="Calibri" w:cs="Calibri"/>
          <w:bCs/>
          <w:lang w:eastAsia="it-IT"/>
        </w:rPr>
        <w:t xml:space="preserve">, </w:t>
      </w:r>
      <w:r w:rsidR="00C6559F" w:rsidRPr="00C6559F">
        <w:rPr>
          <w:rFonts w:eastAsia="Calibri" w:cs="Calibri"/>
          <w:bCs/>
          <w:i/>
          <w:iCs/>
          <w:lang w:eastAsia="it-IT"/>
        </w:rPr>
        <w:t>R</w:t>
      </w:r>
      <w:r w:rsidR="00C6559F" w:rsidRPr="00C6559F">
        <w:rPr>
          <w:rFonts w:eastAsia="Calibri" w:cs="Calibri"/>
          <w:bCs/>
          <w:lang w:eastAsia="it-IT"/>
        </w:rPr>
        <w:t xml:space="preserve">- e </w:t>
      </w:r>
      <w:r w:rsidR="00C6559F" w:rsidRPr="00C6559F">
        <w:rPr>
          <w:rFonts w:eastAsia="Calibri" w:cs="Calibri"/>
          <w:bCs/>
          <w:i/>
          <w:iCs/>
          <w:lang w:eastAsia="it-IT"/>
        </w:rPr>
        <w:t>S</w:t>
      </w:r>
      <w:r w:rsidR="00C6559F" w:rsidRPr="00C6559F">
        <w:rPr>
          <w:rFonts w:eastAsia="Calibri" w:cs="Calibri"/>
          <w:bCs/>
          <w:lang w:eastAsia="it-IT"/>
        </w:rPr>
        <w:t>, hanno attività farmacodinamica simile.</w:t>
      </w:r>
      <w:r w:rsidR="00C6559F" w:rsidRPr="00C6559F">
        <w:t xml:space="preserve"> </w:t>
      </w:r>
      <w:proofErr w:type="spellStart"/>
      <w:r w:rsidR="00863C35" w:rsidRPr="00B026D7">
        <w:t>Esomeprazolo</w:t>
      </w:r>
      <w:proofErr w:type="spellEnd"/>
      <w:r w:rsidR="00863C35" w:rsidRPr="00B026D7">
        <w:t xml:space="preserve"> è una base debole ed è concentrato e convertito nella forma attiva nell’ambiente</w:t>
      </w:r>
      <w:r w:rsidR="00863C35">
        <w:t xml:space="preserve"> </w:t>
      </w:r>
      <w:r w:rsidR="00863C35" w:rsidRPr="00B026D7">
        <w:t xml:space="preserve">fortemente acido dei canalicoli intracellulari della cellula parietale, dove inibisce l’enzima H </w:t>
      </w:r>
      <w:r w:rsidR="00863C35" w:rsidRPr="00B026D7">
        <w:rPr>
          <w:vertAlign w:val="superscript"/>
        </w:rPr>
        <w:t>+</w:t>
      </w:r>
      <w:r w:rsidR="00863C35" w:rsidRPr="00B026D7">
        <w:t>K</w:t>
      </w:r>
      <w:r w:rsidR="00863C35" w:rsidRPr="00B026D7">
        <w:rPr>
          <w:vertAlign w:val="superscript"/>
        </w:rPr>
        <w:t>+</w:t>
      </w:r>
      <w:r w:rsidR="00863C35" w:rsidRPr="00B026D7">
        <w:t>-</w:t>
      </w:r>
      <w:proofErr w:type="spellStart"/>
      <w:r w:rsidR="00863C35" w:rsidRPr="00B026D7">
        <w:t>ATPasi</w:t>
      </w:r>
      <w:proofErr w:type="spellEnd"/>
      <w:r w:rsidR="00863C35" w:rsidRPr="00B026D7">
        <w:t xml:space="preserve"> - pompa acida promuovendo un’inibizione della secrezione acida basale e stimolata.</w:t>
      </w:r>
    </w:p>
    <w:p w14:paraId="2CD16F80" w14:textId="010A99A5" w:rsidR="00265B61" w:rsidRDefault="001D7827" w:rsidP="001345C2">
      <w:pPr>
        <w:suppressAutoHyphens/>
      </w:pPr>
      <w:r>
        <w:rPr>
          <w:rFonts w:eastAsia="Calibri" w:cs="Calibri"/>
          <w:color w:val="000000"/>
          <w:lang w:eastAsia="it-IT"/>
        </w:rPr>
        <w:t>ESOMEFLUX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376C70">
        <w:t>è indicato negli adulti per il trattamento a breve termine dei sintomi da reflusso (es. pirosi e rigurgito acido).</w:t>
      </w:r>
    </w:p>
    <w:p w14:paraId="10B04B38" w14:textId="023C5A53" w:rsidR="00D563D5" w:rsidRPr="0026497B" w:rsidRDefault="0042214D" w:rsidP="0026497B">
      <w:pPr>
        <w:spacing w:after="0" w:line="240" w:lineRule="auto"/>
        <w:jc w:val="both"/>
        <w:rPr>
          <w:rFonts w:ascii="Calibri" w:hAnsi="Calibri" w:cs="Arial"/>
        </w:rPr>
      </w:pPr>
      <w:r w:rsidRPr="00DD523E">
        <w:t xml:space="preserve">La richiesta di AIC è supportata da </w:t>
      </w:r>
      <w:r w:rsidR="00DD523E" w:rsidRPr="00DD523E">
        <w:t>due studi</w:t>
      </w:r>
      <w:r w:rsidRPr="00DD523E">
        <w:t xml:space="preserve"> di </w:t>
      </w:r>
      <w:proofErr w:type="spellStart"/>
      <w:r w:rsidRPr="00DD523E">
        <w:t>bioequivalenza</w:t>
      </w:r>
      <w:proofErr w:type="spellEnd"/>
      <w:r w:rsidRPr="00DD523E">
        <w:t xml:space="preserve"> </w:t>
      </w:r>
      <w:r w:rsidR="00DD523E" w:rsidRPr="00DD523E">
        <w:t xml:space="preserve">in cui sono stati confrontati </w:t>
      </w:r>
      <w:r w:rsidRPr="00DD523E">
        <w:t xml:space="preserve">i profili farmacocinetici del medicinale test </w:t>
      </w:r>
      <w:r w:rsidR="001D7827" w:rsidRPr="00DD523E">
        <w:rPr>
          <w:rFonts w:eastAsia="Calibri" w:cs="Calibri"/>
          <w:color w:val="000000"/>
          <w:lang w:eastAsia="it-IT"/>
        </w:rPr>
        <w:t>ESOMEFLUX</w:t>
      </w:r>
      <w:r w:rsidRPr="00DD523E">
        <w:rPr>
          <w:rFonts w:eastAsia="Calibri" w:cs="Calibri"/>
          <w:color w:val="000000"/>
          <w:lang w:eastAsia="it-IT"/>
        </w:rPr>
        <w:t xml:space="preserve"> </w:t>
      </w:r>
      <w:r w:rsidRPr="00DD523E">
        <w:t xml:space="preserve">e quelli del medicinale di riferimento </w:t>
      </w:r>
      <w:r w:rsidR="0026497B" w:rsidRPr="00DD523E">
        <w:t xml:space="preserve">NEXIUM MUPS </w:t>
      </w:r>
      <w:r w:rsidR="00D563D5" w:rsidRPr="00DD523E">
        <w:rPr>
          <w:rFonts w:ascii="Calibri" w:hAnsi="Calibri" w:cs="Arial"/>
        </w:rPr>
        <w:t xml:space="preserve">(medicinale autorizzato in </w:t>
      </w:r>
      <w:r w:rsidR="0026497B" w:rsidRPr="00DD523E">
        <w:rPr>
          <w:rFonts w:ascii="Calibri" w:hAnsi="Calibri" w:cs="Arial"/>
        </w:rPr>
        <w:t>Spagn</w:t>
      </w:r>
      <w:r w:rsidR="00D563D5" w:rsidRPr="00DD523E">
        <w:rPr>
          <w:rFonts w:ascii="Calibri" w:hAnsi="Calibri" w:cs="Arial"/>
        </w:rPr>
        <w:t xml:space="preserve">a corrispondente in Italia al medicinale di riferimento </w:t>
      </w:r>
      <w:proofErr w:type="spellStart"/>
      <w:r w:rsidR="0026497B" w:rsidRPr="00DD523E">
        <w:rPr>
          <w:rFonts w:ascii="Calibri" w:hAnsi="Calibri" w:cs="Arial"/>
        </w:rPr>
        <w:t>Nexium</w:t>
      </w:r>
      <w:proofErr w:type="spellEnd"/>
      <w:r w:rsidR="00D563D5" w:rsidRPr="00DD523E">
        <w:rPr>
          <w:rFonts w:ascii="Calibri" w:hAnsi="Calibri" w:cs="Arial"/>
        </w:rPr>
        <w:t>)</w:t>
      </w:r>
      <w:r w:rsidR="00DD523E" w:rsidRPr="00DD523E">
        <w:rPr>
          <w:rFonts w:ascii="Calibri" w:hAnsi="Calibri" w:cs="Arial"/>
        </w:rPr>
        <w:t xml:space="preserve"> sia in condizione di digiuno che a stomaco pieno</w:t>
      </w:r>
      <w:r w:rsidR="00D563D5" w:rsidRPr="00DD523E">
        <w:rPr>
          <w:rFonts w:cs="Arial"/>
        </w:rPr>
        <w:t>.</w:t>
      </w:r>
    </w:p>
    <w:p w14:paraId="57C2FC1B" w14:textId="47F09A98" w:rsidR="0042214D" w:rsidRPr="00900C91" w:rsidRDefault="0042214D" w:rsidP="0042214D">
      <w:pPr>
        <w:spacing w:after="0" w:line="240" w:lineRule="auto"/>
        <w:jc w:val="both"/>
      </w:pPr>
    </w:p>
    <w:p w14:paraId="6E4E832E" w14:textId="34EF1C8C" w:rsidR="0042214D" w:rsidRDefault="0042214D" w:rsidP="0042214D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14:paraId="0208A59B" w14:textId="77777777" w:rsidR="0042214D" w:rsidRDefault="0042214D" w:rsidP="00EF6711">
      <w:pPr>
        <w:spacing w:after="0" w:line="240" w:lineRule="auto"/>
        <w:jc w:val="both"/>
      </w:pPr>
    </w:p>
    <w:p w14:paraId="20C5CA08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14:paraId="5EE45A84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797160FA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14:paraId="0DA24DA9" w14:textId="77777777" w:rsidR="004E5A39" w:rsidRPr="00EF6711" w:rsidRDefault="004E5A39" w:rsidP="00EF6711">
      <w:pPr>
        <w:spacing w:after="0" w:line="240" w:lineRule="auto"/>
        <w:jc w:val="both"/>
      </w:pPr>
    </w:p>
    <w:p w14:paraId="1CF0A63E" w14:textId="5A31ED27" w:rsidR="00C54396" w:rsidRDefault="00C54396" w:rsidP="00C54396">
      <w:pPr>
        <w:spacing w:after="0" w:line="240" w:lineRule="auto"/>
        <w:jc w:val="both"/>
      </w:pPr>
      <w:r>
        <w:t xml:space="preserve">Il titolare di AIC ha presentato una Valutazione del Rischio ambientale per il medicinale ESOMEFLUX; sebbene la concentrazione di </w:t>
      </w:r>
      <w:proofErr w:type="spellStart"/>
      <w:r>
        <w:t>esomeprazolo</w:t>
      </w:r>
      <w:proofErr w:type="spellEnd"/>
      <w:r>
        <w:t xml:space="preserve"> che si prevede sia rilasciata nell’ambiente (PEC) sia superiore ai limiti della linea guida EMA di riferimento, non è stato considerato necessario alcun ulteriore test sul rischio ambientale sulla base del metabolismo e dell’escrezione del </w:t>
      </w:r>
      <w:proofErr w:type="spellStart"/>
      <w:r>
        <w:t>esomeprazolo</w:t>
      </w:r>
      <w:proofErr w:type="spellEnd"/>
      <w:r>
        <w:t xml:space="preserve"> e sulla base dei dati di tossicità. ESOMEFLUX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14:paraId="17A859FF" w14:textId="77777777" w:rsidR="004E5A39" w:rsidRPr="00EF6711" w:rsidRDefault="004E5A39" w:rsidP="00EF6711">
      <w:pPr>
        <w:spacing w:after="0" w:line="240" w:lineRule="auto"/>
        <w:jc w:val="both"/>
      </w:pPr>
    </w:p>
    <w:p w14:paraId="30914927" w14:textId="77777777" w:rsidR="004E5A39" w:rsidRPr="00EF6711" w:rsidRDefault="004E5A39" w:rsidP="00EF6711">
      <w:pPr>
        <w:spacing w:after="0" w:line="240" w:lineRule="auto"/>
        <w:jc w:val="both"/>
      </w:pPr>
    </w:p>
    <w:p w14:paraId="50B03BE0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13F5F0FF" w14:textId="77777777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r w:rsidR="009D403F">
        <w:rPr>
          <w:b/>
        </w:rPr>
        <w:t>ESOMEPRAZOLO SODICO</w:t>
      </w:r>
    </w:p>
    <w:p w14:paraId="5D2B1A56" w14:textId="77777777" w:rsidR="00283DB7" w:rsidRDefault="004E5A39" w:rsidP="00283DB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EF6711">
        <w:rPr>
          <w:u w:val="single"/>
        </w:rPr>
        <w:t>Nome chimico</w:t>
      </w:r>
      <w:r w:rsidR="00283DB7">
        <w:rPr>
          <w:u w:val="single"/>
        </w:rPr>
        <w:t>:</w:t>
      </w:r>
      <w:r w:rsidR="000E4494" w:rsidRPr="00EF6711">
        <w:rPr>
          <w:i/>
          <w:iCs/>
        </w:rPr>
        <w:t xml:space="preserve"> </w:t>
      </w:r>
      <w:proofErr w:type="spellStart"/>
      <w:r w:rsidR="00283DB7" w:rsidRPr="00283DB7">
        <w:rPr>
          <w:rFonts w:cs="Calibri"/>
        </w:rPr>
        <w:t>Sodium</w:t>
      </w:r>
      <w:proofErr w:type="spellEnd"/>
      <w:r w:rsidR="00283DB7" w:rsidRPr="00283DB7">
        <w:rPr>
          <w:rFonts w:cs="Calibri"/>
        </w:rPr>
        <w:t xml:space="preserve"> 5-methoxy-2-[(S)-[(4-methoxy-3,5-dimethylpyridin-2-</w:t>
      </w:r>
      <w:proofErr w:type="gramStart"/>
      <w:r w:rsidR="00283DB7" w:rsidRPr="00283DB7">
        <w:rPr>
          <w:rFonts w:cs="Calibri"/>
        </w:rPr>
        <w:t>yl)methanesulfinyl</w:t>
      </w:r>
      <w:proofErr w:type="gramEnd"/>
      <w:r w:rsidR="00283DB7" w:rsidRPr="00283DB7">
        <w:rPr>
          <w:rFonts w:cs="Calibri"/>
        </w:rPr>
        <w:t>]-1H-benzimidazol-1-ide.</w:t>
      </w:r>
    </w:p>
    <w:p w14:paraId="599E3BD1" w14:textId="77777777" w:rsidR="004E5A39" w:rsidRPr="00EF6711" w:rsidRDefault="004E5A39" w:rsidP="00283DB7">
      <w:pPr>
        <w:autoSpaceDE w:val="0"/>
        <w:autoSpaceDN w:val="0"/>
        <w:adjustRightInd w:val="0"/>
        <w:spacing w:after="0" w:line="240" w:lineRule="auto"/>
      </w:pPr>
      <w:r w:rsidRPr="00EF6711">
        <w:rPr>
          <w:u w:val="single"/>
        </w:rPr>
        <w:t>Struttura</w:t>
      </w:r>
      <w:r w:rsidRPr="00EF6711">
        <w:t>:</w:t>
      </w:r>
    </w:p>
    <w:p w14:paraId="2669B451" w14:textId="77777777" w:rsidR="004E5A39" w:rsidRPr="00EF6711" w:rsidRDefault="00437C8B" w:rsidP="00EF6711">
      <w:pPr>
        <w:spacing w:after="0" w:line="240" w:lineRule="auto"/>
        <w:jc w:val="center"/>
        <w:rPr>
          <w:highlight w:val="yellow"/>
        </w:rPr>
      </w:pPr>
      <w:r w:rsidRPr="00437C8B">
        <w:rPr>
          <w:noProof/>
          <w:lang w:eastAsia="it-IT"/>
        </w:rPr>
        <w:lastRenderedPageBreak/>
        <w:drawing>
          <wp:inline distT="0" distB="0" distL="0" distR="0" wp14:anchorId="2545D585" wp14:editId="031D1754">
            <wp:extent cx="2714625" cy="10572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756C6" w14:textId="77777777" w:rsidR="00437C8B" w:rsidRDefault="00437C8B" w:rsidP="00EF6711">
      <w:pPr>
        <w:spacing w:after="0" w:line="240" w:lineRule="auto"/>
        <w:jc w:val="both"/>
        <w:rPr>
          <w:u w:val="single"/>
        </w:rPr>
      </w:pPr>
    </w:p>
    <w:p w14:paraId="2608D17C" w14:textId="77777777" w:rsidR="0060458E" w:rsidRPr="006406D4" w:rsidRDefault="0060458E" w:rsidP="0060458E">
      <w:pPr>
        <w:pStyle w:val="Default"/>
        <w:rPr>
          <w:rFonts w:asciiTheme="minorHAnsi" w:hAnsiTheme="minorHAnsi"/>
          <w:sz w:val="22"/>
          <w:szCs w:val="22"/>
        </w:rPr>
      </w:pPr>
      <w:r w:rsidRPr="006406D4">
        <w:rPr>
          <w:rFonts w:asciiTheme="minorHAnsi" w:hAnsiTheme="minorHAnsi"/>
          <w:sz w:val="22"/>
          <w:szCs w:val="22"/>
          <w:u w:val="single"/>
        </w:rPr>
        <w:t>Formula molecolare</w:t>
      </w:r>
      <w:r w:rsidRPr="006406D4">
        <w:rPr>
          <w:rFonts w:asciiTheme="minorHAnsi" w:hAnsiTheme="minorHAnsi"/>
          <w:sz w:val="22"/>
          <w:szCs w:val="22"/>
        </w:rPr>
        <w:t>:</w:t>
      </w:r>
      <w:r w:rsidRPr="006406D4">
        <w:rPr>
          <w:rStyle w:val="s1"/>
          <w:rFonts w:asciiTheme="minorHAnsi" w:hAnsiTheme="minorHAnsi"/>
          <w:sz w:val="22"/>
          <w:szCs w:val="22"/>
        </w:rPr>
        <w:t xml:space="preserve"> </w:t>
      </w:r>
      <w:r w:rsidRPr="006406D4">
        <w:rPr>
          <w:rFonts w:asciiTheme="minorHAnsi" w:hAnsiTheme="minorHAnsi"/>
          <w:sz w:val="22"/>
          <w:szCs w:val="22"/>
        </w:rPr>
        <w:t>C</w:t>
      </w:r>
      <w:r w:rsidRPr="006406D4">
        <w:rPr>
          <w:rFonts w:asciiTheme="minorHAnsi" w:hAnsiTheme="minorHAnsi"/>
          <w:sz w:val="22"/>
          <w:szCs w:val="22"/>
          <w:vertAlign w:val="subscript"/>
        </w:rPr>
        <w:t>17</w:t>
      </w:r>
      <w:r w:rsidRPr="006406D4">
        <w:rPr>
          <w:rFonts w:asciiTheme="minorHAnsi" w:hAnsiTheme="minorHAnsi"/>
          <w:sz w:val="22"/>
          <w:szCs w:val="22"/>
        </w:rPr>
        <w:t>H</w:t>
      </w:r>
      <w:r w:rsidRPr="006406D4">
        <w:rPr>
          <w:rFonts w:asciiTheme="minorHAnsi" w:hAnsiTheme="minorHAnsi"/>
          <w:sz w:val="22"/>
          <w:szCs w:val="22"/>
          <w:vertAlign w:val="subscript"/>
        </w:rPr>
        <w:t>18</w:t>
      </w:r>
      <w:r w:rsidRPr="006406D4">
        <w:rPr>
          <w:rFonts w:asciiTheme="minorHAnsi" w:hAnsiTheme="minorHAnsi"/>
          <w:sz w:val="22"/>
          <w:szCs w:val="22"/>
        </w:rPr>
        <w:t>N</w:t>
      </w:r>
      <w:r w:rsidRPr="006406D4">
        <w:rPr>
          <w:rFonts w:asciiTheme="minorHAnsi" w:hAnsiTheme="minorHAnsi"/>
          <w:sz w:val="22"/>
          <w:szCs w:val="22"/>
          <w:vertAlign w:val="subscript"/>
        </w:rPr>
        <w:t>3</w:t>
      </w:r>
      <w:r w:rsidRPr="006406D4">
        <w:rPr>
          <w:rFonts w:asciiTheme="minorHAnsi" w:hAnsiTheme="minorHAnsi"/>
          <w:sz w:val="22"/>
          <w:szCs w:val="22"/>
        </w:rPr>
        <w:t>NaO</w:t>
      </w:r>
      <w:r w:rsidRPr="006406D4">
        <w:rPr>
          <w:rFonts w:asciiTheme="minorHAnsi" w:hAnsiTheme="minorHAnsi"/>
          <w:sz w:val="22"/>
          <w:szCs w:val="22"/>
          <w:vertAlign w:val="subscript"/>
        </w:rPr>
        <w:t>3</w:t>
      </w:r>
      <w:r w:rsidRPr="006406D4">
        <w:rPr>
          <w:rFonts w:asciiTheme="minorHAnsi" w:hAnsiTheme="minorHAnsi"/>
          <w:sz w:val="22"/>
          <w:szCs w:val="22"/>
        </w:rPr>
        <w:t>S</w:t>
      </w:r>
    </w:p>
    <w:p w14:paraId="3B593692" w14:textId="77777777" w:rsidR="0060458E" w:rsidRPr="006406D4" w:rsidRDefault="0060458E" w:rsidP="0060458E">
      <w:pPr>
        <w:pStyle w:val="Default"/>
        <w:rPr>
          <w:rFonts w:asciiTheme="minorHAnsi" w:hAnsiTheme="minorHAnsi"/>
          <w:sz w:val="22"/>
          <w:szCs w:val="22"/>
        </w:rPr>
      </w:pPr>
      <w:r w:rsidRPr="006406D4">
        <w:rPr>
          <w:rFonts w:asciiTheme="minorHAnsi" w:hAnsiTheme="minorHAnsi"/>
          <w:sz w:val="22"/>
          <w:szCs w:val="22"/>
          <w:u w:val="single"/>
        </w:rPr>
        <w:t>Peso molecolare</w:t>
      </w:r>
      <w:r w:rsidRPr="006406D4">
        <w:rPr>
          <w:rFonts w:asciiTheme="minorHAnsi" w:hAnsiTheme="minorHAnsi"/>
          <w:sz w:val="22"/>
          <w:szCs w:val="22"/>
        </w:rPr>
        <w:t>:</w:t>
      </w:r>
      <w:r w:rsidRPr="006406D4">
        <w:rPr>
          <w:rFonts w:asciiTheme="minorHAnsi" w:hAnsiTheme="minorHAnsi" w:cs="Arial"/>
          <w:color w:val="252525"/>
          <w:sz w:val="22"/>
          <w:szCs w:val="22"/>
          <w:shd w:val="clear" w:color="auto" w:fill="F9F9F9"/>
        </w:rPr>
        <w:t xml:space="preserve"> </w:t>
      </w:r>
      <w:proofErr w:type="gramStart"/>
      <w:r w:rsidRPr="006406D4">
        <w:rPr>
          <w:rFonts w:asciiTheme="minorHAnsi" w:hAnsiTheme="minorHAnsi"/>
          <w:sz w:val="22"/>
          <w:szCs w:val="22"/>
        </w:rPr>
        <w:t xml:space="preserve">367.40 </w:t>
      </w:r>
      <w:r w:rsidRPr="006406D4">
        <w:rPr>
          <w:rFonts w:asciiTheme="minorHAnsi" w:hAnsiTheme="minorHAnsi" w:cs="Calibri"/>
          <w:sz w:val="22"/>
          <w:szCs w:val="22"/>
        </w:rPr>
        <w:t xml:space="preserve"> </w:t>
      </w:r>
      <w:r w:rsidRPr="006406D4">
        <w:rPr>
          <w:rStyle w:val="s1"/>
          <w:rFonts w:asciiTheme="minorHAnsi" w:hAnsiTheme="minorHAnsi"/>
          <w:sz w:val="22"/>
          <w:szCs w:val="22"/>
        </w:rPr>
        <w:t>g</w:t>
      </w:r>
      <w:proofErr w:type="gramEnd"/>
      <w:r w:rsidRPr="006406D4">
        <w:rPr>
          <w:rStyle w:val="s1"/>
          <w:rFonts w:asciiTheme="minorHAnsi" w:hAnsiTheme="minorHAnsi"/>
          <w:sz w:val="22"/>
          <w:szCs w:val="22"/>
        </w:rPr>
        <w:t>/</w:t>
      </w:r>
      <w:proofErr w:type="spellStart"/>
      <w:r w:rsidRPr="006406D4">
        <w:rPr>
          <w:rStyle w:val="s1"/>
          <w:rFonts w:asciiTheme="minorHAnsi" w:hAnsiTheme="minorHAnsi"/>
          <w:sz w:val="22"/>
          <w:szCs w:val="22"/>
        </w:rPr>
        <w:t>mol</w:t>
      </w:r>
      <w:proofErr w:type="spellEnd"/>
    </w:p>
    <w:p w14:paraId="688F658A" w14:textId="77777777" w:rsidR="0060458E" w:rsidRPr="006406D4" w:rsidRDefault="0060458E" w:rsidP="0060458E">
      <w:pPr>
        <w:pStyle w:val="Default"/>
        <w:rPr>
          <w:rFonts w:asciiTheme="minorHAnsi" w:hAnsiTheme="minorHAnsi"/>
          <w:sz w:val="22"/>
          <w:szCs w:val="22"/>
        </w:rPr>
      </w:pPr>
      <w:proofErr w:type="gramStart"/>
      <w:r w:rsidRPr="006406D4">
        <w:rPr>
          <w:rFonts w:asciiTheme="minorHAnsi" w:hAnsiTheme="minorHAnsi"/>
          <w:sz w:val="22"/>
          <w:szCs w:val="22"/>
          <w:u w:val="single"/>
        </w:rPr>
        <w:t>CAS</w:t>
      </w:r>
      <w:r w:rsidRPr="006406D4">
        <w:rPr>
          <w:rFonts w:asciiTheme="minorHAnsi" w:hAnsiTheme="minorHAnsi"/>
          <w:sz w:val="22"/>
          <w:szCs w:val="22"/>
        </w:rPr>
        <w:t>:  [</w:t>
      </w:r>
      <w:proofErr w:type="gramEnd"/>
      <w:r w:rsidRPr="006406D4">
        <w:rPr>
          <w:rFonts w:asciiTheme="minorHAnsi" w:hAnsiTheme="minorHAnsi"/>
          <w:sz w:val="22"/>
          <w:szCs w:val="22"/>
        </w:rPr>
        <w:t>161796-78-7]</w:t>
      </w:r>
    </w:p>
    <w:p w14:paraId="60374B8D" w14:textId="77777777" w:rsidR="0060458E" w:rsidRPr="006406D4" w:rsidRDefault="0060458E" w:rsidP="0060458E">
      <w:pPr>
        <w:spacing w:after="0" w:line="240" w:lineRule="auto"/>
        <w:jc w:val="both"/>
      </w:pPr>
      <w:r w:rsidRPr="006406D4">
        <w:rPr>
          <w:u w:val="single"/>
        </w:rPr>
        <w:t>Aspetto</w:t>
      </w:r>
      <w:r w:rsidRPr="006406D4">
        <w:t>: Solido bianco o leggermente colorato.</w:t>
      </w:r>
    </w:p>
    <w:p w14:paraId="445A5A0E" w14:textId="77777777" w:rsidR="0060458E" w:rsidRPr="006406D4" w:rsidRDefault="0060458E" w:rsidP="0060458E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6406D4">
        <w:rPr>
          <w:u w:val="single"/>
        </w:rPr>
        <w:t>Solubilità</w:t>
      </w:r>
      <w:r w:rsidRPr="006406D4">
        <w:t>: molto solubile in acqua e solubile in etanolo</w:t>
      </w:r>
    </w:p>
    <w:p w14:paraId="593DB243" w14:textId="77777777"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14:paraId="2EEC92C0" w14:textId="77777777"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attivo </w:t>
      </w:r>
      <w:r w:rsidR="00CC52A3">
        <w:t>è</w:t>
      </w:r>
      <w:r w:rsidR="00064E36">
        <w:t xml:space="preserve"> </w:t>
      </w:r>
      <w:r w:rsidRPr="00400F57">
        <w:t xml:space="preserve">presente in Farmacopea Europea; il produttore ha presentato un ASMF. </w:t>
      </w:r>
    </w:p>
    <w:p w14:paraId="44C6A47E" w14:textId="77777777" w:rsidR="00064E36" w:rsidRPr="0030305A" w:rsidRDefault="00064E36" w:rsidP="00064E36">
      <w:pPr>
        <w:spacing w:after="0" w:line="240" w:lineRule="auto"/>
        <w:jc w:val="both"/>
      </w:pPr>
      <w:r w:rsidRPr="0030305A">
        <w:t>La sintesi del principio attivo è stata adeguatamente descritta a partire da idonei materiali di partenza; sono utilizzati appropriati controlli di processo e intermedi di sintesi.</w:t>
      </w:r>
    </w:p>
    <w:p w14:paraId="13A16053" w14:textId="77777777" w:rsidR="00064E36" w:rsidRPr="0030305A" w:rsidRDefault="00064E36" w:rsidP="00064E36">
      <w:pPr>
        <w:spacing w:after="0" w:line="240" w:lineRule="auto"/>
        <w:jc w:val="both"/>
      </w:pPr>
      <w:r w:rsidRPr="0030305A">
        <w:t>I materiali e i reagenti utilizzati nella sintesi sono di qualità adeguata.</w:t>
      </w:r>
    </w:p>
    <w:p w14:paraId="30F90EDE" w14:textId="77777777" w:rsidR="00064E36" w:rsidRPr="0030305A" w:rsidRDefault="00064E36" w:rsidP="00064E36">
      <w:pPr>
        <w:spacing w:after="0" w:line="240" w:lineRule="auto"/>
        <w:jc w:val="both"/>
      </w:pPr>
      <w:r w:rsidRPr="0030305A"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14:paraId="5DBC35C2" w14:textId="77777777" w:rsidR="00064E36" w:rsidRPr="0030305A" w:rsidRDefault="00064E36" w:rsidP="00064E36">
      <w:pPr>
        <w:spacing w:after="0" w:line="240" w:lineRule="auto"/>
        <w:jc w:val="both"/>
      </w:pPr>
      <w:r w:rsidRPr="0030305A">
        <w:t>Le specifiche del principio attivo sono appropriate e controllate con metodi analitici adeguatamente convalidati. Sono stati forniti certificati analitici che confermano la qualità del principio attivo.</w:t>
      </w:r>
    </w:p>
    <w:p w14:paraId="18674EE3" w14:textId="239E0165" w:rsidR="00064E36" w:rsidRPr="0030305A" w:rsidRDefault="00064E36" w:rsidP="00064E36">
      <w:pPr>
        <w:spacing w:after="0" w:line="240" w:lineRule="auto"/>
        <w:jc w:val="both"/>
      </w:pPr>
      <w:r w:rsidRPr="0030305A">
        <w:t xml:space="preserve">Il principio attivo è confezionato in un adeguato contenitore, per il quale sono stati forniti specifiche e certificati analitici. Il confezionamento primario è costituito da sacchi di PE racchiusi </w:t>
      </w:r>
      <w:r w:rsidR="00731F46">
        <w:t xml:space="preserve">in </w:t>
      </w:r>
      <w:r w:rsidRPr="0030305A">
        <w:t>sacchi di polistirene/Al/PE conten</w:t>
      </w:r>
      <w:r w:rsidR="00731F46">
        <w:t>en</w:t>
      </w:r>
      <w:r w:rsidRPr="0030305A">
        <w:t>ti buste di gel di silice</w:t>
      </w:r>
      <w:r w:rsidR="00731F46">
        <w:t>,</w:t>
      </w:r>
      <w:r w:rsidRPr="0030305A">
        <w:t xml:space="preserve"> il tutto confezionato in fusti di metallo.</w:t>
      </w:r>
    </w:p>
    <w:p w14:paraId="4E4A1429" w14:textId="4B49422B" w:rsidR="00064E36" w:rsidRPr="006406D4" w:rsidRDefault="00064E36" w:rsidP="00064E36">
      <w:pPr>
        <w:spacing w:after="0" w:line="240" w:lineRule="auto"/>
        <w:jc w:val="both"/>
      </w:pPr>
      <w:r w:rsidRPr="0030305A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30305A">
        <w:t>retest</w:t>
      </w:r>
      <w:proofErr w:type="spellEnd"/>
      <w:r w:rsidRPr="0030305A">
        <w:t xml:space="preserve"> di </w:t>
      </w:r>
      <w:r w:rsidR="00F20FAA">
        <w:t>18</w:t>
      </w:r>
      <w:r w:rsidR="00F20FAA" w:rsidRPr="0030305A">
        <w:t xml:space="preserve"> </w:t>
      </w:r>
      <w:r w:rsidRPr="0030305A">
        <w:t>mesi.</w:t>
      </w:r>
    </w:p>
    <w:p w14:paraId="0AF43D7E" w14:textId="77777777" w:rsidR="000B7AC8" w:rsidRPr="00EF6711" w:rsidRDefault="000B7AC8" w:rsidP="00EF6711">
      <w:pPr>
        <w:spacing w:after="0" w:line="240" w:lineRule="auto"/>
        <w:jc w:val="both"/>
      </w:pPr>
    </w:p>
    <w:p w14:paraId="56E7C10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13E4CA24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4B2B7B14" w14:textId="77777777" w:rsidR="0030305A" w:rsidRPr="006406D4" w:rsidRDefault="001D7827" w:rsidP="0030305A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ESOMEFLUX</w:t>
      </w:r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="0030305A" w:rsidRPr="006406D4">
        <w:t>capsule rigide gastroresistenti contenenti 20 mg</w:t>
      </w:r>
      <w:r w:rsidR="0030305A">
        <w:t xml:space="preserve"> </w:t>
      </w:r>
      <w:r w:rsidR="0030305A" w:rsidRPr="006406D4">
        <w:t xml:space="preserve">di </w:t>
      </w:r>
      <w:proofErr w:type="spellStart"/>
      <w:r w:rsidR="0030305A">
        <w:t>esopmeprazolo</w:t>
      </w:r>
      <w:proofErr w:type="spellEnd"/>
      <w:r w:rsidR="0030305A" w:rsidRPr="006406D4">
        <w:t>.</w:t>
      </w:r>
    </w:p>
    <w:p w14:paraId="5E1D8A5A" w14:textId="77777777" w:rsidR="009768EA" w:rsidRPr="009768EA" w:rsidRDefault="0030305A" w:rsidP="009768EA">
      <w:pPr>
        <w:spacing w:after="0" w:line="240" w:lineRule="auto"/>
        <w:jc w:val="both"/>
        <w:rPr>
          <w:rFonts w:eastAsia="Calibri" w:cs="Arial"/>
        </w:rPr>
      </w:pPr>
      <w:r w:rsidRPr="006406D4">
        <w:t>Gli eccipienti sono:</w:t>
      </w:r>
      <w:r w:rsidR="009768EA" w:rsidRPr="006406D4">
        <w:t xml:space="preserve"> sfere</w:t>
      </w:r>
      <w:r w:rsidR="009768EA" w:rsidRPr="006406D4">
        <w:rPr>
          <w:rFonts w:eastAsia="Calibri" w:cs="Arial"/>
        </w:rPr>
        <w:t xml:space="preserve"> di zucchero (contenenti saccarosio e amido di mais), </w:t>
      </w:r>
      <w:r w:rsidR="009768EA">
        <w:rPr>
          <w:rFonts w:eastAsia="Calibri" w:cs="Arial"/>
        </w:rPr>
        <w:t>m</w:t>
      </w:r>
      <w:r w:rsidR="009768EA" w:rsidRPr="006406D4">
        <w:rPr>
          <w:rFonts w:eastAsia="Calibri" w:cs="Arial"/>
        </w:rPr>
        <w:t xml:space="preserve">etilcellulosa, </w:t>
      </w:r>
      <w:r w:rsidR="009768EA">
        <w:rPr>
          <w:rFonts w:eastAsia="Calibri" w:cs="Arial"/>
        </w:rPr>
        <w:t>t</w:t>
      </w:r>
      <w:r w:rsidR="009768EA" w:rsidRPr="006406D4">
        <w:rPr>
          <w:rFonts w:eastAsia="Calibri" w:cs="Arial"/>
        </w:rPr>
        <w:t>alco,</w:t>
      </w:r>
      <w:r w:rsidR="009768EA">
        <w:rPr>
          <w:rFonts w:eastAsia="Calibri" w:cs="Arial"/>
        </w:rPr>
        <w:t xml:space="preserve"> t</w:t>
      </w:r>
      <w:r w:rsidR="009768EA" w:rsidRPr="006406D4">
        <w:rPr>
          <w:rFonts w:eastAsia="Calibri" w:cs="Arial"/>
        </w:rPr>
        <w:t>itanio diossido (E171),</w:t>
      </w:r>
      <w:r w:rsidR="009768EA">
        <w:rPr>
          <w:rFonts w:eastAsia="Calibri" w:cs="Arial"/>
        </w:rPr>
        <w:t xml:space="preserve"> g</w:t>
      </w:r>
      <w:r w:rsidR="009768EA" w:rsidRPr="006406D4">
        <w:rPr>
          <w:rFonts w:eastAsia="Calibri" w:cs="Arial"/>
        </w:rPr>
        <w:t xml:space="preserve">licerolo </w:t>
      </w:r>
      <w:proofErr w:type="spellStart"/>
      <w:r w:rsidR="009768EA" w:rsidRPr="006406D4">
        <w:rPr>
          <w:rFonts w:eastAsia="Calibri" w:cs="Arial"/>
        </w:rPr>
        <w:t>monostearato</w:t>
      </w:r>
      <w:proofErr w:type="spellEnd"/>
      <w:r w:rsidR="009768EA" w:rsidRPr="006406D4">
        <w:rPr>
          <w:rFonts w:eastAsia="Calibri" w:cs="Arial"/>
        </w:rPr>
        <w:t>,</w:t>
      </w:r>
      <w:r w:rsidR="009768EA">
        <w:rPr>
          <w:rFonts w:eastAsia="Calibri" w:cs="Arial"/>
        </w:rPr>
        <w:t xml:space="preserve"> </w:t>
      </w:r>
      <w:proofErr w:type="spellStart"/>
      <w:r w:rsidR="009768EA">
        <w:rPr>
          <w:rFonts w:eastAsia="Calibri" w:cs="Arial"/>
        </w:rPr>
        <w:t>p</w:t>
      </w:r>
      <w:r w:rsidR="009768EA" w:rsidRPr="006406D4">
        <w:rPr>
          <w:rFonts w:eastAsia="Calibri" w:cs="Arial"/>
        </w:rPr>
        <w:t>olisorbato</w:t>
      </w:r>
      <w:proofErr w:type="spellEnd"/>
      <w:r w:rsidR="009768EA" w:rsidRPr="006406D4">
        <w:rPr>
          <w:rFonts w:eastAsia="Calibri" w:cs="Arial"/>
        </w:rPr>
        <w:t xml:space="preserve"> 80,</w:t>
      </w:r>
      <w:r w:rsidR="009768EA">
        <w:rPr>
          <w:rFonts w:eastAsia="Calibri" w:cs="Arial"/>
        </w:rPr>
        <w:t xml:space="preserve"> s</w:t>
      </w:r>
      <w:r w:rsidR="009768EA" w:rsidRPr="006406D4">
        <w:rPr>
          <w:rFonts w:eastAsia="Calibri" w:cs="Arial"/>
        </w:rPr>
        <w:t xml:space="preserve">odio </w:t>
      </w:r>
      <w:proofErr w:type="spellStart"/>
      <w:r w:rsidR="009768EA" w:rsidRPr="006406D4">
        <w:rPr>
          <w:rFonts w:eastAsia="Calibri" w:cs="Arial"/>
        </w:rPr>
        <w:t>laurilsolfato</w:t>
      </w:r>
      <w:proofErr w:type="spellEnd"/>
      <w:r w:rsidR="009768EA" w:rsidRPr="006406D4">
        <w:rPr>
          <w:rFonts w:eastAsia="Calibri" w:cs="Arial"/>
        </w:rPr>
        <w:t>,</w:t>
      </w:r>
      <w:r w:rsidR="009768EA">
        <w:rPr>
          <w:rFonts w:eastAsia="Calibri" w:cs="Arial"/>
        </w:rPr>
        <w:t xml:space="preserve"> c</w:t>
      </w:r>
      <w:r w:rsidR="009768EA" w:rsidRPr="006406D4">
        <w:rPr>
          <w:rFonts w:eastAsia="Calibri" w:cs="Arial"/>
        </w:rPr>
        <w:t xml:space="preserve">opolimero acido metacrilico – </w:t>
      </w:r>
      <w:proofErr w:type="spellStart"/>
      <w:r w:rsidR="009768EA" w:rsidRPr="006406D4">
        <w:rPr>
          <w:rFonts w:eastAsia="Calibri" w:cs="Arial"/>
        </w:rPr>
        <w:t>etilacrilato</w:t>
      </w:r>
      <w:proofErr w:type="spellEnd"/>
      <w:r w:rsidR="009768EA" w:rsidRPr="006406D4">
        <w:rPr>
          <w:rFonts w:eastAsia="Calibri" w:cs="Arial"/>
        </w:rPr>
        <w:t xml:space="preserve">, </w:t>
      </w:r>
      <w:proofErr w:type="spellStart"/>
      <w:r w:rsidR="009768EA">
        <w:rPr>
          <w:rFonts w:eastAsia="Calibri" w:cs="Arial"/>
        </w:rPr>
        <w:t>t</w:t>
      </w:r>
      <w:r w:rsidR="009768EA" w:rsidRPr="006406D4">
        <w:rPr>
          <w:rFonts w:eastAsia="Calibri" w:cs="Arial"/>
        </w:rPr>
        <w:t>rietil</w:t>
      </w:r>
      <w:proofErr w:type="spellEnd"/>
      <w:r w:rsidR="009768EA" w:rsidRPr="006406D4">
        <w:rPr>
          <w:rFonts w:eastAsia="Calibri" w:cs="Arial"/>
        </w:rPr>
        <w:t xml:space="preserve"> citrato, </w:t>
      </w:r>
      <w:r w:rsidR="009768EA">
        <w:rPr>
          <w:rFonts w:eastAsia="Calibri" w:cs="Arial"/>
        </w:rPr>
        <w:t>c</w:t>
      </w:r>
      <w:r w:rsidR="009768EA" w:rsidRPr="006406D4">
        <w:rPr>
          <w:rFonts w:eastAsia="Calibri" w:cs="Arial"/>
        </w:rPr>
        <w:t>arragenina,</w:t>
      </w:r>
      <w:r w:rsidR="009768EA">
        <w:rPr>
          <w:rFonts w:eastAsia="Calibri" w:cs="Arial"/>
        </w:rPr>
        <w:t xml:space="preserve"> c</w:t>
      </w:r>
      <w:r w:rsidR="009768EA" w:rsidRPr="006406D4">
        <w:rPr>
          <w:rFonts w:eastAsia="Calibri" w:cs="Arial"/>
        </w:rPr>
        <w:t>loruro di potassio,</w:t>
      </w:r>
      <w:r w:rsidR="009768EA">
        <w:rPr>
          <w:rFonts w:eastAsia="Calibri" w:cs="Arial"/>
        </w:rPr>
        <w:t xml:space="preserve"> t</w:t>
      </w:r>
      <w:r w:rsidR="009768EA" w:rsidRPr="006406D4">
        <w:rPr>
          <w:rFonts w:eastAsia="Calibri" w:cs="Arial"/>
        </w:rPr>
        <w:t>itanio diossido (E171),</w:t>
      </w:r>
      <w:r w:rsidR="009768EA">
        <w:rPr>
          <w:rFonts w:eastAsia="Calibri" w:cs="Arial"/>
        </w:rPr>
        <w:t xml:space="preserve"> f</w:t>
      </w:r>
      <w:r w:rsidR="009768EA" w:rsidRPr="006406D4">
        <w:rPr>
          <w:rFonts w:eastAsia="Calibri" w:cs="Arial"/>
        </w:rPr>
        <w:t>erro ossido rosso (E172),</w:t>
      </w:r>
      <w:r w:rsidR="009768EA">
        <w:rPr>
          <w:rFonts w:eastAsia="Calibri" w:cs="Arial"/>
        </w:rPr>
        <w:t xml:space="preserve"> </w:t>
      </w:r>
      <w:proofErr w:type="spellStart"/>
      <w:r w:rsidR="009768EA">
        <w:rPr>
          <w:rFonts w:eastAsia="Calibri" w:cs="Arial"/>
        </w:rPr>
        <w:t>i</w:t>
      </w:r>
      <w:r w:rsidR="009768EA" w:rsidRPr="006406D4">
        <w:rPr>
          <w:rFonts w:eastAsia="Calibri" w:cs="Arial"/>
        </w:rPr>
        <w:t>promellosa</w:t>
      </w:r>
      <w:proofErr w:type="spellEnd"/>
      <w:r w:rsidR="009768EA" w:rsidRPr="006406D4">
        <w:rPr>
          <w:rFonts w:eastAsia="Calibri" w:cs="Arial"/>
        </w:rPr>
        <w:t>,</w:t>
      </w:r>
      <w:r w:rsidR="009768EA">
        <w:rPr>
          <w:rFonts w:eastAsia="Calibri" w:cs="Arial"/>
        </w:rPr>
        <w:t xml:space="preserve"> i</w:t>
      </w:r>
      <w:r w:rsidR="009768EA" w:rsidRPr="006406D4">
        <w:rPr>
          <w:rFonts w:eastAsia="Calibri" w:cs="Arial"/>
        </w:rPr>
        <w:t>nchiostro contenente lacca, idrossido di potassio e ferro ossido nero (E172).</w:t>
      </w:r>
    </w:p>
    <w:p w14:paraId="2E51819A" w14:textId="77777777" w:rsidR="0030305A" w:rsidRPr="006406D4" w:rsidRDefault="0030305A" w:rsidP="0030305A">
      <w:pPr>
        <w:spacing w:after="0" w:line="240" w:lineRule="auto"/>
        <w:ind w:right="13"/>
        <w:jc w:val="both"/>
      </w:pPr>
      <w:r w:rsidRPr="006406D4">
        <w:t>Tutti gli eccipienti sono conformi alla relativa monografia di Farmacopea Europea, ad eccezione dell’inchiostro per il quale il produttore ha proposto specifiche di controllo accettabili.</w:t>
      </w:r>
    </w:p>
    <w:p w14:paraId="07E5C1CC" w14:textId="77777777" w:rsidR="0030305A" w:rsidRPr="007479B4" w:rsidRDefault="0030305A" w:rsidP="0030305A">
      <w:pPr>
        <w:spacing w:after="0" w:line="240" w:lineRule="auto"/>
        <w:jc w:val="both"/>
      </w:pPr>
      <w:r w:rsidRPr="007479B4">
        <w:t>Nessun eccipiente è ottenuto da organismi geneticamente modificati; non sono presenti eccipienti mai utilizzati nell’uomo.</w:t>
      </w:r>
    </w:p>
    <w:p w14:paraId="14486237" w14:textId="77777777" w:rsidR="00513562" w:rsidRDefault="00513562" w:rsidP="00EF6711">
      <w:pPr>
        <w:spacing w:after="0" w:line="240" w:lineRule="auto"/>
        <w:jc w:val="both"/>
      </w:pPr>
    </w:p>
    <w:p w14:paraId="37EC86D0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07FCA133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01C0C785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dati comparativi relativi al profilo di impurezze rispetto al medicinale di riferimento</w:t>
      </w:r>
      <w:r w:rsidR="00DB5537">
        <w:rPr>
          <w:rFonts w:eastAsia="Calibri" w:cs="Calibri"/>
          <w:lang w:eastAsia="it-IT"/>
        </w:rPr>
        <w:t xml:space="preserve"> </w:t>
      </w:r>
      <w:proofErr w:type="spellStart"/>
      <w:r w:rsidR="00DB5537">
        <w:rPr>
          <w:rFonts w:eastAsia="Calibri" w:cs="Calibri"/>
          <w:lang w:eastAsia="it-IT"/>
        </w:rPr>
        <w:t>Nexium</w:t>
      </w:r>
      <w:proofErr w:type="spellEnd"/>
      <w:r w:rsidR="00DB5537">
        <w:rPr>
          <w:rFonts w:eastAsia="Calibri" w:cs="Calibri"/>
          <w:lang w:eastAsia="it-IT"/>
        </w:rPr>
        <w:t>.</w:t>
      </w:r>
      <w:r w:rsidRPr="00EF6711">
        <w:t xml:space="preserve"> I dati sono soddisfacenti.</w:t>
      </w:r>
    </w:p>
    <w:p w14:paraId="5BB2F050" w14:textId="77777777" w:rsidR="004E5A39" w:rsidRPr="00EF6711" w:rsidRDefault="004E5A39" w:rsidP="00EF6711">
      <w:pPr>
        <w:spacing w:after="0" w:line="240" w:lineRule="auto"/>
        <w:jc w:val="both"/>
      </w:pPr>
    </w:p>
    <w:p w14:paraId="7ABA135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4F84DF20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3770A578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7788B413" w14:textId="77777777" w:rsidR="004E5A39" w:rsidRPr="00EF6711" w:rsidRDefault="004E5A39" w:rsidP="00EF6711">
      <w:pPr>
        <w:spacing w:after="0" w:line="240" w:lineRule="auto"/>
        <w:jc w:val="both"/>
      </w:pPr>
    </w:p>
    <w:p w14:paraId="527121AE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5925F5E3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</w:t>
      </w:r>
      <w:r w:rsidRPr="00EF6711">
        <w:lastRenderedPageBreak/>
        <w:t>prodotto finito: questi dati dimostrano che i lotti prodotti sono in accordo alle specifiche proposte. Sono stati forniti, infine, certificati analitici per gli standard di riferimento utilizzati.</w:t>
      </w:r>
    </w:p>
    <w:p w14:paraId="2056F1F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428D44CE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409575E4" w14:textId="77777777" w:rsidR="00BA0ACD" w:rsidRPr="00EF6711" w:rsidRDefault="001D7827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ESOMEFLUX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808A3">
        <w:t xml:space="preserve">blister </w:t>
      </w:r>
      <w:r w:rsidR="00746934">
        <w:t>Al/Al e</w:t>
      </w:r>
      <w:r w:rsidR="00BA7B6C">
        <w:t>d</w:t>
      </w:r>
      <w:r w:rsidR="00B179F9">
        <w:t xml:space="preserve"> in</w:t>
      </w:r>
      <w:r w:rsidR="00746934">
        <w:t xml:space="preserve"> flacon</w:t>
      </w:r>
      <w:r w:rsidR="00BA7B6C">
        <w:t>e</w:t>
      </w:r>
      <w:r w:rsidR="00746934">
        <w:t xml:space="preserve"> HDPE.</w:t>
      </w:r>
    </w:p>
    <w:p w14:paraId="40D88A9D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4E4A7A42" w14:textId="77777777" w:rsidR="00BA0ACD" w:rsidRPr="00EF6711" w:rsidRDefault="00BA0ACD" w:rsidP="00EF6711">
      <w:pPr>
        <w:spacing w:after="0" w:line="240" w:lineRule="auto"/>
        <w:jc w:val="both"/>
      </w:pPr>
    </w:p>
    <w:p w14:paraId="1A410BE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4C731D52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BA7B6C" w:rsidRPr="00737C95">
        <w:t>2</w:t>
      </w:r>
      <w:r w:rsidR="00265B61" w:rsidRPr="00737C95">
        <w:t xml:space="preserve"> anni</w:t>
      </w:r>
      <w:r w:rsidR="00BA7B6C" w:rsidRPr="00737C95">
        <w:t xml:space="preserve"> se confezionato in blister e di 18 mesi se confezionato in flacone HDPE</w:t>
      </w:r>
      <w:r w:rsidR="000808A3" w:rsidRPr="00737C95">
        <w:rPr>
          <w:sz w:val="20"/>
        </w:rPr>
        <w:t xml:space="preserve"> </w:t>
      </w:r>
      <w:r w:rsidR="000808A3" w:rsidRPr="00737C95">
        <w:t>con</w:t>
      </w:r>
      <w:r w:rsidR="000808A3">
        <w:t xml:space="preserve"> conservazione a temperatura non superiore a </w:t>
      </w:r>
      <w:r w:rsidR="00BA7B6C">
        <w:t>30</w:t>
      </w:r>
      <w:r w:rsidR="00BA7B6C" w:rsidRPr="0032205D">
        <w:t>°C</w:t>
      </w:r>
      <w:r w:rsidR="000808A3">
        <w:t xml:space="preserve">, al riparo al riparo </w:t>
      </w:r>
      <w:r w:rsidR="00353ABE" w:rsidRPr="006C04F0">
        <w:rPr>
          <w:rFonts w:eastAsia="SimSun"/>
          <w:lang w:eastAsia="zh-CN"/>
        </w:rPr>
        <w:t>dall’umidità.</w:t>
      </w:r>
    </w:p>
    <w:p w14:paraId="7738C2A7" w14:textId="77777777" w:rsidR="004E5A39" w:rsidRPr="00EF6711" w:rsidRDefault="004E5A39" w:rsidP="00EF6711">
      <w:pPr>
        <w:spacing w:after="0" w:line="240" w:lineRule="auto"/>
        <w:jc w:val="both"/>
      </w:pPr>
    </w:p>
    <w:p w14:paraId="5790882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6F6955AF" w14:textId="77777777" w:rsidR="001D795E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</w:t>
      </w:r>
    </w:p>
    <w:p w14:paraId="5EC39023" w14:textId="35CC085B" w:rsidR="004E5A39" w:rsidRPr="00EF6711" w:rsidRDefault="004E5A39" w:rsidP="00EF6711">
      <w:pPr>
        <w:spacing w:after="0" w:line="240" w:lineRule="auto"/>
        <w:jc w:val="both"/>
      </w:pPr>
      <w:r w:rsidRPr="00EF6711">
        <w:t xml:space="preserve">Non ci sono obiezioni per l’approvazione di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620C63">
        <w:rPr>
          <w:rFonts w:ascii="Calibri" w:hAnsi="Calibri" w:cs="Arial"/>
        </w:rPr>
        <w:t xml:space="preserve"> </w:t>
      </w:r>
      <w:r w:rsidRPr="00EF6711">
        <w:t>dal punto di vista chimico-farmaceutico.</w:t>
      </w:r>
    </w:p>
    <w:p w14:paraId="0F7D7E5C" w14:textId="77777777" w:rsidR="004E5A39" w:rsidRPr="00EF6711" w:rsidRDefault="004E5A39" w:rsidP="00EF6711">
      <w:pPr>
        <w:spacing w:after="0" w:line="240" w:lineRule="auto"/>
        <w:jc w:val="both"/>
      </w:pPr>
    </w:p>
    <w:p w14:paraId="5C655B9F" w14:textId="77777777" w:rsidR="004E5A39" w:rsidRPr="00EF6711" w:rsidRDefault="004E5A39" w:rsidP="00EF6711">
      <w:pPr>
        <w:spacing w:after="0" w:line="240" w:lineRule="auto"/>
        <w:jc w:val="both"/>
      </w:pPr>
    </w:p>
    <w:p w14:paraId="3778D88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32186161" w14:textId="2689C4B3"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>: questo approccio è accettabile poiché il medicinale di riferimento</w:t>
      </w:r>
      <w:r w:rsidR="00737C95">
        <w:t xml:space="preserve"> </w:t>
      </w:r>
      <w:proofErr w:type="spellStart"/>
      <w:r w:rsidR="00737C95">
        <w:t>Nexium</w:t>
      </w:r>
      <w:proofErr w:type="spellEnd"/>
      <w:r w:rsidR="00C42AAC" w:rsidRPr="00EF6711">
        <w:t xml:space="preserve"> </w:t>
      </w:r>
      <w:r w:rsidRPr="00EF6711">
        <w:t>è autorizzato in Italia da oltre 10 anni</w:t>
      </w:r>
      <w:r w:rsidR="000808A3">
        <w:t>.</w:t>
      </w:r>
    </w:p>
    <w:p w14:paraId="3800163E" w14:textId="77777777"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14:paraId="76620B22" w14:textId="77777777" w:rsidR="004E5A39" w:rsidRPr="00EF6711" w:rsidRDefault="004E5A39" w:rsidP="00EF6711">
      <w:pPr>
        <w:spacing w:after="0" w:line="240" w:lineRule="auto"/>
        <w:jc w:val="both"/>
      </w:pPr>
    </w:p>
    <w:p w14:paraId="2A52038D" w14:textId="77777777" w:rsidR="004E5A39" w:rsidRPr="00EF6711" w:rsidRDefault="004E5A39" w:rsidP="00EF6711">
      <w:pPr>
        <w:spacing w:after="0" w:line="240" w:lineRule="auto"/>
        <w:jc w:val="both"/>
      </w:pPr>
    </w:p>
    <w:p w14:paraId="275EF6CA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6DA0FB3C" w14:textId="2D3A2F46" w:rsidR="004E5A39" w:rsidRPr="00EF6711" w:rsidRDefault="001D7827" w:rsidP="00862A3B">
      <w:pPr>
        <w:suppressAutoHyphens/>
      </w:pPr>
      <w:r>
        <w:rPr>
          <w:rFonts w:eastAsia="Calibri" w:cs="Calibri"/>
          <w:color w:val="000000"/>
          <w:lang w:eastAsia="it-IT"/>
        </w:rPr>
        <w:t>ESOMEFLUX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265B61">
        <w:t>è</w:t>
      </w:r>
      <w:r w:rsidR="00862A3B">
        <w:t xml:space="preserve"> indicato negli adulti per il trattamento a breve termine dei sintomi da reflusso (es. pirosi e rigurgito acido).</w:t>
      </w:r>
    </w:p>
    <w:p w14:paraId="53D30C1B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62844EFC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08D6F7F6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9F346C0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14:paraId="44EDF7EF" w14:textId="74752B1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bookmarkStart w:id="2" w:name="_Hlk67481587"/>
      <w:proofErr w:type="spellStart"/>
      <w:r w:rsidR="00862A3B">
        <w:t>esomeprazolo</w:t>
      </w:r>
      <w:bookmarkEnd w:id="2"/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14:paraId="784D70E6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7BFECF3" w14:textId="77777777"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14:paraId="58F20656" w14:textId="3C0C4602"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 xml:space="preserve">La farmacologia clinica di </w:t>
      </w:r>
      <w:proofErr w:type="spellStart"/>
      <w:r w:rsidR="00862A3B">
        <w:t>esomeprazolo</w:t>
      </w:r>
      <w:proofErr w:type="spellEnd"/>
      <w:r w:rsidR="00862A3B" w:rsidRPr="006727BD">
        <w:rPr>
          <w:rFonts w:eastAsia="Calibri" w:cs="Calibri"/>
          <w:lang w:eastAsia="it-IT"/>
        </w:rPr>
        <w:t xml:space="preserve"> </w:t>
      </w:r>
      <w:r w:rsidRPr="006727BD">
        <w:rPr>
          <w:rFonts w:eastAsia="Calibri" w:cs="Calibri"/>
          <w:lang w:eastAsia="it-IT"/>
        </w:rPr>
        <w:t>è ben conosciuta.</w:t>
      </w:r>
      <w:r w:rsidRPr="006727BD">
        <w:t xml:space="preserve">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0808A3" w:rsidRPr="006727BD">
        <w:rPr>
          <w:rFonts w:eastAsia="Calibri" w:cs="Calibri"/>
          <w:color w:val="000000"/>
          <w:lang w:eastAsia="it-IT"/>
        </w:rPr>
        <w:t xml:space="preserve"> </w:t>
      </w:r>
      <w:r w:rsidRPr="006727BD">
        <w:t xml:space="preserve">contiene </w:t>
      </w:r>
      <w:r w:rsidR="00BA0ACD" w:rsidRPr="006727BD">
        <w:t>un</w:t>
      </w:r>
      <w:r w:rsidRPr="006727BD">
        <w:t xml:space="preserve"> principi</w:t>
      </w:r>
      <w:r w:rsidR="00BA0ACD" w:rsidRPr="006727BD">
        <w:t>o</w:t>
      </w:r>
      <w:r w:rsidRPr="006727BD">
        <w:t xml:space="preserve"> attiv</w:t>
      </w:r>
      <w:r w:rsidR="00BA0ACD" w:rsidRPr="006727BD">
        <w:t>o</w:t>
      </w:r>
      <w:r w:rsidRPr="006727BD">
        <w:t xml:space="preserve"> not</w:t>
      </w:r>
      <w:r w:rsidR="00BA0ACD" w:rsidRPr="006727BD">
        <w:t>o</w:t>
      </w:r>
      <w:r w:rsidRPr="006727BD">
        <w:t xml:space="preserve"> present</w:t>
      </w:r>
      <w:r w:rsidR="00BA0ACD" w:rsidRPr="006727BD">
        <w:t>e</w:t>
      </w:r>
      <w:r w:rsidRPr="006727BD">
        <w:t xml:space="preserve"> nel medicinale </w:t>
      </w:r>
      <w:r w:rsidR="00BA0ACD" w:rsidRPr="006727BD">
        <w:t xml:space="preserve">di riferimento </w:t>
      </w:r>
      <w:proofErr w:type="spellStart"/>
      <w:r w:rsidR="00862A3B">
        <w:t>Nexium</w:t>
      </w:r>
      <w:proofErr w:type="spellEnd"/>
      <w:r w:rsidR="00967807">
        <w:t xml:space="preserve"> </w:t>
      </w:r>
      <w:r w:rsidRPr="006727BD">
        <w:t>autorizzato in Italia da più di 10 anni.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6727BD" w:rsidRPr="006727BD">
        <w:rPr>
          <w:rFonts w:eastAsia="Calibri" w:cs="Calibri"/>
          <w:color w:val="000000"/>
          <w:lang w:eastAsia="it-IT"/>
        </w:rPr>
        <w:t xml:space="preserve"> </w:t>
      </w:r>
      <w:r w:rsidR="00BE7CDB" w:rsidRPr="006727BD">
        <w:t xml:space="preserve">contiene un principio attivo noto e presente nel medicinale </w:t>
      </w:r>
      <w:r w:rsidR="006727BD">
        <w:t>di riferimento</w:t>
      </w:r>
      <w:r w:rsidR="00862A3B" w:rsidRPr="00862A3B">
        <w:t xml:space="preserve"> </w:t>
      </w:r>
      <w:proofErr w:type="spellStart"/>
      <w:r w:rsidR="00862A3B">
        <w:t>Nexium</w:t>
      </w:r>
      <w:proofErr w:type="spellEnd"/>
      <w:r w:rsidR="00862A3B" w:rsidRPr="006727BD">
        <w:t xml:space="preserve"> </w:t>
      </w:r>
      <w:r w:rsidR="00BE7CDB" w:rsidRPr="006727BD">
        <w:t>autorizzato in Italia da più di 10 anni.</w:t>
      </w:r>
    </w:p>
    <w:p w14:paraId="57E9E5D6" w14:textId="77777777"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14:paraId="43231F5B" w14:textId="551C73B5" w:rsidR="006727BD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 xml:space="preserve">Studio di </w:t>
      </w:r>
      <w:proofErr w:type="spellStart"/>
      <w:r w:rsidRPr="006727BD">
        <w:rPr>
          <w:b/>
        </w:rPr>
        <w:t>bioequivalenza</w:t>
      </w:r>
      <w:proofErr w:type="spellEnd"/>
    </w:p>
    <w:p w14:paraId="4E443FC5" w14:textId="50F17A47" w:rsidR="001B2477" w:rsidRPr="001B2477" w:rsidRDefault="001B2477" w:rsidP="001B2477">
      <w:pPr>
        <w:spacing w:after="0" w:line="240" w:lineRule="auto"/>
        <w:jc w:val="both"/>
      </w:pPr>
      <w:r w:rsidRPr="001B2477">
        <w:t xml:space="preserve">La richiesta di AIC è supportata da </w:t>
      </w:r>
      <w:r w:rsidR="00603876">
        <w:t>due</w:t>
      </w:r>
      <w:r w:rsidRPr="001B2477">
        <w:t xml:space="preserve"> studi di </w:t>
      </w:r>
      <w:proofErr w:type="spellStart"/>
      <w:r w:rsidRPr="001B2477">
        <w:t>bioequivalenza</w:t>
      </w:r>
      <w:proofErr w:type="spellEnd"/>
      <w:r w:rsidRPr="001B2477">
        <w:t xml:space="preserve"> che hanno confrontato i profili farmacocinetici di </w:t>
      </w:r>
      <w:r w:rsidR="00603876">
        <w:t>ESOMEFLUX</w:t>
      </w:r>
      <w:r w:rsidRPr="001B2477">
        <w:t xml:space="preserve"> e quelli del medicinale di riferimento </w:t>
      </w:r>
      <w:proofErr w:type="spellStart"/>
      <w:r w:rsidRPr="001B2477">
        <w:t>Nexium</w:t>
      </w:r>
      <w:proofErr w:type="spellEnd"/>
      <w:r w:rsidR="00DD523E">
        <w:t xml:space="preserve"> MUPS</w:t>
      </w:r>
      <w:r w:rsidRPr="001B2477">
        <w:t>, sia in condizioni di digiuno che a stomaco pieno.</w:t>
      </w:r>
    </w:p>
    <w:p w14:paraId="2B4F445B" w14:textId="5426FA41" w:rsidR="001B2477" w:rsidRPr="001B2477" w:rsidRDefault="001B2477" w:rsidP="001B2477">
      <w:pPr>
        <w:spacing w:after="0" w:line="240" w:lineRule="auto"/>
        <w:contextualSpacing/>
        <w:jc w:val="both"/>
      </w:pPr>
      <w:r w:rsidRPr="001B2477">
        <w:t>Gli studi erano caratterizzati da un appropriato disegno e sono stati condotti in accordo ai principi GCP.</w:t>
      </w:r>
    </w:p>
    <w:p w14:paraId="1AFE1E18" w14:textId="77777777" w:rsidR="001B2477" w:rsidRPr="001B2477" w:rsidRDefault="001B2477" w:rsidP="001B2477">
      <w:pPr>
        <w:spacing w:after="0" w:line="240" w:lineRule="auto"/>
        <w:contextualSpacing/>
        <w:jc w:val="both"/>
      </w:pPr>
      <w:r w:rsidRPr="001B2477">
        <w:t>Sono stati forniti certificati analitici per medicinale test e medicinale di riferimento.</w:t>
      </w:r>
    </w:p>
    <w:p w14:paraId="21D539B1" w14:textId="307D43A6" w:rsidR="001B2477" w:rsidRPr="001B2477" w:rsidRDefault="001B2477" w:rsidP="001B2477">
      <w:pPr>
        <w:spacing w:after="0" w:line="240" w:lineRule="auto"/>
        <w:jc w:val="both"/>
      </w:pPr>
      <w:r w:rsidRPr="001B2477">
        <w:rPr>
          <w:rFonts w:ascii="Calibri" w:hAnsi="Calibri"/>
        </w:rPr>
        <w:lastRenderedPageBreak/>
        <w:t xml:space="preserve">L’utilizzo del dosaggio </w:t>
      </w:r>
      <w:r w:rsidRPr="001B2477">
        <w:t>40 mg</w:t>
      </w:r>
      <w:r w:rsidR="008B6E2D">
        <w:t xml:space="preserve"> </w:t>
      </w:r>
      <w:r w:rsidRPr="001B2477">
        <w:t xml:space="preserve">per gli studi di </w:t>
      </w:r>
      <w:proofErr w:type="spellStart"/>
      <w:r w:rsidRPr="001B2477">
        <w:t>bioequivalenza</w:t>
      </w:r>
      <w:proofErr w:type="spellEnd"/>
      <w:r w:rsidRPr="001B2477">
        <w:t xml:space="preserve"> è stato opportunamente giustificato</w:t>
      </w:r>
      <w:r w:rsidR="008B6E2D">
        <w:t xml:space="preserve">. Infatti tale dosaggio pur non essendo previsto per </w:t>
      </w:r>
      <w:r w:rsidR="00603876">
        <w:t xml:space="preserve">ESOMEFLUX </w:t>
      </w:r>
      <w:r w:rsidR="008B6E2D">
        <w:t xml:space="preserve">è stato scelto per dimostrare la </w:t>
      </w:r>
      <w:proofErr w:type="spellStart"/>
      <w:r w:rsidR="008B6E2D">
        <w:t>bioequivalenza</w:t>
      </w:r>
      <w:proofErr w:type="spellEnd"/>
      <w:r w:rsidR="008B6E2D">
        <w:t xml:space="preserve"> con il medicinale di riferimento </w:t>
      </w:r>
      <w:proofErr w:type="spellStart"/>
      <w:r w:rsidR="008B6E2D">
        <w:t>Nexium</w:t>
      </w:r>
      <w:proofErr w:type="spellEnd"/>
      <w:r w:rsidR="00DD523E">
        <w:t xml:space="preserve"> MUPS</w:t>
      </w:r>
      <w:r w:rsidR="008B6E2D">
        <w:t>.</w:t>
      </w:r>
    </w:p>
    <w:p w14:paraId="0C12ECE8" w14:textId="77777777" w:rsidR="001B2477" w:rsidRPr="001B2477" w:rsidRDefault="001B2477" w:rsidP="001B2477">
      <w:pPr>
        <w:spacing w:after="0" w:line="240" w:lineRule="auto"/>
        <w:jc w:val="both"/>
        <w:rPr>
          <w:rFonts w:ascii="Calibri" w:hAnsi="Calibri" w:cs="Arial"/>
        </w:rPr>
      </w:pPr>
      <w:r w:rsidRPr="001B2477">
        <w:rPr>
          <w:rFonts w:ascii="Calibri" w:hAnsi="Calibri"/>
        </w:rPr>
        <w:t xml:space="preserve">Gli studi di </w:t>
      </w:r>
      <w:proofErr w:type="spellStart"/>
      <w:r w:rsidRPr="001B2477">
        <w:rPr>
          <w:rFonts w:ascii="Calibri" w:hAnsi="Calibri"/>
        </w:rPr>
        <w:t>bioequivalenza</w:t>
      </w:r>
      <w:proofErr w:type="spellEnd"/>
      <w:r w:rsidRPr="001B2477">
        <w:rPr>
          <w:rFonts w:ascii="Calibri" w:hAnsi="Calibri"/>
        </w:rPr>
        <w:t xml:space="preserve"> sono studi comparativi, randomizzati, a dose singola, in replicato, 4-periodi, crossover condotti in 48 volontari sani di sesso maschile con somministrazione a digiuno o a stomaco pieno. </w:t>
      </w:r>
      <w:r w:rsidRPr="001B2477">
        <w:rPr>
          <w:rFonts w:ascii="Calibri" w:hAnsi="Calibri" w:cs="Arial"/>
        </w:rPr>
        <w:t xml:space="preserve">Dopo una notte di digiuno, il medicinale è stato somministrato con acqua. </w:t>
      </w:r>
      <w:r w:rsidRPr="001B2477">
        <w:rPr>
          <w:rFonts w:ascii="Calibri" w:hAnsi="Calibri"/>
        </w:rPr>
        <w:t xml:space="preserve">Un soddisfacente periodo di wash-out di </w:t>
      </w:r>
      <w:r w:rsidRPr="001B2477">
        <w:rPr>
          <w:rFonts w:ascii="Calibri" w:hAnsi="Calibri" w:cs="Arial"/>
        </w:rPr>
        <w:t>7 giorni è stato previsto tra le somministrazioni in ogni gruppo.</w:t>
      </w:r>
    </w:p>
    <w:p w14:paraId="4D173D33" w14:textId="352B2890" w:rsidR="001B2477" w:rsidRPr="001B2477" w:rsidRDefault="001B2477" w:rsidP="001B2477">
      <w:pPr>
        <w:spacing w:after="0" w:line="240" w:lineRule="auto"/>
        <w:jc w:val="both"/>
        <w:rPr>
          <w:rFonts w:ascii="Calibri" w:hAnsi="Calibri" w:cs="Arial"/>
        </w:rPr>
      </w:pPr>
      <w:r w:rsidRPr="001B2477">
        <w:rPr>
          <w:rFonts w:ascii="Calibri" w:hAnsi="Calibri" w:cs="Arial"/>
        </w:rPr>
        <w:t xml:space="preserve">Nei due studi di </w:t>
      </w:r>
      <w:proofErr w:type="spellStart"/>
      <w:r w:rsidRPr="001B2477">
        <w:rPr>
          <w:rFonts w:ascii="Calibri" w:hAnsi="Calibri" w:cs="Arial"/>
        </w:rPr>
        <w:t>bioequivalenza</w:t>
      </w:r>
      <w:proofErr w:type="spellEnd"/>
      <w:r w:rsidRPr="001B2477">
        <w:rPr>
          <w:rFonts w:ascii="Calibri" w:hAnsi="Calibri" w:cs="Arial"/>
        </w:rPr>
        <w:t>, campioni di sangue sono stati prelevati al tempo zero (</w:t>
      </w:r>
      <w:proofErr w:type="spellStart"/>
      <w:r w:rsidRPr="001B2477">
        <w:rPr>
          <w:rFonts w:ascii="Calibri" w:hAnsi="Calibri" w:cs="Arial"/>
        </w:rPr>
        <w:t>pre</w:t>
      </w:r>
      <w:proofErr w:type="spellEnd"/>
      <w:r w:rsidRPr="001B2477">
        <w:rPr>
          <w:rFonts w:ascii="Calibri" w:hAnsi="Calibri" w:cs="Arial"/>
        </w:rPr>
        <w:t xml:space="preserve">-dose) e a specificati tempi fino a 16 o 24 ore dopo la somministrazione, rispettivamente. I livelli plasmatici di </w:t>
      </w:r>
      <w:proofErr w:type="spellStart"/>
      <w:r w:rsidR="00603876">
        <w:rPr>
          <w:rFonts w:ascii="Calibri" w:hAnsi="Calibri" w:cs="Arial"/>
        </w:rPr>
        <w:t>esome</w:t>
      </w:r>
      <w:r w:rsidRPr="001B2477">
        <w:rPr>
          <w:rFonts w:ascii="Calibri" w:hAnsi="Calibri" w:cs="Arial"/>
        </w:rPr>
        <w:t>p</w:t>
      </w:r>
      <w:r w:rsidR="00603876">
        <w:rPr>
          <w:rFonts w:ascii="Calibri" w:hAnsi="Calibri" w:cs="Arial"/>
        </w:rPr>
        <w:t>r</w:t>
      </w:r>
      <w:r w:rsidRPr="001B2477">
        <w:rPr>
          <w:rFonts w:ascii="Calibri" w:hAnsi="Calibri" w:cs="Arial"/>
        </w:rPr>
        <w:t>azolo</w:t>
      </w:r>
      <w:proofErr w:type="spellEnd"/>
      <w:r w:rsidRPr="001B2477">
        <w:rPr>
          <w:rFonts w:ascii="Calibri" w:hAnsi="Calibri" w:cs="Arial"/>
        </w:rPr>
        <w:t xml:space="preserve"> sono stati determinati mediante un metodo analitico</w:t>
      </w:r>
      <w:r w:rsidRPr="001B2477">
        <w:rPr>
          <w:bCs/>
        </w:rPr>
        <w:t xml:space="preserve"> </w:t>
      </w:r>
      <w:r w:rsidRPr="001B2477">
        <w:rPr>
          <w:rFonts w:ascii="Calibri" w:eastAsia="Calibri" w:hAnsi="Calibri" w:cs="Times New Roman"/>
          <w:bCs/>
        </w:rPr>
        <w:t xml:space="preserve">LC/MS/MS </w:t>
      </w:r>
      <w:r w:rsidRPr="001B2477">
        <w:rPr>
          <w:rFonts w:ascii="Calibri" w:hAnsi="Calibri" w:cs="Arial"/>
        </w:rPr>
        <w:t>opportunamente convalidato.</w:t>
      </w:r>
    </w:p>
    <w:p w14:paraId="0F939ADB" w14:textId="77777777" w:rsidR="001B2477" w:rsidRPr="001B2477" w:rsidRDefault="001B2477" w:rsidP="001B2477">
      <w:pPr>
        <w:spacing w:after="0" w:line="240" w:lineRule="auto"/>
        <w:contextualSpacing/>
        <w:jc w:val="both"/>
        <w:rPr>
          <w:rFonts w:ascii="Calibri" w:hAnsi="Calibri" w:cs="Arial"/>
        </w:rPr>
      </w:pPr>
      <w:r w:rsidRPr="001B2477">
        <w:rPr>
          <w:rFonts w:ascii="Calibri" w:hAnsi="Calibri" w:cs="Arial"/>
        </w:rPr>
        <w:t xml:space="preserve">Per </w:t>
      </w:r>
      <w:proofErr w:type="spellStart"/>
      <w:r w:rsidRPr="001B2477">
        <w:rPr>
          <w:rFonts w:ascii="Calibri" w:hAnsi="Calibri" w:cs="Arial"/>
        </w:rPr>
        <w:t>Esomeprazolo</w:t>
      </w:r>
      <w:proofErr w:type="spellEnd"/>
      <w:r w:rsidRPr="001B2477">
        <w:rPr>
          <w:rFonts w:ascii="Calibri" w:hAnsi="Calibri" w:cs="Arial"/>
        </w:rPr>
        <w:t xml:space="preserve">  sono state definite le seguenti variabili farmacocinetiche: </w:t>
      </w:r>
      <w:proofErr w:type="spellStart"/>
      <w:r w:rsidRPr="001B2477">
        <w:rPr>
          <w:rFonts w:ascii="Calibri" w:hAnsi="Calibri" w:cs="Arial"/>
        </w:rPr>
        <w:t>C</w:t>
      </w:r>
      <w:r w:rsidRPr="001B2477">
        <w:rPr>
          <w:rFonts w:ascii="Calibri" w:hAnsi="Calibri" w:cs="Arial"/>
          <w:vertAlign w:val="subscript"/>
        </w:rPr>
        <w:t>max</w:t>
      </w:r>
      <w:proofErr w:type="spellEnd"/>
      <w:r w:rsidRPr="001B2477">
        <w:rPr>
          <w:rFonts w:ascii="Calibri" w:hAnsi="Calibri" w:cs="Arial"/>
        </w:rPr>
        <w:t>, AUC</w:t>
      </w:r>
      <w:r w:rsidRPr="001B2477">
        <w:rPr>
          <w:rFonts w:ascii="Calibri" w:hAnsi="Calibri" w:cs="Arial"/>
          <w:vertAlign w:val="subscript"/>
        </w:rPr>
        <w:t>0-t</w:t>
      </w:r>
      <w:r w:rsidRPr="001B2477">
        <w:rPr>
          <w:rFonts w:ascii="Calibri" w:hAnsi="Calibri" w:cs="Arial"/>
        </w:rPr>
        <w:t>,, AUC</w:t>
      </w:r>
      <w:r w:rsidRPr="001B2477">
        <w:rPr>
          <w:rFonts w:ascii="Calibri" w:hAnsi="Calibri" w:cs="Arial"/>
          <w:vertAlign w:val="subscript"/>
        </w:rPr>
        <w:t>0-</w:t>
      </w:r>
      <w:r w:rsidRPr="001B2477">
        <w:rPr>
          <w:rFonts w:ascii="Calibri" w:hAnsi="Calibri" w:cs="Arial"/>
          <w:vertAlign w:val="subscript"/>
          <w:lang w:val="en-GB"/>
        </w:rPr>
        <w:sym w:font="Symbol" w:char="00A5"/>
      </w:r>
      <w:r w:rsidRPr="001B2477">
        <w:rPr>
          <w:rFonts w:ascii="Calibri" w:hAnsi="Calibri" w:cs="Arial"/>
        </w:rPr>
        <w:t xml:space="preserve">, </w:t>
      </w:r>
      <w:proofErr w:type="spellStart"/>
      <w:r w:rsidRPr="001B2477">
        <w:rPr>
          <w:rFonts w:ascii="Calibri" w:hAnsi="Calibri" w:cs="Arial"/>
        </w:rPr>
        <w:t>t</w:t>
      </w:r>
      <w:r w:rsidRPr="001B2477">
        <w:rPr>
          <w:rFonts w:ascii="Calibri" w:hAnsi="Calibri" w:cs="Arial"/>
          <w:vertAlign w:val="subscript"/>
        </w:rPr>
        <w:t>max</w:t>
      </w:r>
      <w:proofErr w:type="spellEnd"/>
      <w:r w:rsidRPr="001B2477">
        <w:rPr>
          <w:rFonts w:ascii="Calibri" w:hAnsi="Calibri" w:cs="Arial"/>
        </w:rPr>
        <w:t xml:space="preserve">, t½ e AUC estrapolata. La </w:t>
      </w:r>
      <w:proofErr w:type="spellStart"/>
      <w:r w:rsidRPr="001B2477">
        <w:rPr>
          <w:rFonts w:ascii="Calibri" w:hAnsi="Calibri" w:cs="Arial"/>
        </w:rPr>
        <w:t>bioequivalenza</w:t>
      </w:r>
      <w:proofErr w:type="spellEnd"/>
      <w:r w:rsidRPr="001B2477">
        <w:rPr>
          <w:rFonts w:ascii="Calibri" w:hAnsi="Calibri" w:cs="Arial"/>
        </w:rPr>
        <w:t xml:space="preserve"> tra medicinale test e medicinale di riferimento è dimostrata se gli intervalli di confidenza al 90% per la trasformata logaritmica di </w:t>
      </w:r>
      <w:proofErr w:type="spellStart"/>
      <w:r w:rsidRPr="001B2477">
        <w:rPr>
          <w:rFonts w:ascii="Calibri" w:hAnsi="Calibri" w:cs="Arial"/>
        </w:rPr>
        <w:t>C</w:t>
      </w:r>
      <w:r w:rsidRPr="001B2477">
        <w:rPr>
          <w:rFonts w:ascii="Calibri" w:hAnsi="Calibri" w:cs="Arial"/>
          <w:vertAlign w:val="subscript"/>
        </w:rPr>
        <w:t>max</w:t>
      </w:r>
      <w:proofErr w:type="spellEnd"/>
      <w:r w:rsidRPr="001B2477">
        <w:rPr>
          <w:rFonts w:ascii="Calibri" w:hAnsi="Calibri" w:cs="Arial"/>
        </w:rPr>
        <w:t xml:space="preserve"> e AUC</w:t>
      </w:r>
      <w:r w:rsidRPr="001B2477">
        <w:rPr>
          <w:rFonts w:ascii="Calibri" w:hAnsi="Calibri" w:cs="Arial"/>
          <w:vertAlign w:val="subscript"/>
        </w:rPr>
        <w:t>0-</w:t>
      </w:r>
      <w:proofErr w:type="gramStart"/>
      <w:r w:rsidRPr="001B2477">
        <w:rPr>
          <w:rFonts w:ascii="Calibri" w:hAnsi="Calibri" w:cs="Arial"/>
          <w:vertAlign w:val="subscript"/>
        </w:rPr>
        <w:t>t</w:t>
      </w:r>
      <w:r w:rsidRPr="001B2477">
        <w:rPr>
          <w:rFonts w:ascii="Calibri" w:hAnsi="Calibri" w:cs="Arial"/>
        </w:rPr>
        <w:t>,,</w:t>
      </w:r>
      <w:proofErr w:type="gramEnd"/>
      <w:r w:rsidRPr="001B2477">
        <w:rPr>
          <w:rFonts w:ascii="Calibri" w:hAnsi="Calibri" w:cs="Arial"/>
        </w:rPr>
        <w:t xml:space="preserve">  cadono nel range di accettabilità di 0.80-1.25 (80%-125%).</w:t>
      </w:r>
    </w:p>
    <w:p w14:paraId="2CA8886B" w14:textId="77777777" w:rsidR="001B2477" w:rsidRPr="001B2477" w:rsidRDefault="001B2477" w:rsidP="001B2477">
      <w:pPr>
        <w:spacing w:after="0" w:line="240" w:lineRule="auto"/>
        <w:contextualSpacing/>
        <w:jc w:val="both"/>
      </w:pPr>
    </w:p>
    <w:p w14:paraId="588647F0" w14:textId="77777777" w:rsidR="001B2477" w:rsidRPr="001B2477" w:rsidRDefault="001B2477" w:rsidP="001B2477">
      <w:pPr>
        <w:spacing w:after="0" w:line="240" w:lineRule="auto"/>
        <w:contextualSpacing/>
        <w:jc w:val="both"/>
        <w:rPr>
          <w:u w:val="single"/>
        </w:rPr>
      </w:pPr>
      <w:r w:rsidRPr="001B2477">
        <w:rPr>
          <w:u w:val="single"/>
        </w:rPr>
        <w:t>Risultati</w:t>
      </w:r>
    </w:p>
    <w:p w14:paraId="32829E93" w14:textId="05D76D68" w:rsidR="001B2477" w:rsidRPr="001B2477" w:rsidRDefault="008B6E2D" w:rsidP="001B2477">
      <w:pPr>
        <w:spacing w:after="0" w:line="240" w:lineRule="auto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48</w:t>
      </w:r>
      <w:r w:rsidR="001B2477" w:rsidRPr="001B2477">
        <w:rPr>
          <w:rFonts w:ascii="Calibri" w:hAnsi="Calibri" w:cs="Arial"/>
        </w:rPr>
        <w:t xml:space="preserve"> volontari sani sono stati arruolati in ciascuno dei due studi di </w:t>
      </w:r>
      <w:proofErr w:type="spellStart"/>
      <w:r w:rsidR="001B2477" w:rsidRPr="001B2477">
        <w:rPr>
          <w:rFonts w:ascii="Calibri" w:hAnsi="Calibri" w:cs="Arial"/>
        </w:rPr>
        <w:t>bioequivalenza</w:t>
      </w:r>
      <w:proofErr w:type="spellEnd"/>
      <w:r w:rsidR="001B2477" w:rsidRPr="001B2477">
        <w:rPr>
          <w:rFonts w:ascii="Calibri" w:hAnsi="Calibri" w:cs="Arial"/>
        </w:rPr>
        <w:t>. 47 soggetti nello studio co</w:t>
      </w:r>
      <w:r>
        <w:rPr>
          <w:rFonts w:ascii="Calibri" w:hAnsi="Calibri" w:cs="Arial"/>
        </w:rPr>
        <w:t>ndotto in condizioni di digiuno</w:t>
      </w:r>
      <w:r w:rsidR="001B2477" w:rsidRPr="001B2477">
        <w:rPr>
          <w:rFonts w:ascii="Calibri" w:hAnsi="Calibri" w:cs="Arial"/>
        </w:rPr>
        <w:t xml:space="preserve"> e 46 soggetti nello studio condotto a stomaco pieno </w:t>
      </w:r>
      <w:r w:rsidR="001B2477" w:rsidRPr="001B2477">
        <w:t xml:space="preserve">hanno completato la fase clinica e </w:t>
      </w:r>
      <w:r w:rsidR="001B2477" w:rsidRPr="001B2477">
        <w:rPr>
          <w:rFonts w:ascii="Calibri" w:hAnsi="Calibri" w:cs="Arial"/>
        </w:rPr>
        <w:t>sono stati inclusi nell’analisi farmacocinetica.</w:t>
      </w:r>
    </w:p>
    <w:p w14:paraId="580A45D1" w14:textId="77777777" w:rsidR="001B2477" w:rsidRPr="001B2477" w:rsidRDefault="001B2477" w:rsidP="001B2477">
      <w:pPr>
        <w:keepNext/>
        <w:spacing w:after="0" w:line="240" w:lineRule="auto"/>
        <w:jc w:val="both"/>
        <w:outlineLvl w:val="0"/>
        <w:rPr>
          <w:rFonts w:ascii="Calibri" w:eastAsia="Times New Roman" w:hAnsi="Calibri" w:cs="Arial"/>
          <w:i/>
        </w:rPr>
      </w:pPr>
    </w:p>
    <w:p w14:paraId="1D2549A8" w14:textId="77777777" w:rsidR="001B2477" w:rsidRPr="001B2477" w:rsidRDefault="001B2477" w:rsidP="001B2477">
      <w:pPr>
        <w:keepNext/>
        <w:spacing w:after="0" w:line="240" w:lineRule="auto"/>
        <w:jc w:val="both"/>
        <w:outlineLvl w:val="0"/>
        <w:rPr>
          <w:rFonts w:ascii="Calibri" w:eastAsia="Times New Roman" w:hAnsi="Calibri" w:cs="Arial"/>
        </w:rPr>
      </w:pPr>
      <w:r w:rsidRPr="001B2477">
        <w:rPr>
          <w:rFonts w:ascii="Calibri" w:eastAsia="Times New Roman" w:hAnsi="Calibri" w:cs="Arial"/>
          <w:i/>
        </w:rPr>
        <w:t>Sicurezza</w:t>
      </w:r>
    </w:p>
    <w:p w14:paraId="3A8766A2" w14:textId="77777777" w:rsidR="001B2477" w:rsidRPr="001B2477" w:rsidRDefault="001B2477" w:rsidP="001B2477">
      <w:pPr>
        <w:autoSpaceDE w:val="0"/>
        <w:autoSpaceDN w:val="0"/>
        <w:adjustRightInd w:val="0"/>
        <w:spacing w:after="0" w:line="240" w:lineRule="auto"/>
        <w:jc w:val="both"/>
      </w:pPr>
      <w:r w:rsidRPr="001B2477">
        <w:rPr>
          <w:rFonts w:ascii="Calibri" w:hAnsi="Calibri" w:cs="Arial"/>
        </w:rPr>
        <w:t xml:space="preserve">Nel corso dello studio in condizioni di digiuno, si sono manifestati </w:t>
      </w:r>
      <w:r w:rsidRPr="001B2477">
        <w:t xml:space="preserve">3 eventi avversi </w:t>
      </w:r>
      <w:r w:rsidRPr="001B2477">
        <w:rPr>
          <w:rFonts w:ascii="Calibri" w:hAnsi="Calibri" w:cs="Arial"/>
        </w:rPr>
        <w:t>correlati al trattamento in 3 soggetti</w:t>
      </w:r>
      <w:r w:rsidRPr="001B2477">
        <w:t xml:space="preserve">. </w:t>
      </w:r>
      <w:r w:rsidRPr="001B2477">
        <w:rPr>
          <w:rFonts w:ascii="Calibri" w:hAnsi="Calibri" w:cs="Arial"/>
        </w:rPr>
        <w:t xml:space="preserve">In particolare, sono stati riscontrati </w:t>
      </w:r>
      <w:r w:rsidRPr="001B2477">
        <w:t xml:space="preserve">nausea e vertigini.  </w:t>
      </w:r>
    </w:p>
    <w:p w14:paraId="77791BF5" w14:textId="77777777" w:rsidR="001B2477" w:rsidRPr="001B2477" w:rsidRDefault="001B2477" w:rsidP="001B2477">
      <w:pPr>
        <w:autoSpaceDE w:val="0"/>
        <w:autoSpaceDN w:val="0"/>
        <w:adjustRightInd w:val="0"/>
        <w:spacing w:after="0" w:line="240" w:lineRule="auto"/>
        <w:jc w:val="both"/>
      </w:pPr>
      <w:r w:rsidRPr="001B2477">
        <w:rPr>
          <w:rFonts w:ascii="Calibri" w:hAnsi="Calibri" w:cs="Arial"/>
        </w:rPr>
        <w:t xml:space="preserve">Nel corso dello studio condotto a stomaco pieno, si sono manifestati </w:t>
      </w:r>
      <w:r w:rsidRPr="001B2477">
        <w:t xml:space="preserve">6 eventi avversi </w:t>
      </w:r>
      <w:r w:rsidRPr="001B2477">
        <w:rPr>
          <w:rFonts w:ascii="Calibri" w:hAnsi="Calibri" w:cs="Arial"/>
        </w:rPr>
        <w:t>correlati al trattamento in 6 soggetti</w:t>
      </w:r>
      <w:r w:rsidRPr="001B2477">
        <w:t xml:space="preserve">. </w:t>
      </w:r>
      <w:r w:rsidRPr="001B2477">
        <w:rPr>
          <w:rFonts w:ascii="Calibri" w:hAnsi="Calibri" w:cs="Arial"/>
        </w:rPr>
        <w:t>In particolare, sono stati riscontrati elevati livelli di SGOT e SGPT e mal di testa</w:t>
      </w:r>
      <w:r w:rsidRPr="001B2477">
        <w:t xml:space="preserve">.  </w:t>
      </w:r>
    </w:p>
    <w:p w14:paraId="3F8FB73A" w14:textId="0775090F" w:rsidR="001B2477" w:rsidRDefault="001B2477" w:rsidP="006727BD">
      <w:pPr>
        <w:spacing w:after="0" w:line="240" w:lineRule="auto"/>
        <w:jc w:val="both"/>
        <w:rPr>
          <w:b/>
        </w:rPr>
      </w:pPr>
    </w:p>
    <w:p w14:paraId="2FE947E3" w14:textId="77777777" w:rsidR="001B2477" w:rsidRPr="009F16FA" w:rsidRDefault="001B2477" w:rsidP="006727BD">
      <w:pPr>
        <w:spacing w:after="0" w:line="240" w:lineRule="auto"/>
        <w:jc w:val="both"/>
        <w:rPr>
          <w:b/>
        </w:rPr>
      </w:pPr>
    </w:p>
    <w:p w14:paraId="47B14BE9" w14:textId="77777777"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14:paraId="77BA0E92" w14:textId="77777777"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14:paraId="37CDEA94" w14:textId="77777777" w:rsidR="005049A1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7262" w:type="dxa"/>
        <w:tblInd w:w="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7"/>
        <w:gridCol w:w="12"/>
        <w:gridCol w:w="1609"/>
        <w:gridCol w:w="1612"/>
        <w:gridCol w:w="10"/>
        <w:gridCol w:w="1253"/>
        <w:gridCol w:w="1260"/>
        <w:gridCol w:w="9"/>
      </w:tblGrid>
      <w:tr w:rsidR="001B2477" w:rsidRPr="001B2477" w14:paraId="7850CA3E" w14:textId="77777777" w:rsidTr="00DE113E">
        <w:trPr>
          <w:gridAfter w:val="1"/>
          <w:wAfter w:w="9" w:type="dxa"/>
          <w:trHeight w:val="230"/>
        </w:trPr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noWrap/>
            <w:vAlign w:val="bottom"/>
            <w:hideMark/>
          </w:tcPr>
          <w:p w14:paraId="7714E98D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Esomeprazolo</w:t>
            </w:r>
            <w:proofErr w:type="spellEnd"/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2477" w:rsidRPr="001B2477" w14:paraId="141EA9B3" w14:textId="77777777" w:rsidTr="00DE113E">
        <w:trPr>
          <w:gridAfter w:val="1"/>
          <w:wAfter w:w="9" w:type="dxa"/>
        </w:trPr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bottom"/>
            <w:hideMark/>
          </w:tcPr>
          <w:p w14:paraId="4E6BAED3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Studio in </w:t>
            </w:r>
            <w:r w:rsidRPr="001B2477">
              <w:rPr>
                <w:b/>
                <w:bCs/>
                <w:sz w:val="20"/>
                <w:szCs w:val="20"/>
              </w:rPr>
              <w:t>condizione di digiuno</w:t>
            </w:r>
          </w:p>
        </w:tc>
      </w:tr>
      <w:tr w:rsidR="001B2477" w:rsidRPr="001B2477" w14:paraId="2802FC2F" w14:textId="77777777" w:rsidTr="00DE113E">
        <w:trPr>
          <w:gridAfter w:val="1"/>
          <w:wAfter w:w="9" w:type="dxa"/>
          <w:trHeight w:val="302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760F1B8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Parametro</w:t>
            </w:r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D261ACD" w14:textId="77777777" w:rsidR="001B2477" w:rsidRPr="001B2477" w:rsidRDefault="001B2477" w:rsidP="001B247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19DF0729" w14:textId="77777777" w:rsidR="001B2477" w:rsidRPr="001B2477" w:rsidRDefault="001B2477" w:rsidP="001B247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b/>
                <w:bCs/>
                <w:sz w:val="20"/>
                <w:szCs w:val="20"/>
              </w:rPr>
              <w:t>Test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C227DD3" w14:textId="77777777" w:rsidR="001B2477" w:rsidRPr="001B2477" w:rsidRDefault="001B2477" w:rsidP="001B247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241B787" w14:textId="77777777" w:rsidR="001B2477" w:rsidRPr="001B2477" w:rsidRDefault="001B2477" w:rsidP="001B247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T/R Ratio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E2AB8DE" w14:textId="77777777" w:rsidR="001B2477" w:rsidRPr="001B2477" w:rsidRDefault="001B2477" w:rsidP="001B247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90% C.I.</w:t>
            </w:r>
          </w:p>
        </w:tc>
      </w:tr>
      <w:tr w:rsidR="001B2477" w:rsidRPr="001B2477" w14:paraId="317F9610" w14:textId="77777777" w:rsidTr="00DE113E">
        <w:trPr>
          <w:gridAfter w:val="1"/>
          <w:wAfter w:w="9" w:type="dxa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5916142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b/>
                <w:bCs/>
                <w:sz w:val="20"/>
                <w:szCs w:val="20"/>
              </w:rPr>
              <w:t xml:space="preserve"> </w:t>
            </w: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AUC0-t</w:t>
            </w:r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54CCDB6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4744.64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E7C8373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4670.62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9CBC5CB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101.58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96FCFB1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bCs/>
                <w:sz w:val="20"/>
                <w:szCs w:val="20"/>
              </w:rPr>
              <w:t xml:space="preserve"> </w:t>
            </w: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97.16 - 106.21</w:t>
            </w:r>
          </w:p>
        </w:tc>
      </w:tr>
      <w:tr w:rsidR="001B2477" w:rsidRPr="001B2477" w14:paraId="0AB8AC88" w14:textId="77777777" w:rsidTr="00DE113E">
        <w:trPr>
          <w:gridAfter w:val="1"/>
          <w:wAfter w:w="9" w:type="dxa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6ACB8B6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AUC0-∞</w:t>
            </w:r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B36C9E0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4784.82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FEB7335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4712.21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6AFBA7B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101.54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E91CED6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97.14 - 106.15</w:t>
            </w:r>
          </w:p>
        </w:tc>
      </w:tr>
      <w:tr w:rsidR="001B2477" w:rsidRPr="001B2477" w14:paraId="780F7E48" w14:textId="77777777" w:rsidTr="00DE113E">
        <w:trPr>
          <w:gridAfter w:val="1"/>
          <w:wAfter w:w="9" w:type="dxa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9BF8724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3B05095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1672.97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E106288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1539.51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5A0E5BA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108.67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89A071B" w14:textId="77777777" w:rsidR="001B2477" w:rsidRPr="001B2477" w:rsidRDefault="001B2477" w:rsidP="001B2477">
            <w:pPr>
              <w:spacing w:after="0" w:line="240" w:lineRule="auto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bCs/>
                <w:sz w:val="20"/>
                <w:szCs w:val="20"/>
              </w:rPr>
              <w:t>104.47 -</w:t>
            </w: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113.04</w:t>
            </w:r>
          </w:p>
        </w:tc>
      </w:tr>
      <w:tr w:rsidR="001B2477" w:rsidRPr="001B2477" w14:paraId="3007D550" w14:textId="77777777" w:rsidTr="00DE113E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noWrap/>
            <w:vAlign w:val="bottom"/>
            <w:hideMark/>
          </w:tcPr>
          <w:p w14:paraId="056C8A71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Esomeprazolo</w:t>
            </w:r>
            <w:proofErr w:type="spellEnd"/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B2477" w:rsidRPr="001B2477" w14:paraId="095B2D62" w14:textId="77777777" w:rsidTr="00DE113E"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bottom"/>
            <w:hideMark/>
          </w:tcPr>
          <w:p w14:paraId="378F23BF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Studio </w:t>
            </w:r>
            <w:r w:rsidRPr="001B2477">
              <w:rPr>
                <w:b/>
                <w:bCs/>
                <w:sz w:val="20"/>
                <w:szCs w:val="20"/>
              </w:rPr>
              <w:t xml:space="preserve"> a stomaco pieno</w:t>
            </w:r>
          </w:p>
        </w:tc>
      </w:tr>
      <w:tr w:rsidR="001B2477" w:rsidRPr="001B2477" w14:paraId="2DF7580B" w14:textId="77777777" w:rsidTr="00DE113E"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9E8B7A9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Parametro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FDA8491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Test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D1C9507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C8E0C08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T/R Ratio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0704441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90% C.I.</w:t>
            </w:r>
          </w:p>
        </w:tc>
      </w:tr>
      <w:tr w:rsidR="001B2477" w:rsidRPr="001B2477" w14:paraId="7F29C085" w14:textId="77777777" w:rsidTr="00DE113E"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4F95D17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AUC0-t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D74EC95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4233.87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9A4F6EE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4170.10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8A1EA65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101.53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6A9E7AD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96.49-106.83</w:t>
            </w:r>
          </w:p>
        </w:tc>
      </w:tr>
      <w:tr w:rsidR="001B2477" w:rsidRPr="001B2477" w14:paraId="3D0D5138" w14:textId="77777777" w:rsidTr="00DE113E"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FCBA500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AUC0-∞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285E66A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4308.98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5E53C43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4210.66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645A251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102.34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870DE50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97.2 – 107.74</w:t>
            </w:r>
          </w:p>
        </w:tc>
      </w:tr>
      <w:tr w:rsidR="001B2477" w:rsidRPr="001B2477" w14:paraId="436150C1" w14:textId="77777777" w:rsidTr="00DE113E"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2F1A6FD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1B247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BA002FD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1060.10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49F7DE6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1205.70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5ADC02B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87.92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5B1DC67" w14:textId="77777777" w:rsidR="001B2477" w:rsidRPr="001B2477" w:rsidRDefault="001B2477" w:rsidP="001B24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1B2477">
              <w:rPr>
                <w:rFonts w:ascii="Calibri" w:eastAsia="Calibri" w:hAnsi="Calibri" w:cs="Times New Roman"/>
                <w:bCs/>
                <w:sz w:val="20"/>
                <w:szCs w:val="20"/>
              </w:rPr>
              <w:t>82.07 - 94.19</w:t>
            </w:r>
          </w:p>
        </w:tc>
      </w:tr>
    </w:tbl>
    <w:p w14:paraId="2AC67AA2" w14:textId="7C326E4D" w:rsidR="005049A1" w:rsidRDefault="005049A1" w:rsidP="005049A1">
      <w:pPr>
        <w:spacing w:after="0" w:line="240" w:lineRule="auto"/>
        <w:rPr>
          <w:rFonts w:cs="Arial"/>
          <w:i/>
        </w:rPr>
      </w:pPr>
    </w:p>
    <w:p w14:paraId="35BE7A2F" w14:textId="67621A70" w:rsidR="001B2477" w:rsidRDefault="001B2477" w:rsidP="005049A1">
      <w:pPr>
        <w:spacing w:after="0" w:line="240" w:lineRule="auto"/>
        <w:rPr>
          <w:rFonts w:cs="Arial"/>
          <w:i/>
        </w:rPr>
      </w:pPr>
    </w:p>
    <w:p w14:paraId="1B5B60A3" w14:textId="026CDA32" w:rsidR="005049A1" w:rsidRDefault="005049A1" w:rsidP="005049A1">
      <w:pPr>
        <w:spacing w:after="0" w:line="240" w:lineRule="auto"/>
        <w:rPr>
          <w:rFonts w:cs="Arial"/>
          <w:i/>
        </w:rPr>
      </w:pPr>
    </w:p>
    <w:p w14:paraId="1B970125" w14:textId="77777777" w:rsidR="005049A1" w:rsidRPr="009F5FC7" w:rsidRDefault="005049A1" w:rsidP="005049A1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 xml:space="preserve">Conclusioni sulla </w:t>
      </w:r>
      <w:proofErr w:type="spellStart"/>
      <w:r w:rsidRPr="009F5FC7">
        <w:rPr>
          <w:rFonts w:cs="Arial"/>
          <w:i/>
        </w:rPr>
        <w:t>bioequivalenza</w:t>
      </w:r>
      <w:proofErr w:type="spellEnd"/>
      <w:r w:rsidRPr="009F5FC7">
        <w:rPr>
          <w:rFonts w:cs="Arial"/>
        </w:rPr>
        <w:t>.</w:t>
      </w:r>
    </w:p>
    <w:p w14:paraId="0B139733" w14:textId="77777777"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14:paraId="099C4032" w14:textId="77777777"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14:paraId="4A576846" w14:textId="77777777"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1648226B" w14:textId="6856F16C"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lastRenderedPageBreak/>
        <w:t xml:space="preserve">Non sono stati presentati nuovi dati di efficacia e sicurezza clinica: il profilo di sicurezza e l’efficacia del principio attivo di </w:t>
      </w:r>
      <w:r w:rsidR="001D7827">
        <w:rPr>
          <w:rFonts w:eastAsia="Calibri" w:cs="Calibri"/>
          <w:color w:val="000000"/>
          <w:lang w:eastAsia="it-IT"/>
        </w:rPr>
        <w:t>ESOMEFLUX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 w:rsidRPr="009F5FC7">
        <w:rPr>
          <w:rFonts w:cs="Arial"/>
        </w:rPr>
        <w:t>è ben conosciuto.</w:t>
      </w:r>
      <w:r>
        <w:rPr>
          <w:rFonts w:cs="Arial"/>
        </w:rPr>
        <w:t xml:space="preserve"> </w:t>
      </w:r>
    </w:p>
    <w:p w14:paraId="685D264E" w14:textId="77777777"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14:paraId="1BC48DF5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5E86AC7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6F9367D5" w14:textId="77777777" w:rsidR="004E5A39" w:rsidRPr="00EF6711" w:rsidRDefault="00182526" w:rsidP="00EF6711">
      <w:pPr>
        <w:pStyle w:val="Paragrafoelenco"/>
        <w:spacing w:after="0" w:line="240" w:lineRule="auto"/>
        <w:ind w:left="0"/>
        <w:jc w:val="both"/>
      </w:pPr>
      <w:r>
        <w:t xml:space="preserve">È </w:t>
      </w:r>
      <w:r w:rsidR="004E5A39" w:rsidRPr="00EF6711">
        <w:t xml:space="preserve">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4E5A39" w:rsidRPr="00EF6711">
        <w:t>.</w:t>
      </w:r>
    </w:p>
    <w:p w14:paraId="05035A55" w14:textId="77777777" w:rsidR="00C87D51" w:rsidRDefault="00C87D51" w:rsidP="00EF6711">
      <w:pPr>
        <w:pStyle w:val="Paragrafoelenco"/>
        <w:spacing w:after="0" w:line="240" w:lineRule="auto"/>
        <w:ind w:left="0"/>
        <w:jc w:val="both"/>
      </w:pPr>
    </w:p>
    <w:p w14:paraId="6CAD1D6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484E174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</w:t>
      </w:r>
      <w:r w:rsidR="00840370">
        <w:t xml:space="preserve"> (o sono)</w:t>
      </w:r>
      <w:r w:rsidRPr="00EF6711">
        <w:t xml:space="preserve"> previste attività addizionali di minimizzazione del rischio</w:t>
      </w:r>
    </w:p>
    <w:p w14:paraId="76DF6889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73BA51F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4DE871C9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6962173D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73227C96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0D12893F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B27E804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64FCA8C8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4BE3FDDC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048ECEC5" w14:textId="77777777" w:rsidR="004E5A39" w:rsidRPr="00EF6711" w:rsidRDefault="004E5A39" w:rsidP="00EF6711">
      <w:pPr>
        <w:spacing w:after="0" w:line="240" w:lineRule="auto"/>
        <w:jc w:val="both"/>
      </w:pPr>
    </w:p>
    <w:p w14:paraId="759F19FB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73B497C9" w14:textId="77777777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1D7827">
        <w:rPr>
          <w:rFonts w:eastAsia="Calibri" w:cs="Calibri"/>
          <w:color w:val="000000"/>
          <w:lang w:eastAsia="it-IT"/>
        </w:rPr>
        <w:t>ESOMEFLUX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319FDC7F" w14:textId="430DCBBB" w:rsidR="00BE7CDB" w:rsidRDefault="00BE7CDB" w:rsidP="00BE7CDB">
      <w:pPr>
        <w:spacing w:after="0" w:line="240" w:lineRule="auto"/>
        <w:jc w:val="both"/>
      </w:pPr>
      <w:r>
        <w:t xml:space="preserve">Lo studio di bioequivalenza e le sue conclusioni confermano che </w:t>
      </w:r>
      <w:r w:rsidR="001D7827">
        <w:rPr>
          <w:rFonts w:eastAsia="Calibri" w:cs="Calibri"/>
          <w:color w:val="000000"/>
          <w:lang w:eastAsia="it-IT"/>
        </w:rPr>
        <w:t>ESOMEFLUX</w:t>
      </w:r>
      <w:r>
        <w:rPr>
          <w:rFonts w:eastAsia="Calibri" w:cs="Calibri"/>
          <w:color w:val="000000"/>
          <w:lang w:eastAsia="it-IT"/>
        </w:rPr>
        <w:t xml:space="preserve"> </w:t>
      </w:r>
      <w:r>
        <w:t>e il medicinale di riferimento</w:t>
      </w:r>
      <w:r w:rsidR="00862A3B">
        <w:t xml:space="preserve"> </w:t>
      </w:r>
      <w:proofErr w:type="spellStart"/>
      <w:r w:rsidR="00862A3B">
        <w:t>Nexium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14:paraId="5CDAB77F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4DBE684A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1CB3C0F7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7F8A"/>
    <w:rsid w:val="00013020"/>
    <w:rsid w:val="00014743"/>
    <w:rsid w:val="00022511"/>
    <w:rsid w:val="00023CEA"/>
    <w:rsid w:val="0002647D"/>
    <w:rsid w:val="00062636"/>
    <w:rsid w:val="00064E36"/>
    <w:rsid w:val="000808A3"/>
    <w:rsid w:val="000A4BA1"/>
    <w:rsid w:val="000B7AC8"/>
    <w:rsid w:val="000E1F86"/>
    <w:rsid w:val="000E4494"/>
    <w:rsid w:val="000F658F"/>
    <w:rsid w:val="00111E9E"/>
    <w:rsid w:val="001345C2"/>
    <w:rsid w:val="001460CA"/>
    <w:rsid w:val="00150710"/>
    <w:rsid w:val="00182526"/>
    <w:rsid w:val="001B2477"/>
    <w:rsid w:val="001B5B48"/>
    <w:rsid w:val="001C15DF"/>
    <w:rsid w:val="001C65D9"/>
    <w:rsid w:val="001D7827"/>
    <w:rsid w:val="001D795E"/>
    <w:rsid w:val="002622F1"/>
    <w:rsid w:val="0026497B"/>
    <w:rsid w:val="00265B61"/>
    <w:rsid w:val="00270704"/>
    <w:rsid w:val="00277A0E"/>
    <w:rsid w:val="00283DB7"/>
    <w:rsid w:val="00293068"/>
    <w:rsid w:val="00297066"/>
    <w:rsid w:val="002B1B58"/>
    <w:rsid w:val="002B3FF9"/>
    <w:rsid w:val="002C5ABC"/>
    <w:rsid w:val="002C5C2A"/>
    <w:rsid w:val="002F2543"/>
    <w:rsid w:val="002F4000"/>
    <w:rsid w:val="00300BEA"/>
    <w:rsid w:val="0030305A"/>
    <w:rsid w:val="00303835"/>
    <w:rsid w:val="003061E0"/>
    <w:rsid w:val="003333D3"/>
    <w:rsid w:val="00353ABE"/>
    <w:rsid w:val="00367CE0"/>
    <w:rsid w:val="00376C70"/>
    <w:rsid w:val="003F32BC"/>
    <w:rsid w:val="0042214D"/>
    <w:rsid w:val="00423A97"/>
    <w:rsid w:val="004241AC"/>
    <w:rsid w:val="00427AFB"/>
    <w:rsid w:val="00437C8B"/>
    <w:rsid w:val="004609F8"/>
    <w:rsid w:val="0048108F"/>
    <w:rsid w:val="004B20A8"/>
    <w:rsid w:val="004C11F9"/>
    <w:rsid w:val="004E5A39"/>
    <w:rsid w:val="00500ACA"/>
    <w:rsid w:val="005049A1"/>
    <w:rsid w:val="00504FC1"/>
    <w:rsid w:val="00513562"/>
    <w:rsid w:val="005228D9"/>
    <w:rsid w:val="00546980"/>
    <w:rsid w:val="00547B7F"/>
    <w:rsid w:val="0056372C"/>
    <w:rsid w:val="00564454"/>
    <w:rsid w:val="00567615"/>
    <w:rsid w:val="00587F23"/>
    <w:rsid w:val="005950D6"/>
    <w:rsid w:val="005C738D"/>
    <w:rsid w:val="00603876"/>
    <w:rsid w:val="00603E4C"/>
    <w:rsid w:val="0060458E"/>
    <w:rsid w:val="00607593"/>
    <w:rsid w:val="00620C63"/>
    <w:rsid w:val="00621AE2"/>
    <w:rsid w:val="00642D6A"/>
    <w:rsid w:val="0064646C"/>
    <w:rsid w:val="00654D9E"/>
    <w:rsid w:val="00664931"/>
    <w:rsid w:val="006727BD"/>
    <w:rsid w:val="00680C70"/>
    <w:rsid w:val="00682588"/>
    <w:rsid w:val="006B311C"/>
    <w:rsid w:val="006B3E12"/>
    <w:rsid w:val="006D7B8C"/>
    <w:rsid w:val="00716DF5"/>
    <w:rsid w:val="007170D7"/>
    <w:rsid w:val="007221B6"/>
    <w:rsid w:val="00731F46"/>
    <w:rsid w:val="00737C95"/>
    <w:rsid w:val="00746934"/>
    <w:rsid w:val="00766E26"/>
    <w:rsid w:val="00790A8A"/>
    <w:rsid w:val="00797416"/>
    <w:rsid w:val="008172E2"/>
    <w:rsid w:val="00823F4C"/>
    <w:rsid w:val="00840370"/>
    <w:rsid w:val="008547B3"/>
    <w:rsid w:val="00862A3B"/>
    <w:rsid w:val="00863C35"/>
    <w:rsid w:val="0086678C"/>
    <w:rsid w:val="00867F55"/>
    <w:rsid w:val="008819D4"/>
    <w:rsid w:val="0088216F"/>
    <w:rsid w:val="00894AC3"/>
    <w:rsid w:val="008A6FEC"/>
    <w:rsid w:val="008B5B6D"/>
    <w:rsid w:val="008B60D7"/>
    <w:rsid w:val="008B6E2D"/>
    <w:rsid w:val="008C3D30"/>
    <w:rsid w:val="008D1529"/>
    <w:rsid w:val="008D66F0"/>
    <w:rsid w:val="00943785"/>
    <w:rsid w:val="00957832"/>
    <w:rsid w:val="00967807"/>
    <w:rsid w:val="009768EA"/>
    <w:rsid w:val="00985066"/>
    <w:rsid w:val="009A23DE"/>
    <w:rsid w:val="009A260F"/>
    <w:rsid w:val="009B03DB"/>
    <w:rsid w:val="009D3446"/>
    <w:rsid w:val="009D403F"/>
    <w:rsid w:val="009E0140"/>
    <w:rsid w:val="009E2BC0"/>
    <w:rsid w:val="009F3867"/>
    <w:rsid w:val="00A00386"/>
    <w:rsid w:val="00A01AB1"/>
    <w:rsid w:val="00A13086"/>
    <w:rsid w:val="00A40FF3"/>
    <w:rsid w:val="00A62D55"/>
    <w:rsid w:val="00A779C6"/>
    <w:rsid w:val="00A81F9A"/>
    <w:rsid w:val="00A908B9"/>
    <w:rsid w:val="00A966D1"/>
    <w:rsid w:val="00AA1305"/>
    <w:rsid w:val="00AB2DED"/>
    <w:rsid w:val="00AE176F"/>
    <w:rsid w:val="00AE5E2F"/>
    <w:rsid w:val="00B023E9"/>
    <w:rsid w:val="00B1186F"/>
    <w:rsid w:val="00B15ED7"/>
    <w:rsid w:val="00B179F9"/>
    <w:rsid w:val="00B30431"/>
    <w:rsid w:val="00B8686B"/>
    <w:rsid w:val="00BA0ACD"/>
    <w:rsid w:val="00BA5E0E"/>
    <w:rsid w:val="00BA7B6C"/>
    <w:rsid w:val="00BB2AF8"/>
    <w:rsid w:val="00BB7B54"/>
    <w:rsid w:val="00BC37D6"/>
    <w:rsid w:val="00BC74C2"/>
    <w:rsid w:val="00BE7CDB"/>
    <w:rsid w:val="00BF0EFB"/>
    <w:rsid w:val="00BF55B9"/>
    <w:rsid w:val="00BF7A42"/>
    <w:rsid w:val="00C25328"/>
    <w:rsid w:val="00C2565A"/>
    <w:rsid w:val="00C42AAC"/>
    <w:rsid w:val="00C54396"/>
    <w:rsid w:val="00C6559F"/>
    <w:rsid w:val="00C66597"/>
    <w:rsid w:val="00C87D51"/>
    <w:rsid w:val="00C9272B"/>
    <w:rsid w:val="00CC52A3"/>
    <w:rsid w:val="00CC7AFF"/>
    <w:rsid w:val="00CE62A1"/>
    <w:rsid w:val="00D07590"/>
    <w:rsid w:val="00D20170"/>
    <w:rsid w:val="00D212AA"/>
    <w:rsid w:val="00D563D5"/>
    <w:rsid w:val="00D60600"/>
    <w:rsid w:val="00D67699"/>
    <w:rsid w:val="00D860EB"/>
    <w:rsid w:val="00DB359A"/>
    <w:rsid w:val="00DB5537"/>
    <w:rsid w:val="00DD523E"/>
    <w:rsid w:val="00DF2B88"/>
    <w:rsid w:val="00E10D6C"/>
    <w:rsid w:val="00E13A8A"/>
    <w:rsid w:val="00E21712"/>
    <w:rsid w:val="00E43089"/>
    <w:rsid w:val="00E83F8D"/>
    <w:rsid w:val="00EA0CD2"/>
    <w:rsid w:val="00EA7E7C"/>
    <w:rsid w:val="00EC3589"/>
    <w:rsid w:val="00ED04B0"/>
    <w:rsid w:val="00EF062E"/>
    <w:rsid w:val="00EF6711"/>
    <w:rsid w:val="00F20FAA"/>
    <w:rsid w:val="00F3432F"/>
    <w:rsid w:val="00F66767"/>
    <w:rsid w:val="00F85989"/>
    <w:rsid w:val="00F933A2"/>
    <w:rsid w:val="00F96473"/>
    <w:rsid w:val="00FA2702"/>
    <w:rsid w:val="00FA73C0"/>
    <w:rsid w:val="00FE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DAECC"/>
  <w15:docId w15:val="{FD93F821-2B3E-45C7-8663-78BEC524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6045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0038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038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038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03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0386"/>
    <w:rPr>
      <w:b/>
      <w:bCs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B5B4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B5B48"/>
    <w:rPr>
      <w:rFonts w:eastAsiaTheme="minorEastAsia"/>
      <w:color w:val="5A5A5A" w:themeColor="text1" w:themeTint="A5"/>
      <w:spacing w:val="15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933A2"/>
    <w:rPr>
      <w:color w:val="605E5C"/>
      <w:shd w:val="clear" w:color="auto" w:fill="E1DFDD"/>
    </w:rPr>
  </w:style>
  <w:style w:type="character" w:styleId="Enfasidelicata">
    <w:name w:val="Subtle Emphasis"/>
    <w:basedOn w:val="Carpredefinitoparagrafo"/>
    <w:uiPriority w:val="19"/>
    <w:qFormat/>
    <w:rsid w:val="00680C7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kemedelsverket.se/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2938</Words>
  <Characters>16750</Characters>
  <Application>Microsoft Office Word</Application>
  <DocSecurity>0</DocSecurity>
  <Lines>139</Lines>
  <Paragraphs>39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4</cp:revision>
  <dcterms:created xsi:type="dcterms:W3CDTF">2021-03-26T15:17:00Z</dcterms:created>
  <dcterms:modified xsi:type="dcterms:W3CDTF">2021-03-29T12:50:00Z</dcterms:modified>
</cp:coreProperties>
</file>