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309195" w14:textId="61E39312" w:rsidR="004241AC" w:rsidRPr="00BE17BB" w:rsidRDefault="00462CDC" w:rsidP="004241AC">
      <w:pPr>
        <w:spacing w:after="0" w:line="240" w:lineRule="auto"/>
        <w:jc w:val="center"/>
        <w:rPr>
          <w:rFonts w:ascii="Calibri" w:hAnsi="Calibri"/>
          <w:lang w:val="en-US"/>
        </w:rPr>
      </w:pPr>
      <w:r>
        <w:rPr>
          <w:rFonts w:ascii="Calibri" w:hAnsi="Calibri"/>
          <w:b/>
          <w:noProof/>
          <w:color w:val="808080"/>
          <w:sz w:val="20"/>
          <w:szCs w:val="20"/>
        </w:rPr>
        <w:drawing>
          <wp:inline distT="0" distB="0" distL="0" distR="0" wp14:anchorId="728E1671" wp14:editId="4FFFE563">
            <wp:extent cx="2542002" cy="944815"/>
            <wp:effectExtent l="0" t="0" r="0" b="0"/>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pic:cNvPicPr>
                      <a:picLocks/>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542002" cy="944815"/>
                    </a:xfrm>
                    <a:prstGeom prst="rect">
                      <a:avLst/>
                    </a:prstGeom>
                    <a:noFill/>
                    <a:ln>
                      <a:noFill/>
                    </a:ln>
                  </pic:spPr>
                </pic:pic>
              </a:graphicData>
            </a:graphic>
          </wp:inline>
        </w:drawing>
      </w:r>
    </w:p>
    <w:p w14:paraId="054E07C7" w14:textId="77777777" w:rsidR="004241AC" w:rsidRPr="00BE17BB" w:rsidRDefault="004241AC" w:rsidP="004241AC">
      <w:pPr>
        <w:spacing w:after="0" w:line="240" w:lineRule="auto"/>
        <w:jc w:val="center"/>
        <w:rPr>
          <w:rFonts w:ascii="Calibri" w:hAnsi="Calibri"/>
          <w:b/>
        </w:rPr>
      </w:pPr>
    </w:p>
    <w:p w14:paraId="1D8D2082" w14:textId="77777777" w:rsidR="003928A0" w:rsidRPr="00BE17BB" w:rsidRDefault="003928A0" w:rsidP="00823F4C">
      <w:pPr>
        <w:spacing w:after="0" w:line="240" w:lineRule="auto"/>
        <w:jc w:val="center"/>
        <w:rPr>
          <w:rFonts w:ascii="Calibri" w:hAnsi="Calibri"/>
          <w:b/>
          <w:sz w:val="28"/>
        </w:rPr>
      </w:pPr>
      <w:bookmarkStart w:id="0" w:name="Text15"/>
    </w:p>
    <w:p w14:paraId="4A24CC14" w14:textId="77777777" w:rsidR="00823F4C" w:rsidRPr="00C85763" w:rsidRDefault="00823F4C" w:rsidP="00823F4C">
      <w:pPr>
        <w:spacing w:after="0" w:line="240" w:lineRule="auto"/>
        <w:jc w:val="center"/>
        <w:rPr>
          <w:rFonts w:ascii="Calibri" w:hAnsi="Calibri"/>
          <w:b/>
          <w:sz w:val="40"/>
          <w:szCs w:val="40"/>
        </w:rPr>
      </w:pPr>
      <w:r w:rsidRPr="00C85763">
        <w:rPr>
          <w:rFonts w:ascii="Calibri" w:hAnsi="Calibri"/>
          <w:b/>
          <w:sz w:val="40"/>
          <w:szCs w:val="40"/>
        </w:rPr>
        <w:t>Relazione Pubblica di Valutazione</w:t>
      </w:r>
    </w:p>
    <w:p w14:paraId="00B60598" w14:textId="77777777" w:rsidR="004241AC" w:rsidRPr="00C85763" w:rsidRDefault="004241AC" w:rsidP="004241AC">
      <w:pPr>
        <w:autoSpaceDE w:val="0"/>
        <w:autoSpaceDN w:val="0"/>
        <w:adjustRightInd w:val="0"/>
        <w:spacing w:after="0" w:line="240" w:lineRule="auto"/>
        <w:jc w:val="center"/>
        <w:rPr>
          <w:rFonts w:ascii="Calibri" w:hAnsi="Calibri"/>
          <w:b/>
          <w:sz w:val="40"/>
          <w:szCs w:val="40"/>
        </w:rPr>
      </w:pPr>
    </w:p>
    <w:p w14:paraId="62014207" w14:textId="77777777" w:rsidR="00823F4C" w:rsidRPr="00C85763" w:rsidRDefault="00823F4C" w:rsidP="004241AC">
      <w:pPr>
        <w:autoSpaceDE w:val="0"/>
        <w:autoSpaceDN w:val="0"/>
        <w:adjustRightInd w:val="0"/>
        <w:spacing w:after="0" w:line="240" w:lineRule="auto"/>
        <w:jc w:val="center"/>
        <w:rPr>
          <w:rFonts w:ascii="Calibri" w:hAnsi="Calibri"/>
          <w:b/>
          <w:sz w:val="40"/>
          <w:szCs w:val="40"/>
        </w:rPr>
      </w:pPr>
    </w:p>
    <w:p w14:paraId="654EEE05" w14:textId="77777777" w:rsidR="004609F8" w:rsidRPr="00C85763" w:rsidRDefault="004609F8" w:rsidP="004241AC">
      <w:pPr>
        <w:autoSpaceDE w:val="0"/>
        <w:autoSpaceDN w:val="0"/>
        <w:adjustRightInd w:val="0"/>
        <w:spacing w:after="0" w:line="240" w:lineRule="auto"/>
        <w:jc w:val="center"/>
        <w:rPr>
          <w:rFonts w:ascii="Calibri" w:hAnsi="Calibri"/>
          <w:b/>
          <w:sz w:val="40"/>
          <w:szCs w:val="40"/>
        </w:rPr>
      </w:pPr>
    </w:p>
    <w:p w14:paraId="200E1534" w14:textId="4FC327C2" w:rsidR="00BF7A42" w:rsidRPr="00C85763" w:rsidRDefault="001E073A" w:rsidP="004241AC">
      <w:pPr>
        <w:widowControl w:val="0"/>
        <w:spacing w:after="0" w:line="240" w:lineRule="auto"/>
        <w:jc w:val="center"/>
        <w:rPr>
          <w:rFonts w:ascii="Calibri" w:hAnsi="Calibri"/>
          <w:b/>
          <w:sz w:val="40"/>
          <w:szCs w:val="40"/>
        </w:rPr>
      </w:pPr>
      <w:r w:rsidRPr="00C85763">
        <w:rPr>
          <w:rFonts w:ascii="Calibri" w:hAnsi="Calibri"/>
          <w:b/>
          <w:sz w:val="40"/>
          <w:szCs w:val="40"/>
        </w:rPr>
        <w:t>Ibumenol</w:t>
      </w:r>
    </w:p>
    <w:p w14:paraId="57502822" w14:textId="77777777" w:rsidR="004609F8" w:rsidRPr="00C85763" w:rsidRDefault="004609F8" w:rsidP="004241AC">
      <w:pPr>
        <w:widowControl w:val="0"/>
        <w:spacing w:after="0" w:line="240" w:lineRule="auto"/>
        <w:jc w:val="center"/>
        <w:rPr>
          <w:rFonts w:ascii="Calibri" w:hAnsi="Calibri"/>
          <w:snapToGrid w:val="0"/>
          <w:sz w:val="40"/>
          <w:szCs w:val="40"/>
        </w:rPr>
      </w:pPr>
    </w:p>
    <w:p w14:paraId="39207BB1" w14:textId="733F37E0" w:rsidR="004241AC" w:rsidRPr="00C85763" w:rsidRDefault="001E073A" w:rsidP="004241AC">
      <w:pPr>
        <w:widowControl w:val="0"/>
        <w:spacing w:after="0" w:line="240" w:lineRule="auto"/>
        <w:jc w:val="center"/>
        <w:rPr>
          <w:rFonts w:ascii="Calibri" w:hAnsi="Calibri" w:cstheme="minorHAnsi"/>
          <w:sz w:val="32"/>
          <w:szCs w:val="32"/>
        </w:rPr>
      </w:pPr>
      <w:r w:rsidRPr="00C85763">
        <w:rPr>
          <w:rFonts w:ascii="Calibri" w:hAnsi="Calibri" w:cstheme="minorHAnsi"/>
          <w:sz w:val="32"/>
          <w:szCs w:val="32"/>
        </w:rPr>
        <w:t>Ibuprofene</w:t>
      </w:r>
    </w:p>
    <w:p w14:paraId="2E35F8E3" w14:textId="77777777" w:rsidR="003928A0" w:rsidRPr="00C85763" w:rsidRDefault="003928A0" w:rsidP="004241AC">
      <w:pPr>
        <w:widowControl w:val="0"/>
        <w:spacing w:after="0" w:line="240" w:lineRule="auto"/>
        <w:jc w:val="center"/>
        <w:rPr>
          <w:rFonts w:ascii="Calibri" w:hAnsi="Calibri" w:cstheme="minorHAnsi"/>
          <w:sz w:val="32"/>
          <w:szCs w:val="32"/>
        </w:rPr>
      </w:pPr>
    </w:p>
    <w:p w14:paraId="6799F028" w14:textId="469EA930" w:rsidR="003928A0" w:rsidRPr="00C85763" w:rsidRDefault="00C85763" w:rsidP="00ED2355">
      <w:pPr>
        <w:keepNext/>
        <w:jc w:val="center"/>
        <w:outlineLvl w:val="0"/>
        <w:rPr>
          <w:rFonts w:ascii="Calibri" w:hAnsi="Calibri"/>
          <w:snapToGrid w:val="0"/>
          <w:sz w:val="32"/>
          <w:szCs w:val="32"/>
        </w:rPr>
      </w:pPr>
      <w:r w:rsidRPr="00C85763">
        <w:rPr>
          <w:rFonts w:ascii="Calibri" w:hAnsi="Calibri" w:cstheme="minorHAnsi"/>
          <w:bCs/>
          <w:sz w:val="32"/>
          <w:szCs w:val="32"/>
        </w:rPr>
        <w:t>400 mg compress</w:t>
      </w:r>
      <w:r w:rsidR="00F039D9">
        <w:rPr>
          <w:rFonts w:ascii="Calibri" w:hAnsi="Calibri" w:cstheme="minorHAnsi"/>
          <w:bCs/>
          <w:sz w:val="32"/>
          <w:szCs w:val="32"/>
        </w:rPr>
        <w:t>e</w:t>
      </w:r>
      <w:r w:rsidRPr="00C85763">
        <w:rPr>
          <w:rFonts w:ascii="Calibri" w:hAnsi="Calibri" w:cstheme="minorHAnsi"/>
          <w:bCs/>
          <w:sz w:val="32"/>
          <w:szCs w:val="32"/>
        </w:rPr>
        <w:t xml:space="preserve"> rivestit</w:t>
      </w:r>
      <w:r w:rsidR="00F039D9">
        <w:rPr>
          <w:rFonts w:ascii="Calibri" w:hAnsi="Calibri" w:cstheme="minorHAnsi"/>
          <w:bCs/>
          <w:sz w:val="32"/>
          <w:szCs w:val="32"/>
        </w:rPr>
        <w:t>e</w:t>
      </w:r>
      <w:r w:rsidRPr="00C85763">
        <w:rPr>
          <w:rFonts w:ascii="Calibri" w:hAnsi="Calibri" w:cstheme="minorHAnsi"/>
          <w:bCs/>
          <w:sz w:val="32"/>
          <w:szCs w:val="32"/>
        </w:rPr>
        <w:t xml:space="preserve"> con film</w:t>
      </w:r>
    </w:p>
    <w:p w14:paraId="179F2A9E" w14:textId="77777777" w:rsidR="004241AC" w:rsidRPr="00C85763" w:rsidRDefault="004241AC" w:rsidP="004241AC">
      <w:pPr>
        <w:autoSpaceDE w:val="0"/>
        <w:autoSpaceDN w:val="0"/>
        <w:adjustRightInd w:val="0"/>
        <w:spacing w:after="0" w:line="240" w:lineRule="auto"/>
        <w:jc w:val="center"/>
        <w:rPr>
          <w:rFonts w:ascii="Calibri" w:hAnsi="Calibri"/>
          <w:b/>
          <w:sz w:val="40"/>
          <w:szCs w:val="40"/>
        </w:rPr>
      </w:pPr>
    </w:p>
    <w:p w14:paraId="50329B15" w14:textId="77777777" w:rsidR="004609F8" w:rsidRPr="00C85763" w:rsidRDefault="004609F8" w:rsidP="004241AC">
      <w:pPr>
        <w:autoSpaceDE w:val="0"/>
        <w:autoSpaceDN w:val="0"/>
        <w:adjustRightInd w:val="0"/>
        <w:spacing w:after="0" w:line="240" w:lineRule="auto"/>
        <w:jc w:val="center"/>
        <w:rPr>
          <w:rFonts w:ascii="Calibri" w:hAnsi="Calibri"/>
          <w:b/>
          <w:sz w:val="40"/>
          <w:szCs w:val="40"/>
        </w:rPr>
      </w:pPr>
    </w:p>
    <w:p w14:paraId="19688B14" w14:textId="1793868D" w:rsidR="00BF2995" w:rsidRPr="00C85763" w:rsidRDefault="00C85763" w:rsidP="00BF2995">
      <w:pPr>
        <w:spacing w:after="0" w:line="240" w:lineRule="auto"/>
        <w:jc w:val="center"/>
        <w:rPr>
          <w:rFonts w:ascii="Calibri" w:hAnsi="Calibri"/>
          <w:b/>
          <w:sz w:val="32"/>
          <w:szCs w:val="32"/>
        </w:rPr>
      </w:pPr>
      <w:r w:rsidRPr="00C85763">
        <w:rPr>
          <w:rFonts w:ascii="Calibri" w:hAnsi="Calibri"/>
          <w:b/>
          <w:sz w:val="32"/>
          <w:szCs w:val="32"/>
        </w:rPr>
        <w:t>WELCOME PHARMA S.p.A.</w:t>
      </w:r>
    </w:p>
    <w:p w14:paraId="485ACA1F" w14:textId="541FAE5D" w:rsidR="00EC3589" w:rsidRPr="00C85763" w:rsidRDefault="00EC3589" w:rsidP="004241AC">
      <w:pPr>
        <w:spacing w:after="0" w:line="240" w:lineRule="auto"/>
        <w:jc w:val="center"/>
        <w:rPr>
          <w:rFonts w:ascii="Calibri" w:hAnsi="Calibri"/>
          <w:b/>
          <w:sz w:val="40"/>
          <w:szCs w:val="40"/>
        </w:rPr>
      </w:pPr>
    </w:p>
    <w:p w14:paraId="5E08D4E3" w14:textId="77777777" w:rsidR="004609F8" w:rsidRPr="00C85763" w:rsidRDefault="004609F8" w:rsidP="004241AC">
      <w:pPr>
        <w:spacing w:after="0" w:line="240" w:lineRule="auto"/>
        <w:jc w:val="center"/>
        <w:rPr>
          <w:rFonts w:ascii="Calibri" w:hAnsi="Calibri"/>
          <w:b/>
          <w:sz w:val="40"/>
          <w:szCs w:val="40"/>
        </w:rPr>
      </w:pPr>
    </w:p>
    <w:p w14:paraId="13DBE933" w14:textId="77777777" w:rsidR="00222523" w:rsidRPr="00C85763" w:rsidRDefault="00222523" w:rsidP="004241AC">
      <w:pPr>
        <w:spacing w:after="0" w:line="240" w:lineRule="auto"/>
        <w:jc w:val="center"/>
        <w:rPr>
          <w:rFonts w:ascii="Calibri" w:hAnsi="Calibri"/>
          <w:b/>
          <w:sz w:val="40"/>
          <w:szCs w:val="40"/>
        </w:rPr>
      </w:pPr>
    </w:p>
    <w:p w14:paraId="768E101B" w14:textId="77777777" w:rsidR="00222523" w:rsidRPr="00C85763" w:rsidRDefault="00222523" w:rsidP="004241AC">
      <w:pPr>
        <w:spacing w:after="0" w:line="240" w:lineRule="auto"/>
        <w:jc w:val="center"/>
        <w:rPr>
          <w:rFonts w:ascii="Calibri" w:hAnsi="Calibri"/>
          <w:b/>
          <w:sz w:val="40"/>
          <w:szCs w:val="40"/>
        </w:rPr>
      </w:pPr>
    </w:p>
    <w:p w14:paraId="430CE00F" w14:textId="0CB33CF1" w:rsidR="004241AC" w:rsidRPr="00C85763" w:rsidRDefault="004241AC" w:rsidP="004241AC">
      <w:pPr>
        <w:spacing w:after="0" w:line="240" w:lineRule="auto"/>
        <w:jc w:val="center"/>
        <w:rPr>
          <w:rFonts w:ascii="Calibri" w:hAnsi="Calibri" w:cs="Helvetica"/>
          <w:b/>
          <w:sz w:val="40"/>
          <w:szCs w:val="40"/>
        </w:rPr>
      </w:pPr>
      <w:r w:rsidRPr="00C85763">
        <w:rPr>
          <w:rFonts w:ascii="Calibri" w:hAnsi="Calibri"/>
          <w:b/>
          <w:sz w:val="40"/>
          <w:szCs w:val="40"/>
        </w:rPr>
        <w:t xml:space="preserve">Numero di AIC: </w:t>
      </w:r>
      <w:r w:rsidR="00C85763" w:rsidRPr="00C85763">
        <w:rPr>
          <w:rFonts w:ascii="Calibri" w:hAnsi="Calibri" w:cs="Helvetica"/>
          <w:b/>
          <w:sz w:val="40"/>
          <w:szCs w:val="40"/>
        </w:rPr>
        <w:t>046780</w:t>
      </w:r>
    </w:p>
    <w:p w14:paraId="5FFC69DA" w14:textId="77777777" w:rsidR="00797416" w:rsidRPr="00C85763" w:rsidRDefault="00797416" w:rsidP="004241AC">
      <w:pPr>
        <w:spacing w:after="0" w:line="240" w:lineRule="auto"/>
        <w:jc w:val="center"/>
        <w:rPr>
          <w:rFonts w:ascii="Calibri" w:hAnsi="Calibri"/>
          <w:b/>
        </w:rPr>
      </w:pPr>
    </w:p>
    <w:bookmarkEnd w:id="0"/>
    <w:p w14:paraId="7175B831" w14:textId="77777777" w:rsidR="003928A0" w:rsidRPr="00FF528B" w:rsidRDefault="003928A0">
      <w:pPr>
        <w:rPr>
          <w:rFonts w:ascii="Calibri" w:hAnsi="Calibri"/>
          <w:b/>
          <w:highlight w:val="yellow"/>
        </w:rPr>
      </w:pPr>
      <w:r w:rsidRPr="00FF528B">
        <w:rPr>
          <w:rFonts w:ascii="Calibri" w:hAnsi="Calibri"/>
          <w:b/>
          <w:highlight w:val="yellow"/>
        </w:rPr>
        <w:br w:type="page"/>
      </w:r>
    </w:p>
    <w:p w14:paraId="4C283480" w14:textId="3CA2AD33" w:rsidR="004E5A39" w:rsidRPr="00FF528B" w:rsidRDefault="00462CDC" w:rsidP="004241AC">
      <w:pPr>
        <w:spacing w:after="0" w:line="240" w:lineRule="auto"/>
        <w:jc w:val="center"/>
        <w:rPr>
          <w:rFonts w:ascii="Calibri" w:hAnsi="Calibri"/>
          <w:b/>
          <w:highlight w:val="yellow"/>
        </w:rPr>
      </w:pPr>
      <w:r>
        <w:rPr>
          <w:rFonts w:ascii="Calibri" w:hAnsi="Calibri"/>
          <w:b/>
          <w:noProof/>
          <w:color w:val="808080"/>
          <w:sz w:val="20"/>
          <w:szCs w:val="20"/>
        </w:rPr>
        <w:lastRenderedPageBreak/>
        <w:drawing>
          <wp:inline distT="0" distB="0" distL="0" distR="0" wp14:anchorId="47DB5245" wp14:editId="43F00B9D">
            <wp:extent cx="2542002" cy="944815"/>
            <wp:effectExtent l="0" t="0" r="0" b="0"/>
            <wp:docPr id="21" name="Immagin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pic:cNvPicPr>
                      <a:picLocks/>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542002" cy="944815"/>
                    </a:xfrm>
                    <a:prstGeom prst="rect">
                      <a:avLst/>
                    </a:prstGeom>
                    <a:noFill/>
                    <a:ln>
                      <a:noFill/>
                    </a:ln>
                  </pic:spPr>
                </pic:pic>
              </a:graphicData>
            </a:graphic>
          </wp:inline>
        </w:drawing>
      </w:r>
    </w:p>
    <w:p w14:paraId="3D72E05A" w14:textId="77777777" w:rsidR="00222523" w:rsidRPr="0014735C" w:rsidRDefault="00222523" w:rsidP="004241AC">
      <w:pPr>
        <w:spacing w:after="0" w:line="240" w:lineRule="auto"/>
        <w:jc w:val="center"/>
        <w:rPr>
          <w:rFonts w:ascii="Calibri" w:hAnsi="Calibri"/>
          <w:b/>
        </w:rPr>
      </w:pPr>
    </w:p>
    <w:p w14:paraId="7B15ABF7" w14:textId="77777777" w:rsidR="004E5A39" w:rsidRPr="0014735C" w:rsidRDefault="004E5A39" w:rsidP="004E5A39">
      <w:pPr>
        <w:autoSpaceDE w:val="0"/>
        <w:autoSpaceDN w:val="0"/>
        <w:adjustRightInd w:val="0"/>
        <w:spacing w:after="0" w:line="240" w:lineRule="auto"/>
        <w:jc w:val="center"/>
        <w:rPr>
          <w:rFonts w:ascii="Calibri" w:eastAsia="Calibri" w:hAnsi="Calibri" w:cs="Calibri"/>
          <w:b/>
          <w:color w:val="000000"/>
          <w:sz w:val="28"/>
          <w:szCs w:val="28"/>
        </w:rPr>
      </w:pPr>
      <w:r w:rsidRPr="0014735C">
        <w:rPr>
          <w:rFonts w:ascii="Calibri" w:eastAsia="Calibri" w:hAnsi="Calibri" w:cs="Calibri"/>
          <w:b/>
          <w:color w:val="000000"/>
          <w:sz w:val="28"/>
          <w:szCs w:val="28"/>
        </w:rPr>
        <w:t>RIASSUNTO DELLA RELAZIONE PUBBLICA DI VALUTAZIONE</w:t>
      </w:r>
    </w:p>
    <w:p w14:paraId="097329AE" w14:textId="77777777" w:rsidR="004E5A39" w:rsidRPr="0014735C" w:rsidRDefault="004E5A39" w:rsidP="004241AC">
      <w:pPr>
        <w:autoSpaceDE w:val="0"/>
        <w:autoSpaceDN w:val="0"/>
        <w:adjustRightInd w:val="0"/>
        <w:spacing w:after="0" w:line="240" w:lineRule="auto"/>
        <w:jc w:val="both"/>
        <w:rPr>
          <w:rFonts w:ascii="Calibri" w:eastAsia="Calibri" w:hAnsi="Calibri" w:cs="Calibri"/>
          <w:color w:val="000000"/>
        </w:rPr>
      </w:pPr>
    </w:p>
    <w:p w14:paraId="2212B0EF" w14:textId="720EA658" w:rsidR="00BB2AF8" w:rsidRPr="0014735C" w:rsidRDefault="00BB2AF8" w:rsidP="00BB2AF8">
      <w:pPr>
        <w:autoSpaceDE w:val="0"/>
        <w:autoSpaceDN w:val="0"/>
        <w:adjustRightInd w:val="0"/>
        <w:spacing w:after="0" w:line="240" w:lineRule="auto"/>
        <w:jc w:val="both"/>
        <w:rPr>
          <w:rFonts w:ascii="Calibri" w:eastAsia="Calibri" w:hAnsi="Calibri" w:cs="Calibri"/>
          <w:bCs/>
          <w:color w:val="000000"/>
        </w:rPr>
      </w:pPr>
      <w:r w:rsidRPr="0014735C">
        <w:rPr>
          <w:rFonts w:ascii="Calibri" w:eastAsia="Calibri" w:hAnsi="Calibri" w:cs="Calibri"/>
          <w:color w:val="000000"/>
        </w:rPr>
        <w:t xml:space="preserve">Questa è la sintesi del </w:t>
      </w:r>
      <w:r w:rsidRPr="0014735C">
        <w:rPr>
          <w:rFonts w:ascii="Calibri" w:eastAsia="Calibri" w:hAnsi="Calibri" w:cs="Calibri"/>
          <w:i/>
          <w:color w:val="000000"/>
        </w:rPr>
        <w:t>Public Assessment Report</w:t>
      </w:r>
      <w:r w:rsidRPr="0014735C">
        <w:rPr>
          <w:rFonts w:ascii="Calibri" w:eastAsia="Calibri" w:hAnsi="Calibri" w:cs="Calibri"/>
          <w:color w:val="000000"/>
        </w:rPr>
        <w:t xml:space="preserve"> (PAR) per </w:t>
      </w:r>
      <w:r w:rsidR="0014735C" w:rsidRPr="0014735C">
        <w:rPr>
          <w:rFonts w:ascii="Calibri" w:eastAsia="Calibri" w:hAnsi="Calibri" w:cs="Calibri"/>
          <w:color w:val="000000"/>
        </w:rPr>
        <w:t>IBUMENOL</w:t>
      </w:r>
      <w:r w:rsidRPr="0014735C">
        <w:rPr>
          <w:rFonts w:ascii="Calibri" w:eastAsia="Calibri" w:hAnsi="Calibri" w:cs="Calibri"/>
          <w:color w:val="000000"/>
        </w:rPr>
        <w:t>.</w:t>
      </w:r>
      <w:r w:rsidRPr="0014735C">
        <w:rPr>
          <w:rFonts w:ascii="Calibri" w:eastAsia="Calibri" w:hAnsi="Calibri" w:cs="Calibri"/>
          <w:bCs/>
          <w:color w:val="000000"/>
        </w:rPr>
        <w:t xml:space="preserve"> </w:t>
      </w:r>
      <w:r w:rsidRPr="0014735C">
        <w:rPr>
          <w:rFonts w:ascii="Calibri" w:eastAsia="Calibri" w:hAnsi="Calibri" w:cs="Calibri"/>
          <w:color w:val="000000"/>
        </w:rPr>
        <w:t xml:space="preserve">Esso spiega come </w:t>
      </w:r>
      <w:r w:rsidR="0014735C" w:rsidRPr="0014735C">
        <w:rPr>
          <w:rFonts w:ascii="Calibri" w:eastAsia="Calibri" w:hAnsi="Calibri" w:cs="Calibri"/>
          <w:color w:val="000000"/>
        </w:rPr>
        <w:t>IBUMENOL</w:t>
      </w:r>
      <w:r w:rsidRPr="0014735C">
        <w:rPr>
          <w:rFonts w:ascii="Calibri" w:eastAsia="Calibri" w:hAnsi="Calibri" w:cs="Calibri"/>
          <w:color w:val="000000"/>
        </w:rPr>
        <w:t xml:space="preserve"> è stato valutato dalla Commissione Tecnico-Scientifica (CTS) e le sue condizioni di impiego. Non intende fornire consigli pratici su come utilizzare </w:t>
      </w:r>
      <w:r w:rsidR="0014735C" w:rsidRPr="0014735C">
        <w:rPr>
          <w:rFonts w:ascii="Calibri" w:eastAsia="Calibri" w:hAnsi="Calibri" w:cs="Calibri"/>
          <w:color w:val="000000"/>
        </w:rPr>
        <w:t>IBUMENOL</w:t>
      </w:r>
      <w:r w:rsidRPr="0014735C">
        <w:rPr>
          <w:rFonts w:ascii="Calibri" w:eastAsia="Calibri" w:hAnsi="Calibri" w:cs="Calibri"/>
          <w:bCs/>
          <w:color w:val="000000"/>
        </w:rPr>
        <w:t>.</w:t>
      </w:r>
    </w:p>
    <w:p w14:paraId="421A878F" w14:textId="0FDC1B77" w:rsidR="00BB2AF8" w:rsidRPr="0014735C" w:rsidRDefault="00BB2AF8" w:rsidP="00BB2AF8">
      <w:pPr>
        <w:autoSpaceDE w:val="0"/>
        <w:autoSpaceDN w:val="0"/>
        <w:adjustRightInd w:val="0"/>
        <w:spacing w:after="0" w:line="240" w:lineRule="auto"/>
        <w:jc w:val="both"/>
        <w:rPr>
          <w:rFonts w:ascii="Calibri" w:eastAsia="Calibri" w:hAnsi="Calibri" w:cs="Calibri"/>
          <w:color w:val="000000"/>
        </w:rPr>
      </w:pPr>
      <w:r w:rsidRPr="0014735C">
        <w:rPr>
          <w:rFonts w:ascii="Calibri" w:eastAsia="Calibri" w:hAnsi="Calibri" w:cs="Calibri"/>
          <w:color w:val="000000"/>
        </w:rPr>
        <w:t>Per informazioni pratiche sull'utilizzo di</w:t>
      </w:r>
      <w:r w:rsidRPr="0014735C">
        <w:rPr>
          <w:rFonts w:ascii="Calibri" w:eastAsia="Calibri" w:hAnsi="Calibri" w:cs="Calibri"/>
          <w:bCs/>
          <w:color w:val="000000"/>
        </w:rPr>
        <w:t xml:space="preserve"> </w:t>
      </w:r>
      <w:r w:rsidR="0014735C" w:rsidRPr="0014735C">
        <w:rPr>
          <w:rFonts w:ascii="Calibri" w:eastAsia="Calibri" w:hAnsi="Calibri" w:cs="Calibri"/>
          <w:color w:val="000000"/>
        </w:rPr>
        <w:t>IBUMENOL</w:t>
      </w:r>
      <w:r w:rsidR="00A1072E" w:rsidRPr="0014735C">
        <w:rPr>
          <w:rFonts w:ascii="Calibri" w:eastAsia="Calibri" w:hAnsi="Calibri" w:cs="Calibri"/>
          <w:color w:val="000000"/>
        </w:rPr>
        <w:t xml:space="preserve"> </w:t>
      </w:r>
      <w:r w:rsidRPr="0014735C">
        <w:rPr>
          <w:rFonts w:ascii="Calibri" w:eastAsia="Calibri" w:hAnsi="Calibri" w:cs="Calibri"/>
          <w:color w:val="000000"/>
        </w:rPr>
        <w:t xml:space="preserve">i pazienti devono consultare il foglio illustrativo o contattare </w:t>
      </w:r>
      <w:r w:rsidR="00B42F18">
        <w:rPr>
          <w:rFonts w:ascii="Calibri" w:eastAsia="Calibri" w:hAnsi="Calibri" w:cs="Calibri"/>
          <w:color w:val="000000"/>
        </w:rPr>
        <w:t>il loro medico o il farmacista.</w:t>
      </w:r>
    </w:p>
    <w:p w14:paraId="3F9A043B" w14:textId="77777777" w:rsidR="00BB2AF8" w:rsidRPr="0014735C" w:rsidRDefault="00BB2AF8" w:rsidP="00BB2AF8">
      <w:pPr>
        <w:autoSpaceDE w:val="0"/>
        <w:autoSpaceDN w:val="0"/>
        <w:adjustRightInd w:val="0"/>
        <w:spacing w:after="0" w:line="240" w:lineRule="auto"/>
        <w:jc w:val="both"/>
        <w:rPr>
          <w:rFonts w:ascii="Calibri" w:eastAsia="Calibri" w:hAnsi="Calibri" w:cs="Calibri"/>
          <w:color w:val="000000"/>
        </w:rPr>
      </w:pPr>
    </w:p>
    <w:p w14:paraId="12A12D38" w14:textId="70DAFDCF" w:rsidR="00BB2AF8" w:rsidRPr="008216E0" w:rsidRDefault="00BB2AF8" w:rsidP="00BB2AF8">
      <w:pPr>
        <w:autoSpaceDE w:val="0"/>
        <w:autoSpaceDN w:val="0"/>
        <w:adjustRightInd w:val="0"/>
        <w:spacing w:after="0" w:line="240" w:lineRule="auto"/>
        <w:jc w:val="both"/>
        <w:rPr>
          <w:rFonts w:ascii="Calibri" w:eastAsia="Calibri" w:hAnsi="Calibri" w:cs="Calibri"/>
          <w:b/>
          <w:color w:val="000000"/>
        </w:rPr>
      </w:pPr>
      <w:r w:rsidRPr="008216E0">
        <w:rPr>
          <w:rFonts w:ascii="Calibri" w:eastAsia="Calibri" w:hAnsi="Calibri" w:cs="Calibri"/>
          <w:b/>
          <w:bCs/>
          <w:color w:val="000000"/>
        </w:rPr>
        <w:t xml:space="preserve">1) CHE COS’È </w:t>
      </w:r>
      <w:r w:rsidR="00E52B80">
        <w:rPr>
          <w:rFonts w:ascii="Calibri" w:eastAsia="Calibri" w:hAnsi="Calibri" w:cs="Calibri"/>
          <w:b/>
          <w:color w:val="000000"/>
        </w:rPr>
        <w:t>IBUMENOL</w:t>
      </w:r>
      <w:r w:rsidR="00797416" w:rsidRPr="008216E0">
        <w:rPr>
          <w:rFonts w:ascii="Calibri" w:eastAsia="Calibri" w:hAnsi="Calibri" w:cs="Calibri"/>
          <w:b/>
          <w:color w:val="000000"/>
        </w:rPr>
        <w:t xml:space="preserve"> </w:t>
      </w:r>
      <w:r w:rsidRPr="008216E0">
        <w:rPr>
          <w:rFonts w:ascii="Calibri" w:eastAsia="Calibri" w:hAnsi="Calibri" w:cs="Calibri"/>
          <w:b/>
          <w:bCs/>
          <w:color w:val="000000"/>
        </w:rPr>
        <w:t xml:space="preserve">E A COSA SERVE? </w:t>
      </w:r>
    </w:p>
    <w:p w14:paraId="4C507264" w14:textId="0BA3E174" w:rsidR="00E84D38" w:rsidRPr="008216E0" w:rsidRDefault="007277A2" w:rsidP="003928A0">
      <w:pPr>
        <w:widowControl w:val="0"/>
        <w:spacing w:after="0" w:line="240" w:lineRule="auto"/>
        <w:jc w:val="both"/>
        <w:rPr>
          <w:rFonts w:ascii="Calibri" w:eastAsia="Calibri" w:hAnsi="Calibri" w:cs="Calibri"/>
          <w:color w:val="000000"/>
        </w:rPr>
      </w:pPr>
      <w:r w:rsidRPr="008216E0">
        <w:rPr>
          <w:rFonts w:ascii="Calibri" w:eastAsia="Calibri" w:hAnsi="Calibri" w:cs="Calibri"/>
          <w:color w:val="000000"/>
        </w:rPr>
        <w:t xml:space="preserve">IBUMENOL </w:t>
      </w:r>
      <w:r w:rsidR="00BB2AF8" w:rsidRPr="008216E0">
        <w:rPr>
          <w:rFonts w:ascii="Calibri" w:eastAsia="Calibri" w:hAnsi="Calibri" w:cs="Calibri"/>
          <w:color w:val="000000"/>
        </w:rPr>
        <w:t>è un medicinale contenente il principio attivo</w:t>
      </w:r>
      <w:r w:rsidR="003928A0" w:rsidRPr="008216E0">
        <w:rPr>
          <w:rFonts w:ascii="Calibri" w:eastAsia="Calibri" w:hAnsi="Calibri" w:cs="Calibri"/>
          <w:color w:val="000000"/>
        </w:rPr>
        <w:t xml:space="preserve"> </w:t>
      </w:r>
      <w:r w:rsidR="008E7C61">
        <w:rPr>
          <w:rFonts w:ascii="Calibri" w:eastAsia="Calibri" w:hAnsi="Calibri" w:cs="Calibri"/>
          <w:color w:val="000000"/>
        </w:rPr>
        <w:t>i</w:t>
      </w:r>
      <w:r w:rsidRPr="008216E0">
        <w:rPr>
          <w:rFonts w:ascii="Calibri" w:eastAsia="Calibri" w:hAnsi="Calibri" w:cs="Calibri"/>
          <w:color w:val="000000"/>
        </w:rPr>
        <w:t>buprofene</w:t>
      </w:r>
      <w:r w:rsidR="00797416" w:rsidRPr="008216E0">
        <w:rPr>
          <w:rFonts w:ascii="Calibri" w:eastAsia="Calibri" w:hAnsi="Calibri" w:cs="Calibri"/>
          <w:color w:val="000000"/>
        </w:rPr>
        <w:t xml:space="preserve"> </w:t>
      </w:r>
      <w:r w:rsidR="00BB2AF8" w:rsidRPr="008216E0">
        <w:rPr>
          <w:rFonts w:ascii="Calibri" w:eastAsia="Calibri" w:hAnsi="Calibri" w:cs="Calibri"/>
          <w:color w:val="000000"/>
        </w:rPr>
        <w:t xml:space="preserve">ed </w:t>
      </w:r>
      <w:r w:rsidR="00797416" w:rsidRPr="008216E0">
        <w:rPr>
          <w:rFonts w:ascii="Calibri" w:eastAsia="Calibri" w:hAnsi="Calibri" w:cs="Calibri"/>
          <w:color w:val="000000"/>
        </w:rPr>
        <w:t>è disponibile come</w:t>
      </w:r>
      <w:r w:rsidR="003928A0" w:rsidRPr="008216E0">
        <w:rPr>
          <w:rFonts w:ascii="Calibri" w:eastAsia="Calibri" w:hAnsi="Calibri" w:cs="Calibri"/>
          <w:color w:val="000000"/>
        </w:rPr>
        <w:t xml:space="preserve"> </w:t>
      </w:r>
      <w:r w:rsidRPr="008216E0">
        <w:rPr>
          <w:rFonts w:ascii="Calibri" w:eastAsia="Calibri" w:hAnsi="Calibri" w:cs="Calibri"/>
          <w:color w:val="000000"/>
        </w:rPr>
        <w:t>compresse rivestite con film</w:t>
      </w:r>
      <w:r w:rsidR="005D0F7B" w:rsidRPr="008216E0">
        <w:rPr>
          <w:rFonts w:ascii="Calibri" w:eastAsia="Calibri" w:hAnsi="Calibri" w:cs="Calibri"/>
          <w:color w:val="000000"/>
        </w:rPr>
        <w:t xml:space="preserve"> </w:t>
      </w:r>
      <w:r w:rsidR="003928A0" w:rsidRPr="008216E0">
        <w:rPr>
          <w:rFonts w:ascii="Calibri" w:eastAsia="Calibri" w:hAnsi="Calibri" w:cs="Calibri"/>
          <w:color w:val="000000"/>
        </w:rPr>
        <w:t>contene</w:t>
      </w:r>
      <w:r w:rsidR="00ED2355" w:rsidRPr="008216E0">
        <w:rPr>
          <w:rFonts w:ascii="Calibri" w:eastAsia="Calibri" w:hAnsi="Calibri" w:cs="Calibri"/>
          <w:color w:val="000000"/>
        </w:rPr>
        <w:t>n</w:t>
      </w:r>
      <w:r w:rsidR="003928A0" w:rsidRPr="008216E0">
        <w:rPr>
          <w:rFonts w:ascii="Calibri" w:eastAsia="Calibri" w:hAnsi="Calibri" w:cs="Calibri"/>
          <w:color w:val="000000"/>
        </w:rPr>
        <w:t xml:space="preserve">ti ciascuna </w:t>
      </w:r>
      <w:r w:rsidRPr="008216E0">
        <w:rPr>
          <w:rFonts w:ascii="Calibri" w:eastAsia="Calibri" w:hAnsi="Calibri" w:cs="Calibri"/>
          <w:color w:val="000000"/>
        </w:rPr>
        <w:t>4</w:t>
      </w:r>
      <w:r w:rsidR="005D0F7B" w:rsidRPr="008216E0">
        <w:rPr>
          <w:rFonts w:ascii="Calibri" w:eastAsia="Calibri" w:hAnsi="Calibri" w:cs="Calibri"/>
          <w:color w:val="000000"/>
        </w:rPr>
        <w:t>00</w:t>
      </w:r>
      <w:r w:rsidR="003928A0" w:rsidRPr="008216E0">
        <w:rPr>
          <w:rFonts w:ascii="Calibri" w:eastAsia="Calibri" w:hAnsi="Calibri" w:cs="Calibri"/>
          <w:color w:val="000000"/>
        </w:rPr>
        <w:t xml:space="preserve"> mg di principio attivo.</w:t>
      </w:r>
    </w:p>
    <w:p w14:paraId="75D14DC1" w14:textId="6371D9F9" w:rsidR="001E1D83" w:rsidRDefault="001E1D83" w:rsidP="005D0F7B">
      <w:pPr>
        <w:widowControl w:val="0"/>
        <w:spacing w:after="0" w:line="240" w:lineRule="auto"/>
        <w:jc w:val="both"/>
        <w:rPr>
          <w:rFonts w:ascii="Calibri" w:eastAsia="Calibri" w:hAnsi="Calibri" w:cs="Calibri"/>
          <w:color w:val="000000"/>
        </w:rPr>
      </w:pPr>
      <w:r w:rsidRPr="001E1D83">
        <w:rPr>
          <w:rFonts w:ascii="Calibri" w:eastAsia="Calibri" w:hAnsi="Calibri" w:cs="Calibri"/>
          <w:color w:val="000000"/>
        </w:rPr>
        <w:t xml:space="preserve">IBUMENOL è un “medicinale generico”, cioè è analogo ad un “medicinale di riferimento”, </w:t>
      </w:r>
      <w:r>
        <w:rPr>
          <w:rFonts w:ascii="Calibri" w:eastAsia="Calibri" w:hAnsi="Calibri" w:cs="Calibri"/>
          <w:color w:val="000000"/>
        </w:rPr>
        <w:t>BRUFEN</w:t>
      </w:r>
      <w:r w:rsidRPr="001E1D83">
        <w:rPr>
          <w:rFonts w:ascii="Calibri" w:eastAsia="Calibri" w:hAnsi="Calibri" w:cs="Calibri"/>
          <w:color w:val="000000"/>
        </w:rPr>
        <w:t>, già autorizzato in Italia.</w:t>
      </w:r>
    </w:p>
    <w:p w14:paraId="350E6FBF" w14:textId="0B6D292D" w:rsidR="005D0F7B" w:rsidRPr="008216E0" w:rsidRDefault="008216E0" w:rsidP="005D0F7B">
      <w:pPr>
        <w:widowControl w:val="0"/>
        <w:spacing w:after="0" w:line="240" w:lineRule="auto"/>
        <w:jc w:val="both"/>
        <w:rPr>
          <w:rFonts w:ascii="Calibri" w:eastAsia="Calibri" w:hAnsi="Calibri" w:cs="Calibri"/>
          <w:color w:val="000000"/>
        </w:rPr>
      </w:pPr>
      <w:r w:rsidRPr="008216E0">
        <w:rPr>
          <w:rFonts w:ascii="Calibri" w:eastAsia="Calibri" w:hAnsi="Calibri" w:cs="Calibri"/>
          <w:color w:val="000000"/>
        </w:rPr>
        <w:t xml:space="preserve">IBUMENOL </w:t>
      </w:r>
      <w:r w:rsidR="00ED2355" w:rsidRPr="008216E0">
        <w:rPr>
          <w:rFonts w:ascii="Calibri" w:eastAsia="Calibri" w:hAnsi="Calibri" w:cs="Calibri"/>
          <w:color w:val="000000"/>
        </w:rPr>
        <w:t xml:space="preserve">è </w:t>
      </w:r>
      <w:r w:rsidR="00B72380" w:rsidRPr="008216E0">
        <w:rPr>
          <w:rFonts w:ascii="Calibri" w:eastAsia="Calibri" w:hAnsi="Calibri" w:cs="Calibri"/>
          <w:color w:val="000000"/>
        </w:rPr>
        <w:t>utilizzato per</w:t>
      </w:r>
      <w:r w:rsidR="005F6388" w:rsidRPr="008216E0">
        <w:rPr>
          <w:rFonts w:ascii="Calibri" w:eastAsia="Calibri" w:hAnsi="Calibri" w:cs="Calibri"/>
          <w:color w:val="000000"/>
        </w:rPr>
        <w:t xml:space="preserve"> le seguenti indicazioni terapeutiche:</w:t>
      </w:r>
    </w:p>
    <w:p w14:paraId="7AD3BACE" w14:textId="77777777" w:rsidR="008216E0" w:rsidRPr="008216E0" w:rsidRDefault="008216E0" w:rsidP="008216E0">
      <w:pPr>
        <w:widowControl w:val="0"/>
        <w:spacing w:after="0" w:line="240" w:lineRule="auto"/>
        <w:jc w:val="both"/>
        <w:rPr>
          <w:rFonts w:ascii="Calibri" w:hAnsi="Calibri" w:cstheme="minorHAnsi"/>
          <w:bCs/>
        </w:rPr>
      </w:pPr>
      <w:r w:rsidRPr="008216E0">
        <w:rPr>
          <w:rFonts w:ascii="Calibri" w:hAnsi="Calibri" w:cstheme="minorHAnsi"/>
          <w:bCs/>
        </w:rPr>
        <w:t>Trattamento sintomatico di breve durata di dolori di intensità lieve-moderata, come cefalea, mal di denti e dismenorrea.</w:t>
      </w:r>
    </w:p>
    <w:p w14:paraId="27B26307" w14:textId="77777777" w:rsidR="008216E0" w:rsidRPr="008216E0" w:rsidRDefault="008216E0" w:rsidP="008216E0">
      <w:pPr>
        <w:widowControl w:val="0"/>
        <w:spacing w:after="0" w:line="240" w:lineRule="auto"/>
        <w:jc w:val="both"/>
        <w:rPr>
          <w:rFonts w:ascii="Calibri" w:hAnsi="Calibri" w:cstheme="minorHAnsi"/>
          <w:bCs/>
        </w:rPr>
      </w:pPr>
      <w:r w:rsidRPr="008216E0">
        <w:rPr>
          <w:rFonts w:ascii="Calibri" w:hAnsi="Calibri" w:cstheme="minorHAnsi"/>
          <w:bCs/>
        </w:rPr>
        <w:t>Trattamento sintomatico di breve durata della febbre.</w:t>
      </w:r>
    </w:p>
    <w:p w14:paraId="018DD67E" w14:textId="77777777" w:rsidR="008216E0" w:rsidRPr="008216E0" w:rsidRDefault="008216E0" w:rsidP="008216E0">
      <w:pPr>
        <w:widowControl w:val="0"/>
        <w:spacing w:after="0" w:line="240" w:lineRule="auto"/>
        <w:jc w:val="both"/>
        <w:rPr>
          <w:rFonts w:ascii="Calibri" w:hAnsi="Calibri" w:cstheme="minorHAnsi"/>
          <w:bCs/>
        </w:rPr>
      </w:pPr>
    </w:p>
    <w:p w14:paraId="396A562C" w14:textId="77777777" w:rsidR="008216E0" w:rsidRPr="008216E0" w:rsidRDefault="008216E0" w:rsidP="008216E0">
      <w:pPr>
        <w:widowControl w:val="0"/>
        <w:spacing w:after="0" w:line="240" w:lineRule="auto"/>
        <w:jc w:val="both"/>
        <w:rPr>
          <w:rFonts w:ascii="Calibri" w:hAnsi="Calibri" w:cstheme="minorHAnsi"/>
          <w:bCs/>
        </w:rPr>
      </w:pPr>
      <w:r w:rsidRPr="008216E0">
        <w:rPr>
          <w:rFonts w:ascii="Calibri" w:hAnsi="Calibri" w:cstheme="minorHAnsi"/>
          <w:bCs/>
        </w:rPr>
        <w:t>Raccomandato per adulti e adolescenti con peso corporeo pari o superiore a 40 kg (di età pari o superiore ai 12 anni).</w:t>
      </w:r>
    </w:p>
    <w:p w14:paraId="76BCDB75" w14:textId="77777777" w:rsidR="006B311C" w:rsidRPr="00F1234F" w:rsidRDefault="006B311C" w:rsidP="00BB2AF8">
      <w:pPr>
        <w:widowControl w:val="0"/>
        <w:spacing w:after="0" w:line="240" w:lineRule="auto"/>
        <w:jc w:val="both"/>
        <w:rPr>
          <w:rFonts w:ascii="Calibri" w:eastAsia="Calibri" w:hAnsi="Calibri" w:cs="Calibri"/>
          <w:color w:val="000000"/>
          <w:sz w:val="20"/>
        </w:rPr>
      </w:pPr>
    </w:p>
    <w:p w14:paraId="463C13F6" w14:textId="108E2385" w:rsidR="00797416" w:rsidRPr="006A6260" w:rsidRDefault="00300BEA" w:rsidP="00BB2AF8">
      <w:pPr>
        <w:widowControl w:val="0"/>
        <w:spacing w:after="0" w:line="240" w:lineRule="auto"/>
        <w:jc w:val="both"/>
        <w:rPr>
          <w:rFonts w:ascii="Calibri" w:eastAsia="Calibri" w:hAnsi="Calibri" w:cs="Calibri"/>
          <w:color w:val="000000"/>
        </w:rPr>
      </w:pPr>
      <w:r w:rsidRPr="006A6260">
        <w:rPr>
          <w:rFonts w:ascii="Calibri" w:eastAsia="Calibri" w:hAnsi="Calibri" w:cs="Calibri"/>
          <w:color w:val="000000"/>
        </w:rPr>
        <w:t>Sul sito dell’Agenzia Italiana del Farmaco (AIFA) (</w:t>
      </w:r>
      <w:hyperlink r:id="rId9" w:history="1">
        <w:r w:rsidRPr="006A6260">
          <w:rPr>
            <w:rStyle w:val="Collegamentoipertestuale"/>
            <w:rFonts w:ascii="Calibri" w:eastAsia="Calibri" w:hAnsi="Calibri" w:cs="Calibri"/>
          </w:rPr>
          <w:t>https://farmaci.agenziafarmaco.gov.it/bancadatifarmaci</w:t>
        </w:r>
      </w:hyperlink>
      <w:r w:rsidRPr="006A6260">
        <w:rPr>
          <w:rFonts w:ascii="Calibri" w:eastAsia="Calibri" w:hAnsi="Calibri" w:cs="Calibri"/>
        </w:rPr>
        <w:t>)</w:t>
      </w:r>
      <w:r w:rsidRPr="006A6260">
        <w:rPr>
          <w:rFonts w:ascii="Calibri" w:hAnsi="Calibri"/>
        </w:rPr>
        <w:t xml:space="preserve"> </w:t>
      </w:r>
      <w:r w:rsidRPr="006A6260">
        <w:rPr>
          <w:rFonts w:ascii="Calibri" w:eastAsia="Calibri" w:hAnsi="Calibri" w:cs="Calibri"/>
          <w:color w:val="000000"/>
        </w:rPr>
        <w:t xml:space="preserve">è possibile consultare il Riassunto delle caratteristiche del prodotto e il foglio illustrativo di </w:t>
      </w:r>
      <w:r w:rsidR="00E52B80" w:rsidRPr="006A6260">
        <w:rPr>
          <w:rFonts w:ascii="Calibri" w:eastAsia="Calibri" w:hAnsi="Calibri" w:cs="Calibri"/>
          <w:color w:val="000000"/>
        </w:rPr>
        <w:t>IBUMENOL</w:t>
      </w:r>
      <w:r w:rsidRPr="006A6260">
        <w:rPr>
          <w:rFonts w:ascii="Calibri" w:eastAsia="Calibri" w:hAnsi="Calibri" w:cs="Calibri"/>
          <w:color w:val="000000"/>
        </w:rPr>
        <w:t>.</w:t>
      </w:r>
    </w:p>
    <w:p w14:paraId="07D0FC54" w14:textId="22D36058" w:rsidR="00BB2AF8" w:rsidRPr="00F1234F" w:rsidRDefault="00BB2AF8" w:rsidP="00BB2AF8">
      <w:pPr>
        <w:autoSpaceDE w:val="0"/>
        <w:autoSpaceDN w:val="0"/>
        <w:adjustRightInd w:val="0"/>
        <w:spacing w:after="0" w:line="240" w:lineRule="auto"/>
        <w:jc w:val="both"/>
        <w:rPr>
          <w:rFonts w:ascii="Calibri" w:eastAsia="Calibri" w:hAnsi="Calibri" w:cs="Calibri"/>
          <w:bCs/>
          <w:color w:val="000000"/>
        </w:rPr>
      </w:pPr>
    </w:p>
    <w:p w14:paraId="776CD9E2" w14:textId="5A761441" w:rsidR="00BB2AF8" w:rsidRPr="00CF02CC" w:rsidRDefault="00BB2AF8" w:rsidP="001C15DF">
      <w:pPr>
        <w:autoSpaceDE w:val="0"/>
        <w:autoSpaceDN w:val="0"/>
        <w:adjustRightInd w:val="0"/>
        <w:spacing w:after="0" w:line="240" w:lineRule="auto"/>
        <w:jc w:val="both"/>
        <w:rPr>
          <w:rFonts w:ascii="Calibri" w:eastAsia="Calibri" w:hAnsi="Calibri" w:cs="Calibri"/>
          <w:color w:val="000000"/>
        </w:rPr>
      </w:pPr>
      <w:r w:rsidRPr="00CF02CC">
        <w:rPr>
          <w:rFonts w:ascii="Calibri" w:eastAsia="Calibri" w:hAnsi="Calibri" w:cs="Calibri"/>
          <w:b/>
          <w:bCs/>
          <w:color w:val="000000"/>
        </w:rPr>
        <w:t xml:space="preserve">2) COME </w:t>
      </w:r>
      <w:r w:rsidR="00A1072E" w:rsidRPr="00CF02CC">
        <w:rPr>
          <w:rFonts w:ascii="Calibri" w:eastAsia="Calibri" w:hAnsi="Calibri" w:cs="Calibri"/>
          <w:b/>
          <w:bCs/>
          <w:color w:val="000000"/>
        </w:rPr>
        <w:t xml:space="preserve">È </w:t>
      </w:r>
      <w:r w:rsidRPr="00CF02CC">
        <w:rPr>
          <w:rFonts w:ascii="Calibri" w:eastAsia="Calibri" w:hAnsi="Calibri" w:cs="Calibri"/>
          <w:b/>
          <w:bCs/>
          <w:color w:val="000000"/>
        </w:rPr>
        <w:t xml:space="preserve">PRESCRITTO/USATO </w:t>
      </w:r>
      <w:r w:rsidR="00E52B80" w:rsidRPr="00CF02CC">
        <w:rPr>
          <w:rFonts w:ascii="Calibri" w:hAnsi="Calibri"/>
          <w:b/>
        </w:rPr>
        <w:t>IBUMENOL</w:t>
      </w:r>
      <w:r w:rsidRPr="00CF02CC">
        <w:rPr>
          <w:rFonts w:ascii="Calibri" w:eastAsia="Calibri" w:hAnsi="Calibri" w:cs="Calibri"/>
          <w:b/>
          <w:bCs/>
          <w:color w:val="000000"/>
        </w:rPr>
        <w:t>?</w:t>
      </w:r>
    </w:p>
    <w:p w14:paraId="309EA062" w14:textId="0AF32298" w:rsidR="00427C1D" w:rsidRPr="00CF02CC" w:rsidRDefault="00E52B80" w:rsidP="00427C1D">
      <w:pPr>
        <w:widowControl w:val="0"/>
        <w:spacing w:after="0" w:line="240" w:lineRule="auto"/>
        <w:jc w:val="both"/>
        <w:rPr>
          <w:rFonts w:ascii="Calibri" w:eastAsia="Calibri" w:hAnsi="Calibri" w:cs="Calibri"/>
          <w:color w:val="000000"/>
        </w:rPr>
      </w:pPr>
      <w:r w:rsidRPr="00CF02CC">
        <w:rPr>
          <w:rFonts w:ascii="Calibri" w:eastAsia="Calibri" w:hAnsi="Calibri" w:cs="Calibri"/>
          <w:color w:val="000000"/>
        </w:rPr>
        <w:t>IBUMENOL</w:t>
      </w:r>
      <w:r w:rsidR="00300BEA" w:rsidRPr="00CF02CC">
        <w:rPr>
          <w:rFonts w:ascii="Calibri" w:eastAsia="Calibri" w:hAnsi="Calibri" w:cs="Calibri"/>
          <w:color w:val="000000"/>
        </w:rPr>
        <w:t xml:space="preserve"> </w:t>
      </w:r>
      <w:r w:rsidR="00427C1D" w:rsidRPr="00CF02CC">
        <w:rPr>
          <w:rFonts w:ascii="Calibri" w:eastAsia="Calibri" w:hAnsi="Calibri" w:cs="Calibri"/>
          <w:color w:val="000000"/>
        </w:rPr>
        <w:t xml:space="preserve">è un </w:t>
      </w:r>
      <w:r w:rsidR="009F3F03">
        <w:rPr>
          <w:rFonts w:ascii="Calibri" w:eastAsia="Calibri" w:hAnsi="Calibri" w:cs="Calibri"/>
          <w:color w:val="000000"/>
        </w:rPr>
        <w:t>medicinale</w:t>
      </w:r>
      <w:r w:rsidR="00CF02CC" w:rsidRPr="00CF02CC">
        <w:rPr>
          <w:rFonts w:ascii="Calibri" w:eastAsia="Calibri" w:hAnsi="Calibri" w:cs="Calibri"/>
          <w:color w:val="000000"/>
        </w:rPr>
        <w:t xml:space="preserve"> da banco o di automedicazione (OTC)</w:t>
      </w:r>
      <w:r w:rsidR="001C15DF" w:rsidRPr="00CF02CC">
        <w:rPr>
          <w:rFonts w:ascii="Calibri" w:eastAsia="Calibri" w:hAnsi="Calibri" w:cs="Calibri"/>
          <w:color w:val="000000"/>
        </w:rPr>
        <w:t>.</w:t>
      </w:r>
    </w:p>
    <w:p w14:paraId="7A9A0B8C" w14:textId="4B8A157E" w:rsidR="00616BFB" w:rsidRPr="00616BFB" w:rsidRDefault="00616BFB" w:rsidP="00616BFB">
      <w:pPr>
        <w:widowControl w:val="0"/>
        <w:spacing w:after="0" w:line="240" w:lineRule="auto"/>
        <w:jc w:val="both"/>
        <w:rPr>
          <w:rFonts w:ascii="Calibri" w:eastAsia="Calibri" w:hAnsi="Calibri" w:cs="Calibri"/>
          <w:color w:val="000000"/>
        </w:rPr>
      </w:pPr>
      <w:r>
        <w:rPr>
          <w:rFonts w:ascii="Calibri" w:eastAsia="Calibri" w:hAnsi="Calibri" w:cs="Calibri"/>
          <w:color w:val="000000"/>
        </w:rPr>
        <w:t xml:space="preserve">L’uso di </w:t>
      </w:r>
      <w:r w:rsidRPr="00616BFB">
        <w:rPr>
          <w:rFonts w:ascii="Calibri" w:eastAsia="Calibri" w:hAnsi="Calibri" w:cs="Calibri"/>
          <w:color w:val="000000"/>
        </w:rPr>
        <w:t xml:space="preserve">IBUMENOL </w:t>
      </w:r>
      <w:r>
        <w:rPr>
          <w:rFonts w:ascii="Calibri" w:eastAsia="Calibri" w:hAnsi="Calibri" w:cs="Calibri"/>
          <w:color w:val="000000"/>
        </w:rPr>
        <w:t>deve essere di breve durata.</w:t>
      </w:r>
    </w:p>
    <w:p w14:paraId="02B9F4F8" w14:textId="1E451884" w:rsidR="00616BFB" w:rsidRPr="00616BFB" w:rsidRDefault="00616BFB" w:rsidP="00616BFB">
      <w:pPr>
        <w:pStyle w:val="Paragrafoelenco"/>
        <w:widowControl w:val="0"/>
        <w:numPr>
          <w:ilvl w:val="0"/>
          <w:numId w:val="11"/>
        </w:numPr>
        <w:spacing w:after="0" w:line="240" w:lineRule="auto"/>
        <w:jc w:val="both"/>
        <w:rPr>
          <w:rFonts w:ascii="Calibri" w:eastAsia="Calibri" w:hAnsi="Calibri" w:cs="Calibri"/>
          <w:color w:val="000000"/>
        </w:rPr>
      </w:pPr>
      <w:r w:rsidRPr="00616BFB">
        <w:rPr>
          <w:rFonts w:ascii="Calibri" w:eastAsia="Calibri" w:hAnsi="Calibri" w:cs="Calibri"/>
          <w:color w:val="000000"/>
        </w:rPr>
        <w:t>La dose efficace più bassa deve essere usata per il periodo più breve necessario ad alleviare i sintomi.</w:t>
      </w:r>
    </w:p>
    <w:p w14:paraId="32F7925B" w14:textId="2DAD8D92" w:rsidR="00616BFB" w:rsidRPr="00616BFB" w:rsidRDefault="00616BFB" w:rsidP="00616BFB">
      <w:pPr>
        <w:pStyle w:val="Paragrafoelenco"/>
        <w:widowControl w:val="0"/>
        <w:numPr>
          <w:ilvl w:val="0"/>
          <w:numId w:val="11"/>
        </w:numPr>
        <w:spacing w:after="0" w:line="240" w:lineRule="auto"/>
        <w:jc w:val="both"/>
        <w:rPr>
          <w:rFonts w:ascii="Calibri" w:eastAsia="Calibri" w:hAnsi="Calibri" w:cs="Calibri"/>
          <w:color w:val="000000"/>
        </w:rPr>
      </w:pPr>
      <w:r w:rsidRPr="00616BFB">
        <w:rPr>
          <w:rFonts w:ascii="Calibri" w:eastAsia="Calibri" w:hAnsi="Calibri" w:cs="Calibri"/>
          <w:color w:val="000000"/>
        </w:rPr>
        <w:t>Gli adulti devono rivolgersi al medico se i sintomi peggiorano o se è richiesto l’uso del medicinale per più di 3 giorni in caso di febbre o più di 4 giorni in caso di dolore. Consultare il medico se negli adolescenti di età superiore ai 12 anni i sintomi peggiorano oppure se l’uso di questo medicinale è necessario per più di 3 giorni.</w:t>
      </w:r>
    </w:p>
    <w:p w14:paraId="5EB672BE" w14:textId="77777777" w:rsidR="00616BFB" w:rsidRPr="00616BFB" w:rsidRDefault="00616BFB" w:rsidP="00616BFB">
      <w:pPr>
        <w:widowControl w:val="0"/>
        <w:spacing w:after="0" w:line="240" w:lineRule="auto"/>
        <w:jc w:val="both"/>
        <w:rPr>
          <w:rFonts w:ascii="Calibri" w:eastAsia="Calibri" w:hAnsi="Calibri" w:cs="Calibri"/>
          <w:color w:val="000000"/>
        </w:rPr>
      </w:pPr>
    </w:p>
    <w:p w14:paraId="185CD105" w14:textId="6E0FAECD" w:rsidR="00616BFB" w:rsidRPr="00616BFB" w:rsidRDefault="00616BFB" w:rsidP="00616BFB">
      <w:pPr>
        <w:widowControl w:val="0"/>
        <w:spacing w:after="0" w:line="240" w:lineRule="auto"/>
        <w:jc w:val="both"/>
        <w:rPr>
          <w:rFonts w:ascii="Calibri" w:eastAsia="Calibri" w:hAnsi="Calibri" w:cs="Calibri"/>
          <w:color w:val="000000"/>
        </w:rPr>
      </w:pPr>
      <w:r w:rsidRPr="00616BFB">
        <w:rPr>
          <w:rFonts w:ascii="Calibri" w:eastAsia="Calibri" w:hAnsi="Calibri" w:cs="Calibri"/>
          <w:color w:val="000000"/>
        </w:rPr>
        <w:t>Adulti e adolescenti con peso corporeo pari o superiore a 40 kg (di e</w:t>
      </w:r>
      <w:r>
        <w:rPr>
          <w:rFonts w:ascii="Calibri" w:eastAsia="Calibri" w:hAnsi="Calibri" w:cs="Calibri"/>
          <w:color w:val="000000"/>
        </w:rPr>
        <w:t>tà pari o superiore ai 12 anni):</w:t>
      </w:r>
    </w:p>
    <w:p w14:paraId="3BCB792B" w14:textId="77777777" w:rsidR="00616BFB" w:rsidRPr="00616BFB" w:rsidRDefault="00616BFB" w:rsidP="00616BFB">
      <w:pPr>
        <w:pStyle w:val="Paragrafoelenco"/>
        <w:widowControl w:val="0"/>
        <w:numPr>
          <w:ilvl w:val="0"/>
          <w:numId w:val="11"/>
        </w:numPr>
        <w:spacing w:after="0" w:line="240" w:lineRule="auto"/>
        <w:jc w:val="both"/>
        <w:rPr>
          <w:rFonts w:ascii="Calibri" w:eastAsia="Calibri" w:hAnsi="Calibri" w:cs="Calibri"/>
          <w:color w:val="000000"/>
        </w:rPr>
      </w:pPr>
      <w:r w:rsidRPr="00616BFB">
        <w:rPr>
          <w:rFonts w:ascii="Calibri" w:eastAsia="Calibri" w:hAnsi="Calibri" w:cs="Calibri"/>
          <w:color w:val="000000"/>
        </w:rPr>
        <w:t xml:space="preserve">La dose iniziale è di 1 compressa di IBUMENOL 400 mg. Se necessario è possibile assumere una ulteriore compressa. L’ intervallo tra le dosi deve essere scelto in linea con i sintomi osservati e la massima dose giornaliera raccomandata e non deve essere inferiore a sei ore. Non superare la dose di 1200 mg (3 compresse di IBUMENOL 400 mg) nelle 24 ore. </w:t>
      </w:r>
    </w:p>
    <w:p w14:paraId="07F443FC" w14:textId="77777777" w:rsidR="00616BFB" w:rsidRPr="00616BFB" w:rsidRDefault="00616BFB" w:rsidP="00616BFB">
      <w:pPr>
        <w:widowControl w:val="0"/>
        <w:spacing w:after="0" w:line="240" w:lineRule="auto"/>
        <w:jc w:val="both"/>
        <w:rPr>
          <w:rFonts w:ascii="Calibri" w:eastAsia="Calibri" w:hAnsi="Calibri" w:cs="Calibri"/>
          <w:color w:val="000000"/>
        </w:rPr>
      </w:pPr>
    </w:p>
    <w:p w14:paraId="40E0DA76" w14:textId="28FA5969" w:rsidR="00616BFB" w:rsidRPr="00616BFB" w:rsidRDefault="00616BFB" w:rsidP="00616BFB">
      <w:pPr>
        <w:widowControl w:val="0"/>
        <w:spacing w:after="0" w:line="240" w:lineRule="auto"/>
        <w:jc w:val="both"/>
        <w:rPr>
          <w:rFonts w:ascii="Calibri" w:eastAsia="Calibri" w:hAnsi="Calibri" w:cs="Calibri"/>
          <w:color w:val="000000"/>
        </w:rPr>
      </w:pPr>
      <w:r w:rsidRPr="00616BFB">
        <w:rPr>
          <w:rFonts w:ascii="Calibri" w:eastAsia="Calibri" w:hAnsi="Calibri" w:cs="Calibri"/>
          <w:color w:val="000000"/>
        </w:rPr>
        <w:t>Bambini di età inferiore ai 12 anni e adolescenti co</w:t>
      </w:r>
      <w:r w:rsidR="00504796">
        <w:rPr>
          <w:rFonts w:ascii="Calibri" w:eastAsia="Calibri" w:hAnsi="Calibri" w:cs="Calibri"/>
          <w:color w:val="000000"/>
        </w:rPr>
        <w:t>n peso corporeo &lt; 40 kg:</w:t>
      </w:r>
    </w:p>
    <w:p w14:paraId="0D29B863" w14:textId="1172DB5A" w:rsidR="00616BFB" w:rsidRPr="00616BFB" w:rsidRDefault="00616BFB" w:rsidP="00616BFB">
      <w:pPr>
        <w:pStyle w:val="Paragrafoelenco"/>
        <w:widowControl w:val="0"/>
        <w:numPr>
          <w:ilvl w:val="0"/>
          <w:numId w:val="11"/>
        </w:numPr>
        <w:spacing w:after="0" w:line="240" w:lineRule="auto"/>
        <w:jc w:val="both"/>
        <w:rPr>
          <w:rFonts w:ascii="Calibri" w:eastAsia="Calibri" w:hAnsi="Calibri" w:cs="Calibri"/>
          <w:color w:val="000000"/>
        </w:rPr>
      </w:pPr>
      <w:r w:rsidRPr="00616BFB">
        <w:rPr>
          <w:rFonts w:ascii="Calibri" w:eastAsia="Calibri" w:hAnsi="Calibri" w:cs="Calibri"/>
          <w:color w:val="000000"/>
        </w:rPr>
        <w:t>La sicurezza e l’efficacia di IBUMENOL 400 mg compresse al di sotto dei 12 anni non è stata ancora stabilita e pertanto sono controindicat</w:t>
      </w:r>
      <w:r w:rsidR="00170C51">
        <w:rPr>
          <w:rFonts w:ascii="Calibri" w:eastAsia="Calibri" w:hAnsi="Calibri" w:cs="Calibri"/>
          <w:color w:val="000000"/>
        </w:rPr>
        <w:t>e</w:t>
      </w:r>
      <w:r w:rsidRPr="00616BFB">
        <w:rPr>
          <w:rFonts w:ascii="Calibri" w:eastAsia="Calibri" w:hAnsi="Calibri" w:cs="Calibri"/>
          <w:color w:val="000000"/>
        </w:rPr>
        <w:t xml:space="preserve"> nei bambini di età inferiore ai 12 anni e adolescenti con pe</w:t>
      </w:r>
      <w:r w:rsidR="00A711E4">
        <w:rPr>
          <w:rFonts w:ascii="Calibri" w:eastAsia="Calibri" w:hAnsi="Calibri" w:cs="Calibri"/>
          <w:color w:val="000000"/>
        </w:rPr>
        <w:t>so corporeo inferiore ai 40 kg.</w:t>
      </w:r>
    </w:p>
    <w:p w14:paraId="14936770" w14:textId="262A56AB" w:rsidR="00616BFB" w:rsidRPr="00616BFB" w:rsidRDefault="00616BFB" w:rsidP="00616BFB">
      <w:pPr>
        <w:widowControl w:val="0"/>
        <w:spacing w:after="0" w:line="240" w:lineRule="auto"/>
        <w:ind w:firstLine="705"/>
        <w:jc w:val="both"/>
        <w:rPr>
          <w:rFonts w:ascii="Calibri" w:eastAsia="Calibri" w:hAnsi="Calibri" w:cs="Calibri"/>
          <w:color w:val="000000"/>
        </w:rPr>
      </w:pPr>
    </w:p>
    <w:p w14:paraId="75F3F360" w14:textId="172BEF57" w:rsidR="00616BFB" w:rsidRPr="00504796" w:rsidRDefault="00504796" w:rsidP="00504796">
      <w:pPr>
        <w:widowControl w:val="0"/>
        <w:spacing w:after="0" w:line="240" w:lineRule="auto"/>
        <w:jc w:val="both"/>
        <w:rPr>
          <w:rFonts w:ascii="Calibri" w:eastAsia="Calibri" w:hAnsi="Calibri" w:cs="Calibri"/>
          <w:color w:val="000000"/>
        </w:rPr>
      </w:pPr>
      <w:r>
        <w:rPr>
          <w:rFonts w:ascii="Calibri" w:eastAsia="Calibri" w:hAnsi="Calibri" w:cs="Calibri"/>
          <w:color w:val="000000"/>
        </w:rPr>
        <w:t>Anziani:</w:t>
      </w:r>
    </w:p>
    <w:p w14:paraId="2ACC92DA" w14:textId="0A53C297" w:rsidR="00616BFB" w:rsidRPr="00616BFB" w:rsidRDefault="00616BFB" w:rsidP="003A3EB9">
      <w:pPr>
        <w:pStyle w:val="Paragrafoelenco"/>
        <w:widowControl w:val="0"/>
        <w:numPr>
          <w:ilvl w:val="0"/>
          <w:numId w:val="11"/>
        </w:numPr>
        <w:spacing w:after="0" w:line="240" w:lineRule="auto"/>
        <w:jc w:val="both"/>
        <w:rPr>
          <w:rFonts w:ascii="Calibri" w:eastAsia="Calibri" w:hAnsi="Calibri" w:cs="Calibri"/>
          <w:color w:val="000000"/>
        </w:rPr>
      </w:pPr>
      <w:r w:rsidRPr="00616BFB">
        <w:rPr>
          <w:rFonts w:ascii="Calibri" w:eastAsia="Calibri" w:hAnsi="Calibri" w:cs="Calibri"/>
          <w:color w:val="000000"/>
        </w:rPr>
        <w:t xml:space="preserve">Nel trattamento di pazienti anziani la posologia deve essere attentamente stabilita dal medico che </w:t>
      </w:r>
      <w:r w:rsidRPr="00616BFB">
        <w:rPr>
          <w:rFonts w:ascii="Calibri" w:eastAsia="Calibri" w:hAnsi="Calibri" w:cs="Calibri"/>
          <w:color w:val="000000"/>
        </w:rPr>
        <w:lastRenderedPageBreak/>
        <w:t>dovrà valutare un'eventuale riduzi</w:t>
      </w:r>
      <w:r w:rsidR="00A711E4">
        <w:rPr>
          <w:rFonts w:ascii="Calibri" w:eastAsia="Calibri" w:hAnsi="Calibri" w:cs="Calibri"/>
          <w:color w:val="000000"/>
        </w:rPr>
        <w:t>one dei dosaggi sopra indicati.</w:t>
      </w:r>
    </w:p>
    <w:p w14:paraId="052A7B1B" w14:textId="77777777" w:rsidR="00616BFB" w:rsidRPr="00616BFB" w:rsidRDefault="00616BFB" w:rsidP="00616BFB">
      <w:pPr>
        <w:widowControl w:val="0"/>
        <w:spacing w:after="0" w:line="240" w:lineRule="auto"/>
        <w:jc w:val="both"/>
        <w:rPr>
          <w:rFonts w:ascii="Calibri" w:eastAsia="Calibri" w:hAnsi="Calibri" w:cs="Calibri"/>
          <w:color w:val="000000"/>
        </w:rPr>
      </w:pPr>
    </w:p>
    <w:p w14:paraId="49C18057" w14:textId="04B5BE4B" w:rsidR="00616BFB" w:rsidRPr="00616BFB" w:rsidRDefault="00616BFB" w:rsidP="00616BFB">
      <w:pPr>
        <w:widowControl w:val="0"/>
        <w:spacing w:after="0" w:line="240" w:lineRule="auto"/>
        <w:jc w:val="both"/>
        <w:rPr>
          <w:rFonts w:ascii="Calibri" w:eastAsia="Calibri" w:hAnsi="Calibri" w:cs="Calibri"/>
          <w:color w:val="000000"/>
        </w:rPr>
      </w:pPr>
      <w:r w:rsidRPr="00616BFB">
        <w:rPr>
          <w:rFonts w:ascii="Calibri" w:eastAsia="Calibri" w:hAnsi="Calibri" w:cs="Calibri"/>
          <w:color w:val="000000"/>
        </w:rPr>
        <w:t>Pazienti con compromissione renale</w:t>
      </w:r>
      <w:r w:rsidR="00EB704E">
        <w:rPr>
          <w:rFonts w:ascii="Calibri" w:eastAsia="Calibri" w:hAnsi="Calibri" w:cs="Calibri"/>
          <w:color w:val="000000"/>
        </w:rPr>
        <w:t>:</w:t>
      </w:r>
    </w:p>
    <w:p w14:paraId="1F657907" w14:textId="5CFE4613" w:rsidR="00616BFB" w:rsidRPr="00EB704E" w:rsidRDefault="00616BFB" w:rsidP="00EB704E">
      <w:pPr>
        <w:pStyle w:val="Paragrafoelenco"/>
        <w:widowControl w:val="0"/>
        <w:numPr>
          <w:ilvl w:val="0"/>
          <w:numId w:val="11"/>
        </w:numPr>
        <w:spacing w:after="0" w:line="240" w:lineRule="auto"/>
        <w:jc w:val="both"/>
        <w:rPr>
          <w:rFonts w:ascii="Calibri" w:eastAsia="Calibri" w:hAnsi="Calibri" w:cs="Calibri"/>
          <w:color w:val="000000"/>
        </w:rPr>
      </w:pPr>
      <w:r w:rsidRPr="00EB704E">
        <w:rPr>
          <w:rFonts w:ascii="Calibri" w:eastAsia="Calibri" w:hAnsi="Calibri" w:cs="Calibri"/>
          <w:color w:val="000000"/>
        </w:rPr>
        <w:t>Nei pazienti con lieve o moderata riduzione della funzione renale, il dosaggio deve essere mantenuto il più basso possibile per la più breve durata necessaria a controllare i sintomi e la funzione renale deve essere monitorata. L’uso di IBUMENOL è controindicato nei pazienti con insufficienza renale</w:t>
      </w:r>
      <w:r w:rsidR="003F7D69">
        <w:rPr>
          <w:rFonts w:ascii="Calibri" w:eastAsia="Calibri" w:hAnsi="Calibri" w:cs="Calibri"/>
          <w:color w:val="000000"/>
        </w:rPr>
        <w:t xml:space="preserve"> grave.</w:t>
      </w:r>
    </w:p>
    <w:p w14:paraId="12E0B8D8" w14:textId="77777777" w:rsidR="00616BFB" w:rsidRPr="00616BFB" w:rsidRDefault="00616BFB" w:rsidP="00616BFB">
      <w:pPr>
        <w:widowControl w:val="0"/>
        <w:spacing w:after="0" w:line="240" w:lineRule="auto"/>
        <w:jc w:val="both"/>
        <w:rPr>
          <w:rFonts w:ascii="Calibri" w:eastAsia="Calibri" w:hAnsi="Calibri" w:cs="Calibri"/>
          <w:color w:val="000000"/>
        </w:rPr>
      </w:pPr>
    </w:p>
    <w:p w14:paraId="521FEBE4" w14:textId="4605CA7F" w:rsidR="00616BFB" w:rsidRPr="00616BFB" w:rsidRDefault="00616BFB" w:rsidP="00616BFB">
      <w:pPr>
        <w:widowControl w:val="0"/>
        <w:spacing w:after="0" w:line="240" w:lineRule="auto"/>
        <w:jc w:val="both"/>
        <w:rPr>
          <w:rFonts w:ascii="Calibri" w:eastAsia="Calibri" w:hAnsi="Calibri" w:cs="Calibri"/>
          <w:color w:val="000000"/>
        </w:rPr>
      </w:pPr>
      <w:r w:rsidRPr="00616BFB">
        <w:rPr>
          <w:rFonts w:ascii="Calibri" w:eastAsia="Calibri" w:hAnsi="Calibri" w:cs="Calibri"/>
          <w:color w:val="000000"/>
        </w:rPr>
        <w:t>Pazienti con compromissione epatica</w:t>
      </w:r>
      <w:r w:rsidR="00523B44">
        <w:rPr>
          <w:rFonts w:ascii="Calibri" w:eastAsia="Calibri" w:hAnsi="Calibri" w:cs="Calibri"/>
          <w:color w:val="000000"/>
        </w:rPr>
        <w:t>:</w:t>
      </w:r>
    </w:p>
    <w:p w14:paraId="38387825" w14:textId="19435270" w:rsidR="00B72380" w:rsidRDefault="00616BFB" w:rsidP="003F7A46">
      <w:pPr>
        <w:pStyle w:val="Paragrafoelenco"/>
        <w:widowControl w:val="0"/>
        <w:numPr>
          <w:ilvl w:val="0"/>
          <w:numId w:val="11"/>
        </w:numPr>
        <w:spacing w:after="0" w:line="240" w:lineRule="auto"/>
        <w:jc w:val="both"/>
        <w:rPr>
          <w:rFonts w:ascii="Calibri" w:eastAsia="Calibri" w:hAnsi="Calibri" w:cs="Calibri"/>
          <w:color w:val="000000"/>
        </w:rPr>
      </w:pPr>
      <w:r w:rsidRPr="00616BFB">
        <w:rPr>
          <w:rFonts w:ascii="Calibri" w:eastAsia="Calibri" w:hAnsi="Calibri" w:cs="Calibri"/>
          <w:color w:val="000000"/>
        </w:rPr>
        <w:t>Nei pazienti con lieve o moderata riduzione della funzionalità epatica, il dosaggio deve essere mantenuto il più basso possibile per la più breve durata necessaria a controllare i sintomi e la funzione epatica deve essere monitorata. IBUMENOL è controindicato nei pazienti con grave insufficienza epatica.</w:t>
      </w:r>
    </w:p>
    <w:p w14:paraId="2D37A55B" w14:textId="726E3240" w:rsidR="00616BFB" w:rsidRDefault="00616BFB" w:rsidP="00616BFB">
      <w:pPr>
        <w:widowControl w:val="0"/>
        <w:spacing w:after="0" w:line="240" w:lineRule="auto"/>
        <w:jc w:val="both"/>
        <w:rPr>
          <w:rFonts w:ascii="Calibri" w:eastAsia="Calibri" w:hAnsi="Calibri" w:cs="Calibri"/>
          <w:color w:val="000000"/>
        </w:rPr>
      </w:pPr>
    </w:p>
    <w:p w14:paraId="57788ADC" w14:textId="406F444C" w:rsidR="00CB3761" w:rsidRPr="00CB3761" w:rsidRDefault="00CB3761" w:rsidP="00CB3761">
      <w:pPr>
        <w:widowControl w:val="0"/>
        <w:spacing w:after="0" w:line="240" w:lineRule="auto"/>
        <w:jc w:val="both"/>
        <w:rPr>
          <w:rFonts w:ascii="Calibri" w:eastAsia="Calibri" w:hAnsi="Calibri" w:cs="Calibri"/>
          <w:color w:val="000000"/>
        </w:rPr>
      </w:pPr>
      <w:r w:rsidRPr="00CB3761">
        <w:rPr>
          <w:rFonts w:ascii="Calibri" w:eastAsia="Calibri" w:hAnsi="Calibri" w:cs="Calibri"/>
          <w:color w:val="000000"/>
        </w:rPr>
        <w:t>Uso o</w:t>
      </w:r>
      <w:r>
        <w:rPr>
          <w:rFonts w:ascii="Calibri" w:eastAsia="Calibri" w:hAnsi="Calibri" w:cs="Calibri"/>
          <w:color w:val="000000"/>
        </w:rPr>
        <w:t>rale.</w:t>
      </w:r>
    </w:p>
    <w:p w14:paraId="3E2F7027" w14:textId="45691F46" w:rsidR="00CB3761" w:rsidRPr="00CB3761" w:rsidRDefault="00CB3761" w:rsidP="00CB3761">
      <w:pPr>
        <w:widowControl w:val="0"/>
        <w:spacing w:after="0" w:line="240" w:lineRule="auto"/>
        <w:jc w:val="both"/>
        <w:rPr>
          <w:rFonts w:ascii="Calibri" w:eastAsia="Calibri" w:hAnsi="Calibri" w:cs="Calibri"/>
          <w:color w:val="000000"/>
        </w:rPr>
      </w:pPr>
      <w:r>
        <w:t>L</w:t>
      </w:r>
      <w:r w:rsidRPr="00D95D44">
        <w:t xml:space="preserve">e </w:t>
      </w:r>
      <w:r>
        <w:t>compresse devono essere assunte</w:t>
      </w:r>
      <w:r w:rsidRPr="00CB3761">
        <w:rPr>
          <w:rFonts w:ascii="Calibri" w:eastAsia="Calibri" w:hAnsi="Calibri" w:cs="Calibri"/>
          <w:color w:val="000000"/>
        </w:rPr>
        <w:t xml:space="preserve"> con abbondante acqua. Per evitare fastidio orale ed irritazione della gola le compresse devono essere deglutite intere e non devono essere masticate, spezzate, rotte o succhiate.</w:t>
      </w:r>
    </w:p>
    <w:p w14:paraId="3CEE4EAD" w14:textId="77777777" w:rsidR="00CB3761" w:rsidRPr="00CB3761" w:rsidRDefault="00CB3761" w:rsidP="00CB3761">
      <w:pPr>
        <w:widowControl w:val="0"/>
        <w:spacing w:after="0" w:line="240" w:lineRule="auto"/>
        <w:jc w:val="both"/>
        <w:rPr>
          <w:rFonts w:ascii="Calibri" w:eastAsia="Calibri" w:hAnsi="Calibri" w:cs="Calibri"/>
          <w:color w:val="000000"/>
        </w:rPr>
      </w:pPr>
    </w:p>
    <w:p w14:paraId="1D4D19C4" w14:textId="23CC721D" w:rsidR="00CB3761" w:rsidRDefault="00CB3761" w:rsidP="00CB3761">
      <w:pPr>
        <w:widowControl w:val="0"/>
        <w:spacing w:after="0" w:line="240" w:lineRule="auto"/>
        <w:jc w:val="both"/>
        <w:rPr>
          <w:rFonts w:ascii="Calibri" w:eastAsia="Calibri" w:hAnsi="Calibri" w:cs="Calibri"/>
          <w:color w:val="000000"/>
        </w:rPr>
      </w:pPr>
      <w:r w:rsidRPr="00CB3761">
        <w:rPr>
          <w:rFonts w:ascii="Calibri" w:eastAsia="Calibri" w:hAnsi="Calibri" w:cs="Calibri"/>
          <w:color w:val="000000"/>
        </w:rPr>
        <w:t>Si consiglia l’assunzione durante i pasti, particolarmente alle persone che hanno lo stomaco delicato.</w:t>
      </w:r>
    </w:p>
    <w:p w14:paraId="6B380D44" w14:textId="77777777" w:rsidR="00CB3761" w:rsidRPr="009F3F03" w:rsidRDefault="00CB3761" w:rsidP="00616BFB">
      <w:pPr>
        <w:widowControl w:val="0"/>
        <w:spacing w:after="0" w:line="240" w:lineRule="auto"/>
        <w:jc w:val="both"/>
        <w:rPr>
          <w:rFonts w:ascii="Calibri" w:eastAsia="Calibri" w:hAnsi="Calibri" w:cs="Calibri"/>
          <w:color w:val="000000"/>
        </w:rPr>
      </w:pPr>
    </w:p>
    <w:p w14:paraId="3F7B6376" w14:textId="402A0B70" w:rsidR="00F43E9B" w:rsidRDefault="00F43E9B" w:rsidP="003928A0">
      <w:pPr>
        <w:pStyle w:val="PreformattatoHTML"/>
        <w:jc w:val="both"/>
        <w:rPr>
          <w:rFonts w:ascii="Calibri" w:eastAsiaTheme="minorEastAsia" w:hAnsi="Calibri" w:cs="Calibri"/>
          <w:sz w:val="22"/>
          <w:szCs w:val="22"/>
        </w:rPr>
      </w:pPr>
      <w:r w:rsidRPr="009F3F03">
        <w:rPr>
          <w:rFonts w:ascii="Calibri" w:eastAsiaTheme="minorEastAsia" w:hAnsi="Calibri" w:cs="Calibri"/>
          <w:sz w:val="22"/>
          <w:szCs w:val="22"/>
        </w:rPr>
        <w:t xml:space="preserve">Maggiori dettagli sulla sicurezza d’uso di </w:t>
      </w:r>
      <w:r w:rsidR="00E52B80" w:rsidRPr="009F3F03">
        <w:rPr>
          <w:rFonts w:ascii="Calibri" w:eastAsiaTheme="minorEastAsia" w:hAnsi="Calibri" w:cs="Calibri"/>
          <w:b/>
          <w:sz w:val="22"/>
          <w:szCs w:val="22"/>
        </w:rPr>
        <w:t>IBUMENOL</w:t>
      </w:r>
      <w:r w:rsidRPr="009F3F03">
        <w:rPr>
          <w:rFonts w:ascii="Calibri" w:eastAsiaTheme="minorEastAsia" w:hAnsi="Calibri" w:cs="Calibri"/>
          <w:sz w:val="22"/>
          <w:szCs w:val="22"/>
        </w:rPr>
        <w:t xml:space="preserve"> sono riportati nel foglio illustrativo</w:t>
      </w:r>
      <w:r w:rsidR="00E84D38" w:rsidRPr="009F3F03">
        <w:rPr>
          <w:rFonts w:ascii="Calibri" w:eastAsiaTheme="minorEastAsia" w:hAnsi="Calibri" w:cs="Calibri"/>
          <w:sz w:val="22"/>
          <w:szCs w:val="22"/>
        </w:rPr>
        <w:t xml:space="preserve"> </w:t>
      </w:r>
      <w:r w:rsidR="000C6F36" w:rsidRPr="009F3F03">
        <w:rPr>
          <w:rFonts w:ascii="Calibri" w:eastAsia="Calibri" w:hAnsi="Calibri" w:cs="Calibri"/>
          <w:color w:val="000000"/>
        </w:rPr>
        <w:t>(</w:t>
      </w:r>
      <w:hyperlink r:id="rId10" w:history="1">
        <w:r w:rsidR="000C6F36" w:rsidRPr="009F3F03">
          <w:rPr>
            <w:rStyle w:val="Collegamentoipertestuale"/>
            <w:rFonts w:ascii="Calibri" w:eastAsia="Calibri" w:hAnsi="Calibri" w:cs="Calibri"/>
            <w:sz w:val="22"/>
            <w:szCs w:val="22"/>
          </w:rPr>
          <w:t>https://farmaci.agenziafarmaco.gov.it/bancadatifarmaci</w:t>
        </w:r>
      </w:hyperlink>
      <w:r w:rsidR="000C6F36" w:rsidRPr="009F3F03">
        <w:rPr>
          <w:rFonts w:ascii="Calibri" w:eastAsia="Calibri" w:hAnsi="Calibri" w:cs="Calibri"/>
        </w:rPr>
        <w:t>)</w:t>
      </w:r>
      <w:r w:rsidRPr="009F3F03">
        <w:rPr>
          <w:rFonts w:ascii="Calibri" w:eastAsiaTheme="minorEastAsia" w:hAnsi="Calibri" w:cs="Calibri"/>
          <w:sz w:val="22"/>
          <w:szCs w:val="22"/>
        </w:rPr>
        <w:t>.</w:t>
      </w:r>
    </w:p>
    <w:p w14:paraId="2805A859" w14:textId="77777777" w:rsidR="00BE3A0E" w:rsidRPr="009F3F03" w:rsidRDefault="00BE3A0E" w:rsidP="003928A0">
      <w:pPr>
        <w:pStyle w:val="PreformattatoHTML"/>
        <w:jc w:val="both"/>
        <w:rPr>
          <w:rFonts w:ascii="Calibri" w:eastAsiaTheme="minorEastAsia" w:hAnsi="Calibri" w:cs="Calibri"/>
          <w:sz w:val="22"/>
          <w:szCs w:val="22"/>
        </w:rPr>
      </w:pPr>
    </w:p>
    <w:p w14:paraId="65888A63" w14:textId="2516E976" w:rsidR="00BB2AF8" w:rsidRPr="003A4910" w:rsidRDefault="00BB2AF8" w:rsidP="00BB2AF8">
      <w:pPr>
        <w:autoSpaceDE w:val="0"/>
        <w:autoSpaceDN w:val="0"/>
        <w:adjustRightInd w:val="0"/>
        <w:spacing w:after="0" w:line="240" w:lineRule="auto"/>
        <w:jc w:val="both"/>
        <w:rPr>
          <w:rFonts w:ascii="Calibri" w:eastAsia="Calibri" w:hAnsi="Calibri" w:cs="Calibri"/>
          <w:color w:val="000000"/>
        </w:rPr>
      </w:pPr>
      <w:r w:rsidRPr="003A4910">
        <w:rPr>
          <w:rFonts w:ascii="Calibri" w:eastAsia="Calibri" w:hAnsi="Calibri" w:cs="Calibri"/>
          <w:b/>
          <w:bCs/>
          <w:color w:val="000000"/>
        </w:rPr>
        <w:t xml:space="preserve">3) COME FUNZIONA </w:t>
      </w:r>
      <w:r w:rsidR="00E52B80" w:rsidRPr="003A4910">
        <w:rPr>
          <w:rFonts w:ascii="Calibri" w:eastAsia="Calibri" w:hAnsi="Calibri" w:cs="Calibri"/>
          <w:b/>
          <w:color w:val="000000"/>
        </w:rPr>
        <w:t>IBUMENOL</w:t>
      </w:r>
      <w:r w:rsidRPr="003A4910">
        <w:rPr>
          <w:rFonts w:ascii="Calibri" w:eastAsia="Calibri" w:hAnsi="Calibri" w:cs="Calibri"/>
          <w:b/>
          <w:bCs/>
          <w:color w:val="000000"/>
        </w:rPr>
        <w:t xml:space="preserve">? </w:t>
      </w:r>
    </w:p>
    <w:p w14:paraId="2C0D8C46" w14:textId="09C71BCA" w:rsidR="00F16264" w:rsidRDefault="00E52B80" w:rsidP="00F16264">
      <w:pPr>
        <w:widowControl w:val="0"/>
        <w:spacing w:after="0" w:line="240" w:lineRule="auto"/>
        <w:jc w:val="both"/>
        <w:rPr>
          <w:rFonts w:ascii="Calibri" w:hAnsi="Calibri"/>
          <w:iCs/>
        </w:rPr>
      </w:pPr>
      <w:r w:rsidRPr="003A4910">
        <w:rPr>
          <w:rFonts w:ascii="Calibri" w:hAnsi="Calibri" w:cs="Calibri"/>
        </w:rPr>
        <w:t>IBUMENOL</w:t>
      </w:r>
      <w:r w:rsidR="00BB2AF8" w:rsidRPr="003A4910">
        <w:rPr>
          <w:rFonts w:ascii="Calibri" w:eastAsia="Calibri" w:hAnsi="Calibri" w:cs="Calibri"/>
          <w:bCs/>
          <w:color w:val="000000"/>
        </w:rPr>
        <w:t>,</w:t>
      </w:r>
      <w:r w:rsidR="00CD75CD" w:rsidRPr="003A4910">
        <w:rPr>
          <w:rFonts w:ascii="Calibri" w:eastAsia="Calibri" w:hAnsi="Calibri" w:cs="Calibri"/>
          <w:bCs/>
          <w:color w:val="000000"/>
        </w:rPr>
        <w:t xml:space="preserve"> i</w:t>
      </w:r>
      <w:r w:rsidR="008E7C61" w:rsidRPr="003A4910">
        <w:rPr>
          <w:rFonts w:ascii="Calibri" w:eastAsia="Calibri" w:hAnsi="Calibri" w:cs="Calibri"/>
          <w:bCs/>
          <w:color w:val="000000"/>
        </w:rPr>
        <w:t>l</w:t>
      </w:r>
      <w:r w:rsidR="00322188">
        <w:rPr>
          <w:rFonts w:ascii="Calibri" w:eastAsia="Calibri" w:hAnsi="Calibri" w:cs="Calibri"/>
          <w:bCs/>
          <w:color w:val="000000"/>
        </w:rPr>
        <w:t xml:space="preserve"> cui codice</w:t>
      </w:r>
      <w:r w:rsidR="00CD75CD" w:rsidRPr="003A4910">
        <w:rPr>
          <w:rFonts w:ascii="Calibri" w:eastAsia="Calibri" w:hAnsi="Calibri" w:cs="Calibri"/>
          <w:bCs/>
          <w:color w:val="000000"/>
        </w:rPr>
        <w:t xml:space="preserve"> ATC </w:t>
      </w:r>
      <w:r w:rsidR="008E7C61" w:rsidRPr="003A4910">
        <w:rPr>
          <w:rFonts w:ascii="Calibri" w:eastAsia="Calibri" w:hAnsi="Calibri" w:cs="Calibri"/>
          <w:bCs/>
          <w:color w:val="000000"/>
        </w:rPr>
        <w:t>è</w:t>
      </w:r>
      <w:r w:rsidR="00CD75CD" w:rsidRPr="003A4910">
        <w:rPr>
          <w:rFonts w:ascii="Calibri" w:eastAsia="Calibri" w:hAnsi="Calibri" w:cs="Calibri"/>
          <w:bCs/>
          <w:color w:val="000000"/>
        </w:rPr>
        <w:t xml:space="preserve"> </w:t>
      </w:r>
      <w:r w:rsidR="008E7C61" w:rsidRPr="003A4910">
        <w:rPr>
          <w:rFonts w:ascii="Calibri" w:eastAsia="Calibri" w:hAnsi="Calibri" w:cs="Calibri"/>
          <w:bCs/>
          <w:color w:val="000000"/>
        </w:rPr>
        <w:t>M01AE01</w:t>
      </w:r>
      <w:r w:rsidR="00E84D38" w:rsidRPr="003A4910">
        <w:rPr>
          <w:rFonts w:ascii="Calibri" w:hAnsi="Calibri"/>
        </w:rPr>
        <w:t>,</w:t>
      </w:r>
      <w:r w:rsidR="00BB2AF8" w:rsidRPr="003A4910">
        <w:rPr>
          <w:rFonts w:ascii="Calibri" w:eastAsia="DejaVuSans" w:hAnsi="Calibri" w:cs="DejaVuSans"/>
        </w:rPr>
        <w:t xml:space="preserve"> </w:t>
      </w:r>
      <w:r w:rsidR="00E84D38" w:rsidRPr="003A4910">
        <w:rPr>
          <w:rFonts w:ascii="Calibri" w:eastAsia="Calibri" w:hAnsi="Calibri" w:cs="Calibri"/>
          <w:color w:val="000000"/>
        </w:rPr>
        <w:t>contiene il principio attivo</w:t>
      </w:r>
      <w:r w:rsidR="00E84D38" w:rsidRPr="003A4910">
        <w:rPr>
          <w:rFonts w:ascii="Calibri" w:hAnsi="Calibri"/>
        </w:rPr>
        <w:t xml:space="preserve"> </w:t>
      </w:r>
      <w:r w:rsidR="008E7C61" w:rsidRPr="003A4910">
        <w:rPr>
          <w:rFonts w:ascii="Calibri" w:hAnsi="Calibri"/>
        </w:rPr>
        <w:t>ibuprofene</w:t>
      </w:r>
      <w:r w:rsidR="00CD75CD" w:rsidRPr="003A4910">
        <w:rPr>
          <w:rFonts w:ascii="Calibri" w:hAnsi="Calibri"/>
        </w:rPr>
        <w:t xml:space="preserve"> </w:t>
      </w:r>
      <w:r w:rsidR="00F16264" w:rsidRPr="00A92B02">
        <w:rPr>
          <w:rFonts w:eastAsia="Calibri" w:cs="Calibri"/>
          <w:bCs/>
          <w:color w:val="000000"/>
        </w:rPr>
        <w:t xml:space="preserve">il cui meccanismo d’azione, come per altri antinfiammatori non steroidei, è legato all’inibizione reversibile della sintesi delle prostaglandine e di altre sostanze prodotte dall’organismo e che sono responsabili dei sintomi dell’infiammazione e del dolore </w:t>
      </w:r>
      <w:r w:rsidR="00F16264">
        <w:rPr>
          <w:rFonts w:eastAsia="Calibri" w:cs="Calibri"/>
          <w:bCs/>
          <w:color w:val="000000"/>
        </w:rPr>
        <w:t>che ne consegue e degli eventuali stati febbrili associati.</w:t>
      </w:r>
    </w:p>
    <w:p w14:paraId="4EE3D6DF" w14:textId="77777777" w:rsidR="00F16264" w:rsidRPr="00233826" w:rsidRDefault="00F16264" w:rsidP="00BB2AF8">
      <w:pPr>
        <w:autoSpaceDE w:val="0"/>
        <w:autoSpaceDN w:val="0"/>
        <w:adjustRightInd w:val="0"/>
        <w:spacing w:after="0" w:line="240" w:lineRule="auto"/>
        <w:jc w:val="both"/>
        <w:rPr>
          <w:rFonts w:ascii="Calibri" w:hAnsi="Calibri"/>
          <w:iCs/>
        </w:rPr>
      </w:pPr>
    </w:p>
    <w:p w14:paraId="4E15A47E" w14:textId="1F12727F" w:rsidR="00BB2AF8" w:rsidRPr="00233826" w:rsidRDefault="00BB2AF8" w:rsidP="00BB2AF8">
      <w:pPr>
        <w:autoSpaceDE w:val="0"/>
        <w:autoSpaceDN w:val="0"/>
        <w:adjustRightInd w:val="0"/>
        <w:spacing w:after="0" w:line="240" w:lineRule="auto"/>
        <w:jc w:val="both"/>
        <w:rPr>
          <w:rFonts w:ascii="Calibri" w:eastAsia="Calibri" w:hAnsi="Calibri" w:cs="Calibri"/>
        </w:rPr>
      </w:pPr>
      <w:r w:rsidRPr="00233826">
        <w:rPr>
          <w:rFonts w:ascii="Calibri" w:eastAsia="Calibri" w:hAnsi="Calibri" w:cs="Calibri"/>
          <w:b/>
          <w:bCs/>
        </w:rPr>
        <w:t xml:space="preserve">4) COME È STATO STUDIATO </w:t>
      </w:r>
      <w:r w:rsidR="00E52B80" w:rsidRPr="00233826">
        <w:rPr>
          <w:rFonts w:ascii="Calibri" w:hAnsi="Calibri" w:cs="Calibri"/>
          <w:b/>
        </w:rPr>
        <w:t>IBUMENOL</w:t>
      </w:r>
      <w:r w:rsidRPr="00233826">
        <w:rPr>
          <w:rFonts w:ascii="Calibri" w:eastAsia="Calibri" w:hAnsi="Calibri" w:cs="Calibri"/>
          <w:b/>
          <w:bCs/>
        </w:rPr>
        <w:t xml:space="preserve">? </w:t>
      </w:r>
    </w:p>
    <w:p w14:paraId="6D833B73" w14:textId="3A8EC09D" w:rsidR="00CD75CD" w:rsidRPr="00233826" w:rsidRDefault="00CD75CD" w:rsidP="00CD75CD">
      <w:pPr>
        <w:spacing w:after="0" w:line="240" w:lineRule="auto"/>
        <w:jc w:val="both"/>
        <w:rPr>
          <w:rFonts w:ascii="Calibri" w:hAnsi="Calibri" w:cs="Arial"/>
        </w:rPr>
      </w:pPr>
      <w:r w:rsidRPr="00233826">
        <w:rPr>
          <w:rFonts w:ascii="Calibri" w:hAnsi="Calibri" w:cs="Arial"/>
        </w:rPr>
        <w:t xml:space="preserve">Poiché </w:t>
      </w:r>
      <w:r w:rsidR="00E52B80" w:rsidRPr="00233826">
        <w:rPr>
          <w:rFonts w:ascii="Calibri" w:hAnsi="Calibri" w:cs="Calibri"/>
        </w:rPr>
        <w:t>IBUMENOL</w:t>
      </w:r>
      <w:r w:rsidRPr="00233826">
        <w:rPr>
          <w:rFonts w:ascii="Calibri" w:hAnsi="Calibri" w:cs="Arial"/>
        </w:rPr>
        <w:t xml:space="preserve"> </w:t>
      </w:r>
      <w:r w:rsidR="003C1E95" w:rsidRPr="003C1E95">
        <w:rPr>
          <w:rFonts w:ascii="Calibri" w:hAnsi="Calibri" w:cs="Arial"/>
        </w:rPr>
        <w:t xml:space="preserve">compressa rivestita con film </w:t>
      </w:r>
      <w:r w:rsidRPr="00233826">
        <w:rPr>
          <w:rFonts w:ascii="Calibri" w:hAnsi="Calibri" w:cs="Arial"/>
        </w:rPr>
        <w:t xml:space="preserve">è un medicinale generico </w:t>
      </w:r>
      <w:r w:rsidR="003C1E95" w:rsidRPr="003C1E95">
        <w:rPr>
          <w:rFonts w:ascii="Calibri" w:hAnsi="Calibri" w:cs="Arial"/>
        </w:rPr>
        <w:t>è stato sufficiente effettuare prove cliniche per determinare la bio</w:t>
      </w:r>
      <w:r w:rsidR="003C1E95">
        <w:rPr>
          <w:rFonts w:ascii="Calibri" w:hAnsi="Calibri" w:cs="Arial"/>
        </w:rPr>
        <w:t>e</w:t>
      </w:r>
      <w:r w:rsidR="003C1E95" w:rsidRPr="003C1E95">
        <w:rPr>
          <w:rFonts w:ascii="Calibri" w:hAnsi="Calibri" w:cs="Arial"/>
        </w:rPr>
        <w:t xml:space="preserve">quivalenza rispetto al medicinale di riferimento </w:t>
      </w:r>
      <w:r w:rsidR="003C1E95">
        <w:rPr>
          <w:rFonts w:ascii="Calibri" w:hAnsi="Calibri" w:cs="Arial"/>
        </w:rPr>
        <w:t>NEOBRUFEN (auto-generico di BRUFEN con identica composizione)</w:t>
      </w:r>
      <w:r w:rsidR="003C1E95" w:rsidRPr="003C1E95">
        <w:rPr>
          <w:rFonts w:ascii="Calibri" w:hAnsi="Calibri" w:cs="Arial"/>
        </w:rPr>
        <w:t>. Due medicinali sono bioequivalenti quando producono gli stessi livelli di principio attivo nell’organismo</w:t>
      </w:r>
      <w:r w:rsidR="00173AB8">
        <w:rPr>
          <w:rFonts w:ascii="Calibri" w:hAnsi="Calibri" w:cs="Arial"/>
        </w:rPr>
        <w:t>.</w:t>
      </w:r>
    </w:p>
    <w:p w14:paraId="7D1D67EE" w14:textId="3E42DE7E" w:rsidR="006B311C" w:rsidRDefault="006B311C" w:rsidP="00BB2AF8">
      <w:pPr>
        <w:autoSpaceDE w:val="0"/>
        <w:autoSpaceDN w:val="0"/>
        <w:adjustRightInd w:val="0"/>
        <w:spacing w:after="0" w:line="240" w:lineRule="auto"/>
        <w:jc w:val="both"/>
        <w:rPr>
          <w:rFonts w:ascii="Calibri" w:eastAsia="Calibri" w:hAnsi="Calibri" w:cs="Calibri"/>
        </w:rPr>
      </w:pPr>
    </w:p>
    <w:p w14:paraId="6C291729" w14:textId="0A341464" w:rsidR="00BB2AF8" w:rsidRPr="00233826" w:rsidRDefault="00BB2AF8" w:rsidP="00BB2AF8">
      <w:pPr>
        <w:autoSpaceDE w:val="0"/>
        <w:autoSpaceDN w:val="0"/>
        <w:adjustRightInd w:val="0"/>
        <w:spacing w:after="0" w:line="240" w:lineRule="auto"/>
        <w:jc w:val="both"/>
        <w:rPr>
          <w:rFonts w:ascii="Calibri" w:eastAsia="Calibri" w:hAnsi="Calibri" w:cs="Calibri"/>
        </w:rPr>
      </w:pPr>
      <w:r w:rsidRPr="00233826">
        <w:rPr>
          <w:rFonts w:ascii="Calibri" w:eastAsia="Calibri" w:hAnsi="Calibri" w:cs="Calibri"/>
          <w:b/>
          <w:bCs/>
        </w:rPr>
        <w:t xml:space="preserve">5) QUAL È IL RAPPORTO BENEFICIO/RISCHIO DI </w:t>
      </w:r>
      <w:r w:rsidR="00E52B80" w:rsidRPr="00233826">
        <w:rPr>
          <w:rFonts w:ascii="Calibri" w:eastAsia="Calibri" w:hAnsi="Calibri" w:cs="Calibri"/>
          <w:b/>
          <w:color w:val="000000"/>
        </w:rPr>
        <w:t>IBUMENOL</w:t>
      </w:r>
      <w:r w:rsidRPr="00233826">
        <w:rPr>
          <w:rFonts w:ascii="Calibri" w:eastAsia="Calibri" w:hAnsi="Calibri" w:cs="Calibri"/>
          <w:b/>
        </w:rPr>
        <w:t>?</w:t>
      </w:r>
      <w:r w:rsidRPr="00233826">
        <w:rPr>
          <w:rFonts w:ascii="Calibri" w:eastAsia="Calibri" w:hAnsi="Calibri" w:cs="Calibri"/>
        </w:rPr>
        <w:t xml:space="preserve"> </w:t>
      </w:r>
    </w:p>
    <w:p w14:paraId="306E371C" w14:textId="14F30750" w:rsidR="006B311C" w:rsidRPr="00233826" w:rsidRDefault="00E52B80" w:rsidP="00943785">
      <w:pPr>
        <w:autoSpaceDE w:val="0"/>
        <w:autoSpaceDN w:val="0"/>
        <w:adjustRightInd w:val="0"/>
        <w:spacing w:after="0" w:line="240" w:lineRule="auto"/>
        <w:jc w:val="both"/>
        <w:rPr>
          <w:rFonts w:ascii="Calibri" w:eastAsia="Calibri" w:hAnsi="Calibri" w:cs="Calibri"/>
        </w:rPr>
      </w:pPr>
      <w:r w:rsidRPr="00233826">
        <w:rPr>
          <w:rFonts w:ascii="Calibri" w:hAnsi="Calibri" w:cs="Calibri"/>
        </w:rPr>
        <w:t>IBUMENOL</w:t>
      </w:r>
      <w:r w:rsidR="00927866" w:rsidRPr="00233826">
        <w:rPr>
          <w:rFonts w:ascii="Calibri" w:hAnsi="Calibri" w:cs="Arial"/>
        </w:rPr>
        <w:t xml:space="preserve"> </w:t>
      </w:r>
      <w:r w:rsidR="00927866" w:rsidRPr="00233826">
        <w:rPr>
          <w:rStyle w:val="Nessuno"/>
          <w:rFonts w:ascii="Calibri" w:hAnsi="Calibri"/>
        </w:rPr>
        <w:t>è un medicinale generico</w:t>
      </w:r>
      <w:r w:rsidR="008B3B44" w:rsidRPr="008B3B44">
        <w:t xml:space="preserve"> </w:t>
      </w:r>
      <w:r w:rsidR="008B3B44" w:rsidRPr="008B3B44">
        <w:rPr>
          <w:rStyle w:val="Nessuno"/>
          <w:rFonts w:ascii="Calibri" w:hAnsi="Calibri"/>
        </w:rPr>
        <w:t xml:space="preserve">ed è </w:t>
      </w:r>
      <w:r w:rsidR="005917EC">
        <w:rPr>
          <w:rStyle w:val="Nessuno"/>
          <w:rFonts w:ascii="Calibri" w:hAnsi="Calibri"/>
        </w:rPr>
        <w:t>bioeq</w:t>
      </w:r>
      <w:r w:rsidR="008B3B44" w:rsidRPr="008B3B44">
        <w:rPr>
          <w:rStyle w:val="Nessuno"/>
          <w:rFonts w:ascii="Calibri" w:hAnsi="Calibri"/>
        </w:rPr>
        <w:t>uivalente al medicinale di riferimento; pertanto, i suoi benefici e rischi sono sovrapponibili a quelli del medicinale di riferimento</w:t>
      </w:r>
      <w:r w:rsidR="00927866" w:rsidRPr="00233826">
        <w:rPr>
          <w:rStyle w:val="Nessuno"/>
          <w:rFonts w:ascii="Calibri" w:hAnsi="Calibri"/>
        </w:rPr>
        <w:t>.</w:t>
      </w:r>
    </w:p>
    <w:p w14:paraId="0F4505D1" w14:textId="77777777" w:rsidR="00BB2AF8" w:rsidRPr="00233826" w:rsidRDefault="00BB2AF8" w:rsidP="00BB2AF8">
      <w:pPr>
        <w:autoSpaceDE w:val="0"/>
        <w:autoSpaceDN w:val="0"/>
        <w:adjustRightInd w:val="0"/>
        <w:spacing w:after="0" w:line="240" w:lineRule="auto"/>
        <w:jc w:val="both"/>
        <w:rPr>
          <w:rFonts w:ascii="Calibri" w:eastAsia="Calibri" w:hAnsi="Calibri" w:cs="Calibri"/>
        </w:rPr>
      </w:pPr>
    </w:p>
    <w:p w14:paraId="65FCD1D4" w14:textId="4AA5565E" w:rsidR="00BB2AF8" w:rsidRPr="0002093F" w:rsidRDefault="00BB2AF8" w:rsidP="00BB2AF8">
      <w:pPr>
        <w:autoSpaceDE w:val="0"/>
        <w:autoSpaceDN w:val="0"/>
        <w:adjustRightInd w:val="0"/>
        <w:spacing w:after="0" w:line="240" w:lineRule="auto"/>
        <w:jc w:val="both"/>
        <w:rPr>
          <w:rFonts w:ascii="Calibri" w:eastAsia="Calibri" w:hAnsi="Calibri" w:cs="Calibri"/>
        </w:rPr>
      </w:pPr>
      <w:r w:rsidRPr="0002093F">
        <w:rPr>
          <w:rFonts w:ascii="Calibri" w:eastAsia="Calibri" w:hAnsi="Calibri" w:cs="Calibri"/>
          <w:b/>
          <w:bCs/>
        </w:rPr>
        <w:t xml:space="preserve">6) PERCHE’ </w:t>
      </w:r>
      <w:r w:rsidR="00E52B80" w:rsidRPr="0002093F">
        <w:rPr>
          <w:rFonts w:ascii="Calibri" w:eastAsia="Calibri" w:hAnsi="Calibri" w:cs="Calibri"/>
          <w:b/>
          <w:color w:val="000000"/>
        </w:rPr>
        <w:t>IBUMENOL</w:t>
      </w:r>
      <w:r w:rsidR="007170D7" w:rsidRPr="0002093F">
        <w:rPr>
          <w:rFonts w:ascii="Calibri" w:eastAsia="Calibri" w:hAnsi="Calibri" w:cs="Calibri"/>
          <w:b/>
          <w:color w:val="000000"/>
        </w:rPr>
        <w:t xml:space="preserve"> </w:t>
      </w:r>
      <w:r w:rsidR="00A1072E" w:rsidRPr="0002093F">
        <w:rPr>
          <w:rFonts w:ascii="Calibri" w:eastAsia="Calibri" w:hAnsi="Calibri" w:cs="Calibri"/>
          <w:b/>
          <w:bCs/>
        </w:rPr>
        <w:t xml:space="preserve">È </w:t>
      </w:r>
      <w:r w:rsidRPr="0002093F">
        <w:rPr>
          <w:rFonts w:ascii="Calibri" w:eastAsia="Calibri" w:hAnsi="Calibri" w:cs="Calibri"/>
          <w:b/>
          <w:bCs/>
        </w:rPr>
        <w:t xml:space="preserve">STATO APPROVATO? </w:t>
      </w:r>
    </w:p>
    <w:p w14:paraId="2F0AA6FB" w14:textId="282386DF" w:rsidR="00BB2AF8" w:rsidRPr="0002093F" w:rsidRDefault="00BB2AF8" w:rsidP="00BB2AF8">
      <w:pPr>
        <w:autoSpaceDE w:val="0"/>
        <w:autoSpaceDN w:val="0"/>
        <w:adjustRightInd w:val="0"/>
        <w:spacing w:after="0" w:line="240" w:lineRule="auto"/>
        <w:jc w:val="both"/>
        <w:rPr>
          <w:rFonts w:ascii="Calibri" w:eastAsia="Calibri" w:hAnsi="Calibri" w:cs="Calibri"/>
        </w:rPr>
      </w:pPr>
      <w:r w:rsidRPr="0002093F">
        <w:rPr>
          <w:rFonts w:ascii="Calibri" w:eastAsia="Calibri" w:hAnsi="Calibri" w:cs="Calibri"/>
        </w:rPr>
        <w:t xml:space="preserve">La </w:t>
      </w:r>
      <w:r w:rsidRPr="0002093F">
        <w:rPr>
          <w:rFonts w:ascii="Calibri" w:eastAsia="Calibri" w:hAnsi="Calibri" w:cs="Calibri"/>
          <w:color w:val="000000"/>
        </w:rPr>
        <w:t>Commissione Tecnico-Scientifica (CTS)</w:t>
      </w:r>
      <w:r w:rsidRPr="0002093F">
        <w:rPr>
          <w:rFonts w:ascii="Calibri" w:eastAsia="Calibri" w:hAnsi="Calibri" w:cs="Calibri"/>
        </w:rPr>
        <w:t xml:space="preserve">, nella riunione del </w:t>
      </w:r>
      <w:r w:rsidR="00173AB8" w:rsidRPr="0002093F">
        <w:rPr>
          <w:rFonts w:ascii="Calibri" w:eastAsia="Calibri" w:hAnsi="Calibri" w:cs="Calibri"/>
        </w:rPr>
        <w:t>9-11</w:t>
      </w:r>
      <w:r w:rsidR="00D125B4" w:rsidRPr="0002093F">
        <w:rPr>
          <w:rFonts w:ascii="Calibri" w:hAnsi="Calibri"/>
        </w:rPr>
        <w:t xml:space="preserve"> </w:t>
      </w:r>
      <w:r w:rsidR="00173AB8" w:rsidRPr="0002093F">
        <w:rPr>
          <w:rFonts w:ascii="Calibri" w:hAnsi="Calibri"/>
        </w:rPr>
        <w:t>dice</w:t>
      </w:r>
      <w:r w:rsidR="00D125B4" w:rsidRPr="0002093F">
        <w:rPr>
          <w:rFonts w:ascii="Calibri" w:hAnsi="Calibri"/>
        </w:rPr>
        <w:t>mbre</w:t>
      </w:r>
      <w:r w:rsidR="00A1072E" w:rsidRPr="0002093F">
        <w:rPr>
          <w:rFonts w:ascii="Calibri" w:hAnsi="Calibri"/>
        </w:rPr>
        <w:t xml:space="preserve"> 20</w:t>
      </w:r>
      <w:r w:rsidR="00D125B4" w:rsidRPr="0002093F">
        <w:rPr>
          <w:rFonts w:ascii="Calibri" w:hAnsi="Calibri"/>
        </w:rPr>
        <w:t>20</w:t>
      </w:r>
      <w:r w:rsidRPr="0002093F">
        <w:rPr>
          <w:rFonts w:ascii="Calibri" w:eastAsia="Calibri" w:hAnsi="Calibri" w:cs="Calibri"/>
        </w:rPr>
        <w:t xml:space="preserve">, ha concluso che, conformemente ai requisiti della normativa vigente, i benefici di </w:t>
      </w:r>
      <w:r w:rsidR="00E52B80" w:rsidRPr="0002093F">
        <w:rPr>
          <w:rFonts w:ascii="Calibri" w:eastAsia="Calibri" w:hAnsi="Calibri" w:cs="Calibri"/>
          <w:color w:val="000000"/>
        </w:rPr>
        <w:t>IBUMENOL</w:t>
      </w:r>
      <w:r w:rsidR="007170D7" w:rsidRPr="0002093F">
        <w:rPr>
          <w:rFonts w:ascii="Calibri" w:hAnsi="Calibri" w:cs="Arial"/>
        </w:rPr>
        <w:t xml:space="preserve"> </w:t>
      </w:r>
      <w:r w:rsidRPr="0002093F">
        <w:rPr>
          <w:rFonts w:ascii="Calibri" w:eastAsia="Calibri" w:hAnsi="Calibri" w:cs="Calibri"/>
        </w:rPr>
        <w:t>sono superiori ai rischi individuati. La CTS ha, inoltre, definito le modalità di prescrizione di cui al punto 2) di questo Riassunto e la classe di rimborsabilità del medicinale</w:t>
      </w:r>
      <w:r w:rsidR="007170D7" w:rsidRPr="0002093F">
        <w:rPr>
          <w:rFonts w:ascii="Calibri" w:eastAsia="Calibri" w:hAnsi="Calibri" w:cs="Calibri"/>
          <w:sz w:val="20"/>
        </w:rPr>
        <w:t xml:space="preserve"> </w:t>
      </w:r>
      <w:r w:rsidRPr="0002093F">
        <w:rPr>
          <w:rFonts w:ascii="Calibri" w:eastAsia="Calibri" w:hAnsi="Calibri" w:cs="Calibri"/>
        </w:rPr>
        <w:t>(</w:t>
      </w:r>
      <w:r w:rsidR="00D125B4" w:rsidRPr="0002093F">
        <w:rPr>
          <w:rFonts w:ascii="Calibri" w:eastAsia="Calibri" w:hAnsi="Calibri" w:cs="Calibri"/>
        </w:rPr>
        <w:t>C</w:t>
      </w:r>
      <w:r w:rsidR="00F1656D">
        <w:rPr>
          <w:rFonts w:ascii="Calibri" w:eastAsia="Calibri" w:hAnsi="Calibri" w:cs="Calibri"/>
        </w:rPr>
        <w:t>-bis</w:t>
      </w:r>
      <w:r w:rsidR="003C1E95">
        <w:rPr>
          <w:rFonts w:ascii="Calibri" w:eastAsia="Calibri" w:hAnsi="Calibri" w:cs="Calibri"/>
        </w:rPr>
        <w:t xml:space="preserve">, </w:t>
      </w:r>
      <w:r w:rsidR="003C1E95">
        <w:rPr>
          <w:rStyle w:val="NessunoA"/>
        </w:rPr>
        <w:t xml:space="preserve">Determina n. </w:t>
      </w:r>
      <w:r w:rsidR="0045477D" w:rsidRPr="0045477D">
        <w:rPr>
          <w:rStyle w:val="NessunoA"/>
        </w:rPr>
        <w:t>AAM/A.I.C. n. 119 del 28 luglio 2021</w:t>
      </w:r>
      <w:r w:rsidR="0045477D">
        <w:rPr>
          <w:rStyle w:val="NessunoA"/>
        </w:rPr>
        <w:t xml:space="preserve"> </w:t>
      </w:r>
      <w:r w:rsidR="003C1E95">
        <w:rPr>
          <w:rStyle w:val="NessunoA"/>
        </w:rPr>
        <w:t xml:space="preserve">- GU Serie generale - n. </w:t>
      </w:r>
      <w:r w:rsidR="0045477D">
        <w:rPr>
          <w:rStyle w:val="NessunoA"/>
        </w:rPr>
        <w:t>198</w:t>
      </w:r>
      <w:r w:rsidR="003C1E95">
        <w:rPr>
          <w:rStyle w:val="NessunoA"/>
        </w:rPr>
        <w:t xml:space="preserve"> del 1</w:t>
      </w:r>
      <w:r w:rsidR="0045477D">
        <w:rPr>
          <w:rStyle w:val="NessunoA"/>
        </w:rPr>
        <w:t>9</w:t>
      </w:r>
      <w:r w:rsidR="003C1E95">
        <w:rPr>
          <w:rStyle w:val="NessunoA"/>
        </w:rPr>
        <w:t xml:space="preserve"> </w:t>
      </w:r>
      <w:r w:rsidR="0045477D">
        <w:rPr>
          <w:rStyle w:val="NessunoA"/>
        </w:rPr>
        <w:t>agosto</w:t>
      </w:r>
      <w:r w:rsidR="003C1E95">
        <w:rPr>
          <w:rStyle w:val="NessunoA"/>
        </w:rPr>
        <w:t xml:space="preserve"> 2021</w:t>
      </w:r>
      <w:r w:rsidR="00B34094">
        <w:rPr>
          <w:rFonts w:ascii="Calibri" w:eastAsia="Calibri" w:hAnsi="Calibri" w:cs="Calibri"/>
        </w:rPr>
        <w:t>).</w:t>
      </w:r>
    </w:p>
    <w:p w14:paraId="1D53C73F" w14:textId="77777777" w:rsidR="00BB2AF8" w:rsidRPr="0002093F" w:rsidRDefault="00BB2AF8" w:rsidP="004241AC">
      <w:pPr>
        <w:autoSpaceDE w:val="0"/>
        <w:autoSpaceDN w:val="0"/>
        <w:adjustRightInd w:val="0"/>
        <w:spacing w:after="0" w:line="240" w:lineRule="auto"/>
        <w:jc w:val="both"/>
        <w:rPr>
          <w:rFonts w:ascii="Calibri" w:eastAsia="Calibri" w:hAnsi="Calibri" w:cs="Calibri"/>
          <w:bCs/>
        </w:rPr>
      </w:pPr>
    </w:p>
    <w:p w14:paraId="320F7848" w14:textId="2DAAD81B" w:rsidR="004241AC" w:rsidRPr="00B34094" w:rsidRDefault="004241AC" w:rsidP="004241AC">
      <w:pPr>
        <w:autoSpaceDE w:val="0"/>
        <w:autoSpaceDN w:val="0"/>
        <w:adjustRightInd w:val="0"/>
        <w:spacing w:after="0" w:line="240" w:lineRule="auto"/>
        <w:jc w:val="both"/>
        <w:rPr>
          <w:rFonts w:ascii="Calibri" w:eastAsia="Calibri" w:hAnsi="Calibri" w:cs="Calibri"/>
        </w:rPr>
      </w:pPr>
      <w:r w:rsidRPr="00B34094">
        <w:rPr>
          <w:rFonts w:ascii="Calibri" w:eastAsia="Calibri" w:hAnsi="Calibri" w:cs="Calibri"/>
          <w:b/>
          <w:bCs/>
        </w:rPr>
        <w:t xml:space="preserve">7) QUALI MISURE SONO STATE PRESE PER ASSICURARE LA SICUREZZA E L’EFFICACIA NELL’USO DI </w:t>
      </w:r>
      <w:r w:rsidR="00E52B80" w:rsidRPr="00B34094">
        <w:rPr>
          <w:rFonts w:ascii="Calibri" w:eastAsia="Calibri" w:hAnsi="Calibri" w:cs="Calibri"/>
          <w:b/>
          <w:color w:val="000000"/>
        </w:rPr>
        <w:t>IBUMENOL</w:t>
      </w:r>
      <w:r w:rsidRPr="00B34094">
        <w:rPr>
          <w:rFonts w:ascii="Calibri" w:eastAsia="Calibri" w:hAnsi="Calibri" w:cs="Calibri"/>
          <w:b/>
          <w:bCs/>
          <w:color w:val="000000"/>
        </w:rPr>
        <w:t>?</w:t>
      </w:r>
    </w:p>
    <w:p w14:paraId="16862512" w14:textId="14309A05" w:rsidR="004241AC" w:rsidRPr="00B34094" w:rsidRDefault="00F85989" w:rsidP="004241AC">
      <w:pPr>
        <w:autoSpaceDE w:val="0"/>
        <w:autoSpaceDN w:val="0"/>
        <w:adjustRightInd w:val="0"/>
        <w:spacing w:after="0" w:line="240" w:lineRule="auto"/>
        <w:jc w:val="both"/>
        <w:rPr>
          <w:rFonts w:ascii="Calibri" w:eastAsia="Calibri" w:hAnsi="Calibri" w:cs="Calibri"/>
        </w:rPr>
      </w:pPr>
      <w:r w:rsidRPr="00B34094">
        <w:rPr>
          <w:rFonts w:ascii="Calibri" w:eastAsia="Calibri" w:hAnsi="Calibri" w:cs="Calibri"/>
        </w:rPr>
        <w:t xml:space="preserve">Il titolare </w:t>
      </w:r>
      <w:r w:rsidR="004241AC" w:rsidRPr="00B34094">
        <w:rPr>
          <w:rFonts w:ascii="Calibri" w:eastAsia="Calibri" w:hAnsi="Calibri" w:cs="Calibri"/>
        </w:rPr>
        <w:t xml:space="preserve">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 </w:t>
      </w:r>
      <w:r w:rsidR="00E52B80" w:rsidRPr="00B34094">
        <w:rPr>
          <w:rFonts w:ascii="Calibri" w:eastAsia="Calibri" w:hAnsi="Calibri" w:cs="Calibri"/>
          <w:color w:val="000000"/>
        </w:rPr>
        <w:t>IBUMENOL</w:t>
      </w:r>
      <w:r w:rsidR="004241AC" w:rsidRPr="00B34094">
        <w:rPr>
          <w:rFonts w:ascii="Calibri" w:eastAsia="Calibri" w:hAnsi="Calibri" w:cs="Calibri"/>
        </w:rPr>
        <w:t>.</w:t>
      </w:r>
    </w:p>
    <w:p w14:paraId="0D9B588D" w14:textId="77777777" w:rsidR="004241AC" w:rsidRPr="00B34094" w:rsidRDefault="004241AC" w:rsidP="004241AC">
      <w:pPr>
        <w:autoSpaceDE w:val="0"/>
        <w:autoSpaceDN w:val="0"/>
        <w:adjustRightInd w:val="0"/>
        <w:spacing w:after="0" w:line="240" w:lineRule="auto"/>
        <w:jc w:val="both"/>
        <w:rPr>
          <w:rFonts w:ascii="Calibri" w:eastAsia="Calibri" w:hAnsi="Calibri" w:cs="Calibri"/>
        </w:rPr>
      </w:pPr>
    </w:p>
    <w:p w14:paraId="1BA0C189" w14:textId="0E948F2F" w:rsidR="004241AC" w:rsidRPr="0071101F" w:rsidRDefault="004241AC" w:rsidP="004241AC">
      <w:pPr>
        <w:autoSpaceDE w:val="0"/>
        <w:autoSpaceDN w:val="0"/>
        <w:adjustRightInd w:val="0"/>
        <w:spacing w:after="0" w:line="240" w:lineRule="auto"/>
        <w:jc w:val="both"/>
        <w:rPr>
          <w:rFonts w:ascii="Calibri" w:eastAsia="Calibri" w:hAnsi="Calibri" w:cs="Calibri"/>
        </w:rPr>
      </w:pPr>
      <w:r w:rsidRPr="00375909">
        <w:rPr>
          <w:rFonts w:ascii="Calibri" w:eastAsia="Calibri" w:hAnsi="Calibri" w:cs="Calibri"/>
          <w:b/>
          <w:bCs/>
        </w:rPr>
        <w:t>8</w:t>
      </w:r>
      <w:r w:rsidRPr="0071101F">
        <w:rPr>
          <w:rFonts w:ascii="Calibri" w:eastAsia="Calibri" w:hAnsi="Calibri" w:cs="Calibri"/>
          <w:b/>
          <w:bCs/>
        </w:rPr>
        <w:t xml:space="preserve">) ALTRE INFORMAZIONI RELATIVE A </w:t>
      </w:r>
      <w:r w:rsidR="00E52B80" w:rsidRPr="0071101F">
        <w:rPr>
          <w:rFonts w:ascii="Calibri" w:eastAsia="Calibri" w:hAnsi="Calibri" w:cs="Calibri"/>
          <w:b/>
        </w:rPr>
        <w:t>IBUMENOL</w:t>
      </w:r>
    </w:p>
    <w:p w14:paraId="012D73F9" w14:textId="6FABB74B" w:rsidR="004241AC" w:rsidRPr="0071101F" w:rsidRDefault="00375909" w:rsidP="004241AC">
      <w:pPr>
        <w:autoSpaceDE w:val="0"/>
        <w:autoSpaceDN w:val="0"/>
        <w:adjustRightInd w:val="0"/>
        <w:spacing w:after="0" w:line="240" w:lineRule="auto"/>
        <w:jc w:val="both"/>
        <w:rPr>
          <w:rFonts w:ascii="Calibri" w:eastAsia="Calibri" w:hAnsi="Calibri" w:cs="Calibri"/>
          <w:bCs/>
        </w:rPr>
      </w:pPr>
      <w:r w:rsidRPr="0071101F">
        <w:rPr>
          <w:rFonts w:ascii="Calibri" w:eastAsia="Calibri" w:hAnsi="Calibri" w:cs="Calibri"/>
          <w:bCs/>
          <w:iCs/>
        </w:rPr>
        <w:lastRenderedPageBreak/>
        <w:t>Il 2</w:t>
      </w:r>
      <w:r w:rsidR="00931499" w:rsidRPr="0071101F">
        <w:rPr>
          <w:rFonts w:ascii="Calibri" w:eastAsia="Calibri" w:hAnsi="Calibri" w:cs="Calibri"/>
          <w:bCs/>
          <w:iCs/>
        </w:rPr>
        <w:t>8 luglio</w:t>
      </w:r>
      <w:r w:rsidR="004241AC" w:rsidRPr="0071101F">
        <w:rPr>
          <w:rFonts w:ascii="Calibri" w:eastAsia="Calibri" w:hAnsi="Calibri" w:cs="Calibri"/>
          <w:bCs/>
          <w:iCs/>
        </w:rPr>
        <w:t xml:space="preserve"> </w:t>
      </w:r>
      <w:r w:rsidRPr="0071101F">
        <w:rPr>
          <w:rFonts w:ascii="Calibri" w:eastAsia="Calibri" w:hAnsi="Calibri" w:cs="Calibri"/>
          <w:bCs/>
          <w:iCs/>
        </w:rPr>
        <w:t xml:space="preserve">2021 </w:t>
      </w:r>
      <w:r w:rsidR="004241AC" w:rsidRPr="0071101F">
        <w:rPr>
          <w:rFonts w:ascii="Calibri" w:eastAsia="Calibri" w:hAnsi="Calibri" w:cs="Calibri"/>
          <w:bCs/>
          <w:iCs/>
        </w:rPr>
        <w:t xml:space="preserve">l’AIFA ha rilasciato l’autorizzazione all’immissione in commercio di </w:t>
      </w:r>
      <w:r w:rsidR="00E52B80" w:rsidRPr="0071101F">
        <w:rPr>
          <w:rFonts w:ascii="Calibri" w:eastAsia="Calibri" w:hAnsi="Calibri" w:cs="Calibri"/>
        </w:rPr>
        <w:t>IBUMENOL</w:t>
      </w:r>
      <w:r w:rsidR="0071101F" w:rsidRPr="0071101F">
        <w:rPr>
          <w:rFonts w:ascii="Calibri" w:eastAsia="Calibri" w:hAnsi="Calibri" w:cs="Calibri"/>
        </w:rPr>
        <w:t xml:space="preserve"> </w:t>
      </w:r>
      <w:r w:rsidR="00931499" w:rsidRPr="0071101F">
        <w:rPr>
          <w:rFonts w:ascii="Calibri" w:eastAsia="Calibri" w:hAnsi="Calibri" w:cs="Calibri"/>
        </w:rPr>
        <w:t xml:space="preserve">nella presentazione da 400 mg </w:t>
      </w:r>
      <w:r w:rsidR="0071101F" w:rsidRPr="0071101F">
        <w:rPr>
          <w:rFonts w:ascii="Calibri" w:hAnsi="Calibri" w:cs="Arial"/>
        </w:rPr>
        <w:t>compressa rivestita con film</w:t>
      </w:r>
      <w:r w:rsidRPr="0071101F">
        <w:rPr>
          <w:rFonts w:ascii="Calibri" w:eastAsia="Calibri" w:hAnsi="Calibri" w:cs="Calibri"/>
          <w:bCs/>
        </w:rPr>
        <w:t>.</w:t>
      </w:r>
    </w:p>
    <w:p w14:paraId="72FA97E9" w14:textId="77777777" w:rsidR="0071101F" w:rsidRPr="0071101F" w:rsidRDefault="0071101F" w:rsidP="004E5A39">
      <w:pPr>
        <w:autoSpaceDE w:val="0"/>
        <w:autoSpaceDN w:val="0"/>
        <w:adjustRightInd w:val="0"/>
        <w:spacing w:after="0" w:line="240" w:lineRule="auto"/>
        <w:jc w:val="both"/>
        <w:rPr>
          <w:rFonts w:ascii="Calibri" w:eastAsia="Calibri" w:hAnsi="Calibri" w:cs="Calibri"/>
        </w:rPr>
      </w:pPr>
    </w:p>
    <w:p w14:paraId="305B64E3" w14:textId="64A1CFFD" w:rsidR="004E5A39" w:rsidRPr="00375909" w:rsidRDefault="004E5A39" w:rsidP="004E5A39">
      <w:pPr>
        <w:autoSpaceDE w:val="0"/>
        <w:autoSpaceDN w:val="0"/>
        <w:adjustRightInd w:val="0"/>
        <w:spacing w:after="0" w:line="240" w:lineRule="auto"/>
        <w:jc w:val="both"/>
        <w:rPr>
          <w:rFonts w:ascii="Calibri" w:eastAsia="Calibri" w:hAnsi="Calibri" w:cs="Calibri"/>
        </w:rPr>
      </w:pPr>
      <w:r w:rsidRPr="0071101F">
        <w:rPr>
          <w:rFonts w:ascii="Calibri" w:eastAsia="Calibri" w:hAnsi="Calibri" w:cs="Calibri"/>
        </w:rPr>
        <w:t xml:space="preserve">La Relazione </w:t>
      </w:r>
      <w:r w:rsidRPr="00375909">
        <w:rPr>
          <w:rFonts w:ascii="Calibri" w:eastAsia="Calibri" w:hAnsi="Calibri" w:cs="Calibri"/>
        </w:rPr>
        <w:t>Pubblica di Valutazione c</w:t>
      </w:r>
      <w:r w:rsidR="006E1254">
        <w:rPr>
          <w:rFonts w:ascii="Calibri" w:eastAsia="Calibri" w:hAnsi="Calibri" w:cs="Calibri"/>
        </w:rPr>
        <w:t>ompleta segue questo Riassunto.</w:t>
      </w:r>
    </w:p>
    <w:p w14:paraId="3D3A2352" w14:textId="4A36B838" w:rsidR="004241AC" w:rsidRPr="00375909" w:rsidRDefault="004241AC" w:rsidP="004241AC">
      <w:pPr>
        <w:autoSpaceDE w:val="0"/>
        <w:autoSpaceDN w:val="0"/>
        <w:adjustRightInd w:val="0"/>
        <w:spacing w:after="0" w:line="240" w:lineRule="auto"/>
        <w:jc w:val="both"/>
        <w:rPr>
          <w:rFonts w:ascii="Calibri" w:eastAsia="Calibri" w:hAnsi="Calibri" w:cs="Calibri"/>
        </w:rPr>
      </w:pPr>
      <w:r w:rsidRPr="00375909">
        <w:rPr>
          <w:rFonts w:ascii="Calibri" w:eastAsia="Calibri" w:hAnsi="Calibri" w:cs="Calibri"/>
        </w:rPr>
        <w:t xml:space="preserve">Per maggiori informazioni riguardo il trattamento con </w:t>
      </w:r>
      <w:r w:rsidR="00E52B80" w:rsidRPr="00375909">
        <w:rPr>
          <w:rFonts w:ascii="Calibri" w:eastAsia="Calibri" w:hAnsi="Calibri" w:cs="Calibri"/>
          <w:color w:val="000000"/>
        </w:rPr>
        <w:t>IBUMENOL</w:t>
      </w:r>
      <w:r w:rsidR="007170D7" w:rsidRPr="00375909">
        <w:rPr>
          <w:rFonts w:ascii="Calibri" w:eastAsia="Calibri" w:hAnsi="Calibri" w:cs="Calibri"/>
          <w:color w:val="000000"/>
        </w:rPr>
        <w:t xml:space="preserve"> </w:t>
      </w:r>
      <w:r w:rsidRPr="00375909">
        <w:rPr>
          <w:rFonts w:ascii="Calibri" w:eastAsia="Calibri" w:hAnsi="Calibri" w:cs="Calibri"/>
        </w:rPr>
        <w:t>si può leggere il foglio illustrativo</w:t>
      </w:r>
      <w:r w:rsidR="00D20170" w:rsidRPr="00375909">
        <w:rPr>
          <w:rFonts w:ascii="Calibri" w:eastAsia="Calibri" w:hAnsi="Calibri" w:cs="Calibri"/>
        </w:rPr>
        <w:t xml:space="preserve"> </w:t>
      </w:r>
      <w:r w:rsidR="00567615" w:rsidRPr="00375909">
        <w:rPr>
          <w:rFonts w:ascii="Calibri" w:eastAsia="Calibri" w:hAnsi="Calibri" w:cs="Calibri"/>
        </w:rPr>
        <w:t>(</w:t>
      </w:r>
      <w:hyperlink r:id="rId11" w:history="1">
        <w:r w:rsidR="00567615" w:rsidRPr="00375909">
          <w:rPr>
            <w:rStyle w:val="Collegamentoipertestuale"/>
            <w:rFonts w:ascii="Calibri" w:eastAsia="Calibri" w:hAnsi="Calibri" w:cs="Calibri"/>
          </w:rPr>
          <w:t>https://farmaci.agenziafarmaco.gov.it/bancadatifarmaci</w:t>
        </w:r>
      </w:hyperlink>
      <w:r w:rsidR="00567615" w:rsidRPr="00375909">
        <w:rPr>
          <w:rFonts w:ascii="Calibri" w:eastAsia="Calibri" w:hAnsi="Calibri" w:cs="Calibri"/>
        </w:rPr>
        <w:t xml:space="preserve">) </w:t>
      </w:r>
      <w:r w:rsidRPr="00375909">
        <w:rPr>
          <w:rFonts w:ascii="Calibri" w:eastAsia="Calibri" w:hAnsi="Calibri" w:cs="Calibri"/>
        </w:rPr>
        <w:t xml:space="preserve">o contattare il medico o </w:t>
      </w:r>
      <w:r w:rsidR="009B03DB" w:rsidRPr="00375909">
        <w:rPr>
          <w:rFonts w:ascii="Calibri" w:eastAsia="Calibri" w:hAnsi="Calibri" w:cs="Calibri"/>
        </w:rPr>
        <w:t xml:space="preserve">il </w:t>
      </w:r>
      <w:r w:rsidRPr="00375909">
        <w:rPr>
          <w:rFonts w:ascii="Calibri" w:eastAsia="Calibri" w:hAnsi="Calibri" w:cs="Calibri"/>
        </w:rPr>
        <w:t xml:space="preserve">farmacista. </w:t>
      </w:r>
    </w:p>
    <w:p w14:paraId="7A69C5DF" w14:textId="77777777" w:rsidR="004241AC" w:rsidRPr="00375909" w:rsidRDefault="004241AC" w:rsidP="004241AC">
      <w:pPr>
        <w:spacing w:after="0" w:line="240" w:lineRule="auto"/>
        <w:jc w:val="both"/>
        <w:rPr>
          <w:rFonts w:ascii="Calibri" w:eastAsia="Calibri" w:hAnsi="Calibri" w:cs="Calibri"/>
        </w:rPr>
      </w:pPr>
    </w:p>
    <w:p w14:paraId="46D8E7FC" w14:textId="77777777" w:rsidR="004241AC" w:rsidRPr="00767716" w:rsidRDefault="004241AC" w:rsidP="004241AC">
      <w:pPr>
        <w:spacing w:after="0" w:line="240" w:lineRule="auto"/>
        <w:jc w:val="both"/>
        <w:rPr>
          <w:rFonts w:ascii="Calibri" w:eastAsia="Calibri" w:hAnsi="Calibri" w:cs="Calibri"/>
        </w:rPr>
      </w:pPr>
    </w:p>
    <w:p w14:paraId="0A487EA6" w14:textId="44187344" w:rsidR="004241AC" w:rsidRPr="00B058F7" w:rsidRDefault="004241AC" w:rsidP="004241AC">
      <w:pPr>
        <w:spacing w:after="0" w:line="240" w:lineRule="auto"/>
        <w:jc w:val="both"/>
        <w:rPr>
          <w:rFonts w:ascii="Calibri" w:eastAsia="Calibri" w:hAnsi="Calibri" w:cs="Calibri"/>
        </w:rPr>
      </w:pPr>
      <w:r w:rsidRPr="00767716">
        <w:rPr>
          <w:rFonts w:ascii="Calibri" w:eastAsia="Calibri" w:hAnsi="Calibri" w:cs="Calibri"/>
        </w:rPr>
        <w:t xml:space="preserve">Questo riassunto è stato redatto in </w:t>
      </w:r>
      <w:r w:rsidR="00B1186F" w:rsidRPr="00B058F7">
        <w:rPr>
          <w:rFonts w:ascii="Calibri" w:eastAsia="Calibri" w:hAnsi="Calibri" w:cs="Calibri"/>
        </w:rPr>
        <w:t xml:space="preserve">data </w:t>
      </w:r>
      <w:r w:rsidR="00B058F7" w:rsidRPr="00B058F7">
        <w:rPr>
          <w:rFonts w:ascii="Calibri" w:eastAsia="Calibri" w:hAnsi="Calibri" w:cs="Calibri"/>
        </w:rPr>
        <w:t>25</w:t>
      </w:r>
      <w:r w:rsidR="00375909" w:rsidRPr="00B058F7">
        <w:rPr>
          <w:rFonts w:ascii="Calibri" w:eastAsia="Calibri" w:hAnsi="Calibri" w:cs="Calibri"/>
        </w:rPr>
        <w:t>/11</w:t>
      </w:r>
      <w:r w:rsidR="00AE7D25" w:rsidRPr="00B058F7">
        <w:rPr>
          <w:rFonts w:ascii="Calibri" w:eastAsia="Calibri" w:hAnsi="Calibri" w:cs="Calibri"/>
        </w:rPr>
        <w:t>/2021</w:t>
      </w:r>
      <w:r w:rsidR="00040DD9">
        <w:rPr>
          <w:rFonts w:ascii="Calibri" w:eastAsia="Calibri" w:hAnsi="Calibri" w:cs="Calibri"/>
        </w:rPr>
        <w:t>.</w:t>
      </w:r>
    </w:p>
    <w:p w14:paraId="3906F2D2" w14:textId="38B6E155" w:rsidR="00462CDC" w:rsidRPr="00875308" w:rsidRDefault="00462CDC">
      <w:pPr>
        <w:rPr>
          <w:rFonts w:ascii="Calibri" w:hAnsi="Calibri"/>
          <w:b/>
          <w:sz w:val="28"/>
        </w:rPr>
      </w:pPr>
      <w:r w:rsidRPr="00B058F7">
        <w:rPr>
          <w:rFonts w:ascii="Calibri" w:hAnsi="Calibri"/>
          <w:b/>
          <w:sz w:val="28"/>
        </w:rPr>
        <w:br w:type="page"/>
      </w:r>
    </w:p>
    <w:p w14:paraId="76C64D00" w14:textId="12FD31D6" w:rsidR="007170D7" w:rsidRPr="00875308" w:rsidRDefault="00FF528B" w:rsidP="004E5A39">
      <w:pPr>
        <w:spacing w:after="0" w:line="240" w:lineRule="auto"/>
        <w:jc w:val="center"/>
        <w:rPr>
          <w:rFonts w:ascii="Calibri" w:hAnsi="Calibri"/>
          <w:b/>
          <w:sz w:val="28"/>
        </w:rPr>
      </w:pPr>
      <w:r w:rsidRPr="00875308">
        <w:rPr>
          <w:noProof/>
        </w:rPr>
        <w:lastRenderedPageBreak/>
        <w:drawing>
          <wp:inline distT="0" distB="0" distL="0" distR="0" wp14:anchorId="166D906C" wp14:editId="7379A463">
            <wp:extent cx="2876400" cy="1072800"/>
            <wp:effectExtent l="0" t="0" r="635" b="0"/>
            <wp:docPr id="9" name="Immagine 9"/>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876400" cy="1072800"/>
                    </a:xfrm>
                    <a:prstGeom prst="rect">
                      <a:avLst/>
                    </a:prstGeom>
                    <a:noFill/>
                    <a:ln>
                      <a:noFill/>
                    </a:ln>
                  </pic:spPr>
                </pic:pic>
              </a:graphicData>
            </a:graphic>
          </wp:inline>
        </w:drawing>
      </w:r>
    </w:p>
    <w:p w14:paraId="3084EC2B" w14:textId="77777777" w:rsidR="007170D7" w:rsidRPr="00875308" w:rsidRDefault="007170D7" w:rsidP="004E5A39">
      <w:pPr>
        <w:spacing w:after="0" w:line="240" w:lineRule="auto"/>
        <w:jc w:val="center"/>
        <w:rPr>
          <w:rFonts w:ascii="Calibri" w:hAnsi="Calibri"/>
          <w:b/>
          <w:sz w:val="28"/>
        </w:rPr>
      </w:pPr>
    </w:p>
    <w:p w14:paraId="7664E823" w14:textId="77777777" w:rsidR="004E5A39" w:rsidRPr="00875308" w:rsidRDefault="004E5A39" w:rsidP="004E5A39">
      <w:pPr>
        <w:spacing w:after="0" w:line="240" w:lineRule="auto"/>
        <w:jc w:val="center"/>
        <w:rPr>
          <w:rFonts w:ascii="Calibri" w:hAnsi="Calibri"/>
          <w:b/>
          <w:sz w:val="32"/>
          <w:szCs w:val="32"/>
        </w:rPr>
      </w:pPr>
      <w:r w:rsidRPr="00875308">
        <w:rPr>
          <w:rFonts w:ascii="Calibri" w:hAnsi="Calibri"/>
          <w:b/>
          <w:sz w:val="32"/>
          <w:szCs w:val="32"/>
        </w:rPr>
        <w:t>RELAZIONE PUBBLICA DI VALUTAZIONE</w:t>
      </w:r>
    </w:p>
    <w:p w14:paraId="182A819A" w14:textId="77777777" w:rsidR="004E5A39" w:rsidRPr="00875308" w:rsidRDefault="004E5A39" w:rsidP="004E5A39">
      <w:pPr>
        <w:spacing w:after="0" w:line="240" w:lineRule="auto"/>
        <w:jc w:val="center"/>
        <w:rPr>
          <w:rFonts w:ascii="Calibri" w:hAnsi="Calibri"/>
          <w:b/>
        </w:rPr>
      </w:pPr>
    </w:p>
    <w:p w14:paraId="31BAA03A" w14:textId="77777777" w:rsidR="004E5A39" w:rsidRPr="00875308" w:rsidRDefault="004E5A39" w:rsidP="004E5A39">
      <w:pPr>
        <w:spacing w:after="0" w:line="240" w:lineRule="auto"/>
        <w:jc w:val="center"/>
        <w:rPr>
          <w:rFonts w:ascii="Calibri" w:hAnsi="Calibri"/>
          <w:b/>
        </w:rPr>
      </w:pPr>
    </w:p>
    <w:p w14:paraId="5FA19C26" w14:textId="77777777" w:rsidR="004E5A39" w:rsidRPr="00875308" w:rsidRDefault="004E5A39" w:rsidP="004E5A39">
      <w:pPr>
        <w:spacing w:after="0" w:line="240" w:lineRule="auto"/>
        <w:jc w:val="center"/>
        <w:rPr>
          <w:rFonts w:ascii="Calibri" w:hAnsi="Calibri"/>
          <w:b/>
        </w:rPr>
      </w:pPr>
    </w:p>
    <w:p w14:paraId="55F037CB" w14:textId="77777777" w:rsidR="004E5A39" w:rsidRPr="00875308" w:rsidRDefault="004E5A39" w:rsidP="004E5A39">
      <w:pPr>
        <w:spacing w:after="0" w:line="240" w:lineRule="auto"/>
        <w:jc w:val="center"/>
        <w:rPr>
          <w:rFonts w:ascii="Calibri" w:hAnsi="Calibri"/>
          <w:b/>
        </w:rPr>
      </w:pPr>
    </w:p>
    <w:p w14:paraId="7B99465A" w14:textId="77777777" w:rsidR="004E5A39" w:rsidRPr="00875308" w:rsidRDefault="004E5A39" w:rsidP="004E5A39">
      <w:pPr>
        <w:spacing w:after="0" w:line="240" w:lineRule="auto"/>
        <w:jc w:val="center"/>
        <w:rPr>
          <w:rFonts w:ascii="Calibri" w:hAnsi="Calibri"/>
          <w:b/>
          <w:sz w:val="28"/>
          <w:szCs w:val="28"/>
        </w:rPr>
      </w:pPr>
      <w:r w:rsidRPr="00875308">
        <w:rPr>
          <w:rFonts w:ascii="Calibri" w:hAnsi="Calibri"/>
          <w:b/>
          <w:sz w:val="28"/>
          <w:szCs w:val="28"/>
        </w:rPr>
        <w:t>INDICE</w:t>
      </w:r>
    </w:p>
    <w:p w14:paraId="422CE235" w14:textId="77777777" w:rsidR="004E5A39" w:rsidRPr="00875308" w:rsidRDefault="004E5A39" w:rsidP="004E5A39">
      <w:pPr>
        <w:spacing w:after="0" w:line="240" w:lineRule="auto"/>
        <w:jc w:val="both"/>
        <w:rPr>
          <w:rFonts w:ascii="Calibri" w:hAnsi="Calibri"/>
          <w:sz w:val="28"/>
          <w:szCs w:val="28"/>
        </w:rPr>
      </w:pPr>
    </w:p>
    <w:p w14:paraId="4EEEDA4D" w14:textId="77777777" w:rsidR="004E5A39" w:rsidRPr="00875308" w:rsidRDefault="004E5A39" w:rsidP="004E5A39">
      <w:pPr>
        <w:spacing w:after="0" w:line="240" w:lineRule="auto"/>
        <w:jc w:val="both"/>
        <w:rPr>
          <w:rFonts w:ascii="Calibri" w:hAnsi="Calibri"/>
          <w:sz w:val="28"/>
          <w:szCs w:val="28"/>
        </w:rPr>
      </w:pPr>
    </w:p>
    <w:p w14:paraId="3C39AE04" w14:textId="77777777" w:rsidR="004E5A39" w:rsidRPr="00875308" w:rsidRDefault="004E5A39" w:rsidP="004E5A39">
      <w:pPr>
        <w:spacing w:after="0" w:line="240" w:lineRule="auto"/>
        <w:jc w:val="both"/>
        <w:rPr>
          <w:rFonts w:ascii="Calibri" w:hAnsi="Calibri"/>
          <w:sz w:val="28"/>
          <w:szCs w:val="28"/>
        </w:rPr>
      </w:pPr>
    </w:p>
    <w:p w14:paraId="0BD59477" w14:textId="77777777" w:rsidR="004E5A39" w:rsidRPr="00875308" w:rsidRDefault="004E5A39" w:rsidP="004E5A39">
      <w:pPr>
        <w:pStyle w:val="Paragrafoelenco"/>
        <w:numPr>
          <w:ilvl w:val="0"/>
          <w:numId w:val="1"/>
        </w:numPr>
        <w:spacing w:after="0" w:line="240" w:lineRule="auto"/>
        <w:rPr>
          <w:rFonts w:ascii="Calibri" w:hAnsi="Calibri"/>
          <w:b/>
          <w:sz w:val="28"/>
          <w:szCs w:val="28"/>
        </w:rPr>
      </w:pPr>
      <w:r w:rsidRPr="00875308">
        <w:rPr>
          <w:rFonts w:ascii="Calibri" w:hAnsi="Calibri"/>
          <w:b/>
          <w:sz w:val="28"/>
          <w:szCs w:val="28"/>
        </w:rPr>
        <w:t>INTRODUZIONE</w:t>
      </w:r>
    </w:p>
    <w:p w14:paraId="1BAD57E0" w14:textId="77777777" w:rsidR="004E5A39" w:rsidRPr="00875308" w:rsidRDefault="004E5A39" w:rsidP="004E5A39">
      <w:pPr>
        <w:spacing w:after="0" w:line="240" w:lineRule="auto"/>
        <w:jc w:val="both"/>
        <w:rPr>
          <w:rFonts w:ascii="Calibri" w:hAnsi="Calibri"/>
          <w:sz w:val="28"/>
          <w:szCs w:val="28"/>
        </w:rPr>
      </w:pPr>
    </w:p>
    <w:p w14:paraId="6410DA28" w14:textId="77777777" w:rsidR="004E5A39" w:rsidRPr="00875308" w:rsidRDefault="004E5A39" w:rsidP="004E5A39">
      <w:pPr>
        <w:pStyle w:val="Paragrafoelenco"/>
        <w:numPr>
          <w:ilvl w:val="0"/>
          <w:numId w:val="1"/>
        </w:numPr>
        <w:spacing w:after="0" w:line="240" w:lineRule="auto"/>
        <w:jc w:val="both"/>
        <w:rPr>
          <w:rFonts w:ascii="Calibri" w:hAnsi="Calibri"/>
          <w:b/>
          <w:sz w:val="28"/>
          <w:szCs w:val="28"/>
        </w:rPr>
      </w:pPr>
      <w:r w:rsidRPr="00875308">
        <w:rPr>
          <w:rFonts w:ascii="Calibri" w:hAnsi="Calibri"/>
          <w:b/>
          <w:sz w:val="28"/>
          <w:szCs w:val="28"/>
        </w:rPr>
        <w:t>ASPETTI DI QUALITA’</w:t>
      </w:r>
    </w:p>
    <w:p w14:paraId="758E09B1" w14:textId="77777777" w:rsidR="004E5A39" w:rsidRPr="00875308" w:rsidRDefault="004E5A39" w:rsidP="004E5A39">
      <w:pPr>
        <w:pStyle w:val="Paragrafoelenco"/>
        <w:rPr>
          <w:rFonts w:ascii="Calibri" w:hAnsi="Calibri"/>
          <w:b/>
          <w:sz w:val="28"/>
          <w:szCs w:val="28"/>
        </w:rPr>
      </w:pPr>
    </w:p>
    <w:p w14:paraId="6516D158" w14:textId="77777777" w:rsidR="004E5A39" w:rsidRPr="00875308" w:rsidRDefault="004E5A39" w:rsidP="004E5A39">
      <w:pPr>
        <w:pStyle w:val="Paragrafoelenco"/>
        <w:numPr>
          <w:ilvl w:val="0"/>
          <w:numId w:val="1"/>
        </w:numPr>
        <w:spacing w:after="0" w:line="240" w:lineRule="auto"/>
        <w:jc w:val="both"/>
        <w:rPr>
          <w:rFonts w:ascii="Calibri" w:hAnsi="Calibri"/>
          <w:b/>
          <w:sz w:val="28"/>
          <w:szCs w:val="28"/>
        </w:rPr>
      </w:pPr>
      <w:r w:rsidRPr="00875308">
        <w:rPr>
          <w:rFonts w:ascii="Calibri" w:hAnsi="Calibri"/>
          <w:b/>
          <w:sz w:val="28"/>
          <w:szCs w:val="28"/>
        </w:rPr>
        <w:t>ASPETTI NON CLINICI</w:t>
      </w:r>
    </w:p>
    <w:p w14:paraId="376A1B86" w14:textId="77777777" w:rsidR="004E5A39" w:rsidRPr="00875308" w:rsidRDefault="004E5A39" w:rsidP="004E5A39">
      <w:pPr>
        <w:pStyle w:val="Paragrafoelenco"/>
        <w:rPr>
          <w:rFonts w:ascii="Calibri" w:hAnsi="Calibri"/>
          <w:b/>
          <w:sz w:val="28"/>
          <w:szCs w:val="28"/>
        </w:rPr>
      </w:pPr>
    </w:p>
    <w:p w14:paraId="7CAEB57F" w14:textId="77777777" w:rsidR="004E5A39" w:rsidRPr="00875308" w:rsidRDefault="004E5A39" w:rsidP="004E5A39">
      <w:pPr>
        <w:pStyle w:val="Paragrafoelenco"/>
        <w:numPr>
          <w:ilvl w:val="0"/>
          <w:numId w:val="1"/>
        </w:numPr>
        <w:spacing w:after="0" w:line="240" w:lineRule="auto"/>
        <w:jc w:val="both"/>
        <w:rPr>
          <w:rFonts w:ascii="Calibri" w:hAnsi="Calibri"/>
          <w:b/>
          <w:sz w:val="28"/>
          <w:szCs w:val="28"/>
        </w:rPr>
      </w:pPr>
      <w:r w:rsidRPr="00875308">
        <w:rPr>
          <w:rFonts w:ascii="Calibri" w:hAnsi="Calibri"/>
          <w:b/>
          <w:sz w:val="28"/>
          <w:szCs w:val="28"/>
        </w:rPr>
        <w:t>ASPETTI CLINICI</w:t>
      </w:r>
    </w:p>
    <w:p w14:paraId="5575D6D3" w14:textId="77777777" w:rsidR="004E5A39" w:rsidRPr="00875308" w:rsidRDefault="004E5A39" w:rsidP="004E5A39">
      <w:pPr>
        <w:pStyle w:val="Paragrafoelenco"/>
        <w:rPr>
          <w:rFonts w:ascii="Calibri" w:hAnsi="Calibri"/>
          <w:b/>
          <w:sz w:val="28"/>
          <w:szCs w:val="28"/>
        </w:rPr>
      </w:pPr>
    </w:p>
    <w:p w14:paraId="24BF4913" w14:textId="77777777" w:rsidR="004E5A39" w:rsidRPr="00875308" w:rsidRDefault="004E5A39" w:rsidP="004E5A39">
      <w:pPr>
        <w:pStyle w:val="Paragrafoelenco"/>
        <w:numPr>
          <w:ilvl w:val="0"/>
          <w:numId w:val="1"/>
        </w:numPr>
        <w:spacing w:after="0" w:line="240" w:lineRule="auto"/>
        <w:jc w:val="both"/>
        <w:rPr>
          <w:rFonts w:ascii="Calibri" w:hAnsi="Calibri"/>
          <w:b/>
          <w:sz w:val="28"/>
          <w:szCs w:val="28"/>
        </w:rPr>
      </w:pPr>
      <w:r w:rsidRPr="00875308">
        <w:rPr>
          <w:rFonts w:ascii="Calibri" w:hAnsi="Calibri"/>
          <w:b/>
          <w:sz w:val="28"/>
          <w:szCs w:val="28"/>
        </w:rPr>
        <w:t>CONSULTAZIONE SUL FOGLIO ILLUSTRATIVO</w:t>
      </w:r>
    </w:p>
    <w:p w14:paraId="5963315F" w14:textId="77777777" w:rsidR="004E5A39" w:rsidRPr="00875308" w:rsidRDefault="004E5A39" w:rsidP="004E5A39">
      <w:pPr>
        <w:pStyle w:val="Paragrafoelenco"/>
        <w:spacing w:after="0" w:line="240" w:lineRule="auto"/>
        <w:ind w:left="1080"/>
        <w:jc w:val="both"/>
        <w:rPr>
          <w:rFonts w:ascii="Calibri" w:hAnsi="Calibri"/>
          <w:b/>
          <w:sz w:val="28"/>
          <w:szCs w:val="28"/>
        </w:rPr>
      </w:pPr>
    </w:p>
    <w:p w14:paraId="4D69F0B0" w14:textId="77777777" w:rsidR="004E5A39" w:rsidRPr="00875308" w:rsidRDefault="004E5A39" w:rsidP="004E5A39">
      <w:pPr>
        <w:pStyle w:val="Paragrafoelenco"/>
        <w:numPr>
          <w:ilvl w:val="0"/>
          <w:numId w:val="1"/>
        </w:numPr>
        <w:spacing w:after="0" w:line="240" w:lineRule="auto"/>
        <w:jc w:val="both"/>
        <w:rPr>
          <w:rFonts w:ascii="Calibri" w:hAnsi="Calibri"/>
          <w:b/>
          <w:sz w:val="28"/>
          <w:szCs w:val="28"/>
        </w:rPr>
      </w:pPr>
      <w:r w:rsidRPr="00875308">
        <w:rPr>
          <w:rFonts w:ascii="Calibri" w:hAnsi="Calibri"/>
          <w:b/>
          <w:sz w:val="28"/>
          <w:szCs w:val="28"/>
        </w:rPr>
        <w:t>CONCLUSIONI, VALUTAZIONE DEL RAPPORTO BENEFICIO/RISCHIO E RACCOMANDAZIONI</w:t>
      </w:r>
    </w:p>
    <w:p w14:paraId="74436E58" w14:textId="77777777" w:rsidR="004E5A39" w:rsidRPr="00875308" w:rsidRDefault="004E5A39" w:rsidP="004E5A39">
      <w:pPr>
        <w:rPr>
          <w:rFonts w:ascii="Calibri" w:hAnsi="Calibri"/>
          <w:sz w:val="28"/>
          <w:szCs w:val="28"/>
        </w:rPr>
      </w:pPr>
    </w:p>
    <w:p w14:paraId="59ED2113" w14:textId="77777777" w:rsidR="004E5A39" w:rsidRPr="00875308" w:rsidRDefault="004E5A39" w:rsidP="004E5A39">
      <w:pPr>
        <w:rPr>
          <w:rFonts w:ascii="Calibri" w:hAnsi="Calibri"/>
        </w:rPr>
      </w:pPr>
    </w:p>
    <w:p w14:paraId="791AC086" w14:textId="77777777" w:rsidR="004E5A39" w:rsidRPr="00875308" w:rsidRDefault="004E5A39" w:rsidP="004E5A39">
      <w:pPr>
        <w:rPr>
          <w:rFonts w:ascii="Calibri" w:hAnsi="Calibri"/>
        </w:rPr>
      </w:pPr>
    </w:p>
    <w:p w14:paraId="1258C0BB" w14:textId="77777777" w:rsidR="004E5A39" w:rsidRPr="00875308" w:rsidRDefault="004E5A39" w:rsidP="004E5A39">
      <w:pPr>
        <w:rPr>
          <w:rFonts w:ascii="Calibri" w:hAnsi="Calibri"/>
        </w:rPr>
      </w:pPr>
    </w:p>
    <w:p w14:paraId="2B6C5D93" w14:textId="77777777" w:rsidR="00AE7D25" w:rsidRPr="00875308" w:rsidRDefault="00AE7D25">
      <w:pPr>
        <w:rPr>
          <w:rFonts w:ascii="Calibri" w:hAnsi="Calibri"/>
          <w:b/>
          <w:sz w:val="24"/>
          <w:szCs w:val="24"/>
        </w:rPr>
      </w:pPr>
      <w:r w:rsidRPr="00875308">
        <w:rPr>
          <w:rFonts w:ascii="Calibri" w:hAnsi="Calibri"/>
          <w:b/>
          <w:sz w:val="24"/>
          <w:szCs w:val="24"/>
        </w:rPr>
        <w:br w:type="page"/>
      </w:r>
    </w:p>
    <w:p w14:paraId="7FE536EA" w14:textId="109E7E9F" w:rsidR="004E5A39" w:rsidRPr="008E506D" w:rsidRDefault="00AE7D25" w:rsidP="00EF6711">
      <w:pPr>
        <w:pStyle w:val="Paragrafoelenco"/>
        <w:numPr>
          <w:ilvl w:val="0"/>
          <w:numId w:val="2"/>
        </w:numPr>
        <w:spacing w:after="0" w:line="240" w:lineRule="auto"/>
        <w:rPr>
          <w:rFonts w:ascii="Calibri" w:hAnsi="Calibri"/>
          <w:b/>
        </w:rPr>
      </w:pPr>
      <w:r w:rsidRPr="008E506D">
        <w:rPr>
          <w:rFonts w:ascii="Calibri" w:hAnsi="Calibri"/>
          <w:b/>
          <w:sz w:val="24"/>
          <w:szCs w:val="24"/>
        </w:rPr>
        <w:lastRenderedPageBreak/>
        <w:t>IN</w:t>
      </w:r>
      <w:r w:rsidR="004E5A39" w:rsidRPr="008E506D">
        <w:rPr>
          <w:rFonts w:ascii="Calibri" w:hAnsi="Calibri"/>
          <w:b/>
          <w:sz w:val="24"/>
          <w:szCs w:val="24"/>
        </w:rPr>
        <w:t>TRODUZIONE</w:t>
      </w:r>
    </w:p>
    <w:p w14:paraId="1778AEFD" w14:textId="67417C72" w:rsidR="004E5A39" w:rsidRPr="00FE65F0" w:rsidRDefault="004E5A39" w:rsidP="00D65622">
      <w:pPr>
        <w:spacing w:after="0" w:line="240" w:lineRule="auto"/>
        <w:rPr>
          <w:rFonts w:ascii="Calibri" w:hAnsi="Calibri"/>
        </w:rPr>
      </w:pPr>
      <w:r w:rsidRPr="008E506D">
        <w:rPr>
          <w:rFonts w:ascii="Calibri" w:hAnsi="Calibri"/>
        </w:rPr>
        <w:t xml:space="preserve">Sulla base dei dati di qualità, sicurezza ed efficacia, </w:t>
      </w:r>
      <w:r w:rsidRPr="00FE65F0">
        <w:rPr>
          <w:rFonts w:ascii="Calibri" w:hAnsi="Calibri"/>
        </w:rPr>
        <w:t xml:space="preserve">l’AIFA ha rilasciato l’autorizzazione all’immissione in commercio (AIC) per il medicinale </w:t>
      </w:r>
      <w:r w:rsidR="00E52B80" w:rsidRPr="00FE65F0">
        <w:rPr>
          <w:rFonts w:ascii="Calibri" w:eastAsia="Calibri" w:hAnsi="Calibri" w:cs="Calibri"/>
          <w:color w:val="000000"/>
        </w:rPr>
        <w:t>IBUMENOL</w:t>
      </w:r>
      <w:r w:rsidR="007170D7" w:rsidRPr="00FE65F0">
        <w:rPr>
          <w:rFonts w:ascii="Calibri" w:eastAsia="Calibri" w:hAnsi="Calibri" w:cs="Calibri"/>
          <w:bCs/>
          <w:iCs/>
        </w:rPr>
        <w:t xml:space="preserve"> </w:t>
      </w:r>
      <w:r w:rsidR="00FE65F0" w:rsidRPr="00FE65F0">
        <w:rPr>
          <w:rFonts w:ascii="Calibri" w:eastAsia="Calibri" w:hAnsi="Calibri" w:cs="Calibri"/>
          <w:bCs/>
          <w:iCs/>
        </w:rPr>
        <w:t>il 28 luglio 2021</w:t>
      </w:r>
      <w:r w:rsidR="00D65622" w:rsidRPr="00FE65F0">
        <w:rPr>
          <w:rFonts w:ascii="Calibri" w:eastAsia="Calibri" w:hAnsi="Calibri" w:cs="Calibri"/>
          <w:bCs/>
          <w:iCs/>
        </w:rPr>
        <w:t>.</w:t>
      </w:r>
    </w:p>
    <w:p w14:paraId="0BDDDCAE" w14:textId="77777777" w:rsidR="004E5A39" w:rsidRPr="00FE65F0" w:rsidRDefault="004E5A39" w:rsidP="00EF6711">
      <w:pPr>
        <w:spacing w:after="0" w:line="240" w:lineRule="auto"/>
        <w:jc w:val="both"/>
        <w:rPr>
          <w:rFonts w:ascii="Calibri" w:hAnsi="Calibri"/>
        </w:rPr>
      </w:pPr>
    </w:p>
    <w:p w14:paraId="5967BE99" w14:textId="5ADB14C0" w:rsidR="00EF6711" w:rsidRPr="00FE65F0" w:rsidRDefault="008E506D" w:rsidP="00EF6711">
      <w:pPr>
        <w:autoSpaceDE w:val="0"/>
        <w:autoSpaceDN w:val="0"/>
        <w:adjustRightInd w:val="0"/>
        <w:spacing w:after="0" w:line="240" w:lineRule="auto"/>
        <w:jc w:val="both"/>
        <w:rPr>
          <w:rFonts w:ascii="Calibri" w:hAnsi="Calibri" w:cs="Calibri"/>
        </w:rPr>
      </w:pPr>
      <w:r w:rsidRPr="00FE65F0">
        <w:rPr>
          <w:rFonts w:ascii="Calibri" w:eastAsia="Calibri" w:hAnsi="Calibri" w:cs="Calibri"/>
          <w:color w:val="000000"/>
        </w:rPr>
        <w:t>IBUMENOL è un medicinale da banco o di automedicazione (OTC).</w:t>
      </w:r>
    </w:p>
    <w:p w14:paraId="7C07E70B" w14:textId="77777777" w:rsidR="008C741F" w:rsidRPr="009750F4" w:rsidRDefault="008C741F" w:rsidP="00EF6711">
      <w:pPr>
        <w:autoSpaceDE w:val="0"/>
        <w:autoSpaceDN w:val="0"/>
        <w:adjustRightInd w:val="0"/>
        <w:spacing w:after="0" w:line="240" w:lineRule="auto"/>
        <w:jc w:val="both"/>
        <w:rPr>
          <w:rFonts w:ascii="Calibri" w:hAnsi="Calibri"/>
        </w:rPr>
      </w:pPr>
    </w:p>
    <w:p w14:paraId="56378DAD" w14:textId="55EF2FCC" w:rsidR="004E5A39" w:rsidRPr="009750F4" w:rsidRDefault="008C741F" w:rsidP="00EF6711">
      <w:pPr>
        <w:spacing w:after="0" w:line="240" w:lineRule="auto"/>
        <w:jc w:val="both"/>
        <w:rPr>
          <w:rFonts w:ascii="Calibri" w:hAnsi="Calibri"/>
        </w:rPr>
      </w:pPr>
      <w:r w:rsidRPr="009750F4">
        <w:rPr>
          <w:rFonts w:ascii="Calibri" w:hAnsi="Calibri"/>
        </w:rPr>
        <w:t xml:space="preserve">La domanda </w:t>
      </w:r>
      <w:r w:rsidR="00A87812" w:rsidRPr="009750F4">
        <w:rPr>
          <w:rFonts w:ascii="Calibri" w:hAnsi="Calibri"/>
        </w:rPr>
        <w:t>della</w:t>
      </w:r>
      <w:r w:rsidRPr="009750F4">
        <w:rPr>
          <w:rFonts w:ascii="Calibri" w:hAnsi="Calibri"/>
        </w:rPr>
        <w:t xml:space="preserve"> Ditta Titolare per la richiesta dell’Autorizzazione all’Immissione in Commercio (AIC) del medicinale </w:t>
      </w:r>
      <w:r w:rsidR="00E52B80" w:rsidRPr="009750F4">
        <w:rPr>
          <w:rFonts w:ascii="Calibri" w:hAnsi="Calibri"/>
        </w:rPr>
        <w:t>IBUMENOL</w:t>
      </w:r>
      <w:r w:rsidRPr="009750F4">
        <w:rPr>
          <w:rFonts w:ascii="Calibri" w:hAnsi="Calibri"/>
        </w:rPr>
        <w:t xml:space="preserve"> </w:t>
      </w:r>
      <w:r w:rsidR="004E5A39" w:rsidRPr="009750F4">
        <w:rPr>
          <w:rFonts w:ascii="Calibri" w:hAnsi="Calibri"/>
        </w:rPr>
        <w:t>è stat</w:t>
      </w:r>
      <w:r w:rsidRPr="009750F4">
        <w:rPr>
          <w:rFonts w:ascii="Calibri" w:hAnsi="Calibri"/>
        </w:rPr>
        <w:t>a presentata ai sensi dell’</w:t>
      </w:r>
      <w:r w:rsidR="00112394" w:rsidRPr="009750F4">
        <w:rPr>
          <w:rFonts w:ascii="Calibri" w:hAnsi="Calibri" w:cstheme="minorHAnsi"/>
          <w:color w:val="000000"/>
        </w:rPr>
        <w:t>art. 10.1</w:t>
      </w:r>
      <w:r w:rsidRPr="009750F4">
        <w:rPr>
          <w:rFonts w:ascii="Calibri" w:hAnsi="Calibri" w:cstheme="minorHAnsi"/>
          <w:color w:val="000000"/>
        </w:rPr>
        <w:t xml:space="preserve"> </w:t>
      </w:r>
      <w:r w:rsidR="004E5A39" w:rsidRPr="009750F4">
        <w:rPr>
          <w:rFonts w:ascii="Calibri" w:hAnsi="Calibri"/>
        </w:rPr>
        <w:t>della Direttiva 2001/83/EU s.m.i.</w:t>
      </w:r>
      <w:r w:rsidR="00322188">
        <w:rPr>
          <w:rFonts w:ascii="Calibri" w:hAnsi="Calibri"/>
        </w:rPr>
        <w:t>.</w:t>
      </w:r>
    </w:p>
    <w:p w14:paraId="2C430947" w14:textId="77777777" w:rsidR="004E5A39" w:rsidRPr="009750F4" w:rsidRDefault="004E5A39" w:rsidP="00EF6711">
      <w:pPr>
        <w:widowControl w:val="0"/>
        <w:spacing w:after="0" w:line="240" w:lineRule="auto"/>
        <w:jc w:val="both"/>
        <w:rPr>
          <w:rFonts w:ascii="Calibri" w:eastAsia="Calibri" w:hAnsi="Calibri" w:cs="Calibri"/>
          <w:bCs/>
        </w:rPr>
      </w:pPr>
    </w:p>
    <w:p w14:paraId="2F75D3FE" w14:textId="6E3FA51E" w:rsidR="00EF6711" w:rsidRDefault="008C6F30" w:rsidP="00A87812">
      <w:pPr>
        <w:tabs>
          <w:tab w:val="left" w:pos="0"/>
        </w:tabs>
        <w:overflowPunct w:val="0"/>
        <w:autoSpaceDE w:val="0"/>
        <w:autoSpaceDN w:val="0"/>
        <w:adjustRightInd w:val="0"/>
        <w:spacing w:after="0" w:line="240" w:lineRule="auto"/>
        <w:jc w:val="both"/>
        <w:textAlignment w:val="baseline"/>
        <w:rPr>
          <w:rFonts w:ascii="Calibri" w:hAnsi="Calibri"/>
        </w:rPr>
      </w:pPr>
      <w:r>
        <w:rPr>
          <w:rFonts w:ascii="Calibri" w:hAnsi="Calibri"/>
        </w:rPr>
        <w:t>IBUMENOL, il cui codice</w:t>
      </w:r>
      <w:r w:rsidR="00322188" w:rsidRPr="00322188">
        <w:rPr>
          <w:rFonts w:ascii="Calibri" w:hAnsi="Calibri"/>
        </w:rPr>
        <w:t xml:space="preserve"> ATC è M01AE01, </w:t>
      </w:r>
      <w:r w:rsidR="00AC7FB6" w:rsidRPr="00AC7FB6">
        <w:rPr>
          <w:rFonts w:ascii="Calibri" w:hAnsi="Calibri"/>
        </w:rPr>
        <w:t>contiene il principio attivo ibuprofene, un antinfiammatorio non steroideo con proprietà antinfiammatorie, analgesiche ed antipiretiche. L’ibuprofene inibisce l’enzima ciclossigenasi, responsabile della conversione dell’acido arachidonico in endoperossidi ciclici, riducendo così la sintesi dei trombossani, prostaciclina e prostaglandine</w:t>
      </w:r>
      <w:r w:rsidR="00322188" w:rsidRPr="00322188">
        <w:rPr>
          <w:rFonts w:ascii="Calibri" w:hAnsi="Calibri"/>
        </w:rPr>
        <w:t>.</w:t>
      </w:r>
    </w:p>
    <w:p w14:paraId="13A081F0" w14:textId="476D9F79" w:rsidR="008C6F30" w:rsidRDefault="008C6F30" w:rsidP="00A87812">
      <w:pPr>
        <w:tabs>
          <w:tab w:val="left" w:pos="0"/>
        </w:tabs>
        <w:overflowPunct w:val="0"/>
        <w:autoSpaceDE w:val="0"/>
        <w:autoSpaceDN w:val="0"/>
        <w:adjustRightInd w:val="0"/>
        <w:spacing w:after="0" w:line="240" w:lineRule="auto"/>
        <w:jc w:val="both"/>
        <w:textAlignment w:val="baseline"/>
        <w:rPr>
          <w:rFonts w:ascii="Calibri" w:hAnsi="Calibri"/>
        </w:rPr>
      </w:pPr>
    </w:p>
    <w:p w14:paraId="555A84F6" w14:textId="43CECA6C" w:rsidR="000B145C" w:rsidRPr="00461532" w:rsidRDefault="00E52B80" w:rsidP="000B145C">
      <w:pPr>
        <w:widowControl w:val="0"/>
        <w:spacing w:after="0" w:line="240" w:lineRule="auto"/>
        <w:jc w:val="both"/>
        <w:rPr>
          <w:rFonts w:ascii="Calibri" w:eastAsia="Calibri" w:hAnsi="Calibri" w:cs="Calibri"/>
          <w:color w:val="000000"/>
        </w:rPr>
      </w:pPr>
      <w:r w:rsidRPr="00461532">
        <w:rPr>
          <w:rFonts w:ascii="Calibri" w:eastAsia="Calibri" w:hAnsi="Calibri" w:cs="Calibri"/>
          <w:color w:val="000000"/>
        </w:rPr>
        <w:t>IBUMENOL</w:t>
      </w:r>
      <w:r w:rsidR="000B145C" w:rsidRPr="00461532">
        <w:rPr>
          <w:rFonts w:ascii="Calibri" w:eastAsia="Calibri" w:hAnsi="Calibri" w:cs="Calibri"/>
          <w:color w:val="000000"/>
        </w:rPr>
        <w:t xml:space="preserve"> è disponibile come </w:t>
      </w:r>
      <w:r w:rsidR="00461532" w:rsidRPr="00461532">
        <w:rPr>
          <w:rFonts w:ascii="Calibri" w:hAnsi="Calibri"/>
        </w:rPr>
        <w:t>compresse rivestite con film contenenti ciascuna 400 mg di principio attivo</w:t>
      </w:r>
      <w:r w:rsidR="000B145C" w:rsidRPr="00461532">
        <w:rPr>
          <w:rFonts w:ascii="Calibri" w:eastAsia="Calibri" w:hAnsi="Calibri" w:cs="Calibri"/>
          <w:color w:val="000000"/>
        </w:rPr>
        <w:t xml:space="preserve">. </w:t>
      </w:r>
      <w:r w:rsidRPr="00461532">
        <w:rPr>
          <w:rFonts w:ascii="Calibri" w:eastAsia="Calibri" w:hAnsi="Calibri" w:cs="Calibri"/>
          <w:color w:val="000000"/>
        </w:rPr>
        <w:t>IBUMENOL</w:t>
      </w:r>
      <w:r w:rsidR="000B145C" w:rsidRPr="00461532">
        <w:rPr>
          <w:rFonts w:ascii="Calibri" w:eastAsia="Calibri" w:hAnsi="Calibri" w:cs="Calibri"/>
          <w:color w:val="000000"/>
        </w:rPr>
        <w:t xml:space="preserve"> </w:t>
      </w:r>
      <w:r w:rsidR="00647E7C" w:rsidRPr="00461532">
        <w:rPr>
          <w:rFonts w:ascii="Calibri" w:eastAsia="Calibri" w:hAnsi="Calibri" w:cs="Calibri"/>
          <w:color w:val="000000"/>
        </w:rPr>
        <w:t>è utilizzato per le seguenti indicazioni terapeutiche</w:t>
      </w:r>
      <w:r w:rsidR="00125E33">
        <w:rPr>
          <w:rFonts w:ascii="Calibri" w:eastAsia="Calibri" w:hAnsi="Calibri" w:cs="Calibri"/>
          <w:color w:val="000000"/>
        </w:rPr>
        <w:t>:</w:t>
      </w:r>
    </w:p>
    <w:p w14:paraId="471F821C" w14:textId="77777777" w:rsidR="00125E33" w:rsidRPr="00125E33" w:rsidRDefault="00125E33" w:rsidP="00125E33">
      <w:pPr>
        <w:tabs>
          <w:tab w:val="left" w:pos="0"/>
        </w:tabs>
        <w:overflowPunct w:val="0"/>
        <w:autoSpaceDE w:val="0"/>
        <w:autoSpaceDN w:val="0"/>
        <w:adjustRightInd w:val="0"/>
        <w:spacing w:after="0" w:line="240" w:lineRule="auto"/>
        <w:jc w:val="both"/>
        <w:textAlignment w:val="baseline"/>
        <w:rPr>
          <w:rFonts w:ascii="Calibri" w:hAnsi="Calibri" w:cstheme="minorHAnsi"/>
          <w:bCs/>
        </w:rPr>
      </w:pPr>
      <w:r w:rsidRPr="00125E33">
        <w:rPr>
          <w:rFonts w:ascii="Calibri" w:hAnsi="Calibri" w:cstheme="minorHAnsi"/>
          <w:bCs/>
        </w:rPr>
        <w:t>Trattamento sintomatico di breve durata di dolori di intensità lieve-moderata, come cefalea, mal di denti e dismenorrea.</w:t>
      </w:r>
    </w:p>
    <w:p w14:paraId="1ECF3D19" w14:textId="77777777" w:rsidR="00125E33" w:rsidRPr="00125E33" w:rsidRDefault="00125E33" w:rsidP="00125E33">
      <w:pPr>
        <w:tabs>
          <w:tab w:val="left" w:pos="0"/>
        </w:tabs>
        <w:overflowPunct w:val="0"/>
        <w:autoSpaceDE w:val="0"/>
        <w:autoSpaceDN w:val="0"/>
        <w:adjustRightInd w:val="0"/>
        <w:spacing w:after="0" w:line="240" w:lineRule="auto"/>
        <w:jc w:val="both"/>
        <w:textAlignment w:val="baseline"/>
        <w:rPr>
          <w:rFonts w:ascii="Calibri" w:hAnsi="Calibri" w:cstheme="minorHAnsi"/>
          <w:bCs/>
        </w:rPr>
      </w:pPr>
      <w:r w:rsidRPr="00125E33">
        <w:rPr>
          <w:rFonts w:ascii="Calibri" w:hAnsi="Calibri" w:cstheme="minorHAnsi"/>
          <w:bCs/>
        </w:rPr>
        <w:t>Trattamento sintomatico di breve durata della febbre.</w:t>
      </w:r>
    </w:p>
    <w:p w14:paraId="0F67A228" w14:textId="77777777" w:rsidR="00125E33" w:rsidRPr="00125E33" w:rsidRDefault="00125E33" w:rsidP="00125E33">
      <w:pPr>
        <w:tabs>
          <w:tab w:val="left" w:pos="0"/>
        </w:tabs>
        <w:overflowPunct w:val="0"/>
        <w:autoSpaceDE w:val="0"/>
        <w:autoSpaceDN w:val="0"/>
        <w:adjustRightInd w:val="0"/>
        <w:spacing w:after="0" w:line="240" w:lineRule="auto"/>
        <w:jc w:val="both"/>
        <w:textAlignment w:val="baseline"/>
        <w:rPr>
          <w:rFonts w:ascii="Calibri" w:hAnsi="Calibri" w:cstheme="minorHAnsi"/>
          <w:bCs/>
        </w:rPr>
      </w:pPr>
    </w:p>
    <w:p w14:paraId="37E95EF8" w14:textId="15C4833E" w:rsidR="00265B61" w:rsidRDefault="00125E33" w:rsidP="00125E33">
      <w:pPr>
        <w:tabs>
          <w:tab w:val="left" w:pos="0"/>
        </w:tabs>
        <w:overflowPunct w:val="0"/>
        <w:autoSpaceDE w:val="0"/>
        <w:autoSpaceDN w:val="0"/>
        <w:adjustRightInd w:val="0"/>
        <w:spacing w:after="0" w:line="240" w:lineRule="auto"/>
        <w:jc w:val="both"/>
        <w:textAlignment w:val="baseline"/>
        <w:rPr>
          <w:rFonts w:ascii="Calibri" w:hAnsi="Calibri"/>
        </w:rPr>
      </w:pPr>
      <w:r w:rsidRPr="00125E33">
        <w:rPr>
          <w:rFonts w:ascii="Calibri" w:hAnsi="Calibri" w:cstheme="minorHAnsi"/>
          <w:bCs/>
        </w:rPr>
        <w:t>Raccomandato per adulti e adolescenti con peso corporeo pari o superiore a 40 kg (di età pari o superiore ai 12 anni).</w:t>
      </w:r>
    </w:p>
    <w:p w14:paraId="050186A1" w14:textId="77777777" w:rsidR="00461532" w:rsidRPr="00D16656" w:rsidRDefault="00461532" w:rsidP="00EF6711">
      <w:pPr>
        <w:tabs>
          <w:tab w:val="left" w:pos="0"/>
        </w:tabs>
        <w:overflowPunct w:val="0"/>
        <w:autoSpaceDE w:val="0"/>
        <w:autoSpaceDN w:val="0"/>
        <w:adjustRightInd w:val="0"/>
        <w:spacing w:after="0" w:line="240" w:lineRule="auto"/>
        <w:jc w:val="both"/>
        <w:textAlignment w:val="baseline"/>
        <w:rPr>
          <w:rFonts w:ascii="Calibri" w:hAnsi="Calibri"/>
        </w:rPr>
      </w:pPr>
    </w:p>
    <w:p w14:paraId="69B59CEF" w14:textId="22A18708" w:rsidR="00E00920" w:rsidRPr="00D16656" w:rsidRDefault="00E00920" w:rsidP="00E00920">
      <w:pPr>
        <w:spacing w:after="0" w:line="240" w:lineRule="auto"/>
        <w:jc w:val="both"/>
        <w:rPr>
          <w:rFonts w:ascii="Calibri" w:hAnsi="Calibri" w:cs="Arial"/>
        </w:rPr>
      </w:pPr>
      <w:r w:rsidRPr="00D16656">
        <w:rPr>
          <w:rFonts w:ascii="Calibri" w:hAnsi="Calibri"/>
        </w:rPr>
        <w:t xml:space="preserve">Poiché </w:t>
      </w:r>
      <w:r w:rsidR="00E52B80" w:rsidRPr="00D16656">
        <w:rPr>
          <w:rFonts w:ascii="Calibri" w:eastAsia="Calibri" w:hAnsi="Calibri" w:cs="Calibri"/>
          <w:color w:val="000000"/>
        </w:rPr>
        <w:t>IBUMENOL</w:t>
      </w:r>
      <w:r w:rsidRPr="00D16656">
        <w:rPr>
          <w:rFonts w:ascii="Calibri" w:eastAsia="Calibri" w:hAnsi="Calibri" w:cs="Calibri"/>
          <w:color w:val="000000"/>
        </w:rPr>
        <w:t xml:space="preserve"> </w:t>
      </w:r>
      <w:r w:rsidRPr="00D16656">
        <w:rPr>
          <w:rFonts w:ascii="Calibri" w:hAnsi="Calibri"/>
        </w:rPr>
        <w:t xml:space="preserve">contiene un principio attivo noto, non sono stati forniti nuovi dati non clinici e clinici: questo approccio è accettabile poiché il medicinale di riferimento </w:t>
      </w:r>
      <w:r w:rsidR="00D16656" w:rsidRPr="00D16656">
        <w:rPr>
          <w:rFonts w:ascii="Calibri" w:hAnsi="Calibri"/>
        </w:rPr>
        <w:t>BRUFEN</w:t>
      </w:r>
      <w:r w:rsidRPr="00D16656">
        <w:rPr>
          <w:rFonts w:ascii="Calibri" w:hAnsi="Calibri"/>
        </w:rPr>
        <w:t xml:space="preserve"> è autorizza</w:t>
      </w:r>
      <w:r w:rsidR="00D16656" w:rsidRPr="00D16656">
        <w:rPr>
          <w:rFonts w:ascii="Calibri" w:hAnsi="Calibri"/>
        </w:rPr>
        <w:t>to in Italia da oltre 10 anni</w:t>
      </w:r>
      <w:r w:rsidRPr="00D16656">
        <w:rPr>
          <w:rFonts w:ascii="Calibri" w:hAnsi="Calibri" w:cs="Arial"/>
        </w:rPr>
        <w:t>.</w:t>
      </w:r>
    </w:p>
    <w:p w14:paraId="382CED00" w14:textId="77777777" w:rsidR="0042214D" w:rsidRPr="00D16656" w:rsidRDefault="0042214D" w:rsidP="00EF6711">
      <w:pPr>
        <w:spacing w:after="0" w:line="240" w:lineRule="auto"/>
        <w:jc w:val="both"/>
        <w:rPr>
          <w:rFonts w:ascii="Calibri" w:hAnsi="Calibri"/>
        </w:rPr>
      </w:pPr>
    </w:p>
    <w:p w14:paraId="2E8CF83C" w14:textId="77777777" w:rsidR="004E5A39" w:rsidRPr="00BA741D" w:rsidRDefault="004E5A39" w:rsidP="00EF6711">
      <w:pPr>
        <w:spacing w:after="0" w:line="240" w:lineRule="auto"/>
        <w:jc w:val="both"/>
        <w:rPr>
          <w:rFonts w:ascii="Calibri" w:hAnsi="Calibri"/>
        </w:rPr>
      </w:pPr>
      <w:r w:rsidRPr="00BA741D">
        <w:rPr>
          <w:rFonts w:ascii="Calibri" w:hAnsi="Calibri"/>
        </w:rPr>
        <w:t>Le officine coinvolte nella produzione sono conformi alle linee guida di Buona Pratica di Fabbricazione (</w:t>
      </w:r>
      <w:r w:rsidRPr="00BA741D">
        <w:rPr>
          <w:rFonts w:ascii="Calibri" w:hAnsi="Calibri"/>
          <w:i/>
        </w:rPr>
        <w:t>Good Manufacturing Practice</w:t>
      </w:r>
      <w:r w:rsidRPr="00BA741D">
        <w:rPr>
          <w:rFonts w:ascii="Calibri" w:hAnsi="Calibri"/>
        </w:rPr>
        <w:t xml:space="preserve"> - GMP). Le autorità regolatore competenti hanno rilasciato i certificati GMP per i siti di produzione sul territorio dell’Unione Europea.</w:t>
      </w:r>
    </w:p>
    <w:p w14:paraId="711BEA77" w14:textId="77777777" w:rsidR="004E5A39" w:rsidRPr="00BA741D" w:rsidRDefault="004E5A39" w:rsidP="00EF6711">
      <w:pPr>
        <w:spacing w:after="0" w:line="240" w:lineRule="auto"/>
        <w:jc w:val="both"/>
        <w:rPr>
          <w:rFonts w:ascii="Calibri" w:hAnsi="Calibri"/>
        </w:rPr>
      </w:pPr>
    </w:p>
    <w:p w14:paraId="56FEBACF" w14:textId="57684902" w:rsidR="004E5A39" w:rsidRPr="00BA741D" w:rsidRDefault="004E5A39" w:rsidP="00EF6711">
      <w:pPr>
        <w:spacing w:after="0" w:line="240" w:lineRule="auto"/>
        <w:jc w:val="both"/>
        <w:rPr>
          <w:rFonts w:ascii="Calibri" w:hAnsi="Calibri"/>
        </w:rPr>
      </w:pPr>
      <w:r w:rsidRPr="00BA741D">
        <w:rPr>
          <w:rFonts w:ascii="Calibri" w:hAnsi="Calibri"/>
        </w:rPr>
        <w:t xml:space="preserve">Il sistema di Farmacovigilanza descritto dal titolare dell’AIC è conforme ai requisiti previsti dalla normativa corrente. </w:t>
      </w:r>
      <w:r w:rsidR="00A1072E" w:rsidRPr="00BA741D">
        <w:rPr>
          <w:rFonts w:ascii="Calibri" w:hAnsi="Calibri"/>
        </w:rPr>
        <w:t xml:space="preserve">È </w:t>
      </w:r>
      <w:r w:rsidRPr="00BA741D">
        <w:rPr>
          <w:rFonts w:ascii="Calibri" w:hAnsi="Calibri"/>
        </w:rPr>
        <w:t>stato presentato un Piano di gestione del rischio (</w:t>
      </w:r>
      <w:r w:rsidRPr="00BA741D">
        <w:rPr>
          <w:rFonts w:ascii="Calibri" w:hAnsi="Calibri"/>
          <w:i/>
        </w:rPr>
        <w:t>Risk Management Plan</w:t>
      </w:r>
      <w:r w:rsidRPr="00BA741D">
        <w:rPr>
          <w:rFonts w:ascii="Calibri" w:hAnsi="Calibri"/>
        </w:rPr>
        <w:t xml:space="preserve"> – RMP) accettabile.</w:t>
      </w:r>
    </w:p>
    <w:p w14:paraId="0551807A" w14:textId="77777777" w:rsidR="004E5A39" w:rsidRPr="00BA741D" w:rsidRDefault="004E5A39" w:rsidP="00EF6711">
      <w:pPr>
        <w:spacing w:after="0" w:line="240" w:lineRule="auto"/>
        <w:jc w:val="both"/>
        <w:rPr>
          <w:rFonts w:ascii="Calibri" w:hAnsi="Calibri"/>
        </w:rPr>
      </w:pPr>
    </w:p>
    <w:p w14:paraId="22BA83AA" w14:textId="7A83B256" w:rsidR="004E5A39" w:rsidRPr="00853594" w:rsidRDefault="004E5A39" w:rsidP="00EF6711">
      <w:pPr>
        <w:spacing w:after="0" w:line="240" w:lineRule="auto"/>
        <w:jc w:val="both"/>
        <w:rPr>
          <w:rFonts w:ascii="Calibri" w:hAnsi="Calibri"/>
        </w:rPr>
      </w:pPr>
      <w:r w:rsidRPr="00853594">
        <w:rPr>
          <w:rFonts w:ascii="Calibri" w:hAnsi="Calibri"/>
        </w:rPr>
        <w:t xml:space="preserve">Il titolare di AIC ha presentato una adeguata giustificazione della non presentazione della Valutazione del Rischio ambientale; questo approccio è accettabile in quanto </w:t>
      </w:r>
      <w:r w:rsidR="00E52B80" w:rsidRPr="00853594">
        <w:rPr>
          <w:rFonts w:ascii="Calibri" w:eastAsia="Calibri" w:hAnsi="Calibri" w:cs="Calibri"/>
          <w:color w:val="000000"/>
        </w:rPr>
        <w:t>IBUMENOL</w:t>
      </w:r>
      <w:r w:rsidR="00265B61" w:rsidRPr="00853594">
        <w:rPr>
          <w:rFonts w:ascii="Calibri" w:hAnsi="Calibri"/>
        </w:rPr>
        <w:t xml:space="preserve"> </w:t>
      </w:r>
      <w:r w:rsidRPr="00853594">
        <w:rPr>
          <w:rFonts w:ascii="Calibri" w:hAnsi="Calibri"/>
        </w:rPr>
        <w:t xml:space="preserve">contiene </w:t>
      </w:r>
      <w:r w:rsidR="00265B61" w:rsidRPr="00853594">
        <w:rPr>
          <w:rFonts w:ascii="Calibri" w:hAnsi="Calibri"/>
        </w:rPr>
        <w:t xml:space="preserve">un </w:t>
      </w:r>
      <w:r w:rsidRPr="00853594">
        <w:rPr>
          <w:rFonts w:ascii="Calibri" w:hAnsi="Calibri"/>
        </w:rPr>
        <w:t>principi</w:t>
      </w:r>
      <w:r w:rsidR="00265B61" w:rsidRPr="00853594">
        <w:rPr>
          <w:rFonts w:ascii="Calibri" w:hAnsi="Calibri"/>
        </w:rPr>
        <w:t>o</w:t>
      </w:r>
      <w:r w:rsidRPr="00853594">
        <w:rPr>
          <w:rFonts w:ascii="Calibri" w:hAnsi="Calibri"/>
        </w:rPr>
        <w:t xml:space="preserve"> attiv</w:t>
      </w:r>
      <w:r w:rsidR="00265B61" w:rsidRPr="00853594">
        <w:rPr>
          <w:rFonts w:ascii="Calibri" w:hAnsi="Calibri"/>
        </w:rPr>
        <w:t>o</w:t>
      </w:r>
      <w:r w:rsidRPr="00853594">
        <w:rPr>
          <w:rFonts w:ascii="Calibri" w:hAnsi="Calibri"/>
        </w:rPr>
        <w:t xml:space="preserve"> not</w:t>
      </w:r>
      <w:r w:rsidR="00265B61" w:rsidRPr="00853594">
        <w:rPr>
          <w:rFonts w:ascii="Calibri" w:hAnsi="Calibri"/>
        </w:rPr>
        <w:t>o</w:t>
      </w:r>
      <w:r w:rsidRPr="00853594">
        <w:rPr>
          <w:rFonts w:ascii="Calibri" w:hAnsi="Calibri"/>
        </w:rPr>
        <w:t xml:space="preserve"> present</w:t>
      </w:r>
      <w:r w:rsidR="00265B61" w:rsidRPr="00853594">
        <w:rPr>
          <w:rFonts w:ascii="Calibri" w:hAnsi="Calibri"/>
        </w:rPr>
        <w:t>e</w:t>
      </w:r>
      <w:r w:rsidRPr="00853594">
        <w:rPr>
          <w:rFonts w:ascii="Calibri" w:hAnsi="Calibri"/>
        </w:rPr>
        <w:t xml:space="preserve"> in medicinali autorizzati; inoltre, non sono presenti componenti geneticamente modificati; il metodo di produzione e la formulazione del medicinale non presentano problematiche di carattere ambientale.</w:t>
      </w:r>
    </w:p>
    <w:p w14:paraId="6859E533" w14:textId="77777777" w:rsidR="004E5A39" w:rsidRPr="00853594" w:rsidRDefault="004E5A39" w:rsidP="00EF6711">
      <w:pPr>
        <w:spacing w:after="0" w:line="240" w:lineRule="auto"/>
        <w:jc w:val="both"/>
        <w:rPr>
          <w:rFonts w:ascii="Calibri" w:hAnsi="Calibri"/>
        </w:rPr>
      </w:pPr>
    </w:p>
    <w:p w14:paraId="5BBACA90" w14:textId="77777777" w:rsidR="004E5A39" w:rsidRPr="00853594" w:rsidRDefault="004E5A39" w:rsidP="00EF6711">
      <w:pPr>
        <w:spacing w:after="0" w:line="240" w:lineRule="auto"/>
        <w:jc w:val="both"/>
        <w:rPr>
          <w:rFonts w:ascii="Calibri" w:hAnsi="Calibri"/>
        </w:rPr>
      </w:pPr>
    </w:p>
    <w:p w14:paraId="27F9EBE0" w14:textId="77777777" w:rsidR="004E5A39" w:rsidRPr="00853594" w:rsidRDefault="004E5A39" w:rsidP="00EF6711">
      <w:pPr>
        <w:pStyle w:val="Paragrafoelenco"/>
        <w:numPr>
          <w:ilvl w:val="0"/>
          <w:numId w:val="2"/>
        </w:numPr>
        <w:spacing w:after="0" w:line="240" w:lineRule="auto"/>
        <w:jc w:val="both"/>
        <w:rPr>
          <w:rFonts w:ascii="Calibri" w:hAnsi="Calibri"/>
          <w:b/>
          <w:sz w:val="24"/>
          <w:szCs w:val="24"/>
        </w:rPr>
      </w:pPr>
      <w:r w:rsidRPr="00853594">
        <w:rPr>
          <w:rFonts w:ascii="Calibri" w:hAnsi="Calibri"/>
          <w:b/>
          <w:sz w:val="24"/>
          <w:szCs w:val="24"/>
        </w:rPr>
        <w:t>ASPETTI DI QUALITA’</w:t>
      </w:r>
    </w:p>
    <w:p w14:paraId="39DAC9FD" w14:textId="77777777" w:rsidR="00247F0A" w:rsidRPr="00853594" w:rsidRDefault="00247F0A" w:rsidP="00EF6711">
      <w:pPr>
        <w:spacing w:after="0" w:line="240" w:lineRule="auto"/>
        <w:jc w:val="both"/>
        <w:rPr>
          <w:rFonts w:ascii="Calibri" w:hAnsi="Calibri"/>
          <w:b/>
        </w:rPr>
      </w:pPr>
    </w:p>
    <w:p w14:paraId="482E59C0" w14:textId="783ABB4A" w:rsidR="006B5B8D" w:rsidRPr="00275851" w:rsidRDefault="004E5A39" w:rsidP="00EF6711">
      <w:pPr>
        <w:spacing w:after="0" w:line="240" w:lineRule="auto"/>
        <w:jc w:val="both"/>
        <w:rPr>
          <w:rFonts w:ascii="Calibri" w:hAnsi="Calibri"/>
        </w:rPr>
      </w:pPr>
      <w:r w:rsidRPr="00275851">
        <w:rPr>
          <w:rFonts w:ascii="Calibri" w:hAnsi="Calibri"/>
          <w:b/>
        </w:rPr>
        <w:t xml:space="preserve">II.1 PRINCIPIO ATTIVO </w:t>
      </w:r>
    </w:p>
    <w:p w14:paraId="40506380" w14:textId="72C570EA" w:rsidR="006B5B8D" w:rsidRPr="00275851" w:rsidRDefault="006B5B8D" w:rsidP="006B5B8D">
      <w:pPr>
        <w:spacing w:after="0" w:line="240" w:lineRule="auto"/>
        <w:jc w:val="both"/>
        <w:rPr>
          <w:rFonts w:ascii="Calibri" w:hAnsi="Calibri"/>
        </w:rPr>
      </w:pPr>
      <w:r w:rsidRPr="00275851">
        <w:rPr>
          <w:rFonts w:ascii="Calibri" w:hAnsi="Calibri"/>
          <w:u w:val="single"/>
        </w:rPr>
        <w:t>Nome chimico</w:t>
      </w:r>
      <w:r w:rsidRPr="00275851">
        <w:rPr>
          <w:rFonts w:ascii="Calibri" w:hAnsi="Calibri"/>
        </w:rPr>
        <w:t xml:space="preserve">: </w:t>
      </w:r>
      <w:r w:rsidR="00275851" w:rsidRPr="00275851">
        <w:rPr>
          <w:rFonts w:ascii="Calibri" w:hAnsi="Calibri"/>
        </w:rPr>
        <w:t>(2RS)-2-[4-(2-Methylpropyl)phenyl]propanoic acid.</w:t>
      </w:r>
    </w:p>
    <w:p w14:paraId="6705F49F" w14:textId="77777777" w:rsidR="006B5B8D" w:rsidRPr="00275851" w:rsidRDefault="006B5B8D" w:rsidP="006B5B8D">
      <w:pPr>
        <w:spacing w:after="0" w:line="240" w:lineRule="auto"/>
        <w:jc w:val="both"/>
        <w:rPr>
          <w:rFonts w:ascii="Calibri" w:hAnsi="Calibri"/>
        </w:rPr>
      </w:pPr>
      <w:r w:rsidRPr="00275851">
        <w:rPr>
          <w:rFonts w:ascii="Calibri" w:hAnsi="Calibri"/>
          <w:u w:val="single"/>
        </w:rPr>
        <w:t>Struttura</w:t>
      </w:r>
      <w:r w:rsidRPr="00275851">
        <w:rPr>
          <w:rFonts w:ascii="Calibri" w:hAnsi="Calibri"/>
        </w:rPr>
        <w:t>:</w:t>
      </w:r>
    </w:p>
    <w:p w14:paraId="6A8670C5" w14:textId="7EEFCFEE" w:rsidR="006B5B8D" w:rsidRPr="00275851" w:rsidRDefault="00275851" w:rsidP="006B5B8D">
      <w:pPr>
        <w:spacing w:after="0" w:line="240" w:lineRule="auto"/>
        <w:jc w:val="center"/>
        <w:rPr>
          <w:rFonts w:ascii="Calibri" w:hAnsi="Calibri"/>
          <w:noProof/>
        </w:rPr>
      </w:pPr>
      <w:r w:rsidRPr="00275851">
        <w:rPr>
          <w:noProof/>
        </w:rPr>
        <w:drawing>
          <wp:inline distT="0" distB="0" distL="0" distR="0" wp14:anchorId="5108CF5A" wp14:editId="3BC8D647">
            <wp:extent cx="1782000" cy="594000"/>
            <wp:effectExtent l="0" t="0" r="889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782000" cy="594000"/>
                    </a:xfrm>
                    <a:prstGeom prst="rect">
                      <a:avLst/>
                    </a:prstGeom>
                  </pic:spPr>
                </pic:pic>
              </a:graphicData>
            </a:graphic>
          </wp:inline>
        </w:drawing>
      </w:r>
    </w:p>
    <w:p w14:paraId="42A11CD1" w14:textId="0E0A0C19" w:rsidR="006B5B8D" w:rsidRPr="00275851" w:rsidRDefault="006B5B8D" w:rsidP="006B5B8D">
      <w:pPr>
        <w:autoSpaceDE w:val="0"/>
        <w:autoSpaceDN w:val="0"/>
        <w:adjustRightInd w:val="0"/>
        <w:spacing w:after="0" w:line="240" w:lineRule="auto"/>
        <w:rPr>
          <w:rFonts w:ascii="Calibri" w:hAnsi="Calibri"/>
        </w:rPr>
      </w:pPr>
      <w:r w:rsidRPr="00275851">
        <w:rPr>
          <w:rFonts w:ascii="Calibri" w:hAnsi="Calibri"/>
          <w:u w:val="single"/>
        </w:rPr>
        <w:t>Formula molecolare</w:t>
      </w:r>
      <w:r w:rsidRPr="00275851">
        <w:rPr>
          <w:rFonts w:ascii="Calibri" w:hAnsi="Calibri"/>
        </w:rPr>
        <w:t>:</w:t>
      </w:r>
      <w:r w:rsidRPr="00275851">
        <w:rPr>
          <w:rStyle w:val="s1"/>
          <w:rFonts w:ascii="Calibri" w:hAnsi="Calibri"/>
        </w:rPr>
        <w:t xml:space="preserve"> </w:t>
      </w:r>
      <w:r w:rsidR="00275851" w:rsidRPr="00275851">
        <w:rPr>
          <w:rFonts w:ascii="Calibri" w:hAnsi="Calibri"/>
        </w:rPr>
        <w:t>C</w:t>
      </w:r>
      <w:r w:rsidR="00275851" w:rsidRPr="00275851">
        <w:rPr>
          <w:rFonts w:ascii="Calibri" w:hAnsi="Calibri"/>
          <w:vertAlign w:val="subscript"/>
        </w:rPr>
        <w:t>13</w:t>
      </w:r>
      <w:r w:rsidR="00275851" w:rsidRPr="00275851">
        <w:rPr>
          <w:rFonts w:ascii="Calibri" w:hAnsi="Calibri"/>
        </w:rPr>
        <w:t>H</w:t>
      </w:r>
      <w:r w:rsidR="00275851" w:rsidRPr="00275851">
        <w:rPr>
          <w:rFonts w:ascii="Calibri" w:hAnsi="Calibri"/>
          <w:vertAlign w:val="subscript"/>
        </w:rPr>
        <w:t>18</w:t>
      </w:r>
      <w:r w:rsidR="00275851" w:rsidRPr="00275851">
        <w:rPr>
          <w:rFonts w:ascii="Calibri" w:hAnsi="Calibri"/>
        </w:rPr>
        <w:t>O</w:t>
      </w:r>
      <w:r w:rsidR="00275851" w:rsidRPr="00275851">
        <w:rPr>
          <w:rFonts w:ascii="Calibri" w:hAnsi="Calibri"/>
          <w:vertAlign w:val="subscript"/>
        </w:rPr>
        <w:t>2</w:t>
      </w:r>
    </w:p>
    <w:p w14:paraId="39DB634E" w14:textId="16BA105C" w:rsidR="006B5B8D" w:rsidRPr="00275851" w:rsidRDefault="006B5B8D" w:rsidP="006B5B8D">
      <w:pPr>
        <w:spacing w:after="0" w:line="240" w:lineRule="auto"/>
        <w:jc w:val="both"/>
        <w:rPr>
          <w:rFonts w:ascii="Calibri" w:hAnsi="Calibri"/>
        </w:rPr>
      </w:pPr>
      <w:r w:rsidRPr="00275851">
        <w:rPr>
          <w:rFonts w:ascii="Calibri" w:hAnsi="Calibri"/>
          <w:u w:val="single"/>
        </w:rPr>
        <w:t>Peso molecolare</w:t>
      </w:r>
      <w:r w:rsidRPr="00275851">
        <w:rPr>
          <w:rFonts w:ascii="Calibri" w:hAnsi="Calibri"/>
        </w:rPr>
        <w:t>:</w:t>
      </w:r>
      <w:r w:rsidRPr="00275851">
        <w:rPr>
          <w:rFonts w:ascii="Calibri" w:hAnsi="Calibri" w:cs="Arial"/>
          <w:color w:val="252525"/>
          <w:shd w:val="clear" w:color="auto" w:fill="F9F9F9"/>
        </w:rPr>
        <w:t xml:space="preserve"> </w:t>
      </w:r>
      <w:r w:rsidR="00275851" w:rsidRPr="00275851">
        <w:rPr>
          <w:rFonts w:ascii="Calibri" w:hAnsi="Calibri" w:cs="Arial"/>
          <w:color w:val="252525"/>
          <w:shd w:val="clear" w:color="auto" w:fill="F9F9F9"/>
        </w:rPr>
        <w:t>206,3</w:t>
      </w:r>
      <w:r w:rsidRPr="00275851">
        <w:rPr>
          <w:rFonts w:ascii="Calibri" w:hAnsi="Calibri"/>
        </w:rPr>
        <w:t xml:space="preserve"> </w:t>
      </w:r>
      <w:r w:rsidRPr="00275851">
        <w:rPr>
          <w:rStyle w:val="s1"/>
          <w:rFonts w:ascii="Calibri" w:hAnsi="Calibri"/>
        </w:rPr>
        <w:t>g/mol</w:t>
      </w:r>
    </w:p>
    <w:p w14:paraId="307D77F6" w14:textId="076061D3" w:rsidR="006B5B8D" w:rsidRPr="00DA1809" w:rsidRDefault="006B5B8D" w:rsidP="006B5B8D">
      <w:pPr>
        <w:autoSpaceDE w:val="0"/>
        <w:autoSpaceDN w:val="0"/>
        <w:adjustRightInd w:val="0"/>
        <w:spacing w:after="0" w:line="240" w:lineRule="auto"/>
        <w:rPr>
          <w:rFonts w:ascii="Calibri" w:hAnsi="Calibri"/>
        </w:rPr>
      </w:pPr>
      <w:r w:rsidRPr="00DA1809">
        <w:rPr>
          <w:rFonts w:ascii="Calibri" w:hAnsi="Calibri"/>
          <w:u w:val="single"/>
        </w:rPr>
        <w:t>CAS</w:t>
      </w:r>
      <w:r w:rsidRPr="00DA1809">
        <w:rPr>
          <w:rFonts w:ascii="Calibri" w:hAnsi="Calibri"/>
        </w:rPr>
        <w:t>: [</w:t>
      </w:r>
      <w:r w:rsidR="00275851" w:rsidRPr="00DA1809">
        <w:rPr>
          <w:rFonts w:ascii="Calibri" w:hAnsi="Calibri"/>
        </w:rPr>
        <w:t>15687-27-1</w:t>
      </w:r>
      <w:r w:rsidRPr="00DA1809">
        <w:rPr>
          <w:rFonts w:ascii="Calibri" w:hAnsi="Calibri"/>
        </w:rPr>
        <w:t>]</w:t>
      </w:r>
    </w:p>
    <w:p w14:paraId="69A95B25" w14:textId="34C41272" w:rsidR="00AF4C72" w:rsidRPr="007D30B5" w:rsidRDefault="006B5B8D" w:rsidP="006B5B8D">
      <w:pPr>
        <w:spacing w:after="0" w:line="240" w:lineRule="auto"/>
        <w:jc w:val="both"/>
        <w:rPr>
          <w:rFonts w:ascii="Calibri" w:hAnsi="Calibri"/>
        </w:rPr>
      </w:pPr>
      <w:r w:rsidRPr="007D30B5">
        <w:rPr>
          <w:rFonts w:ascii="Calibri" w:hAnsi="Calibri"/>
          <w:u w:val="single"/>
        </w:rPr>
        <w:t>Aspetto</w:t>
      </w:r>
      <w:r w:rsidRPr="007D30B5">
        <w:rPr>
          <w:rFonts w:ascii="Calibri" w:hAnsi="Calibri"/>
        </w:rPr>
        <w:t xml:space="preserve">: </w:t>
      </w:r>
      <w:r w:rsidR="007D30B5" w:rsidRPr="007D30B5">
        <w:rPr>
          <w:rFonts w:ascii="Calibri" w:hAnsi="Calibri"/>
        </w:rPr>
        <w:t>Polvere bianca cristallina o cristalli incolori. Non igroscopico</w:t>
      </w:r>
    </w:p>
    <w:p w14:paraId="586FDCED" w14:textId="34A8E89D" w:rsidR="006B5B8D" w:rsidRPr="00275851" w:rsidRDefault="00AF4C72" w:rsidP="006B5B8D">
      <w:pPr>
        <w:spacing w:after="0" w:line="240" w:lineRule="auto"/>
        <w:jc w:val="both"/>
        <w:rPr>
          <w:rFonts w:ascii="Calibri" w:hAnsi="Calibri"/>
        </w:rPr>
      </w:pPr>
      <w:r w:rsidRPr="00AF4C72">
        <w:rPr>
          <w:rFonts w:ascii="Calibri" w:hAnsi="Calibri"/>
          <w:u w:val="single"/>
        </w:rPr>
        <w:lastRenderedPageBreak/>
        <w:t>Solubilità</w:t>
      </w:r>
      <w:r>
        <w:rPr>
          <w:rFonts w:ascii="Calibri" w:hAnsi="Calibri"/>
        </w:rPr>
        <w:t xml:space="preserve">: </w:t>
      </w:r>
      <w:r w:rsidR="00972649" w:rsidRPr="00972649">
        <w:rPr>
          <w:rFonts w:ascii="Calibri" w:hAnsi="Calibri"/>
        </w:rPr>
        <w:t xml:space="preserve">praticamente insolubile in acqua, molto solubile in acetone, metanolo e </w:t>
      </w:r>
      <w:r w:rsidR="004232DB" w:rsidRPr="00972649">
        <w:rPr>
          <w:rFonts w:ascii="Calibri" w:hAnsi="Calibri"/>
        </w:rPr>
        <w:t xml:space="preserve">cloruro </w:t>
      </w:r>
      <w:r w:rsidR="004232DB">
        <w:rPr>
          <w:rFonts w:ascii="Calibri" w:hAnsi="Calibri"/>
        </w:rPr>
        <w:t xml:space="preserve">di </w:t>
      </w:r>
      <w:r w:rsidR="00972649" w:rsidRPr="00972649">
        <w:rPr>
          <w:rFonts w:ascii="Calibri" w:hAnsi="Calibri"/>
        </w:rPr>
        <w:t>metilene. Si scioglie in soluzioni diluite di idrossidi alcalini e carbonati</w:t>
      </w:r>
      <w:r w:rsidR="00972649">
        <w:rPr>
          <w:rFonts w:ascii="Calibri" w:hAnsi="Calibri"/>
        </w:rPr>
        <w:t>.</w:t>
      </w:r>
    </w:p>
    <w:p w14:paraId="29E7065A" w14:textId="77777777" w:rsidR="00575C97" w:rsidRPr="00275851" w:rsidRDefault="00575C97" w:rsidP="00575C97">
      <w:pPr>
        <w:spacing w:after="0" w:line="240" w:lineRule="auto"/>
        <w:jc w:val="both"/>
        <w:rPr>
          <w:rFonts w:ascii="Calibri" w:hAnsi="Calibri"/>
        </w:rPr>
      </w:pPr>
    </w:p>
    <w:p w14:paraId="45471C0D" w14:textId="38DBCEF5" w:rsidR="00116FAF" w:rsidRPr="0051190B" w:rsidRDefault="00116FAF" w:rsidP="00116FAF">
      <w:pPr>
        <w:pStyle w:val="CorpoA"/>
        <w:spacing w:after="0" w:line="240" w:lineRule="auto"/>
        <w:jc w:val="both"/>
      </w:pPr>
      <w:r w:rsidRPr="0051190B">
        <w:rPr>
          <w:rStyle w:val="NessunoA"/>
        </w:rPr>
        <w:t xml:space="preserve">Il principio attivo </w:t>
      </w:r>
      <w:r w:rsidR="00EE6753" w:rsidRPr="00EE6753">
        <w:t>ibuprofene</w:t>
      </w:r>
      <w:r w:rsidR="00EE6753" w:rsidRPr="00EE6753">
        <w:rPr>
          <w:rStyle w:val="NessunoA"/>
        </w:rPr>
        <w:t xml:space="preserve"> </w:t>
      </w:r>
      <w:r w:rsidRPr="0051190B">
        <w:rPr>
          <w:rStyle w:val="NessunoA"/>
        </w:rPr>
        <w:t>è presente in Farmacopea Europea e il Direttorato Europeo per la Qualità dei Medicinali (</w:t>
      </w:r>
      <w:r w:rsidRPr="0051190B">
        <w:rPr>
          <w:rStyle w:val="Nessuno"/>
          <w:i/>
          <w:iCs/>
        </w:rPr>
        <w:t>European Directorate for Quality of Medicinals</w:t>
      </w:r>
      <w:r w:rsidRPr="0051190B">
        <w:rPr>
          <w:rStyle w:val="NessunoA"/>
        </w:rPr>
        <w:t xml:space="preserve"> – EDQM) ha rilasciato ai produttori proposti il certificato di confo</w:t>
      </w:r>
      <w:r w:rsidR="00E10A87">
        <w:rPr>
          <w:rStyle w:val="NessunoA"/>
        </w:rPr>
        <w:t>rmità alla Farmacopea Europea.</w:t>
      </w:r>
    </w:p>
    <w:p w14:paraId="540C08BF" w14:textId="77777777" w:rsidR="00116FAF" w:rsidRPr="0051190B" w:rsidRDefault="00116FAF" w:rsidP="00116FAF">
      <w:pPr>
        <w:pStyle w:val="CorpoA"/>
        <w:spacing w:after="0" w:line="240" w:lineRule="auto"/>
        <w:jc w:val="both"/>
      </w:pPr>
      <w:r w:rsidRPr="0051190B">
        <w:rPr>
          <w:rStyle w:val="NessunoA"/>
        </w:rPr>
        <w:t>Tutti gli aspetti di produzione e controllo sono coperti dal certificato di conformità alla Farmacopea Europea.</w:t>
      </w:r>
    </w:p>
    <w:p w14:paraId="1682CB83" w14:textId="77777777" w:rsidR="000B7AC8" w:rsidRPr="0051190B" w:rsidRDefault="000B7AC8" w:rsidP="00EF6711">
      <w:pPr>
        <w:spacing w:after="0" w:line="240" w:lineRule="auto"/>
        <w:jc w:val="both"/>
        <w:rPr>
          <w:rFonts w:ascii="Calibri" w:hAnsi="Calibri"/>
        </w:rPr>
      </w:pPr>
    </w:p>
    <w:p w14:paraId="32C6126B" w14:textId="77777777" w:rsidR="004E5A39" w:rsidRPr="00102B32" w:rsidRDefault="004E5A39" w:rsidP="00EF6711">
      <w:pPr>
        <w:spacing w:after="0" w:line="240" w:lineRule="auto"/>
        <w:jc w:val="both"/>
        <w:rPr>
          <w:rFonts w:ascii="Calibri" w:hAnsi="Calibri"/>
          <w:b/>
          <w:sz w:val="20"/>
        </w:rPr>
      </w:pPr>
      <w:r w:rsidRPr="00102B32">
        <w:rPr>
          <w:rFonts w:ascii="Calibri" w:hAnsi="Calibri"/>
          <w:b/>
          <w:szCs w:val="24"/>
        </w:rPr>
        <w:t>II.2 PRODOTTO FINITO</w:t>
      </w:r>
    </w:p>
    <w:p w14:paraId="3890CBC1" w14:textId="77777777" w:rsidR="009C6678" w:rsidRPr="00102B32" w:rsidRDefault="004E5A39" w:rsidP="009C6678">
      <w:pPr>
        <w:spacing w:after="0" w:line="240" w:lineRule="auto"/>
        <w:jc w:val="both"/>
        <w:rPr>
          <w:rFonts w:ascii="Calibri" w:hAnsi="Calibri"/>
          <w:b/>
        </w:rPr>
      </w:pPr>
      <w:r w:rsidRPr="00102B32">
        <w:rPr>
          <w:rFonts w:ascii="Calibri" w:hAnsi="Calibri"/>
          <w:b/>
        </w:rPr>
        <w:t>Descrizione e composizione</w:t>
      </w:r>
    </w:p>
    <w:p w14:paraId="212D038C" w14:textId="4D4A9BB4" w:rsidR="0009772C" w:rsidRPr="00C8461B" w:rsidRDefault="00E52B80" w:rsidP="00516286">
      <w:pPr>
        <w:spacing w:after="0" w:line="240" w:lineRule="auto"/>
        <w:jc w:val="both"/>
        <w:rPr>
          <w:rFonts w:ascii="Calibri" w:hAnsi="Calibri"/>
          <w:b/>
        </w:rPr>
      </w:pPr>
      <w:r w:rsidRPr="00102B32">
        <w:rPr>
          <w:rFonts w:ascii="Calibri" w:eastAsia="Calibri" w:hAnsi="Calibri" w:cs="Calibri"/>
          <w:color w:val="000000"/>
        </w:rPr>
        <w:t>IBUMENOL</w:t>
      </w:r>
      <w:r w:rsidR="000B7AC8" w:rsidRPr="00102B32">
        <w:rPr>
          <w:rFonts w:ascii="Calibri" w:eastAsia="Calibri" w:hAnsi="Calibri" w:cs="Calibri"/>
          <w:color w:val="000000"/>
        </w:rPr>
        <w:t xml:space="preserve"> </w:t>
      </w:r>
      <w:r w:rsidR="000B7AC8" w:rsidRPr="00C8461B">
        <w:rPr>
          <w:rFonts w:ascii="Calibri" w:eastAsia="Calibri" w:hAnsi="Calibri" w:cs="Calibri"/>
          <w:color w:val="000000"/>
        </w:rPr>
        <w:t xml:space="preserve">è disponibile in </w:t>
      </w:r>
      <w:r w:rsidR="00102B32" w:rsidRPr="00C8461B">
        <w:rPr>
          <w:rFonts w:ascii="Calibri" w:eastAsia="Calibri" w:hAnsi="Calibri" w:cs="Calibri"/>
          <w:color w:val="000000"/>
        </w:rPr>
        <w:t>compresse rivestite con film contenenti 400 mg di ibuprofene</w:t>
      </w:r>
      <w:r w:rsidR="0009772C" w:rsidRPr="00C8461B">
        <w:rPr>
          <w:rFonts w:ascii="Calibri" w:hAnsi="Calibri"/>
        </w:rPr>
        <w:t xml:space="preserve">. </w:t>
      </w:r>
      <w:r w:rsidR="004E5A39" w:rsidRPr="00C8461B">
        <w:rPr>
          <w:rFonts w:ascii="Calibri" w:hAnsi="Calibri"/>
        </w:rPr>
        <w:t>Gli eccipienti sono</w:t>
      </w:r>
      <w:r w:rsidR="00102B32" w:rsidRPr="00C8461B">
        <w:rPr>
          <w:rFonts w:ascii="Calibri" w:hAnsi="Calibri"/>
        </w:rPr>
        <w:t>:</w:t>
      </w:r>
      <w:r w:rsidR="00807599" w:rsidRPr="00C8461B">
        <w:rPr>
          <w:rFonts w:ascii="Calibri" w:hAnsi="Calibri"/>
        </w:rPr>
        <w:t xml:space="preserve"> </w:t>
      </w:r>
      <w:r w:rsidR="00102B32" w:rsidRPr="00C8461B">
        <w:rPr>
          <w:rStyle w:val="Hyperlink0"/>
          <w:rFonts w:ascii="Calibri" w:hAnsi="Calibri"/>
        </w:rPr>
        <w:t>Ipromellosa, croscarmellosa sodica, lattosio, cellulosa microcristallina, amido di mais pregelatinizzato, silice colloidale anidra, magnesio stearato, titanio biossido (E 171), talco, glicole propilenico (E 1520).</w:t>
      </w:r>
    </w:p>
    <w:p w14:paraId="79D19AB5" w14:textId="00B0657C" w:rsidR="004E5A39" w:rsidRDefault="004E5A39" w:rsidP="000D5036">
      <w:pPr>
        <w:spacing w:after="0" w:line="240" w:lineRule="auto"/>
        <w:jc w:val="both"/>
        <w:rPr>
          <w:rFonts w:ascii="Calibri" w:hAnsi="Calibri"/>
        </w:rPr>
      </w:pPr>
      <w:r w:rsidRPr="00C8461B">
        <w:rPr>
          <w:rFonts w:ascii="Calibri" w:hAnsi="Calibri"/>
        </w:rPr>
        <w:t xml:space="preserve">Tutti gli eccipienti sono conformi </w:t>
      </w:r>
      <w:r w:rsidR="00FD4B20" w:rsidRPr="00C8461B">
        <w:rPr>
          <w:rFonts w:ascii="Calibri" w:hAnsi="Calibri"/>
        </w:rPr>
        <w:t>alle</w:t>
      </w:r>
      <w:r w:rsidRPr="00C8461B">
        <w:rPr>
          <w:rFonts w:ascii="Calibri" w:hAnsi="Calibri"/>
        </w:rPr>
        <w:t xml:space="preserve"> relativ</w:t>
      </w:r>
      <w:r w:rsidR="00FD4B20" w:rsidRPr="00C8461B">
        <w:rPr>
          <w:rFonts w:ascii="Calibri" w:hAnsi="Calibri"/>
        </w:rPr>
        <w:t>e</w:t>
      </w:r>
      <w:r w:rsidRPr="00C8461B">
        <w:rPr>
          <w:rFonts w:ascii="Calibri" w:hAnsi="Calibri"/>
        </w:rPr>
        <w:t xml:space="preserve"> monografi</w:t>
      </w:r>
      <w:r w:rsidR="00FD4B20" w:rsidRPr="00C8461B">
        <w:rPr>
          <w:rFonts w:ascii="Calibri" w:hAnsi="Calibri"/>
        </w:rPr>
        <w:t>e</w:t>
      </w:r>
      <w:r w:rsidRPr="00C8461B">
        <w:rPr>
          <w:rFonts w:ascii="Calibri" w:hAnsi="Calibri"/>
        </w:rPr>
        <w:t xml:space="preserve"> di Farmacopea Europea</w:t>
      </w:r>
      <w:r w:rsidR="004F5969" w:rsidRPr="00C8461B">
        <w:rPr>
          <w:rFonts w:ascii="Calibri" w:hAnsi="Calibri"/>
        </w:rPr>
        <w:t xml:space="preserve">. </w:t>
      </w:r>
      <w:r w:rsidRPr="00C8461B">
        <w:rPr>
          <w:rFonts w:ascii="Calibri" w:hAnsi="Calibri"/>
        </w:rPr>
        <w:t>Nessun eccipiente è ottenuto da organismi geneticamente modificati; non sono presenti eccipienti mai utilizzati nell’uomo.</w:t>
      </w:r>
    </w:p>
    <w:p w14:paraId="0A31E778" w14:textId="77777777" w:rsidR="000D5036" w:rsidRPr="00C8461B" w:rsidRDefault="000D5036" w:rsidP="000D5036">
      <w:pPr>
        <w:spacing w:after="0" w:line="240" w:lineRule="auto"/>
        <w:jc w:val="both"/>
        <w:rPr>
          <w:rFonts w:ascii="Calibri" w:hAnsi="Calibri"/>
        </w:rPr>
      </w:pPr>
    </w:p>
    <w:p w14:paraId="79290CDC" w14:textId="77777777" w:rsidR="004E5A39" w:rsidRPr="00C8461B" w:rsidRDefault="004E5A39" w:rsidP="00EF6711">
      <w:pPr>
        <w:spacing w:after="0" w:line="240" w:lineRule="auto"/>
        <w:jc w:val="both"/>
        <w:rPr>
          <w:rFonts w:ascii="Calibri" w:hAnsi="Calibri"/>
          <w:b/>
        </w:rPr>
      </w:pPr>
      <w:r w:rsidRPr="00C8461B">
        <w:rPr>
          <w:rFonts w:ascii="Calibri" w:hAnsi="Calibri"/>
          <w:b/>
        </w:rPr>
        <w:t>Sviluppo farmaceutico</w:t>
      </w:r>
    </w:p>
    <w:p w14:paraId="36DF3E8C" w14:textId="77777777" w:rsidR="004E5A39" w:rsidRPr="00A86DAE" w:rsidRDefault="004E5A39" w:rsidP="00EF6711">
      <w:pPr>
        <w:spacing w:after="0" w:line="240" w:lineRule="auto"/>
        <w:jc w:val="both"/>
        <w:rPr>
          <w:rFonts w:ascii="Calibri" w:hAnsi="Calibri"/>
        </w:rPr>
      </w:pPr>
      <w:r w:rsidRPr="00C8461B">
        <w:rPr>
          <w:rFonts w:ascii="Calibri" w:hAnsi="Calibri"/>
        </w:rPr>
        <w:t>Sono stati forniti dettagli</w:t>
      </w:r>
      <w:r w:rsidRPr="00A86DAE">
        <w:rPr>
          <w:rFonts w:ascii="Calibri" w:hAnsi="Calibri"/>
        </w:rPr>
        <w:t xml:space="preserve"> dello sviluppo farmaceutico e questi sono stati ritenuti soddisfacenti.</w:t>
      </w:r>
    </w:p>
    <w:p w14:paraId="2D6F469E" w14:textId="77777777" w:rsidR="004E5A39" w:rsidRPr="00A86DAE" w:rsidRDefault="004E5A39" w:rsidP="00EF6711">
      <w:pPr>
        <w:spacing w:after="0" w:line="240" w:lineRule="auto"/>
        <w:jc w:val="both"/>
        <w:rPr>
          <w:rFonts w:ascii="Calibri" w:hAnsi="Calibri"/>
        </w:rPr>
      </w:pPr>
    </w:p>
    <w:p w14:paraId="20F4F95C" w14:textId="77777777" w:rsidR="004E5A39" w:rsidRPr="001F0AA8" w:rsidRDefault="004E5A39" w:rsidP="00EF6711">
      <w:pPr>
        <w:spacing w:after="0" w:line="240" w:lineRule="auto"/>
        <w:jc w:val="both"/>
        <w:rPr>
          <w:rFonts w:ascii="Calibri" w:hAnsi="Calibri"/>
          <w:b/>
        </w:rPr>
      </w:pPr>
      <w:r w:rsidRPr="001F0AA8">
        <w:rPr>
          <w:rFonts w:ascii="Calibri" w:hAnsi="Calibri"/>
          <w:b/>
        </w:rPr>
        <w:t xml:space="preserve">Produzione </w:t>
      </w:r>
    </w:p>
    <w:p w14:paraId="710F0FB7" w14:textId="7973A30C" w:rsidR="004E5A39" w:rsidRPr="001F0AA8" w:rsidRDefault="004E5A39" w:rsidP="00EF6711">
      <w:pPr>
        <w:spacing w:after="0" w:line="240" w:lineRule="auto"/>
        <w:jc w:val="both"/>
        <w:rPr>
          <w:rFonts w:ascii="Calibri" w:hAnsi="Calibri"/>
        </w:rPr>
      </w:pPr>
      <w:r w:rsidRPr="001F0AA8">
        <w:rPr>
          <w:rFonts w:ascii="Calibri" w:hAnsi="Calibri"/>
        </w:rPr>
        <w:t xml:space="preserve">Sono stati forniti una descrizione del metodo di produzione e </w:t>
      </w:r>
      <w:r w:rsidR="00EC40A9">
        <w:rPr>
          <w:rFonts w:ascii="Calibri" w:hAnsi="Calibri"/>
        </w:rPr>
        <w:t>il relativo</w:t>
      </w:r>
      <w:r w:rsidRPr="001F0AA8">
        <w:rPr>
          <w:rFonts w:ascii="Calibri" w:hAnsi="Calibri"/>
        </w:rPr>
        <w:t xml:space="preserve"> </w:t>
      </w:r>
      <w:r w:rsidRPr="00912346">
        <w:rPr>
          <w:rFonts w:ascii="Calibri" w:hAnsi="Calibri"/>
          <w:i/>
        </w:rPr>
        <w:t>flow-chart</w:t>
      </w:r>
      <w:r w:rsidRPr="001F0AA8">
        <w:rPr>
          <w:rFonts w:ascii="Calibri" w:hAnsi="Calibri"/>
        </w:rPr>
        <w:t>.</w:t>
      </w:r>
    </w:p>
    <w:p w14:paraId="69DAE2C1" w14:textId="77777777" w:rsidR="004E5A39" w:rsidRPr="001F0AA8" w:rsidRDefault="004E5A39" w:rsidP="00EF6711">
      <w:pPr>
        <w:spacing w:after="0" w:line="240" w:lineRule="auto"/>
        <w:jc w:val="both"/>
        <w:rPr>
          <w:rFonts w:ascii="Calibri" w:hAnsi="Calibri"/>
        </w:rPr>
      </w:pPr>
      <w:r w:rsidRPr="001F0AA8">
        <w:rPr>
          <w:rFonts w:ascii="Calibri" w:hAnsi="Calibri"/>
        </w:rPr>
        <w:t>I controlli effettuati nel corso della produzione sono appropriati per la natura del medicinale e del metodo di produzione. Sono stati forniti, inoltre, dati soddisfacenti relativi alla convalida del metodo di produzione.</w:t>
      </w:r>
    </w:p>
    <w:p w14:paraId="0D39E8F2" w14:textId="77777777" w:rsidR="004E5A39" w:rsidRPr="001F0AA8" w:rsidRDefault="004E5A39" w:rsidP="00EF6711">
      <w:pPr>
        <w:spacing w:after="0" w:line="240" w:lineRule="auto"/>
        <w:jc w:val="both"/>
        <w:rPr>
          <w:rFonts w:ascii="Calibri" w:hAnsi="Calibri"/>
        </w:rPr>
      </w:pPr>
    </w:p>
    <w:p w14:paraId="01AA55CC" w14:textId="77777777" w:rsidR="004E5A39" w:rsidRPr="001F0AA8" w:rsidRDefault="004E5A39" w:rsidP="00EF6711">
      <w:pPr>
        <w:spacing w:after="0" w:line="240" w:lineRule="auto"/>
        <w:jc w:val="both"/>
        <w:rPr>
          <w:rFonts w:ascii="Calibri" w:hAnsi="Calibri"/>
          <w:b/>
        </w:rPr>
      </w:pPr>
      <w:r w:rsidRPr="001F0AA8">
        <w:rPr>
          <w:rFonts w:ascii="Calibri" w:hAnsi="Calibri"/>
          <w:b/>
        </w:rPr>
        <w:t>Specifiche del prodotto finito</w:t>
      </w:r>
    </w:p>
    <w:p w14:paraId="7EAA2A54" w14:textId="77777777" w:rsidR="004E5A39" w:rsidRPr="008F51CA" w:rsidRDefault="004E5A39" w:rsidP="00EF6711">
      <w:pPr>
        <w:spacing w:after="0" w:line="240" w:lineRule="auto"/>
        <w:jc w:val="both"/>
        <w:rPr>
          <w:rFonts w:ascii="Calibri" w:hAnsi="Calibri"/>
        </w:rPr>
      </w:pPr>
      <w:r w:rsidRPr="001F0AA8">
        <w:rPr>
          <w:rFonts w:ascii="Calibri" w:hAnsi="Calibri"/>
        </w:rPr>
        <w:t xml:space="preserve">Sono state fornite adeguate specifiche di controllo per il prodotto finito al rilascio e alla fine della validità. I metodi analitici sono stati descritti e adeguatamente convalidati. Sono stati forniti, inoltre, dati analitici per </w:t>
      </w:r>
      <w:r w:rsidR="00BA0ACD" w:rsidRPr="001F0AA8">
        <w:rPr>
          <w:rFonts w:ascii="Calibri" w:hAnsi="Calibri"/>
        </w:rPr>
        <w:t>il</w:t>
      </w:r>
      <w:r w:rsidRPr="001F0AA8">
        <w:rPr>
          <w:rFonts w:ascii="Calibri" w:hAnsi="Calibri"/>
        </w:rPr>
        <w:t xml:space="preserve"> prodotto finito: questi dati dimostrano </w:t>
      </w:r>
      <w:r w:rsidRPr="008F51CA">
        <w:rPr>
          <w:rFonts w:ascii="Calibri" w:hAnsi="Calibri"/>
        </w:rPr>
        <w:t>che i lotti prodotti sono in accordo alle specifiche proposte. Sono stati forniti, infine, certificati analitici per gli standard di riferimento utilizzati.</w:t>
      </w:r>
    </w:p>
    <w:p w14:paraId="6126D3B2" w14:textId="77777777" w:rsidR="004E5A39" w:rsidRPr="008F51CA" w:rsidRDefault="004E5A39" w:rsidP="00EF6711">
      <w:pPr>
        <w:spacing w:after="0" w:line="240" w:lineRule="auto"/>
        <w:jc w:val="both"/>
        <w:rPr>
          <w:rFonts w:ascii="Calibri" w:hAnsi="Calibri"/>
          <w:b/>
        </w:rPr>
      </w:pPr>
    </w:p>
    <w:p w14:paraId="299450B9" w14:textId="77777777" w:rsidR="004E5A39" w:rsidRPr="008F51CA" w:rsidRDefault="004E5A39" w:rsidP="00EF6711">
      <w:pPr>
        <w:spacing w:after="0" w:line="240" w:lineRule="auto"/>
        <w:jc w:val="both"/>
        <w:rPr>
          <w:rFonts w:ascii="Calibri" w:hAnsi="Calibri"/>
          <w:b/>
        </w:rPr>
      </w:pPr>
      <w:r w:rsidRPr="008F51CA">
        <w:rPr>
          <w:rFonts w:ascii="Calibri" w:hAnsi="Calibri"/>
          <w:b/>
        </w:rPr>
        <w:t>Contenitore</w:t>
      </w:r>
    </w:p>
    <w:p w14:paraId="39E982C1" w14:textId="125D44A5" w:rsidR="00BA0ACD" w:rsidRPr="008F51CA" w:rsidRDefault="00E52B80" w:rsidP="00EF6711">
      <w:pPr>
        <w:spacing w:after="0" w:line="240" w:lineRule="auto"/>
        <w:jc w:val="both"/>
        <w:rPr>
          <w:rFonts w:ascii="Calibri" w:hAnsi="Calibri"/>
        </w:rPr>
      </w:pPr>
      <w:r w:rsidRPr="008F51CA">
        <w:rPr>
          <w:rFonts w:ascii="Calibri" w:eastAsia="Calibri" w:hAnsi="Calibri" w:cs="Calibri"/>
          <w:color w:val="000000"/>
        </w:rPr>
        <w:t>IBUMENOL</w:t>
      </w:r>
      <w:r w:rsidR="000808A3" w:rsidRPr="008F51CA">
        <w:rPr>
          <w:rFonts w:ascii="Calibri" w:eastAsia="Calibri" w:hAnsi="Calibri" w:cs="Calibri"/>
          <w:color w:val="000000"/>
        </w:rPr>
        <w:t xml:space="preserve"> </w:t>
      </w:r>
      <w:r w:rsidR="004E5A39" w:rsidRPr="008F51CA">
        <w:rPr>
          <w:rFonts w:ascii="Calibri" w:hAnsi="Calibri"/>
        </w:rPr>
        <w:t xml:space="preserve">è </w:t>
      </w:r>
      <w:r w:rsidR="009E1EDF" w:rsidRPr="008F51CA">
        <w:rPr>
          <w:rFonts w:ascii="Calibri" w:hAnsi="Calibri"/>
        </w:rPr>
        <w:t xml:space="preserve">disponibile </w:t>
      </w:r>
      <w:r w:rsidR="0026320F" w:rsidRPr="008F51CA">
        <w:rPr>
          <w:rFonts w:ascii="Calibri" w:hAnsi="Calibri"/>
        </w:rPr>
        <w:t>in una</w:t>
      </w:r>
      <w:r w:rsidR="00FD4B20" w:rsidRPr="008F51CA">
        <w:rPr>
          <w:rFonts w:ascii="Calibri" w:hAnsi="Calibri"/>
        </w:rPr>
        <w:t xml:space="preserve"> confezione</w:t>
      </w:r>
      <w:r w:rsidR="006809D9" w:rsidRPr="008F51CA">
        <w:rPr>
          <w:rFonts w:ascii="Calibri" w:hAnsi="Calibri"/>
        </w:rPr>
        <w:t xml:space="preserve"> da </w:t>
      </w:r>
      <w:r w:rsidR="008F51CA" w:rsidRPr="008F51CA">
        <w:rPr>
          <w:rFonts w:ascii="Calibri" w:hAnsi="Calibri"/>
        </w:rPr>
        <w:t xml:space="preserve">20 compresse in blister </w:t>
      </w:r>
      <w:r w:rsidR="00C073FE" w:rsidRPr="00C073FE">
        <w:rPr>
          <w:rFonts w:ascii="Calibri" w:hAnsi="Calibri"/>
        </w:rPr>
        <w:t>Al/PVC/PVDC</w:t>
      </w:r>
      <w:r w:rsidR="008F51CA" w:rsidRPr="008F51CA">
        <w:rPr>
          <w:rFonts w:ascii="Calibri" w:hAnsi="Calibri"/>
        </w:rPr>
        <w:t>.</w:t>
      </w:r>
    </w:p>
    <w:p w14:paraId="4E49ECC5" w14:textId="77777777" w:rsidR="004E5A39" w:rsidRPr="008F51CA" w:rsidRDefault="004E5A39" w:rsidP="00EF6711">
      <w:pPr>
        <w:spacing w:after="0" w:line="240" w:lineRule="auto"/>
        <w:jc w:val="both"/>
        <w:rPr>
          <w:rFonts w:ascii="Calibri" w:hAnsi="Calibri"/>
        </w:rPr>
      </w:pPr>
      <w:r w:rsidRPr="008F51CA">
        <w:rPr>
          <w:rFonts w:ascii="Calibri" w:hAnsi="Calibri"/>
        </w:rPr>
        <w:t>Sono state fornite specifiche e certificati analitici per tutti i componenti del confezionamento primario, che è adeguato per il medicinale.</w:t>
      </w:r>
    </w:p>
    <w:p w14:paraId="050D266C" w14:textId="77777777" w:rsidR="00BA0ACD" w:rsidRPr="008F51CA" w:rsidRDefault="00BA0ACD" w:rsidP="00EF6711">
      <w:pPr>
        <w:spacing w:after="0" w:line="240" w:lineRule="auto"/>
        <w:jc w:val="both"/>
        <w:rPr>
          <w:rFonts w:ascii="Calibri" w:hAnsi="Calibri"/>
        </w:rPr>
      </w:pPr>
    </w:p>
    <w:p w14:paraId="6487C371" w14:textId="77777777" w:rsidR="004E5A39" w:rsidRPr="00BB01FC" w:rsidRDefault="004E5A39" w:rsidP="00EF6711">
      <w:pPr>
        <w:spacing w:after="0" w:line="240" w:lineRule="auto"/>
        <w:jc w:val="both"/>
        <w:rPr>
          <w:rFonts w:ascii="Calibri" w:hAnsi="Calibri"/>
          <w:b/>
        </w:rPr>
      </w:pPr>
      <w:r w:rsidRPr="00BB01FC">
        <w:rPr>
          <w:rFonts w:ascii="Calibri" w:hAnsi="Calibri"/>
          <w:b/>
        </w:rPr>
        <w:t>Stabilità</w:t>
      </w:r>
    </w:p>
    <w:p w14:paraId="4761A775" w14:textId="417AA456" w:rsidR="004E5A39" w:rsidRPr="00BB01FC" w:rsidRDefault="004E5A39" w:rsidP="00EF6711">
      <w:pPr>
        <w:spacing w:after="0" w:line="240" w:lineRule="auto"/>
        <w:jc w:val="both"/>
        <w:rPr>
          <w:rFonts w:ascii="Calibri" w:hAnsi="Calibri"/>
        </w:rPr>
      </w:pPr>
      <w:r w:rsidRPr="00BB01FC">
        <w:rPr>
          <w:rFonts w:ascii="Calibri" w:hAnsi="Calibri"/>
        </w:rPr>
        <w:t xml:space="preserve">Studi di stabilità sul prodotto finito sono stati condotti in accordo alle correnti linee guida e i risultati sono entro i limiti delle specifiche autorizzate. Sulla base di questi risultati, è stato autorizzato un periodo di validità </w:t>
      </w:r>
      <w:r w:rsidR="00075A5F" w:rsidRPr="00BB01FC">
        <w:rPr>
          <w:rFonts w:ascii="Calibri" w:hAnsi="Calibri"/>
        </w:rPr>
        <w:t>per il prodotto integro pari a</w:t>
      </w:r>
      <w:r w:rsidRPr="00BB01FC">
        <w:rPr>
          <w:rFonts w:ascii="Calibri" w:hAnsi="Calibri"/>
        </w:rPr>
        <w:t xml:space="preserve"> </w:t>
      </w:r>
      <w:r w:rsidR="00075A5F" w:rsidRPr="00BB01FC">
        <w:rPr>
          <w:rFonts w:ascii="Calibri" w:hAnsi="Calibri"/>
        </w:rPr>
        <w:t>3</w:t>
      </w:r>
      <w:r w:rsidR="00265B61" w:rsidRPr="00BB01FC">
        <w:rPr>
          <w:rFonts w:ascii="Calibri" w:hAnsi="Calibri"/>
        </w:rPr>
        <w:t xml:space="preserve"> anni</w:t>
      </w:r>
      <w:r w:rsidR="00075A5F" w:rsidRPr="00BB01FC">
        <w:rPr>
          <w:rFonts w:ascii="Calibri" w:hAnsi="Calibri"/>
        </w:rPr>
        <w:t>,</w:t>
      </w:r>
      <w:r w:rsidRPr="00BB01FC">
        <w:rPr>
          <w:rFonts w:ascii="Calibri" w:hAnsi="Calibri"/>
        </w:rPr>
        <w:t xml:space="preserve"> </w:t>
      </w:r>
      <w:r w:rsidR="00BB01FC" w:rsidRPr="00BB01FC">
        <w:rPr>
          <w:rFonts w:ascii="Calibri" w:hAnsi="Calibri"/>
        </w:rPr>
        <w:t>con l’indicazione di non conservare a temperatura superiore ai 30 °C</w:t>
      </w:r>
      <w:r w:rsidR="00DB6C83">
        <w:rPr>
          <w:rFonts w:ascii="Calibri" w:hAnsi="Calibri"/>
        </w:rPr>
        <w:t>.</w:t>
      </w:r>
    </w:p>
    <w:p w14:paraId="08621271" w14:textId="77777777" w:rsidR="009E1EDF" w:rsidRPr="00BB01FC" w:rsidRDefault="009E1EDF" w:rsidP="00EF6711">
      <w:pPr>
        <w:spacing w:after="0" w:line="240" w:lineRule="auto"/>
        <w:jc w:val="both"/>
        <w:rPr>
          <w:rFonts w:ascii="Calibri" w:hAnsi="Calibri"/>
        </w:rPr>
      </w:pPr>
    </w:p>
    <w:p w14:paraId="356A31D9" w14:textId="77777777" w:rsidR="004E5A39" w:rsidRPr="00983644" w:rsidRDefault="004E5A39" w:rsidP="00EF6711">
      <w:pPr>
        <w:spacing w:after="0" w:line="240" w:lineRule="auto"/>
        <w:jc w:val="both"/>
        <w:rPr>
          <w:rFonts w:ascii="Calibri" w:hAnsi="Calibri"/>
          <w:b/>
        </w:rPr>
      </w:pPr>
      <w:r w:rsidRPr="00983644">
        <w:rPr>
          <w:rFonts w:ascii="Calibri" w:hAnsi="Calibri"/>
          <w:b/>
        </w:rPr>
        <w:t>II.3 Discussione sugli aspetti di qualità</w:t>
      </w:r>
    </w:p>
    <w:p w14:paraId="46071F88" w14:textId="6336A5F5" w:rsidR="004E5A39" w:rsidRDefault="004E5A39" w:rsidP="00EF6711">
      <w:pPr>
        <w:spacing w:after="0" w:line="240" w:lineRule="auto"/>
        <w:jc w:val="both"/>
        <w:rPr>
          <w:rFonts w:ascii="Calibri" w:hAnsi="Calibri"/>
        </w:rPr>
      </w:pPr>
      <w:r w:rsidRPr="00983644">
        <w:rPr>
          <w:rFonts w:ascii="Calibri" w:hAnsi="Calibri"/>
        </w:rPr>
        <w:t xml:space="preserve">Tutte le criticità evidenziate nel corso della valutazione sono state risolte e la qualità di </w:t>
      </w:r>
      <w:r w:rsidR="00E52B80" w:rsidRPr="00983644">
        <w:rPr>
          <w:rFonts w:ascii="Calibri" w:eastAsia="Calibri" w:hAnsi="Calibri" w:cs="Calibri"/>
          <w:color w:val="000000"/>
        </w:rPr>
        <w:t>IBUMENOL</w:t>
      </w:r>
      <w:r w:rsidR="000808A3" w:rsidRPr="00983644">
        <w:rPr>
          <w:rFonts w:ascii="Calibri" w:eastAsia="Calibri" w:hAnsi="Calibri" w:cs="Calibri"/>
          <w:color w:val="000000"/>
        </w:rPr>
        <w:t xml:space="preserve"> </w:t>
      </w:r>
      <w:r w:rsidRPr="00983644">
        <w:rPr>
          <w:rFonts w:ascii="Calibri" w:hAnsi="Calibri"/>
        </w:rPr>
        <w:t xml:space="preserve">è considerata adeguata. Non ci sono obiezioni per l’approvazione di </w:t>
      </w:r>
      <w:r w:rsidR="00E52B80" w:rsidRPr="00983644">
        <w:rPr>
          <w:rFonts w:ascii="Calibri" w:eastAsia="Calibri" w:hAnsi="Calibri" w:cs="Calibri"/>
          <w:color w:val="000000"/>
        </w:rPr>
        <w:t>IBUMENOL</w:t>
      </w:r>
      <w:r w:rsidR="00265B61" w:rsidRPr="00983644">
        <w:rPr>
          <w:rFonts w:ascii="Calibri" w:hAnsi="Calibri"/>
        </w:rPr>
        <w:t xml:space="preserve"> </w:t>
      </w:r>
      <w:r w:rsidRPr="00983644">
        <w:rPr>
          <w:rFonts w:ascii="Calibri" w:hAnsi="Calibri"/>
        </w:rPr>
        <w:t>dal punto di vista chimico-farmaceutico.</w:t>
      </w:r>
    </w:p>
    <w:p w14:paraId="42898F68" w14:textId="0B9ED27B" w:rsidR="00983644" w:rsidRDefault="00983644" w:rsidP="00EF6711">
      <w:pPr>
        <w:spacing w:after="0" w:line="240" w:lineRule="auto"/>
        <w:jc w:val="both"/>
        <w:rPr>
          <w:rFonts w:ascii="Calibri" w:hAnsi="Calibri"/>
        </w:rPr>
      </w:pPr>
    </w:p>
    <w:p w14:paraId="66FD7A3E" w14:textId="77777777" w:rsidR="00983644" w:rsidRPr="00983644" w:rsidRDefault="00983644" w:rsidP="00EF6711">
      <w:pPr>
        <w:spacing w:after="0" w:line="240" w:lineRule="auto"/>
        <w:jc w:val="both"/>
        <w:rPr>
          <w:rFonts w:ascii="Calibri" w:hAnsi="Calibri"/>
        </w:rPr>
      </w:pPr>
    </w:p>
    <w:p w14:paraId="46E8B51C" w14:textId="77777777" w:rsidR="004E5A39" w:rsidRPr="00983644" w:rsidRDefault="004E5A39" w:rsidP="00EF6711">
      <w:pPr>
        <w:pStyle w:val="Paragrafoelenco"/>
        <w:numPr>
          <w:ilvl w:val="0"/>
          <w:numId w:val="2"/>
        </w:numPr>
        <w:spacing w:after="0" w:line="240" w:lineRule="auto"/>
        <w:jc w:val="both"/>
        <w:rPr>
          <w:rFonts w:ascii="Calibri" w:hAnsi="Calibri"/>
          <w:b/>
          <w:sz w:val="24"/>
          <w:szCs w:val="24"/>
        </w:rPr>
      </w:pPr>
      <w:r w:rsidRPr="00983644">
        <w:rPr>
          <w:rFonts w:ascii="Calibri" w:hAnsi="Calibri"/>
          <w:b/>
          <w:sz w:val="24"/>
          <w:szCs w:val="24"/>
        </w:rPr>
        <w:t>ASPETTI NON CLINICI</w:t>
      </w:r>
    </w:p>
    <w:p w14:paraId="7A383C99" w14:textId="11F17D84" w:rsidR="009A17AB" w:rsidRDefault="00522BED" w:rsidP="00B82939">
      <w:pPr>
        <w:pStyle w:val="CorpoA"/>
        <w:spacing w:after="0" w:line="240" w:lineRule="auto"/>
        <w:jc w:val="both"/>
        <w:rPr>
          <w:rStyle w:val="NessunoA"/>
        </w:rPr>
      </w:pPr>
      <w:r w:rsidRPr="00983644">
        <w:rPr>
          <w:rFonts w:eastAsiaTheme="minorEastAsia" w:cstheme="minorHAnsi"/>
          <w:bCs/>
          <w:color w:val="auto"/>
          <w:bdr w:val="none" w:sz="0" w:space="0" w:color="auto"/>
          <w14:textOutline w14:w="0" w14:cap="rnd" w14:cmpd="sng" w14:algn="ctr">
            <w14:noFill/>
            <w14:prstDash w14:val="solid"/>
            <w14:bevel/>
          </w14:textOutline>
        </w:rPr>
        <w:t xml:space="preserve">Non sono stati condotti specifici studi non clinici, in quanto </w:t>
      </w:r>
      <w:r w:rsidR="00E52B80" w:rsidRPr="00983644">
        <w:rPr>
          <w:rFonts w:eastAsiaTheme="minorEastAsia" w:cstheme="minorHAnsi"/>
          <w:bCs/>
          <w:color w:val="auto"/>
          <w:bdr w:val="none" w:sz="0" w:space="0" w:color="auto"/>
          <w14:textOutline w14:w="0" w14:cap="rnd" w14:cmpd="sng" w14:algn="ctr">
            <w14:noFill/>
            <w14:prstDash w14:val="solid"/>
            <w14:bevel/>
          </w14:textOutline>
        </w:rPr>
        <w:t>IBUMENOL</w:t>
      </w:r>
      <w:r w:rsidRPr="00983644">
        <w:rPr>
          <w:rFonts w:eastAsiaTheme="minorEastAsia" w:cstheme="minorHAnsi"/>
          <w:bCs/>
          <w:color w:val="auto"/>
          <w:bdr w:val="none" w:sz="0" w:space="0" w:color="auto"/>
          <w14:textOutline w14:w="0" w14:cap="rnd" w14:cmpd="sng" w14:algn="ctr">
            <w14:noFill/>
            <w14:prstDash w14:val="solid"/>
            <w14:bevel/>
          </w14:textOutline>
        </w:rPr>
        <w:t xml:space="preserve"> contiene un principio attivo noto </w:t>
      </w:r>
      <w:r w:rsidR="00983DBC" w:rsidRPr="00983DBC">
        <w:rPr>
          <w:rFonts w:eastAsiaTheme="minorEastAsia" w:cstheme="minorHAnsi"/>
          <w:bCs/>
          <w:color w:val="auto"/>
          <w:bdr w:val="none" w:sz="0" w:space="0" w:color="auto"/>
          <w14:textOutline w14:w="0" w14:cap="rnd" w14:cmpd="sng" w14:algn="ctr">
            <w14:noFill/>
            <w14:prstDash w14:val="solid"/>
            <w14:bevel/>
          </w14:textOutline>
        </w:rPr>
        <w:t xml:space="preserve">presente nel medicinale di riferimento: questo approccio è accettabile poiché il medicinale di riferimento </w:t>
      </w:r>
      <w:r w:rsidR="00983DBC">
        <w:rPr>
          <w:rFonts w:eastAsiaTheme="minorEastAsia" w:cstheme="minorHAnsi"/>
          <w:bCs/>
          <w:color w:val="auto"/>
          <w:bdr w:val="none" w:sz="0" w:space="0" w:color="auto"/>
          <w14:textOutline w14:w="0" w14:cap="rnd" w14:cmpd="sng" w14:algn="ctr">
            <w14:noFill/>
            <w14:prstDash w14:val="solid"/>
            <w14:bevel/>
          </w14:textOutline>
        </w:rPr>
        <w:t>B</w:t>
      </w:r>
      <w:r w:rsidR="00701314">
        <w:rPr>
          <w:rFonts w:eastAsiaTheme="minorEastAsia" w:cstheme="minorHAnsi"/>
          <w:bCs/>
          <w:color w:val="auto"/>
          <w:bdr w:val="none" w:sz="0" w:space="0" w:color="auto"/>
          <w14:textOutline w14:w="0" w14:cap="rnd" w14:cmpd="sng" w14:algn="ctr">
            <w14:noFill/>
            <w14:prstDash w14:val="solid"/>
            <w14:bevel/>
          </w14:textOutline>
        </w:rPr>
        <w:t>RUFEN</w:t>
      </w:r>
      <w:r w:rsidR="00983DBC" w:rsidRPr="00983DBC">
        <w:rPr>
          <w:rFonts w:eastAsiaTheme="minorEastAsia" w:cstheme="minorHAnsi"/>
          <w:bCs/>
          <w:color w:val="auto"/>
          <w:bdr w:val="none" w:sz="0" w:space="0" w:color="auto"/>
          <w14:textOutline w14:w="0" w14:cap="rnd" w14:cmpd="sng" w14:algn="ctr">
            <w14:noFill/>
            <w14:prstDash w14:val="solid"/>
            <w14:bevel/>
          </w14:textOutline>
        </w:rPr>
        <w:t xml:space="preserve"> è autoriz</w:t>
      </w:r>
      <w:r w:rsidR="00983DBC">
        <w:rPr>
          <w:rFonts w:eastAsiaTheme="minorEastAsia" w:cstheme="minorHAnsi"/>
          <w:bCs/>
          <w:color w:val="auto"/>
          <w:bdr w:val="none" w:sz="0" w:space="0" w:color="auto"/>
          <w14:textOutline w14:w="0" w14:cap="rnd" w14:cmpd="sng" w14:algn="ctr">
            <w14:noFill/>
            <w14:prstDash w14:val="solid"/>
            <w14:bevel/>
          </w14:textOutline>
        </w:rPr>
        <w:t>zato in Italia da oltre 10 anni</w:t>
      </w:r>
      <w:r w:rsidR="009A17AB">
        <w:rPr>
          <w:rStyle w:val="NessunoA"/>
        </w:rPr>
        <w:t>.</w:t>
      </w:r>
    </w:p>
    <w:p w14:paraId="00435C66" w14:textId="67EFEBDC" w:rsidR="004E5A39" w:rsidRPr="00983644" w:rsidRDefault="00B82939" w:rsidP="00B82939">
      <w:pPr>
        <w:pStyle w:val="CorpoA"/>
        <w:spacing w:after="0" w:line="240" w:lineRule="auto"/>
        <w:jc w:val="both"/>
      </w:pPr>
      <w:r w:rsidRPr="00983644">
        <w:rPr>
          <w:rStyle w:val="NessunoA"/>
        </w:rPr>
        <w:t>Non ci sono obiezioni per l’approvazione dal punto di vista non clinico.</w:t>
      </w:r>
    </w:p>
    <w:p w14:paraId="333C7306" w14:textId="77777777" w:rsidR="004E5A39" w:rsidRPr="00983644" w:rsidRDefault="004E5A39" w:rsidP="00F1697F">
      <w:pPr>
        <w:spacing w:after="0" w:line="240" w:lineRule="auto"/>
        <w:jc w:val="right"/>
        <w:rPr>
          <w:rFonts w:ascii="Calibri" w:hAnsi="Calibri"/>
        </w:rPr>
      </w:pPr>
    </w:p>
    <w:p w14:paraId="311568FA" w14:textId="77777777" w:rsidR="004E5A39" w:rsidRPr="00983644" w:rsidRDefault="004E5A39" w:rsidP="00EF6711">
      <w:pPr>
        <w:spacing w:after="0" w:line="240" w:lineRule="auto"/>
        <w:jc w:val="both"/>
        <w:rPr>
          <w:rFonts w:ascii="Calibri" w:hAnsi="Calibri"/>
        </w:rPr>
      </w:pPr>
    </w:p>
    <w:p w14:paraId="1D68FEBD" w14:textId="77777777" w:rsidR="004E5A39" w:rsidRPr="00113FCA" w:rsidRDefault="004E5A39" w:rsidP="00EF6711">
      <w:pPr>
        <w:pStyle w:val="Paragrafoelenco"/>
        <w:numPr>
          <w:ilvl w:val="0"/>
          <w:numId w:val="2"/>
        </w:numPr>
        <w:spacing w:after="0" w:line="240" w:lineRule="auto"/>
        <w:jc w:val="both"/>
        <w:rPr>
          <w:rFonts w:ascii="Calibri" w:hAnsi="Calibri"/>
          <w:b/>
          <w:sz w:val="24"/>
          <w:szCs w:val="24"/>
        </w:rPr>
      </w:pPr>
      <w:r w:rsidRPr="00113FCA">
        <w:rPr>
          <w:rFonts w:ascii="Calibri" w:hAnsi="Calibri"/>
          <w:b/>
          <w:sz w:val="24"/>
          <w:szCs w:val="24"/>
        </w:rPr>
        <w:lastRenderedPageBreak/>
        <w:t>ASPETTI CLINICI</w:t>
      </w:r>
    </w:p>
    <w:p w14:paraId="5D284C58" w14:textId="6C2B97A7" w:rsidR="00573995" w:rsidRPr="00113FCA" w:rsidRDefault="00E52B80" w:rsidP="00573995">
      <w:pPr>
        <w:widowControl w:val="0"/>
        <w:spacing w:after="0" w:line="240" w:lineRule="auto"/>
        <w:jc w:val="both"/>
        <w:rPr>
          <w:rFonts w:ascii="Calibri" w:eastAsia="Calibri" w:hAnsi="Calibri" w:cs="Calibri"/>
          <w:color w:val="000000"/>
        </w:rPr>
      </w:pPr>
      <w:r w:rsidRPr="00113FCA">
        <w:rPr>
          <w:rFonts w:ascii="Calibri" w:eastAsia="Calibri" w:hAnsi="Calibri" w:cs="Calibri"/>
          <w:color w:val="000000"/>
        </w:rPr>
        <w:t>IBUMENOL</w:t>
      </w:r>
      <w:r w:rsidR="00597EE3" w:rsidRPr="00113FCA">
        <w:rPr>
          <w:rFonts w:ascii="Calibri" w:eastAsia="Calibri" w:hAnsi="Calibri" w:cs="Calibri"/>
          <w:color w:val="000000"/>
        </w:rPr>
        <w:t xml:space="preserve"> </w:t>
      </w:r>
      <w:r w:rsidR="00573995" w:rsidRPr="00113FCA">
        <w:rPr>
          <w:rFonts w:ascii="Calibri" w:hAnsi="Calibri"/>
        </w:rPr>
        <w:t xml:space="preserve">è utilizzato </w:t>
      </w:r>
      <w:r w:rsidR="00052C23" w:rsidRPr="00113FCA">
        <w:rPr>
          <w:rFonts w:ascii="Calibri" w:hAnsi="Calibri"/>
        </w:rPr>
        <w:t>per le</w:t>
      </w:r>
      <w:r w:rsidR="00573995" w:rsidRPr="00113FCA">
        <w:rPr>
          <w:rFonts w:ascii="Calibri" w:eastAsia="Calibri" w:hAnsi="Calibri" w:cs="Calibri"/>
          <w:color w:val="000000"/>
        </w:rPr>
        <w:t xml:space="preserve"> seguenti </w:t>
      </w:r>
      <w:r w:rsidR="00052C23" w:rsidRPr="00113FCA">
        <w:rPr>
          <w:rFonts w:ascii="Calibri" w:eastAsia="Calibri" w:hAnsi="Calibri" w:cs="Calibri"/>
          <w:color w:val="000000"/>
        </w:rPr>
        <w:t>indicazioni terapeutiche</w:t>
      </w:r>
      <w:r w:rsidR="00573995" w:rsidRPr="00113FCA">
        <w:rPr>
          <w:rFonts w:ascii="Calibri" w:eastAsia="Calibri" w:hAnsi="Calibri" w:cs="Calibri"/>
          <w:color w:val="000000"/>
        </w:rPr>
        <w:t xml:space="preserve">: </w:t>
      </w:r>
    </w:p>
    <w:p w14:paraId="120BEEC8" w14:textId="77777777" w:rsidR="007A00F4" w:rsidRPr="00113FCA" w:rsidRDefault="007A00F4" w:rsidP="007A00F4">
      <w:pPr>
        <w:pStyle w:val="Paragrafoelenco"/>
        <w:numPr>
          <w:ilvl w:val="0"/>
          <w:numId w:val="11"/>
        </w:numPr>
        <w:tabs>
          <w:tab w:val="left" w:pos="0"/>
        </w:tabs>
        <w:overflowPunct w:val="0"/>
        <w:autoSpaceDE w:val="0"/>
        <w:autoSpaceDN w:val="0"/>
        <w:adjustRightInd w:val="0"/>
        <w:spacing w:after="0" w:line="240" w:lineRule="auto"/>
        <w:jc w:val="both"/>
        <w:textAlignment w:val="baseline"/>
        <w:rPr>
          <w:rFonts w:ascii="Calibri" w:hAnsi="Calibri" w:cstheme="minorHAnsi"/>
          <w:bCs/>
        </w:rPr>
      </w:pPr>
      <w:r w:rsidRPr="00113FCA">
        <w:rPr>
          <w:rFonts w:ascii="Calibri" w:hAnsi="Calibri" w:cstheme="minorHAnsi"/>
          <w:bCs/>
        </w:rPr>
        <w:t>Trattamento sintomatico di breve durata di dolori di intensità lieve-moderata, come cefalea, mal di denti e dismenorrea.</w:t>
      </w:r>
    </w:p>
    <w:p w14:paraId="6ED43862" w14:textId="77777777" w:rsidR="007A00F4" w:rsidRPr="00113FCA" w:rsidRDefault="007A00F4" w:rsidP="007A00F4">
      <w:pPr>
        <w:pStyle w:val="Paragrafoelenco"/>
        <w:numPr>
          <w:ilvl w:val="0"/>
          <w:numId w:val="11"/>
        </w:numPr>
        <w:tabs>
          <w:tab w:val="left" w:pos="0"/>
        </w:tabs>
        <w:overflowPunct w:val="0"/>
        <w:autoSpaceDE w:val="0"/>
        <w:autoSpaceDN w:val="0"/>
        <w:adjustRightInd w:val="0"/>
        <w:spacing w:after="0" w:line="240" w:lineRule="auto"/>
        <w:jc w:val="both"/>
        <w:textAlignment w:val="baseline"/>
        <w:rPr>
          <w:rFonts w:ascii="Calibri" w:hAnsi="Calibri" w:cstheme="minorHAnsi"/>
          <w:bCs/>
        </w:rPr>
      </w:pPr>
      <w:r w:rsidRPr="00113FCA">
        <w:rPr>
          <w:rFonts w:ascii="Calibri" w:hAnsi="Calibri" w:cstheme="minorHAnsi"/>
          <w:bCs/>
        </w:rPr>
        <w:t>Trattamento sintomatico di breve durata della febbre.</w:t>
      </w:r>
    </w:p>
    <w:p w14:paraId="5E83FD9D" w14:textId="77777777" w:rsidR="007A00F4" w:rsidRPr="00113FCA" w:rsidRDefault="007A00F4" w:rsidP="007A00F4">
      <w:pPr>
        <w:tabs>
          <w:tab w:val="left" w:pos="0"/>
        </w:tabs>
        <w:overflowPunct w:val="0"/>
        <w:autoSpaceDE w:val="0"/>
        <w:autoSpaceDN w:val="0"/>
        <w:adjustRightInd w:val="0"/>
        <w:spacing w:after="0" w:line="240" w:lineRule="auto"/>
        <w:jc w:val="both"/>
        <w:textAlignment w:val="baseline"/>
        <w:rPr>
          <w:rFonts w:ascii="Calibri" w:hAnsi="Calibri" w:cstheme="minorHAnsi"/>
          <w:bCs/>
        </w:rPr>
      </w:pPr>
    </w:p>
    <w:p w14:paraId="2C799066" w14:textId="770255B4" w:rsidR="004E5A39" w:rsidRPr="00113FCA" w:rsidRDefault="007A00F4" w:rsidP="007A00F4">
      <w:pPr>
        <w:pStyle w:val="Paragrafoelenco"/>
        <w:numPr>
          <w:ilvl w:val="0"/>
          <w:numId w:val="11"/>
        </w:numPr>
        <w:tabs>
          <w:tab w:val="left" w:pos="0"/>
        </w:tabs>
        <w:overflowPunct w:val="0"/>
        <w:autoSpaceDE w:val="0"/>
        <w:autoSpaceDN w:val="0"/>
        <w:adjustRightInd w:val="0"/>
        <w:spacing w:after="0" w:line="240" w:lineRule="auto"/>
        <w:jc w:val="both"/>
        <w:textAlignment w:val="baseline"/>
        <w:rPr>
          <w:rFonts w:ascii="Calibri" w:hAnsi="Calibri"/>
        </w:rPr>
      </w:pPr>
      <w:r w:rsidRPr="00113FCA">
        <w:rPr>
          <w:rFonts w:ascii="Calibri" w:hAnsi="Calibri" w:cstheme="minorHAnsi"/>
          <w:bCs/>
        </w:rPr>
        <w:t>Raccomandato per adulti e adolescenti con peso corporeo pari o superiore a 40 kg (di età pari o superiore ai 12 anni).</w:t>
      </w:r>
    </w:p>
    <w:p w14:paraId="2F9ED965" w14:textId="77777777" w:rsidR="007A00F4" w:rsidRPr="007A00F4" w:rsidRDefault="007A00F4" w:rsidP="007A00F4">
      <w:pPr>
        <w:tabs>
          <w:tab w:val="left" w:pos="0"/>
        </w:tabs>
        <w:overflowPunct w:val="0"/>
        <w:autoSpaceDE w:val="0"/>
        <w:autoSpaceDN w:val="0"/>
        <w:adjustRightInd w:val="0"/>
        <w:spacing w:after="0" w:line="240" w:lineRule="auto"/>
        <w:jc w:val="both"/>
        <w:textAlignment w:val="baseline"/>
        <w:rPr>
          <w:rFonts w:ascii="Calibri" w:hAnsi="Calibri"/>
        </w:rPr>
      </w:pPr>
    </w:p>
    <w:p w14:paraId="4EA558BE" w14:textId="77777777" w:rsidR="004E5A39" w:rsidRPr="00161775" w:rsidRDefault="004E5A39" w:rsidP="00EF6711">
      <w:pPr>
        <w:spacing w:after="0" w:line="240" w:lineRule="auto"/>
        <w:ind w:right="6"/>
        <w:jc w:val="both"/>
        <w:rPr>
          <w:rFonts w:ascii="Calibri" w:hAnsi="Calibri"/>
          <w:b/>
        </w:rPr>
      </w:pPr>
      <w:r w:rsidRPr="00161775">
        <w:rPr>
          <w:rFonts w:ascii="Calibri" w:hAnsi="Calibri"/>
          <w:b/>
        </w:rPr>
        <w:t>Posologia e modalità di somministrazione</w:t>
      </w:r>
    </w:p>
    <w:p w14:paraId="384A5A00" w14:textId="77777777" w:rsidR="004E5A39" w:rsidRPr="00161775" w:rsidRDefault="004E5A39" w:rsidP="00EF6711">
      <w:pPr>
        <w:spacing w:after="0" w:line="240" w:lineRule="auto"/>
        <w:ind w:right="6"/>
        <w:jc w:val="both"/>
        <w:rPr>
          <w:rFonts w:ascii="Calibri" w:eastAsia="Calibri" w:hAnsi="Calibri" w:cs="Calibri"/>
        </w:rPr>
      </w:pPr>
      <w:r w:rsidRPr="00161775">
        <w:rPr>
          <w:rFonts w:ascii="Calibri" w:hAnsi="Calibri"/>
        </w:rPr>
        <w:t>Le informazioni sulla posologia e sulle modalità di somministrazione sono riportate nel Riassunto delle Caratteristiche del Prodotto pubblicato sul sito dell’Agenzia Italiana del Farmaco - AIFA /</w:t>
      </w:r>
      <w:r w:rsidRPr="00161775">
        <w:rPr>
          <w:rFonts w:ascii="Calibri" w:eastAsia="Calibri" w:hAnsi="Calibri" w:cs="Calibri"/>
        </w:rPr>
        <w:t>(</w:t>
      </w:r>
      <w:hyperlink r:id="rId13" w:history="1">
        <w:r w:rsidRPr="00161775">
          <w:rPr>
            <w:rStyle w:val="Collegamentoipertestuale"/>
            <w:rFonts w:ascii="Calibri" w:eastAsia="Calibri" w:hAnsi="Calibri" w:cs="Calibri"/>
          </w:rPr>
          <w:t>https://farmaci.agenziafarmaco.gov.it/bancadatifarmaci</w:t>
        </w:r>
      </w:hyperlink>
      <w:r w:rsidRPr="00161775">
        <w:rPr>
          <w:rFonts w:ascii="Calibri" w:eastAsia="Calibri" w:hAnsi="Calibri" w:cs="Calibri"/>
        </w:rPr>
        <w:t>).</w:t>
      </w:r>
    </w:p>
    <w:p w14:paraId="176B77D6" w14:textId="7D433833" w:rsidR="004E5A39" w:rsidRPr="00597DFA" w:rsidRDefault="004E5A39" w:rsidP="00EF6711">
      <w:pPr>
        <w:spacing w:after="0" w:line="240" w:lineRule="auto"/>
        <w:ind w:right="6"/>
        <w:jc w:val="both"/>
        <w:rPr>
          <w:rFonts w:ascii="Calibri" w:eastAsia="Calibri" w:hAnsi="Calibri" w:cs="Calibri"/>
        </w:rPr>
      </w:pPr>
    </w:p>
    <w:p w14:paraId="2B03755E" w14:textId="77777777" w:rsidR="00614226" w:rsidRPr="00597DFA" w:rsidRDefault="00614226" w:rsidP="00614226">
      <w:pPr>
        <w:spacing w:after="0" w:line="240" w:lineRule="auto"/>
        <w:ind w:right="6"/>
        <w:jc w:val="both"/>
        <w:rPr>
          <w:rFonts w:eastAsia="Times New Roman"/>
          <w:b/>
        </w:rPr>
      </w:pPr>
      <w:r w:rsidRPr="00597DFA">
        <w:rPr>
          <w:rFonts w:eastAsia="Times New Roman"/>
          <w:b/>
        </w:rPr>
        <w:t>Farmacologia clinica</w:t>
      </w:r>
    </w:p>
    <w:p w14:paraId="3EBA6C0B" w14:textId="357CCB93" w:rsidR="00614226" w:rsidRPr="00597DFA" w:rsidRDefault="00614226" w:rsidP="00614226">
      <w:pPr>
        <w:spacing w:after="0" w:line="240" w:lineRule="auto"/>
        <w:jc w:val="both"/>
      </w:pPr>
      <w:r w:rsidRPr="00597DFA">
        <w:rPr>
          <w:rFonts w:cs="Calibri"/>
        </w:rPr>
        <w:t xml:space="preserve">La farmacologia clinica di </w:t>
      </w:r>
      <w:r w:rsidRPr="00597DFA">
        <w:t xml:space="preserve">ibuprofene </w:t>
      </w:r>
      <w:r w:rsidRPr="00597DFA">
        <w:rPr>
          <w:rFonts w:cs="Calibri"/>
        </w:rPr>
        <w:t>è ben conosciuta.</w:t>
      </w:r>
      <w:r w:rsidRPr="00597DFA">
        <w:t xml:space="preserve"> Con l’eccezione degli studi di </w:t>
      </w:r>
      <w:r w:rsidR="005917EC">
        <w:t>bioeq</w:t>
      </w:r>
      <w:r w:rsidRPr="00597DFA">
        <w:t>uivalenza, non sono stati condotti nuovi studi clinici di farmacodinamica e farmacocinetica, in quanto IBUMENOL contiene un principio attivo noto e presente nel medicinale Brufen autorizzato in Italia da più di 10 anni.</w:t>
      </w:r>
    </w:p>
    <w:p w14:paraId="10CFB41F" w14:textId="77777777" w:rsidR="00614226" w:rsidRPr="008476EF" w:rsidRDefault="00614226" w:rsidP="00614226">
      <w:pPr>
        <w:spacing w:after="0" w:line="240" w:lineRule="auto"/>
        <w:jc w:val="both"/>
      </w:pPr>
    </w:p>
    <w:p w14:paraId="69721907" w14:textId="77777777" w:rsidR="00DA1809" w:rsidRPr="008476EF" w:rsidRDefault="00DA1809" w:rsidP="00DA1809">
      <w:pPr>
        <w:spacing w:after="0" w:line="240" w:lineRule="auto"/>
        <w:jc w:val="both"/>
        <w:rPr>
          <w:b/>
        </w:rPr>
      </w:pPr>
      <w:r w:rsidRPr="006473F4">
        <w:rPr>
          <w:b/>
        </w:rPr>
        <w:t>Studio di bioequivalenza</w:t>
      </w:r>
    </w:p>
    <w:p w14:paraId="5937020D" w14:textId="3089991F" w:rsidR="00DA1809" w:rsidRPr="00B514BB" w:rsidRDefault="00DA1809" w:rsidP="00DA1809">
      <w:pPr>
        <w:spacing w:after="0" w:line="240" w:lineRule="auto"/>
        <w:jc w:val="both"/>
        <w:rPr>
          <w:rFonts w:eastAsiaTheme="minorHAnsi"/>
          <w:lang w:eastAsia="en-US"/>
        </w:rPr>
      </w:pPr>
      <w:r w:rsidRPr="00B514BB">
        <w:rPr>
          <w:rFonts w:eastAsiaTheme="minorHAnsi"/>
          <w:lang w:eastAsia="en-US"/>
        </w:rPr>
        <w:t xml:space="preserve">La richiesta di AIC è supportata da uno studio di bioequivalenza che ha confrontato i profili farmacocinetici di </w:t>
      </w:r>
      <w:r>
        <w:rPr>
          <w:rFonts w:eastAsia="Calibri" w:cs="Calibri"/>
          <w:color w:val="000000"/>
        </w:rPr>
        <w:t xml:space="preserve">ibuprofene 600 mg compresse rivestite con film </w:t>
      </w:r>
      <w:r w:rsidRPr="00B514BB">
        <w:rPr>
          <w:rFonts w:eastAsiaTheme="minorHAnsi"/>
          <w:lang w:eastAsia="en-US"/>
        </w:rPr>
        <w:t xml:space="preserve">e quelli del medicinale di riferimento </w:t>
      </w:r>
      <w:r>
        <w:t>Neobrufen 600 mg compresse rivestite con film, Abbott Laboratories S.A., Spagna)</w:t>
      </w:r>
      <w:r w:rsidRPr="00B514BB">
        <w:rPr>
          <w:rFonts w:eastAsiaTheme="minorHAnsi"/>
          <w:lang w:eastAsia="en-US"/>
        </w:rPr>
        <w:t>.</w:t>
      </w:r>
    </w:p>
    <w:p w14:paraId="2E5684C4" w14:textId="77777777" w:rsidR="00DA1809" w:rsidRPr="00B514BB" w:rsidRDefault="00DA1809" w:rsidP="00DA1809">
      <w:pPr>
        <w:spacing w:after="0" w:line="240" w:lineRule="auto"/>
        <w:contextualSpacing/>
        <w:jc w:val="both"/>
        <w:rPr>
          <w:rFonts w:eastAsiaTheme="minorHAnsi"/>
          <w:lang w:eastAsia="en-US"/>
        </w:rPr>
      </w:pPr>
      <w:r w:rsidRPr="00B514BB">
        <w:rPr>
          <w:rFonts w:eastAsiaTheme="minorHAnsi"/>
          <w:lang w:eastAsia="en-US"/>
        </w:rPr>
        <w:t>Lo studio era caratterizzato da un appropriato disegno ed è stato condotto in accordo ai principi GCP.</w:t>
      </w:r>
    </w:p>
    <w:p w14:paraId="48301717" w14:textId="77777777" w:rsidR="00DA1809" w:rsidRPr="00B514BB" w:rsidRDefault="00DA1809" w:rsidP="00DA1809">
      <w:pPr>
        <w:spacing w:after="0" w:line="240" w:lineRule="auto"/>
        <w:contextualSpacing/>
        <w:jc w:val="both"/>
        <w:rPr>
          <w:rFonts w:eastAsiaTheme="minorHAnsi"/>
          <w:lang w:eastAsia="en-US"/>
        </w:rPr>
      </w:pPr>
      <w:r w:rsidRPr="00B514BB">
        <w:rPr>
          <w:rFonts w:eastAsiaTheme="minorHAnsi"/>
          <w:lang w:eastAsia="en-US"/>
        </w:rPr>
        <w:t>Sono stati forniti certificati analitici per medicinale test e medicinale di riferimento.</w:t>
      </w:r>
    </w:p>
    <w:p w14:paraId="77F2968F" w14:textId="77777777" w:rsidR="00DA1809" w:rsidRPr="00B514BB" w:rsidRDefault="00DA1809" w:rsidP="00DA1809">
      <w:pPr>
        <w:spacing w:after="0" w:line="240" w:lineRule="auto"/>
        <w:jc w:val="both"/>
        <w:rPr>
          <w:rFonts w:eastAsiaTheme="minorHAnsi"/>
          <w:lang w:eastAsia="en-US"/>
        </w:rPr>
      </w:pPr>
      <w:r w:rsidRPr="00B514BB">
        <w:rPr>
          <w:rFonts w:ascii="Calibri" w:eastAsiaTheme="minorHAnsi" w:hAnsi="Calibri"/>
          <w:lang w:eastAsia="en-US"/>
        </w:rPr>
        <w:t xml:space="preserve">L’utilizzo del dosaggio </w:t>
      </w:r>
      <w:r w:rsidRPr="00B514BB">
        <w:rPr>
          <w:rFonts w:eastAsiaTheme="minorHAnsi"/>
          <w:lang w:eastAsia="en-US"/>
        </w:rPr>
        <w:t xml:space="preserve">maggiore </w:t>
      </w:r>
      <w:r>
        <w:rPr>
          <w:rFonts w:eastAsiaTheme="minorHAnsi"/>
          <w:lang w:eastAsia="en-US"/>
        </w:rPr>
        <w:t>600 mg</w:t>
      </w:r>
      <w:r w:rsidRPr="00B514BB">
        <w:rPr>
          <w:rFonts w:eastAsiaTheme="minorHAnsi"/>
          <w:lang w:eastAsia="en-US"/>
        </w:rPr>
        <w:t xml:space="preserve"> per lo studio di bioequivalenza è stato opportunamente giustificato.</w:t>
      </w:r>
    </w:p>
    <w:p w14:paraId="3086D78C" w14:textId="77777777" w:rsidR="00DA1809" w:rsidRPr="00B514BB" w:rsidRDefault="00DA1809" w:rsidP="00DA1809">
      <w:pPr>
        <w:spacing w:after="0" w:line="240" w:lineRule="auto"/>
        <w:jc w:val="both"/>
        <w:rPr>
          <w:rFonts w:ascii="Calibri" w:eastAsiaTheme="minorHAnsi" w:hAnsi="Calibri" w:cs="Arial"/>
          <w:lang w:eastAsia="en-US"/>
        </w:rPr>
      </w:pPr>
      <w:r w:rsidRPr="00B514BB">
        <w:rPr>
          <w:rFonts w:ascii="Calibri" w:eastAsiaTheme="minorHAnsi" w:hAnsi="Calibri"/>
          <w:lang w:eastAsia="en-US"/>
        </w:rPr>
        <w:t xml:space="preserve">Lo studio di bioequivalenza è uno studio comparativo, randomizzato, a dose singola, 2-periodi, crossover condotto in </w:t>
      </w:r>
      <w:r>
        <w:rPr>
          <w:rFonts w:ascii="Calibri" w:eastAsiaTheme="minorHAnsi" w:hAnsi="Calibri"/>
          <w:lang w:eastAsia="en-US"/>
        </w:rPr>
        <w:t xml:space="preserve">24 volontari sani di entrambi i sessi </w:t>
      </w:r>
      <w:r w:rsidRPr="00B514BB">
        <w:rPr>
          <w:rFonts w:ascii="Calibri" w:eastAsiaTheme="minorHAnsi" w:hAnsi="Calibri"/>
          <w:lang w:eastAsia="en-US"/>
        </w:rPr>
        <w:t xml:space="preserve">con somministrazione a digiuno. </w:t>
      </w:r>
      <w:r w:rsidRPr="00B514BB">
        <w:rPr>
          <w:rFonts w:ascii="Calibri" w:eastAsiaTheme="minorHAnsi" w:hAnsi="Calibri" w:cs="Arial"/>
          <w:lang w:eastAsia="en-US"/>
        </w:rPr>
        <w:t xml:space="preserve">Dopo una notte di digiuno, il medicinale è stato somministrato con acqua. </w:t>
      </w:r>
      <w:r w:rsidRPr="00B514BB">
        <w:rPr>
          <w:rFonts w:ascii="Calibri" w:eastAsiaTheme="minorHAnsi" w:hAnsi="Calibri"/>
          <w:lang w:eastAsia="en-US"/>
        </w:rPr>
        <w:t xml:space="preserve">Un soddisfacente periodo di wash-out di </w:t>
      </w:r>
      <w:r>
        <w:rPr>
          <w:rFonts w:ascii="Calibri" w:eastAsiaTheme="minorHAnsi" w:hAnsi="Calibri" w:cs="Arial"/>
          <w:lang w:eastAsia="en-US"/>
        </w:rPr>
        <w:t>7</w:t>
      </w:r>
      <w:r w:rsidRPr="00B514BB">
        <w:rPr>
          <w:rFonts w:ascii="Calibri" w:eastAsiaTheme="minorHAnsi" w:hAnsi="Calibri" w:cs="Arial"/>
          <w:lang w:eastAsia="en-US"/>
        </w:rPr>
        <w:t xml:space="preserve"> giorni è stato previsto tra le somministrazioni in ogni gruppo.</w:t>
      </w:r>
    </w:p>
    <w:p w14:paraId="4007E968" w14:textId="77777777" w:rsidR="00DA1809" w:rsidRPr="00B514BB" w:rsidRDefault="00DA1809" w:rsidP="00DA1809">
      <w:pPr>
        <w:spacing w:after="0" w:line="240" w:lineRule="auto"/>
        <w:jc w:val="both"/>
        <w:rPr>
          <w:rFonts w:ascii="Calibri" w:eastAsiaTheme="minorHAnsi" w:hAnsi="Calibri" w:cs="Arial"/>
          <w:lang w:eastAsia="en-US"/>
        </w:rPr>
      </w:pPr>
      <w:r w:rsidRPr="00B514BB">
        <w:rPr>
          <w:rFonts w:ascii="Calibri" w:eastAsiaTheme="minorHAnsi" w:hAnsi="Calibri" w:cs="Arial"/>
          <w:lang w:eastAsia="en-US"/>
        </w:rPr>
        <w:t xml:space="preserve">Campioni di sangue sono stati prelevati al tempo zero (pre-dose) e a specificati tempi fino a </w:t>
      </w:r>
      <w:r>
        <w:rPr>
          <w:rFonts w:ascii="Calibri" w:eastAsiaTheme="minorHAnsi" w:hAnsi="Calibri" w:cs="Arial"/>
          <w:lang w:eastAsia="en-US"/>
        </w:rPr>
        <w:t>12</w:t>
      </w:r>
      <w:r w:rsidRPr="00B514BB">
        <w:rPr>
          <w:rFonts w:ascii="Calibri" w:eastAsiaTheme="minorHAnsi" w:hAnsi="Calibri" w:cs="Arial"/>
          <w:lang w:eastAsia="en-US"/>
        </w:rPr>
        <w:t xml:space="preserve"> ore dopo la somministrazione. I livelli plasmatici di </w:t>
      </w:r>
      <w:r>
        <w:rPr>
          <w:rFonts w:ascii="Calibri" w:eastAsiaTheme="minorHAnsi" w:hAnsi="Calibri" w:cs="Arial"/>
          <w:bCs/>
          <w:lang w:eastAsia="en-US"/>
        </w:rPr>
        <w:t>ibuprofene</w:t>
      </w:r>
      <w:r w:rsidRPr="00B514BB">
        <w:rPr>
          <w:rFonts w:ascii="Calibri" w:eastAsiaTheme="minorHAnsi" w:hAnsi="Calibri" w:cs="Arial"/>
          <w:bCs/>
          <w:lang w:eastAsia="en-US"/>
        </w:rPr>
        <w:t xml:space="preserve"> </w:t>
      </w:r>
      <w:r w:rsidRPr="00B514BB">
        <w:rPr>
          <w:rFonts w:ascii="Calibri" w:eastAsiaTheme="minorHAnsi" w:hAnsi="Calibri" w:cs="Arial"/>
          <w:lang w:eastAsia="en-US"/>
        </w:rPr>
        <w:t>sono stati determinati mediante un metodo analitico HPLC- MS opportunamente convalidato.</w:t>
      </w:r>
    </w:p>
    <w:p w14:paraId="0A920291" w14:textId="29A8606E" w:rsidR="00DA1809" w:rsidRPr="00B514BB" w:rsidRDefault="00DA1809" w:rsidP="00DA1809">
      <w:pPr>
        <w:spacing w:after="0" w:line="240" w:lineRule="auto"/>
        <w:contextualSpacing/>
        <w:jc w:val="both"/>
        <w:rPr>
          <w:rFonts w:ascii="Calibri" w:eastAsiaTheme="minorHAnsi" w:hAnsi="Calibri" w:cs="Arial"/>
          <w:lang w:eastAsia="en-US"/>
        </w:rPr>
      </w:pPr>
      <w:r>
        <w:rPr>
          <w:rFonts w:ascii="Calibri" w:eastAsiaTheme="minorHAnsi" w:hAnsi="Calibri" w:cs="Arial"/>
          <w:lang w:eastAsia="en-US"/>
        </w:rPr>
        <w:t>S</w:t>
      </w:r>
      <w:r w:rsidRPr="00B514BB">
        <w:rPr>
          <w:rFonts w:ascii="Calibri" w:eastAsiaTheme="minorHAnsi" w:hAnsi="Calibri" w:cs="Arial"/>
          <w:lang w:eastAsia="en-US"/>
        </w:rPr>
        <w:t>ono state definite le seguenti variabili farmacocinetiche: C</w:t>
      </w:r>
      <w:r w:rsidRPr="00B514BB">
        <w:rPr>
          <w:rFonts w:ascii="Calibri" w:eastAsiaTheme="minorHAnsi" w:hAnsi="Calibri" w:cs="Arial"/>
          <w:vertAlign w:val="subscript"/>
          <w:lang w:eastAsia="en-US"/>
        </w:rPr>
        <w:t>max</w:t>
      </w:r>
      <w:r w:rsidRPr="00B514BB">
        <w:rPr>
          <w:rFonts w:ascii="Calibri" w:eastAsiaTheme="minorHAnsi" w:hAnsi="Calibri" w:cs="Arial"/>
          <w:lang w:eastAsia="en-US"/>
        </w:rPr>
        <w:t>, AUC</w:t>
      </w:r>
      <w:r w:rsidRPr="00B514BB">
        <w:rPr>
          <w:rFonts w:ascii="Calibri" w:eastAsiaTheme="minorHAnsi" w:hAnsi="Calibri" w:cs="Arial"/>
          <w:vertAlign w:val="subscript"/>
          <w:lang w:eastAsia="en-US"/>
        </w:rPr>
        <w:t>0-t</w:t>
      </w:r>
      <w:r w:rsidRPr="00B514BB">
        <w:rPr>
          <w:rFonts w:ascii="Calibri" w:eastAsiaTheme="minorHAnsi" w:hAnsi="Calibri" w:cs="Arial"/>
          <w:lang w:eastAsia="en-US"/>
        </w:rPr>
        <w:t>,, AUC</w:t>
      </w:r>
      <w:r w:rsidRPr="00B514BB">
        <w:rPr>
          <w:rFonts w:ascii="Calibri" w:eastAsiaTheme="minorHAnsi" w:hAnsi="Calibri" w:cs="Arial"/>
          <w:vertAlign w:val="subscript"/>
          <w:lang w:eastAsia="en-US"/>
        </w:rPr>
        <w:t>0-</w:t>
      </w:r>
      <w:r w:rsidRPr="00B514BB">
        <w:rPr>
          <w:rFonts w:ascii="Calibri" w:eastAsiaTheme="minorHAnsi" w:hAnsi="Calibri" w:cs="Arial"/>
          <w:vertAlign w:val="subscript"/>
          <w:lang w:val="en-GB" w:eastAsia="en-US"/>
        </w:rPr>
        <w:sym w:font="Symbol" w:char="00A5"/>
      </w:r>
      <w:r w:rsidRPr="00B514BB">
        <w:rPr>
          <w:rFonts w:ascii="Calibri" w:eastAsiaTheme="minorHAnsi" w:hAnsi="Calibri" w:cs="Arial"/>
          <w:lang w:eastAsia="en-US"/>
        </w:rPr>
        <w:t>, t</w:t>
      </w:r>
      <w:r w:rsidRPr="00B514BB">
        <w:rPr>
          <w:rFonts w:ascii="Calibri" w:eastAsiaTheme="minorHAnsi" w:hAnsi="Calibri" w:cs="Arial"/>
          <w:vertAlign w:val="subscript"/>
          <w:lang w:eastAsia="en-US"/>
        </w:rPr>
        <w:t>max</w:t>
      </w:r>
      <w:r w:rsidRPr="00B514BB">
        <w:rPr>
          <w:rFonts w:ascii="Calibri" w:eastAsiaTheme="minorHAnsi" w:hAnsi="Calibri" w:cs="Arial"/>
          <w:lang w:eastAsia="en-US"/>
        </w:rPr>
        <w:t>, t½ e AUC estrapolata e</w:t>
      </w:r>
      <w:r w:rsidRPr="00B514BB">
        <w:rPr>
          <w:rFonts w:ascii="Times New Roman" w:eastAsia="MS Mincho" w:hAnsi="Times New Roman" w:cs="Times New Roman"/>
          <w:color w:val="000000"/>
          <w:sz w:val="20"/>
          <w:szCs w:val="20"/>
          <w:lang w:eastAsia="en-US"/>
        </w:rPr>
        <w:t xml:space="preserve"> </w:t>
      </w:r>
      <w:r w:rsidRPr="00B514BB">
        <w:rPr>
          <w:rFonts w:ascii="Calibri" w:eastAsiaTheme="minorHAnsi" w:hAnsi="Calibri" w:cs="Arial"/>
          <w:lang w:eastAsia="en-US"/>
        </w:rPr>
        <w:t>λz. La bioequivalenza tra medicinale test e medicinale di riferimento è dimostrata se gli intervalli di confidenza al 90% per la trasformata logaritmica di C</w:t>
      </w:r>
      <w:r w:rsidRPr="00B514BB">
        <w:rPr>
          <w:rFonts w:ascii="Calibri" w:eastAsiaTheme="minorHAnsi" w:hAnsi="Calibri" w:cs="Arial"/>
          <w:vertAlign w:val="subscript"/>
          <w:lang w:eastAsia="en-US"/>
        </w:rPr>
        <w:t>max</w:t>
      </w:r>
      <w:r w:rsidRPr="00B514BB">
        <w:rPr>
          <w:rFonts w:ascii="Calibri" w:eastAsiaTheme="minorHAnsi" w:hAnsi="Calibri" w:cs="Arial"/>
          <w:lang w:eastAsia="en-US"/>
        </w:rPr>
        <w:t xml:space="preserve"> e AUC</w:t>
      </w:r>
      <w:r w:rsidRPr="00B514BB">
        <w:rPr>
          <w:rFonts w:ascii="Calibri" w:eastAsiaTheme="minorHAnsi" w:hAnsi="Calibri" w:cs="Arial"/>
          <w:vertAlign w:val="subscript"/>
          <w:lang w:eastAsia="en-US"/>
        </w:rPr>
        <w:t>0-t</w:t>
      </w:r>
      <w:r w:rsidR="009C20BD">
        <w:rPr>
          <w:rFonts w:ascii="Calibri" w:eastAsiaTheme="minorHAnsi" w:hAnsi="Calibri" w:cs="Arial"/>
          <w:lang w:eastAsia="en-US"/>
        </w:rPr>
        <w:t>,</w:t>
      </w:r>
      <w:r w:rsidRPr="00B514BB">
        <w:rPr>
          <w:rFonts w:ascii="Calibri" w:eastAsiaTheme="minorHAnsi" w:hAnsi="Calibri" w:cs="Arial"/>
          <w:lang w:eastAsia="en-US"/>
        </w:rPr>
        <w:t xml:space="preserve"> cadono nel range di accettabilità di 0.80-1.25 (80%-125%).</w:t>
      </w:r>
    </w:p>
    <w:p w14:paraId="1E79289A" w14:textId="77777777" w:rsidR="00DA1809" w:rsidRPr="00B514BB" w:rsidRDefault="00DA1809" w:rsidP="00DA1809">
      <w:pPr>
        <w:spacing w:after="0" w:line="240" w:lineRule="auto"/>
        <w:contextualSpacing/>
        <w:jc w:val="both"/>
        <w:rPr>
          <w:rFonts w:eastAsiaTheme="minorHAnsi"/>
          <w:lang w:eastAsia="en-US"/>
        </w:rPr>
      </w:pPr>
    </w:p>
    <w:p w14:paraId="29177111" w14:textId="77777777" w:rsidR="00DA1809" w:rsidRPr="00B514BB" w:rsidRDefault="00DA1809" w:rsidP="00DA1809">
      <w:pPr>
        <w:spacing w:after="0" w:line="240" w:lineRule="auto"/>
        <w:contextualSpacing/>
        <w:jc w:val="both"/>
        <w:rPr>
          <w:rFonts w:eastAsiaTheme="minorHAnsi"/>
          <w:u w:val="single"/>
          <w:lang w:eastAsia="en-US"/>
        </w:rPr>
      </w:pPr>
      <w:r w:rsidRPr="00B514BB">
        <w:rPr>
          <w:rFonts w:eastAsiaTheme="minorHAnsi"/>
          <w:u w:val="single"/>
          <w:lang w:eastAsia="en-US"/>
        </w:rPr>
        <w:t>Risultati</w:t>
      </w:r>
    </w:p>
    <w:p w14:paraId="035959D8" w14:textId="77777777" w:rsidR="00DA1809" w:rsidRPr="00B514BB" w:rsidRDefault="00DA1809" w:rsidP="00DA1809">
      <w:pPr>
        <w:spacing w:after="0" w:line="240" w:lineRule="auto"/>
        <w:contextualSpacing/>
        <w:jc w:val="both"/>
        <w:rPr>
          <w:rFonts w:ascii="Calibri" w:eastAsiaTheme="minorHAnsi" w:hAnsi="Calibri" w:cs="Arial"/>
          <w:lang w:eastAsia="en-US"/>
        </w:rPr>
      </w:pPr>
      <w:r>
        <w:rPr>
          <w:rFonts w:ascii="Calibri" w:eastAsiaTheme="minorHAnsi" w:hAnsi="Calibri" w:cs="Arial"/>
          <w:lang w:eastAsia="en-US"/>
        </w:rPr>
        <w:t xml:space="preserve">24 </w:t>
      </w:r>
      <w:r w:rsidRPr="00B514BB">
        <w:rPr>
          <w:rFonts w:ascii="Calibri" w:eastAsiaTheme="minorHAnsi" w:hAnsi="Calibri" w:cs="Arial"/>
          <w:lang w:eastAsia="en-US"/>
        </w:rPr>
        <w:t xml:space="preserve">volontari sani sono stati arruolati nello studio ed </w:t>
      </w:r>
      <w:r w:rsidRPr="00B514BB">
        <w:rPr>
          <w:rFonts w:eastAsiaTheme="minorHAnsi"/>
          <w:lang w:eastAsia="en-US"/>
        </w:rPr>
        <w:t xml:space="preserve">hanno completato la fase clinica e </w:t>
      </w:r>
      <w:r w:rsidRPr="00B514BB">
        <w:rPr>
          <w:rFonts w:ascii="Calibri" w:eastAsiaTheme="minorHAnsi" w:hAnsi="Calibri" w:cs="Arial"/>
          <w:lang w:eastAsia="en-US"/>
        </w:rPr>
        <w:t>sono stati inclusi nell’analisi farmacocinetica.</w:t>
      </w:r>
    </w:p>
    <w:p w14:paraId="15D85D95" w14:textId="77777777" w:rsidR="00DA1809" w:rsidRPr="00B514BB" w:rsidRDefault="00DA1809" w:rsidP="00DA1809">
      <w:pPr>
        <w:keepNext/>
        <w:spacing w:after="0" w:line="240" w:lineRule="auto"/>
        <w:jc w:val="both"/>
        <w:outlineLvl w:val="0"/>
        <w:rPr>
          <w:rFonts w:ascii="Calibri" w:eastAsia="Times New Roman" w:hAnsi="Calibri" w:cs="Arial"/>
          <w:i/>
          <w:lang w:eastAsia="en-US"/>
        </w:rPr>
      </w:pPr>
    </w:p>
    <w:p w14:paraId="288AD3C1" w14:textId="77777777" w:rsidR="00DA1809" w:rsidRPr="00B514BB" w:rsidRDefault="00DA1809" w:rsidP="00DA1809">
      <w:pPr>
        <w:keepNext/>
        <w:spacing w:after="0" w:line="240" w:lineRule="auto"/>
        <w:jc w:val="both"/>
        <w:outlineLvl w:val="0"/>
        <w:rPr>
          <w:rFonts w:ascii="Calibri" w:eastAsia="Times New Roman" w:hAnsi="Calibri" w:cs="Arial"/>
          <w:lang w:eastAsia="en-US"/>
        </w:rPr>
      </w:pPr>
      <w:r w:rsidRPr="00B514BB">
        <w:rPr>
          <w:rFonts w:ascii="Calibri" w:eastAsia="Times New Roman" w:hAnsi="Calibri" w:cs="Arial"/>
          <w:i/>
          <w:lang w:eastAsia="en-US"/>
        </w:rPr>
        <w:t>Sicurezza</w:t>
      </w:r>
    </w:p>
    <w:p w14:paraId="70EA568C" w14:textId="77777777" w:rsidR="00DA1809" w:rsidRPr="00B514BB" w:rsidRDefault="00DA1809" w:rsidP="00DA1809">
      <w:pPr>
        <w:autoSpaceDE w:val="0"/>
        <w:autoSpaceDN w:val="0"/>
        <w:adjustRightInd w:val="0"/>
        <w:spacing w:after="0" w:line="240" w:lineRule="auto"/>
        <w:jc w:val="both"/>
        <w:rPr>
          <w:rFonts w:ascii="Calibri" w:eastAsiaTheme="minorHAnsi" w:hAnsi="Calibri" w:cs="Arial"/>
          <w:b/>
          <w:lang w:eastAsia="en-US"/>
        </w:rPr>
      </w:pPr>
      <w:r w:rsidRPr="00B514BB">
        <w:rPr>
          <w:rFonts w:ascii="Calibri" w:eastAsiaTheme="minorHAnsi" w:hAnsi="Calibri" w:cs="Arial"/>
          <w:lang w:eastAsia="en-US"/>
        </w:rPr>
        <w:t xml:space="preserve">Nel corso dello studio, si sono manifestati </w:t>
      </w:r>
      <w:r w:rsidRPr="00B514BB">
        <w:rPr>
          <w:rFonts w:eastAsiaTheme="minorHAnsi"/>
          <w:lang w:eastAsia="en-US"/>
        </w:rPr>
        <w:t>4 eventi avversi (</w:t>
      </w:r>
      <w:r>
        <w:rPr>
          <w:rFonts w:eastAsiaTheme="minorHAnsi"/>
          <w:lang w:eastAsia="en-US"/>
        </w:rPr>
        <w:t>cefalea</w:t>
      </w:r>
      <w:r w:rsidRPr="00B514BB">
        <w:rPr>
          <w:rFonts w:eastAsiaTheme="minorHAnsi"/>
          <w:lang w:eastAsia="en-US"/>
        </w:rPr>
        <w:t xml:space="preserve">) </w:t>
      </w:r>
      <w:r w:rsidRPr="00B514BB">
        <w:rPr>
          <w:rFonts w:ascii="Calibri" w:eastAsiaTheme="minorHAnsi" w:hAnsi="Calibri" w:cs="Arial"/>
          <w:lang w:eastAsia="en-US"/>
        </w:rPr>
        <w:t xml:space="preserve">correlati al trattamento in </w:t>
      </w:r>
      <w:r>
        <w:rPr>
          <w:rFonts w:ascii="Calibri" w:eastAsiaTheme="minorHAnsi" w:hAnsi="Calibri" w:cs="Arial"/>
          <w:lang w:eastAsia="en-US"/>
        </w:rPr>
        <w:t>2</w:t>
      </w:r>
      <w:r w:rsidRPr="00B514BB">
        <w:rPr>
          <w:rFonts w:ascii="Calibri" w:eastAsiaTheme="minorHAnsi" w:hAnsi="Calibri" w:cs="Arial"/>
          <w:lang w:eastAsia="en-US"/>
        </w:rPr>
        <w:t xml:space="preserve"> soggetti</w:t>
      </w:r>
      <w:r w:rsidRPr="00B514BB">
        <w:rPr>
          <w:rFonts w:eastAsiaTheme="minorHAnsi"/>
          <w:lang w:eastAsia="en-US"/>
        </w:rPr>
        <w:t xml:space="preserve">. </w:t>
      </w:r>
      <w:r w:rsidRPr="00B514BB">
        <w:rPr>
          <w:rFonts w:ascii="Calibri" w:eastAsiaTheme="minorHAnsi" w:hAnsi="Calibri" w:cs="Arial"/>
          <w:lang w:eastAsia="en-US"/>
        </w:rPr>
        <w:t>Non sono stati rilevati eventi avversi gravi.</w:t>
      </w:r>
    </w:p>
    <w:p w14:paraId="690724FB" w14:textId="77777777" w:rsidR="00DA1809" w:rsidRPr="00B514BB" w:rsidRDefault="00DA1809" w:rsidP="00DA1809">
      <w:pPr>
        <w:spacing w:after="0" w:line="240" w:lineRule="auto"/>
        <w:rPr>
          <w:rFonts w:eastAsiaTheme="minorHAnsi"/>
          <w:lang w:eastAsia="en-US"/>
        </w:rPr>
      </w:pPr>
    </w:p>
    <w:p w14:paraId="52228F38" w14:textId="77777777" w:rsidR="00DA1809" w:rsidRPr="00B514BB" w:rsidRDefault="00DA1809" w:rsidP="00DA1809">
      <w:pPr>
        <w:keepNext/>
        <w:spacing w:after="0" w:line="240" w:lineRule="auto"/>
        <w:jc w:val="both"/>
        <w:outlineLvl w:val="0"/>
        <w:rPr>
          <w:rFonts w:eastAsia="Times New Roman" w:cs="Arial"/>
          <w:lang w:eastAsia="en-US"/>
        </w:rPr>
      </w:pPr>
      <w:r w:rsidRPr="00B514BB">
        <w:rPr>
          <w:rFonts w:eastAsia="Times New Roman" w:cs="Arial"/>
          <w:i/>
          <w:lang w:eastAsia="en-US"/>
        </w:rPr>
        <w:t>Parametri farmacocinetici</w:t>
      </w:r>
      <w:r w:rsidRPr="00B514BB">
        <w:rPr>
          <w:rFonts w:eastAsia="Times New Roman" w:cs="Arial"/>
          <w:lang w:eastAsia="en-US"/>
        </w:rPr>
        <w:t xml:space="preserve">. </w:t>
      </w:r>
    </w:p>
    <w:p w14:paraId="12DD2F9D" w14:textId="77777777" w:rsidR="00DA1809" w:rsidRPr="00B514BB" w:rsidRDefault="00DA1809" w:rsidP="00DA1809">
      <w:pPr>
        <w:keepNext/>
        <w:spacing w:after="0" w:line="240" w:lineRule="auto"/>
        <w:jc w:val="both"/>
        <w:outlineLvl w:val="0"/>
        <w:rPr>
          <w:rFonts w:eastAsia="Times New Roman" w:cs="Arial"/>
          <w:lang w:eastAsia="en-US"/>
        </w:rPr>
      </w:pPr>
      <w:r w:rsidRPr="00B514BB">
        <w:rPr>
          <w:rFonts w:eastAsia="Times New Roman" w:cs="Arial"/>
          <w:lang w:eastAsia="en-US"/>
        </w:rPr>
        <w:t>La sintesi dei risultati dello studio di bioequivalenza è riportata nella tabella che segue.</w:t>
      </w:r>
    </w:p>
    <w:p w14:paraId="4A784C76" w14:textId="77777777" w:rsidR="00DA1809" w:rsidRPr="00B514BB" w:rsidRDefault="00DA1809" w:rsidP="00DA1809">
      <w:pPr>
        <w:spacing w:after="0" w:line="240" w:lineRule="auto"/>
        <w:contextualSpacing/>
        <w:jc w:val="both"/>
        <w:rPr>
          <w:rFonts w:eastAsiaTheme="minorHAnsi"/>
          <w:lang w:eastAsia="en-US"/>
        </w:rPr>
      </w:pPr>
    </w:p>
    <w:tbl>
      <w:tblPr>
        <w:tblW w:w="4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firstRow="0" w:lastRow="0" w:firstColumn="0" w:lastColumn="0" w:noHBand="0" w:noVBand="0"/>
      </w:tblPr>
      <w:tblGrid>
        <w:gridCol w:w="1519"/>
        <w:gridCol w:w="1615"/>
        <w:gridCol w:w="1596"/>
        <w:gridCol w:w="1537"/>
        <w:gridCol w:w="1675"/>
      </w:tblGrid>
      <w:tr w:rsidR="00DA1809" w:rsidRPr="00B514BB" w14:paraId="1FE1B453" w14:textId="77777777" w:rsidTr="00BA6A41">
        <w:trPr>
          <w:jc w:val="center"/>
        </w:trPr>
        <w:tc>
          <w:tcPr>
            <w:tcW w:w="8136" w:type="dxa"/>
            <w:gridSpan w:val="5"/>
            <w:shd w:val="clear" w:color="auto" w:fill="auto"/>
            <w:vAlign w:val="bottom"/>
          </w:tcPr>
          <w:p w14:paraId="041A2E14" w14:textId="77777777" w:rsidR="00DA1809" w:rsidRDefault="00DA1809" w:rsidP="00BA6A41">
            <w:pPr>
              <w:spacing w:after="0" w:line="240" w:lineRule="auto"/>
              <w:jc w:val="center"/>
              <w:rPr>
                <w:rFonts w:eastAsiaTheme="minorHAnsi"/>
                <w:b/>
                <w:bCs/>
                <w:sz w:val="20"/>
                <w:szCs w:val="20"/>
                <w:lang w:eastAsia="en-US"/>
              </w:rPr>
            </w:pPr>
            <w:r>
              <w:rPr>
                <w:rFonts w:eastAsiaTheme="minorHAnsi"/>
                <w:b/>
                <w:bCs/>
                <w:sz w:val="20"/>
                <w:szCs w:val="20"/>
                <w:lang w:eastAsia="en-US"/>
              </w:rPr>
              <w:t xml:space="preserve"> R Ibuprofene</w:t>
            </w:r>
          </w:p>
          <w:p w14:paraId="7B665542" w14:textId="77777777" w:rsidR="00DA1809" w:rsidRPr="00B514BB" w:rsidRDefault="00DA1809" w:rsidP="00BA6A41">
            <w:pPr>
              <w:spacing w:after="0" w:line="240" w:lineRule="auto"/>
              <w:jc w:val="center"/>
              <w:rPr>
                <w:rFonts w:eastAsiaTheme="minorHAnsi"/>
                <w:b/>
                <w:bCs/>
                <w:sz w:val="20"/>
                <w:szCs w:val="20"/>
                <w:lang w:eastAsia="en-US"/>
              </w:rPr>
            </w:pPr>
            <w:r>
              <w:rPr>
                <w:rFonts w:eastAsiaTheme="minorHAnsi"/>
                <w:b/>
                <w:bCs/>
                <w:sz w:val="20"/>
                <w:szCs w:val="20"/>
                <w:lang w:eastAsia="en-US"/>
              </w:rPr>
              <w:t xml:space="preserve">Dose (1 </w:t>
            </w:r>
            <w:r w:rsidRPr="00333936">
              <w:rPr>
                <w:b/>
                <w:bCs/>
                <w:sz w:val="20"/>
                <w:szCs w:val="20"/>
              </w:rPr>
              <w:t>x</w:t>
            </w:r>
            <w:r>
              <w:rPr>
                <w:rFonts w:eastAsiaTheme="minorHAnsi"/>
                <w:b/>
                <w:bCs/>
                <w:sz w:val="20"/>
                <w:szCs w:val="20"/>
                <w:lang w:eastAsia="en-US"/>
              </w:rPr>
              <w:t xml:space="preserve"> 600 mg compresse rivestite con film</w:t>
            </w:r>
          </w:p>
        </w:tc>
      </w:tr>
      <w:tr w:rsidR="00DA1809" w:rsidRPr="00B514BB" w14:paraId="358A4CCC" w14:textId="77777777" w:rsidTr="00BA6A41">
        <w:trPr>
          <w:jc w:val="center"/>
        </w:trPr>
        <w:tc>
          <w:tcPr>
            <w:tcW w:w="1556" w:type="dxa"/>
            <w:vAlign w:val="bottom"/>
          </w:tcPr>
          <w:p w14:paraId="30CF84A2" w14:textId="77777777" w:rsidR="00DA1809" w:rsidRPr="00B514BB" w:rsidRDefault="00DA1809" w:rsidP="00BA6A41">
            <w:pPr>
              <w:spacing w:after="0" w:line="240" w:lineRule="auto"/>
              <w:jc w:val="center"/>
              <w:rPr>
                <w:rFonts w:eastAsiaTheme="minorHAnsi"/>
                <w:b/>
                <w:sz w:val="20"/>
                <w:szCs w:val="20"/>
                <w:lang w:eastAsia="en-US"/>
              </w:rPr>
            </w:pPr>
            <w:r w:rsidRPr="00B514BB">
              <w:rPr>
                <w:rFonts w:eastAsiaTheme="minorHAnsi"/>
                <w:b/>
                <w:sz w:val="20"/>
                <w:szCs w:val="20"/>
                <w:lang w:eastAsia="en-US"/>
              </w:rPr>
              <w:t>Parametro</w:t>
            </w:r>
          </w:p>
        </w:tc>
        <w:tc>
          <w:tcPr>
            <w:tcW w:w="1655" w:type="dxa"/>
            <w:vAlign w:val="bottom"/>
          </w:tcPr>
          <w:p w14:paraId="24200256" w14:textId="77777777" w:rsidR="00DA1809" w:rsidRPr="00B514BB" w:rsidRDefault="00DA1809" w:rsidP="00BA6A41">
            <w:pPr>
              <w:spacing w:after="0" w:line="240" w:lineRule="auto"/>
              <w:jc w:val="center"/>
              <w:rPr>
                <w:rFonts w:eastAsiaTheme="minorHAnsi"/>
                <w:b/>
                <w:sz w:val="20"/>
                <w:szCs w:val="20"/>
                <w:lang w:eastAsia="en-US"/>
              </w:rPr>
            </w:pPr>
            <w:r w:rsidRPr="00B514BB">
              <w:rPr>
                <w:rFonts w:eastAsiaTheme="minorHAnsi"/>
                <w:b/>
                <w:sz w:val="20"/>
                <w:szCs w:val="20"/>
                <w:lang w:eastAsia="en-US"/>
              </w:rPr>
              <w:t>Test</w:t>
            </w:r>
          </w:p>
        </w:tc>
        <w:tc>
          <w:tcPr>
            <w:tcW w:w="1635" w:type="dxa"/>
            <w:vAlign w:val="bottom"/>
          </w:tcPr>
          <w:p w14:paraId="7B065BA7" w14:textId="77777777" w:rsidR="00DA1809" w:rsidRPr="00B514BB" w:rsidRDefault="00DA1809" w:rsidP="00BA6A41">
            <w:pPr>
              <w:spacing w:after="0" w:line="240" w:lineRule="auto"/>
              <w:jc w:val="center"/>
              <w:rPr>
                <w:rFonts w:eastAsiaTheme="minorHAnsi"/>
                <w:b/>
                <w:sz w:val="20"/>
                <w:szCs w:val="20"/>
                <w:lang w:eastAsia="en-US"/>
              </w:rPr>
            </w:pPr>
            <w:r w:rsidRPr="00B514BB">
              <w:rPr>
                <w:rFonts w:eastAsiaTheme="minorHAnsi"/>
                <w:b/>
                <w:sz w:val="20"/>
                <w:szCs w:val="20"/>
                <w:lang w:eastAsia="en-US"/>
              </w:rPr>
              <w:t>Reference</w:t>
            </w:r>
          </w:p>
        </w:tc>
        <w:tc>
          <w:tcPr>
            <w:tcW w:w="1574" w:type="dxa"/>
            <w:vAlign w:val="bottom"/>
          </w:tcPr>
          <w:p w14:paraId="3DF721A2" w14:textId="77777777" w:rsidR="00DA1809" w:rsidRPr="00B514BB" w:rsidRDefault="00DA1809" w:rsidP="00BA6A41">
            <w:pPr>
              <w:spacing w:after="0" w:line="240" w:lineRule="auto"/>
              <w:jc w:val="center"/>
              <w:rPr>
                <w:rFonts w:eastAsiaTheme="minorHAnsi"/>
                <w:b/>
                <w:sz w:val="20"/>
                <w:szCs w:val="20"/>
                <w:lang w:eastAsia="en-US"/>
              </w:rPr>
            </w:pPr>
            <w:r w:rsidRPr="00B514BB">
              <w:rPr>
                <w:rFonts w:eastAsiaTheme="minorHAnsi"/>
                <w:b/>
                <w:sz w:val="20"/>
                <w:szCs w:val="20"/>
                <w:lang w:eastAsia="en-US"/>
              </w:rPr>
              <w:t>T/R Ratio</w:t>
            </w:r>
          </w:p>
        </w:tc>
        <w:tc>
          <w:tcPr>
            <w:tcW w:w="1716" w:type="dxa"/>
            <w:vAlign w:val="bottom"/>
          </w:tcPr>
          <w:p w14:paraId="4CD22961" w14:textId="77777777" w:rsidR="00DA1809" w:rsidRPr="00B514BB" w:rsidRDefault="00DA1809" w:rsidP="00BA6A41">
            <w:pPr>
              <w:spacing w:after="0" w:line="240" w:lineRule="auto"/>
              <w:jc w:val="center"/>
              <w:rPr>
                <w:rFonts w:eastAsiaTheme="minorHAnsi"/>
                <w:b/>
                <w:sz w:val="20"/>
                <w:szCs w:val="20"/>
                <w:lang w:eastAsia="en-US"/>
              </w:rPr>
            </w:pPr>
            <w:r w:rsidRPr="00B514BB">
              <w:rPr>
                <w:rFonts w:eastAsiaTheme="minorHAnsi"/>
                <w:b/>
                <w:sz w:val="20"/>
                <w:szCs w:val="20"/>
                <w:lang w:eastAsia="en-US"/>
              </w:rPr>
              <w:t>90% C.I.</w:t>
            </w:r>
          </w:p>
        </w:tc>
      </w:tr>
      <w:tr w:rsidR="00DA1809" w:rsidRPr="00B514BB" w14:paraId="6D639BED" w14:textId="77777777" w:rsidTr="00BA6A41">
        <w:trPr>
          <w:jc w:val="center"/>
        </w:trPr>
        <w:tc>
          <w:tcPr>
            <w:tcW w:w="1556" w:type="dxa"/>
            <w:vAlign w:val="bottom"/>
          </w:tcPr>
          <w:p w14:paraId="15B110CB" w14:textId="77777777" w:rsidR="00DA1809" w:rsidRPr="00B514BB" w:rsidRDefault="00DA1809" w:rsidP="00BA6A41">
            <w:pPr>
              <w:spacing w:after="0" w:line="240" w:lineRule="auto"/>
              <w:rPr>
                <w:rFonts w:eastAsiaTheme="minorHAnsi"/>
                <w:b/>
                <w:sz w:val="20"/>
                <w:szCs w:val="20"/>
                <w:lang w:eastAsia="en-US"/>
              </w:rPr>
            </w:pPr>
            <w:r w:rsidRPr="00B514BB">
              <w:rPr>
                <w:rFonts w:eastAsiaTheme="minorHAnsi"/>
                <w:b/>
                <w:sz w:val="20"/>
                <w:szCs w:val="20"/>
                <w:lang w:eastAsia="en-US"/>
              </w:rPr>
              <w:t>AUC0-t</w:t>
            </w:r>
          </w:p>
        </w:tc>
        <w:tc>
          <w:tcPr>
            <w:tcW w:w="1655" w:type="dxa"/>
            <w:vAlign w:val="bottom"/>
          </w:tcPr>
          <w:p w14:paraId="44DDF7B0" w14:textId="77777777" w:rsidR="00DA1809" w:rsidRPr="00B514BB" w:rsidRDefault="00DA1809" w:rsidP="00BA6A41">
            <w:pPr>
              <w:spacing w:after="0" w:line="240" w:lineRule="auto"/>
              <w:jc w:val="center"/>
              <w:rPr>
                <w:rFonts w:eastAsiaTheme="minorHAnsi"/>
                <w:sz w:val="20"/>
                <w:szCs w:val="20"/>
                <w:lang w:eastAsia="en-US"/>
              </w:rPr>
            </w:pPr>
            <w:r w:rsidRPr="00EF1D01">
              <w:rPr>
                <w:sz w:val="20"/>
                <w:lang w:val="en-GB"/>
              </w:rPr>
              <w:t>73.68</w:t>
            </w:r>
            <w:r>
              <w:rPr>
                <w:sz w:val="20"/>
                <w:lang w:val="en-GB"/>
              </w:rPr>
              <w:t xml:space="preserve"> </w:t>
            </w:r>
            <w:r w:rsidRPr="00EF1D01">
              <w:rPr>
                <w:sz w:val="20"/>
                <w:lang w:val="en-GB"/>
              </w:rPr>
              <w:t>±</w:t>
            </w:r>
            <w:r>
              <w:rPr>
                <w:sz w:val="20"/>
                <w:lang w:val="en-GB"/>
              </w:rPr>
              <w:t xml:space="preserve"> </w:t>
            </w:r>
            <w:r w:rsidRPr="00EF1D01">
              <w:rPr>
                <w:sz w:val="20"/>
                <w:lang w:val="en-GB"/>
              </w:rPr>
              <w:t>18.12</w:t>
            </w:r>
          </w:p>
        </w:tc>
        <w:tc>
          <w:tcPr>
            <w:tcW w:w="1635" w:type="dxa"/>
            <w:vAlign w:val="bottom"/>
          </w:tcPr>
          <w:p w14:paraId="127400C5" w14:textId="77777777" w:rsidR="00DA1809" w:rsidRPr="00B514BB" w:rsidRDefault="00DA1809" w:rsidP="00BA6A41">
            <w:pPr>
              <w:spacing w:after="0" w:line="240" w:lineRule="auto"/>
              <w:jc w:val="center"/>
              <w:rPr>
                <w:rFonts w:eastAsiaTheme="minorHAnsi"/>
                <w:sz w:val="20"/>
                <w:szCs w:val="20"/>
                <w:lang w:eastAsia="en-US"/>
              </w:rPr>
            </w:pPr>
            <w:r w:rsidRPr="00EF1D01">
              <w:rPr>
                <w:sz w:val="20"/>
                <w:lang w:val="en-GB"/>
              </w:rPr>
              <w:t>76.45 ±</w:t>
            </w:r>
            <w:r>
              <w:rPr>
                <w:sz w:val="20"/>
                <w:lang w:val="en-GB"/>
              </w:rPr>
              <w:t xml:space="preserve"> 17.50</w:t>
            </w:r>
          </w:p>
        </w:tc>
        <w:tc>
          <w:tcPr>
            <w:tcW w:w="1574" w:type="dxa"/>
            <w:vAlign w:val="bottom"/>
          </w:tcPr>
          <w:p w14:paraId="074E3347" w14:textId="77777777" w:rsidR="00DA1809" w:rsidRPr="00B514BB" w:rsidRDefault="00DA1809" w:rsidP="00BA6A41">
            <w:pPr>
              <w:pStyle w:val="Sarkain2"/>
              <w:keepNext/>
              <w:ind w:left="0"/>
              <w:jc w:val="center"/>
              <w:rPr>
                <w:b w:val="0"/>
                <w:sz w:val="20"/>
                <w:lang w:val="en-GB"/>
              </w:rPr>
            </w:pPr>
            <w:r w:rsidRPr="00735653">
              <w:rPr>
                <w:b w:val="0"/>
                <w:sz w:val="20"/>
                <w:lang w:val="en-GB"/>
              </w:rPr>
              <w:t>95.86</w:t>
            </w:r>
          </w:p>
        </w:tc>
        <w:tc>
          <w:tcPr>
            <w:tcW w:w="1716" w:type="dxa"/>
            <w:vAlign w:val="bottom"/>
          </w:tcPr>
          <w:p w14:paraId="5E11D6A0" w14:textId="77777777" w:rsidR="00DA1809" w:rsidRPr="00B514BB" w:rsidRDefault="00DA1809" w:rsidP="00BA6A41">
            <w:pPr>
              <w:spacing w:after="0" w:line="240" w:lineRule="auto"/>
              <w:jc w:val="center"/>
              <w:rPr>
                <w:rFonts w:eastAsiaTheme="minorHAnsi"/>
                <w:sz w:val="20"/>
                <w:szCs w:val="20"/>
                <w:lang w:eastAsia="en-US"/>
              </w:rPr>
            </w:pPr>
            <w:r>
              <w:rPr>
                <w:sz w:val="20"/>
                <w:lang w:val="en-GB"/>
              </w:rPr>
              <w:t xml:space="preserve"> 89.55 -102.63</w:t>
            </w:r>
          </w:p>
        </w:tc>
      </w:tr>
      <w:tr w:rsidR="00DA1809" w:rsidRPr="00B514BB" w14:paraId="62E0A547" w14:textId="77777777" w:rsidTr="00BA6A41">
        <w:trPr>
          <w:jc w:val="center"/>
        </w:trPr>
        <w:tc>
          <w:tcPr>
            <w:tcW w:w="1556" w:type="dxa"/>
            <w:vAlign w:val="bottom"/>
          </w:tcPr>
          <w:p w14:paraId="2161D134" w14:textId="77777777" w:rsidR="00DA1809" w:rsidRPr="00B514BB" w:rsidRDefault="00DA1809" w:rsidP="00BA6A41">
            <w:pPr>
              <w:spacing w:after="0" w:line="240" w:lineRule="auto"/>
              <w:rPr>
                <w:rFonts w:eastAsiaTheme="minorHAnsi"/>
                <w:b/>
                <w:sz w:val="20"/>
                <w:szCs w:val="20"/>
                <w:lang w:eastAsia="en-US"/>
              </w:rPr>
            </w:pPr>
            <w:r w:rsidRPr="00B514BB">
              <w:rPr>
                <w:rFonts w:eastAsiaTheme="minorHAnsi"/>
                <w:b/>
                <w:sz w:val="20"/>
                <w:szCs w:val="20"/>
                <w:lang w:eastAsia="en-US"/>
              </w:rPr>
              <w:lastRenderedPageBreak/>
              <w:t>AUC0-∞</w:t>
            </w:r>
          </w:p>
        </w:tc>
        <w:tc>
          <w:tcPr>
            <w:tcW w:w="1655" w:type="dxa"/>
            <w:vAlign w:val="bottom"/>
          </w:tcPr>
          <w:p w14:paraId="40A38657" w14:textId="77777777" w:rsidR="00DA1809" w:rsidRPr="00B514BB" w:rsidRDefault="00DA1809" w:rsidP="00BA6A41">
            <w:pPr>
              <w:spacing w:after="0" w:line="240" w:lineRule="auto"/>
              <w:jc w:val="center"/>
              <w:rPr>
                <w:rFonts w:eastAsiaTheme="minorHAnsi"/>
                <w:sz w:val="20"/>
                <w:szCs w:val="20"/>
                <w:lang w:eastAsia="en-US"/>
              </w:rPr>
            </w:pPr>
            <w:r>
              <w:rPr>
                <w:sz w:val="20"/>
                <w:lang w:val="en-GB"/>
              </w:rPr>
              <w:t xml:space="preserve">74.37 </w:t>
            </w:r>
            <w:r w:rsidRPr="00EF1D01">
              <w:rPr>
                <w:sz w:val="20"/>
                <w:lang w:val="en-GB"/>
              </w:rPr>
              <w:t>±</w:t>
            </w:r>
            <w:r>
              <w:rPr>
                <w:sz w:val="20"/>
                <w:lang w:val="en-GB"/>
              </w:rPr>
              <w:t xml:space="preserve"> 18.37</w:t>
            </w:r>
          </w:p>
        </w:tc>
        <w:tc>
          <w:tcPr>
            <w:tcW w:w="1635" w:type="dxa"/>
            <w:vAlign w:val="bottom"/>
          </w:tcPr>
          <w:p w14:paraId="5C659843" w14:textId="77777777" w:rsidR="00DA1809" w:rsidRPr="00B514BB" w:rsidRDefault="00DA1809" w:rsidP="00BA6A41">
            <w:pPr>
              <w:spacing w:after="0" w:line="240" w:lineRule="auto"/>
              <w:jc w:val="center"/>
              <w:rPr>
                <w:rFonts w:eastAsiaTheme="minorHAnsi"/>
                <w:sz w:val="20"/>
                <w:szCs w:val="20"/>
                <w:lang w:eastAsia="en-US"/>
              </w:rPr>
            </w:pPr>
            <w:r>
              <w:rPr>
                <w:sz w:val="20"/>
                <w:lang w:val="en-GB"/>
              </w:rPr>
              <w:t xml:space="preserve">77.14 </w:t>
            </w:r>
            <w:r w:rsidRPr="00EF1D01">
              <w:rPr>
                <w:sz w:val="20"/>
                <w:lang w:val="en-GB"/>
              </w:rPr>
              <w:t>±</w:t>
            </w:r>
            <w:r>
              <w:rPr>
                <w:sz w:val="20"/>
                <w:lang w:val="en-GB"/>
              </w:rPr>
              <w:t xml:space="preserve"> 17.61</w:t>
            </w:r>
          </w:p>
        </w:tc>
        <w:tc>
          <w:tcPr>
            <w:tcW w:w="1574" w:type="dxa"/>
            <w:vAlign w:val="bottom"/>
          </w:tcPr>
          <w:p w14:paraId="408F2851" w14:textId="77777777" w:rsidR="00DA1809" w:rsidRPr="00B514BB" w:rsidRDefault="00DA1809" w:rsidP="00BA6A41">
            <w:pPr>
              <w:pStyle w:val="Sarkain2"/>
              <w:keepNext/>
              <w:ind w:left="0"/>
              <w:jc w:val="center"/>
              <w:rPr>
                <w:b w:val="0"/>
                <w:sz w:val="20"/>
                <w:lang w:val="en-GB"/>
              </w:rPr>
            </w:pPr>
            <w:r w:rsidRPr="00735653">
              <w:rPr>
                <w:b w:val="0"/>
                <w:sz w:val="20"/>
                <w:lang w:val="en-GB"/>
              </w:rPr>
              <w:t>95.84</w:t>
            </w:r>
          </w:p>
        </w:tc>
        <w:tc>
          <w:tcPr>
            <w:tcW w:w="1716" w:type="dxa"/>
            <w:vAlign w:val="bottom"/>
          </w:tcPr>
          <w:p w14:paraId="4F0A8D6E" w14:textId="77777777" w:rsidR="00DA1809" w:rsidRPr="00B514BB" w:rsidRDefault="00DA1809" w:rsidP="00BA6A41">
            <w:pPr>
              <w:spacing w:after="0" w:line="240" w:lineRule="auto"/>
              <w:jc w:val="center"/>
              <w:rPr>
                <w:rFonts w:eastAsiaTheme="minorHAnsi"/>
                <w:sz w:val="20"/>
                <w:szCs w:val="20"/>
                <w:lang w:eastAsia="en-US"/>
              </w:rPr>
            </w:pPr>
            <w:r>
              <w:rPr>
                <w:sz w:val="20"/>
                <w:lang w:val="en-GB"/>
              </w:rPr>
              <w:t>89.51 – 102.62</w:t>
            </w:r>
          </w:p>
        </w:tc>
      </w:tr>
      <w:tr w:rsidR="00DA1809" w:rsidRPr="00B514BB" w14:paraId="1099B8C1" w14:textId="77777777" w:rsidTr="00BA6A41">
        <w:trPr>
          <w:jc w:val="center"/>
        </w:trPr>
        <w:tc>
          <w:tcPr>
            <w:tcW w:w="1556" w:type="dxa"/>
            <w:vAlign w:val="bottom"/>
          </w:tcPr>
          <w:p w14:paraId="5F317958" w14:textId="77777777" w:rsidR="00DA1809" w:rsidRPr="00B514BB" w:rsidRDefault="00DA1809" w:rsidP="00BA6A41">
            <w:pPr>
              <w:spacing w:after="0" w:line="240" w:lineRule="auto"/>
              <w:rPr>
                <w:rFonts w:eastAsiaTheme="minorHAnsi"/>
                <w:b/>
                <w:sz w:val="20"/>
                <w:szCs w:val="20"/>
                <w:lang w:eastAsia="en-US"/>
              </w:rPr>
            </w:pPr>
            <w:r w:rsidRPr="00B514BB">
              <w:rPr>
                <w:rFonts w:eastAsiaTheme="minorHAnsi"/>
                <w:b/>
                <w:sz w:val="20"/>
                <w:szCs w:val="20"/>
                <w:lang w:eastAsia="en-US"/>
              </w:rPr>
              <w:t>Cmax</w:t>
            </w:r>
          </w:p>
        </w:tc>
        <w:tc>
          <w:tcPr>
            <w:tcW w:w="1655" w:type="dxa"/>
            <w:vAlign w:val="bottom"/>
          </w:tcPr>
          <w:p w14:paraId="08091C09" w14:textId="77777777" w:rsidR="00DA1809" w:rsidRPr="00B514BB" w:rsidRDefault="00DA1809" w:rsidP="00BA6A41">
            <w:pPr>
              <w:spacing w:after="0" w:line="240" w:lineRule="auto"/>
              <w:jc w:val="center"/>
              <w:rPr>
                <w:rFonts w:eastAsiaTheme="minorHAnsi"/>
                <w:sz w:val="20"/>
                <w:szCs w:val="20"/>
                <w:lang w:eastAsia="en-US"/>
              </w:rPr>
            </w:pPr>
            <w:r>
              <w:rPr>
                <w:sz w:val="20"/>
                <w:lang w:val="en-GB"/>
              </w:rPr>
              <w:t xml:space="preserve">21.60 </w:t>
            </w:r>
            <w:r w:rsidRPr="00EF1D01">
              <w:rPr>
                <w:sz w:val="20"/>
                <w:lang w:val="en-GB"/>
              </w:rPr>
              <w:t>±</w:t>
            </w:r>
            <w:r>
              <w:rPr>
                <w:sz w:val="20"/>
                <w:lang w:val="en-GB"/>
              </w:rPr>
              <w:t xml:space="preserve"> 3.90</w:t>
            </w:r>
          </w:p>
        </w:tc>
        <w:tc>
          <w:tcPr>
            <w:tcW w:w="1635" w:type="dxa"/>
            <w:vAlign w:val="bottom"/>
          </w:tcPr>
          <w:p w14:paraId="60852A6F" w14:textId="77777777" w:rsidR="00DA1809" w:rsidRPr="00B514BB" w:rsidRDefault="00DA1809" w:rsidP="00BA6A41">
            <w:pPr>
              <w:spacing w:after="0" w:line="240" w:lineRule="auto"/>
              <w:jc w:val="center"/>
              <w:rPr>
                <w:rFonts w:eastAsiaTheme="minorHAnsi"/>
                <w:sz w:val="20"/>
                <w:szCs w:val="20"/>
                <w:lang w:eastAsia="en-US"/>
              </w:rPr>
            </w:pPr>
            <w:r w:rsidRPr="00480DBA">
              <w:rPr>
                <w:sz w:val="20"/>
                <w:lang w:val="en-GB"/>
              </w:rPr>
              <w:t xml:space="preserve">21.71 </w:t>
            </w:r>
            <w:r w:rsidRPr="00EF1D01">
              <w:rPr>
                <w:sz w:val="20"/>
                <w:lang w:val="en-GB"/>
              </w:rPr>
              <w:t>±</w:t>
            </w:r>
            <w:r>
              <w:rPr>
                <w:sz w:val="20"/>
                <w:lang w:val="en-GB"/>
              </w:rPr>
              <w:t xml:space="preserve"> 4.88</w:t>
            </w:r>
          </w:p>
        </w:tc>
        <w:tc>
          <w:tcPr>
            <w:tcW w:w="1574" w:type="dxa"/>
            <w:vAlign w:val="bottom"/>
          </w:tcPr>
          <w:p w14:paraId="6FB9C1C2" w14:textId="77777777" w:rsidR="00DA1809" w:rsidRPr="00B514BB" w:rsidRDefault="00DA1809" w:rsidP="00BA6A41">
            <w:pPr>
              <w:pStyle w:val="Sarkain2"/>
              <w:keepNext/>
              <w:ind w:left="0"/>
              <w:jc w:val="center"/>
              <w:rPr>
                <w:b w:val="0"/>
                <w:sz w:val="20"/>
                <w:lang w:val="en-GB"/>
              </w:rPr>
            </w:pPr>
            <w:r w:rsidRPr="00735653">
              <w:rPr>
                <w:b w:val="0"/>
                <w:sz w:val="20"/>
                <w:lang w:val="en-GB"/>
              </w:rPr>
              <w:t>100.45</w:t>
            </w:r>
          </w:p>
        </w:tc>
        <w:tc>
          <w:tcPr>
            <w:tcW w:w="1716" w:type="dxa"/>
            <w:vAlign w:val="bottom"/>
          </w:tcPr>
          <w:p w14:paraId="444B1CB9" w14:textId="77777777" w:rsidR="00DA1809" w:rsidRPr="00B514BB" w:rsidRDefault="00DA1809" w:rsidP="00BA6A41">
            <w:pPr>
              <w:spacing w:after="0" w:line="240" w:lineRule="auto"/>
              <w:jc w:val="center"/>
              <w:rPr>
                <w:rFonts w:eastAsiaTheme="minorHAnsi"/>
                <w:sz w:val="20"/>
                <w:szCs w:val="20"/>
                <w:lang w:eastAsia="en-US"/>
              </w:rPr>
            </w:pPr>
            <w:r>
              <w:rPr>
                <w:sz w:val="20"/>
                <w:lang w:val="en-GB"/>
              </w:rPr>
              <w:t>94.97 – 106.25</w:t>
            </w:r>
          </w:p>
        </w:tc>
      </w:tr>
      <w:tr w:rsidR="00DA1809" w:rsidRPr="00B514BB" w14:paraId="47A5BE3B" w14:textId="77777777" w:rsidTr="00BA6A41">
        <w:trPr>
          <w:trHeight w:val="185"/>
          <w:jc w:val="center"/>
        </w:trPr>
        <w:tc>
          <w:tcPr>
            <w:tcW w:w="1556" w:type="dxa"/>
            <w:vAlign w:val="bottom"/>
          </w:tcPr>
          <w:p w14:paraId="74518BE4" w14:textId="77777777" w:rsidR="00DA1809" w:rsidRPr="00B514BB" w:rsidRDefault="00DA1809" w:rsidP="00BA6A41">
            <w:pPr>
              <w:spacing w:after="0" w:line="240" w:lineRule="auto"/>
              <w:rPr>
                <w:rFonts w:eastAsiaTheme="minorHAnsi"/>
                <w:b/>
                <w:sz w:val="20"/>
                <w:szCs w:val="20"/>
                <w:lang w:eastAsia="en-US"/>
              </w:rPr>
            </w:pPr>
            <w:r>
              <w:rPr>
                <w:rFonts w:eastAsiaTheme="minorHAnsi"/>
                <w:b/>
                <w:sz w:val="20"/>
                <w:szCs w:val="20"/>
                <w:lang w:eastAsia="en-US"/>
              </w:rPr>
              <w:t>Tmax</w:t>
            </w:r>
          </w:p>
        </w:tc>
        <w:tc>
          <w:tcPr>
            <w:tcW w:w="1655" w:type="dxa"/>
            <w:vAlign w:val="bottom"/>
          </w:tcPr>
          <w:p w14:paraId="7770AA7A" w14:textId="77777777" w:rsidR="00DA1809" w:rsidRPr="00D31B9F" w:rsidRDefault="00DA1809" w:rsidP="00BA6A41">
            <w:pPr>
              <w:keepNext/>
              <w:spacing w:after="0" w:line="240" w:lineRule="auto"/>
              <w:jc w:val="center"/>
              <w:rPr>
                <w:rFonts w:ascii="Times New Roman" w:eastAsia="Times New Roman" w:hAnsi="Times New Roman" w:cs="Times New Roman"/>
                <w:sz w:val="20"/>
                <w:szCs w:val="20"/>
                <w:lang w:val="en-GB" w:eastAsia="fi-FI"/>
              </w:rPr>
            </w:pPr>
            <w:r w:rsidRPr="00D31B9F">
              <w:rPr>
                <w:rFonts w:ascii="Times New Roman" w:eastAsia="Times New Roman" w:hAnsi="Times New Roman" w:cs="Times New Roman"/>
                <w:sz w:val="20"/>
                <w:szCs w:val="20"/>
                <w:lang w:val="en-GB" w:eastAsia="fi-FI"/>
              </w:rPr>
              <w:t>1.50</w:t>
            </w:r>
          </w:p>
          <w:p w14:paraId="384905E1" w14:textId="77777777" w:rsidR="00DA1809" w:rsidRDefault="00DA1809" w:rsidP="00BA6A41">
            <w:pPr>
              <w:spacing w:after="0" w:line="240" w:lineRule="auto"/>
              <w:jc w:val="center"/>
              <w:rPr>
                <w:sz w:val="20"/>
                <w:lang w:val="en-GB"/>
              </w:rPr>
            </w:pPr>
            <w:r w:rsidRPr="00D31B9F">
              <w:rPr>
                <w:rFonts w:eastAsiaTheme="minorHAnsi"/>
                <w:sz w:val="20"/>
                <w:lang w:val="en-GB" w:eastAsia="en-US"/>
              </w:rPr>
              <w:t>(0.5 – 5.00)</w:t>
            </w:r>
          </w:p>
        </w:tc>
        <w:tc>
          <w:tcPr>
            <w:tcW w:w="1635" w:type="dxa"/>
            <w:vAlign w:val="bottom"/>
          </w:tcPr>
          <w:p w14:paraId="64735071" w14:textId="77777777" w:rsidR="00DA1809" w:rsidRPr="00D31B9F" w:rsidRDefault="00DA1809" w:rsidP="00BA6A41">
            <w:pPr>
              <w:keepNext/>
              <w:spacing w:after="0" w:line="240" w:lineRule="auto"/>
              <w:jc w:val="center"/>
              <w:rPr>
                <w:rFonts w:ascii="Times New Roman" w:eastAsia="Times New Roman" w:hAnsi="Times New Roman" w:cs="Times New Roman"/>
                <w:sz w:val="20"/>
                <w:szCs w:val="20"/>
                <w:lang w:val="en-GB" w:eastAsia="fi-FI"/>
              </w:rPr>
            </w:pPr>
            <w:r w:rsidRPr="00D31B9F">
              <w:rPr>
                <w:rFonts w:ascii="Times New Roman" w:eastAsia="Times New Roman" w:hAnsi="Times New Roman" w:cs="Times New Roman"/>
                <w:sz w:val="20"/>
                <w:szCs w:val="20"/>
                <w:lang w:val="en-GB" w:eastAsia="fi-FI"/>
              </w:rPr>
              <w:t>1.63</w:t>
            </w:r>
          </w:p>
          <w:p w14:paraId="36E1F8BC" w14:textId="77777777" w:rsidR="00DA1809" w:rsidRPr="00480DBA" w:rsidRDefault="00DA1809" w:rsidP="00BA6A41">
            <w:pPr>
              <w:spacing w:after="0" w:line="240" w:lineRule="auto"/>
              <w:jc w:val="center"/>
              <w:rPr>
                <w:sz w:val="20"/>
                <w:lang w:val="en-GB"/>
              </w:rPr>
            </w:pPr>
            <w:r w:rsidRPr="00D31B9F">
              <w:rPr>
                <w:rFonts w:eastAsiaTheme="minorHAnsi"/>
                <w:sz w:val="20"/>
                <w:lang w:val="en-GB" w:eastAsia="en-US"/>
              </w:rPr>
              <w:t>(0.5 – 3.5)</w:t>
            </w:r>
          </w:p>
        </w:tc>
        <w:tc>
          <w:tcPr>
            <w:tcW w:w="1574" w:type="dxa"/>
            <w:vAlign w:val="bottom"/>
          </w:tcPr>
          <w:p w14:paraId="16101D8A" w14:textId="77777777" w:rsidR="00DA1809" w:rsidRPr="00735653" w:rsidRDefault="00DA1809" w:rsidP="00BA6A41">
            <w:pPr>
              <w:pStyle w:val="Sarkain2"/>
              <w:keepNext/>
              <w:ind w:left="0"/>
              <w:jc w:val="center"/>
              <w:rPr>
                <w:b w:val="0"/>
                <w:sz w:val="20"/>
                <w:lang w:val="en-GB"/>
              </w:rPr>
            </w:pPr>
            <w:r>
              <w:rPr>
                <w:b w:val="0"/>
                <w:sz w:val="20"/>
                <w:lang w:val="en-GB"/>
              </w:rPr>
              <w:t>-</w:t>
            </w:r>
          </w:p>
        </w:tc>
        <w:tc>
          <w:tcPr>
            <w:tcW w:w="1716" w:type="dxa"/>
            <w:vAlign w:val="bottom"/>
          </w:tcPr>
          <w:p w14:paraId="0349F76D" w14:textId="77777777" w:rsidR="00DA1809" w:rsidRDefault="00DA1809" w:rsidP="00BA6A41">
            <w:pPr>
              <w:spacing w:after="0" w:line="240" w:lineRule="auto"/>
              <w:jc w:val="center"/>
              <w:rPr>
                <w:sz w:val="20"/>
                <w:lang w:val="en-GB"/>
              </w:rPr>
            </w:pPr>
            <w:r>
              <w:rPr>
                <w:sz w:val="20"/>
                <w:lang w:val="en-GB"/>
              </w:rPr>
              <w:t>-</w:t>
            </w:r>
          </w:p>
        </w:tc>
      </w:tr>
    </w:tbl>
    <w:p w14:paraId="3C7FA8AA" w14:textId="77777777" w:rsidR="00DA1809" w:rsidRPr="00B514BB" w:rsidRDefault="00DA1809" w:rsidP="00DA1809">
      <w:pPr>
        <w:spacing w:after="0" w:line="240" w:lineRule="auto"/>
        <w:rPr>
          <w:rFonts w:eastAsiaTheme="minorHAnsi" w:cs="Arial"/>
          <w:i/>
          <w:lang w:eastAsia="en-US"/>
        </w:rPr>
      </w:pPr>
    </w:p>
    <w:p w14:paraId="08765A54" w14:textId="77777777" w:rsidR="00DA1809" w:rsidRPr="00B514BB" w:rsidRDefault="00DA1809" w:rsidP="00DA1809">
      <w:pPr>
        <w:spacing w:after="0" w:line="240" w:lineRule="auto"/>
        <w:rPr>
          <w:rFonts w:eastAsiaTheme="minorHAnsi" w:cs="Arial"/>
          <w:i/>
          <w:lang w:eastAsia="en-US"/>
        </w:rPr>
      </w:pPr>
    </w:p>
    <w:p w14:paraId="3F73F074" w14:textId="77777777" w:rsidR="00DA1809" w:rsidRPr="00B514BB" w:rsidRDefault="00DA1809" w:rsidP="00DA1809">
      <w:pPr>
        <w:spacing w:after="0" w:line="240" w:lineRule="auto"/>
        <w:rPr>
          <w:rFonts w:eastAsiaTheme="minorHAnsi" w:cs="Arial"/>
          <w:i/>
          <w:lang w:eastAsia="en-US"/>
        </w:rPr>
      </w:pPr>
    </w:p>
    <w:tbl>
      <w:tblPr>
        <w:tblW w:w="4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firstRow="0" w:lastRow="0" w:firstColumn="0" w:lastColumn="0" w:noHBand="0" w:noVBand="0"/>
      </w:tblPr>
      <w:tblGrid>
        <w:gridCol w:w="1519"/>
        <w:gridCol w:w="1615"/>
        <w:gridCol w:w="1596"/>
        <w:gridCol w:w="1537"/>
        <w:gridCol w:w="1675"/>
      </w:tblGrid>
      <w:tr w:rsidR="00DA1809" w:rsidRPr="00B514BB" w14:paraId="4EC15856" w14:textId="77777777" w:rsidTr="00BA6A41">
        <w:trPr>
          <w:jc w:val="center"/>
        </w:trPr>
        <w:tc>
          <w:tcPr>
            <w:tcW w:w="8136" w:type="dxa"/>
            <w:gridSpan w:val="5"/>
            <w:shd w:val="clear" w:color="auto" w:fill="auto"/>
            <w:vAlign w:val="bottom"/>
          </w:tcPr>
          <w:p w14:paraId="5DDC64DC" w14:textId="77777777" w:rsidR="00DA1809" w:rsidRDefault="00DA1809" w:rsidP="00BA6A41">
            <w:pPr>
              <w:spacing w:after="0" w:line="240" w:lineRule="auto"/>
              <w:jc w:val="center"/>
              <w:rPr>
                <w:rFonts w:eastAsiaTheme="minorHAnsi"/>
                <w:b/>
                <w:bCs/>
                <w:sz w:val="20"/>
                <w:szCs w:val="20"/>
                <w:lang w:eastAsia="en-US"/>
              </w:rPr>
            </w:pPr>
            <w:r>
              <w:rPr>
                <w:rFonts w:eastAsiaTheme="minorHAnsi"/>
                <w:b/>
                <w:bCs/>
                <w:sz w:val="20"/>
                <w:szCs w:val="20"/>
                <w:lang w:eastAsia="en-US"/>
              </w:rPr>
              <w:t>S Ibuprofene</w:t>
            </w:r>
          </w:p>
          <w:p w14:paraId="6B163A24" w14:textId="77777777" w:rsidR="00DA1809" w:rsidRPr="00B514BB" w:rsidRDefault="00DA1809" w:rsidP="00BA6A41">
            <w:pPr>
              <w:spacing w:after="0" w:line="240" w:lineRule="auto"/>
              <w:jc w:val="center"/>
              <w:rPr>
                <w:rFonts w:eastAsiaTheme="minorHAnsi"/>
                <w:b/>
                <w:bCs/>
                <w:sz w:val="20"/>
                <w:szCs w:val="20"/>
                <w:lang w:eastAsia="en-US"/>
              </w:rPr>
            </w:pPr>
            <w:r>
              <w:rPr>
                <w:rFonts w:eastAsiaTheme="minorHAnsi"/>
                <w:b/>
                <w:bCs/>
                <w:sz w:val="20"/>
                <w:szCs w:val="20"/>
                <w:lang w:eastAsia="en-US"/>
              </w:rPr>
              <w:t xml:space="preserve">Dose (1 </w:t>
            </w:r>
            <w:r w:rsidRPr="00333936">
              <w:rPr>
                <w:b/>
                <w:bCs/>
                <w:sz w:val="20"/>
                <w:szCs w:val="20"/>
              </w:rPr>
              <w:t>x</w:t>
            </w:r>
            <w:r>
              <w:rPr>
                <w:rFonts w:eastAsiaTheme="minorHAnsi"/>
                <w:b/>
                <w:bCs/>
                <w:sz w:val="20"/>
                <w:szCs w:val="20"/>
                <w:lang w:eastAsia="en-US"/>
              </w:rPr>
              <w:t xml:space="preserve"> 600 mg compresse rivestite con film)</w:t>
            </w:r>
          </w:p>
        </w:tc>
      </w:tr>
      <w:tr w:rsidR="00DA1809" w:rsidRPr="00B514BB" w14:paraId="54A31E30" w14:textId="77777777" w:rsidTr="00BA6A41">
        <w:trPr>
          <w:jc w:val="center"/>
        </w:trPr>
        <w:tc>
          <w:tcPr>
            <w:tcW w:w="1556" w:type="dxa"/>
            <w:vAlign w:val="bottom"/>
          </w:tcPr>
          <w:p w14:paraId="6A66AC63" w14:textId="77777777" w:rsidR="00DA1809" w:rsidRPr="00B514BB" w:rsidRDefault="00DA1809" w:rsidP="00BA6A41">
            <w:pPr>
              <w:spacing w:after="0" w:line="240" w:lineRule="auto"/>
              <w:jc w:val="center"/>
              <w:rPr>
                <w:rFonts w:eastAsiaTheme="minorHAnsi"/>
                <w:b/>
                <w:sz w:val="20"/>
                <w:szCs w:val="20"/>
                <w:lang w:eastAsia="en-US"/>
              </w:rPr>
            </w:pPr>
            <w:r w:rsidRPr="00B514BB">
              <w:rPr>
                <w:rFonts w:eastAsiaTheme="minorHAnsi"/>
                <w:b/>
                <w:sz w:val="20"/>
                <w:szCs w:val="20"/>
                <w:lang w:eastAsia="en-US"/>
              </w:rPr>
              <w:t>Parametro</w:t>
            </w:r>
          </w:p>
        </w:tc>
        <w:tc>
          <w:tcPr>
            <w:tcW w:w="1655" w:type="dxa"/>
            <w:vAlign w:val="bottom"/>
          </w:tcPr>
          <w:p w14:paraId="7FF0474D" w14:textId="77777777" w:rsidR="00DA1809" w:rsidRPr="00B514BB" w:rsidRDefault="00DA1809" w:rsidP="00BA6A41">
            <w:pPr>
              <w:spacing w:after="0" w:line="240" w:lineRule="auto"/>
              <w:jc w:val="center"/>
              <w:rPr>
                <w:rFonts w:eastAsiaTheme="minorHAnsi"/>
                <w:b/>
                <w:sz w:val="20"/>
                <w:szCs w:val="20"/>
                <w:lang w:eastAsia="en-US"/>
              </w:rPr>
            </w:pPr>
            <w:r w:rsidRPr="00B514BB">
              <w:rPr>
                <w:rFonts w:eastAsiaTheme="minorHAnsi"/>
                <w:b/>
                <w:sz w:val="20"/>
                <w:szCs w:val="20"/>
                <w:lang w:eastAsia="en-US"/>
              </w:rPr>
              <w:t>Test</w:t>
            </w:r>
          </w:p>
        </w:tc>
        <w:tc>
          <w:tcPr>
            <w:tcW w:w="1635" w:type="dxa"/>
            <w:vAlign w:val="bottom"/>
          </w:tcPr>
          <w:p w14:paraId="3FEC400C" w14:textId="77777777" w:rsidR="00DA1809" w:rsidRPr="00B514BB" w:rsidRDefault="00DA1809" w:rsidP="00BA6A41">
            <w:pPr>
              <w:spacing w:after="0" w:line="240" w:lineRule="auto"/>
              <w:jc w:val="center"/>
              <w:rPr>
                <w:rFonts w:eastAsiaTheme="minorHAnsi"/>
                <w:b/>
                <w:sz w:val="20"/>
                <w:szCs w:val="20"/>
                <w:lang w:eastAsia="en-US"/>
              </w:rPr>
            </w:pPr>
            <w:r w:rsidRPr="00B514BB">
              <w:rPr>
                <w:rFonts w:eastAsiaTheme="minorHAnsi"/>
                <w:b/>
                <w:sz w:val="20"/>
                <w:szCs w:val="20"/>
                <w:lang w:eastAsia="en-US"/>
              </w:rPr>
              <w:t>Reference</w:t>
            </w:r>
          </w:p>
        </w:tc>
        <w:tc>
          <w:tcPr>
            <w:tcW w:w="1574" w:type="dxa"/>
            <w:vAlign w:val="bottom"/>
          </w:tcPr>
          <w:p w14:paraId="6561D590" w14:textId="77777777" w:rsidR="00DA1809" w:rsidRPr="00B514BB" w:rsidRDefault="00DA1809" w:rsidP="00BA6A41">
            <w:pPr>
              <w:spacing w:after="0" w:line="240" w:lineRule="auto"/>
              <w:jc w:val="center"/>
              <w:rPr>
                <w:rFonts w:eastAsiaTheme="minorHAnsi"/>
                <w:b/>
                <w:sz w:val="20"/>
                <w:szCs w:val="20"/>
                <w:lang w:eastAsia="en-US"/>
              </w:rPr>
            </w:pPr>
            <w:r w:rsidRPr="00B514BB">
              <w:rPr>
                <w:rFonts w:eastAsiaTheme="minorHAnsi"/>
                <w:b/>
                <w:sz w:val="20"/>
                <w:szCs w:val="20"/>
                <w:lang w:eastAsia="en-US"/>
              </w:rPr>
              <w:t>T/R Ratio</w:t>
            </w:r>
          </w:p>
        </w:tc>
        <w:tc>
          <w:tcPr>
            <w:tcW w:w="1716" w:type="dxa"/>
            <w:vAlign w:val="bottom"/>
          </w:tcPr>
          <w:p w14:paraId="754AE0E8" w14:textId="77777777" w:rsidR="00DA1809" w:rsidRPr="00B514BB" w:rsidRDefault="00DA1809" w:rsidP="00BA6A41">
            <w:pPr>
              <w:spacing w:after="0" w:line="240" w:lineRule="auto"/>
              <w:jc w:val="center"/>
              <w:rPr>
                <w:rFonts w:eastAsiaTheme="minorHAnsi"/>
                <w:b/>
                <w:sz w:val="20"/>
                <w:szCs w:val="20"/>
                <w:lang w:eastAsia="en-US"/>
              </w:rPr>
            </w:pPr>
            <w:r w:rsidRPr="00B514BB">
              <w:rPr>
                <w:rFonts w:eastAsiaTheme="minorHAnsi"/>
                <w:b/>
                <w:sz w:val="20"/>
                <w:szCs w:val="20"/>
                <w:lang w:eastAsia="en-US"/>
              </w:rPr>
              <w:t>90% C.I.</w:t>
            </w:r>
          </w:p>
        </w:tc>
      </w:tr>
      <w:tr w:rsidR="00DA1809" w:rsidRPr="00B514BB" w14:paraId="27698E4A" w14:textId="77777777" w:rsidTr="00BA6A41">
        <w:trPr>
          <w:jc w:val="center"/>
        </w:trPr>
        <w:tc>
          <w:tcPr>
            <w:tcW w:w="1556" w:type="dxa"/>
            <w:vAlign w:val="bottom"/>
          </w:tcPr>
          <w:p w14:paraId="10CA05A9" w14:textId="77777777" w:rsidR="00DA1809" w:rsidRPr="00B514BB" w:rsidRDefault="00DA1809" w:rsidP="00BA6A41">
            <w:pPr>
              <w:spacing w:after="0" w:line="240" w:lineRule="auto"/>
              <w:rPr>
                <w:rFonts w:eastAsiaTheme="minorHAnsi"/>
                <w:b/>
                <w:sz w:val="20"/>
                <w:szCs w:val="20"/>
                <w:lang w:eastAsia="en-US"/>
              </w:rPr>
            </w:pPr>
            <w:r w:rsidRPr="00B514BB">
              <w:rPr>
                <w:rFonts w:eastAsiaTheme="minorHAnsi"/>
                <w:b/>
                <w:sz w:val="20"/>
                <w:szCs w:val="20"/>
                <w:lang w:eastAsia="en-US"/>
              </w:rPr>
              <w:t>AUC0-t</w:t>
            </w:r>
          </w:p>
        </w:tc>
        <w:tc>
          <w:tcPr>
            <w:tcW w:w="1655" w:type="dxa"/>
            <w:vAlign w:val="bottom"/>
          </w:tcPr>
          <w:p w14:paraId="3147DF4A" w14:textId="77777777" w:rsidR="00DA1809" w:rsidRPr="00B514BB" w:rsidRDefault="00DA1809" w:rsidP="00BA6A41">
            <w:pPr>
              <w:spacing w:after="0" w:line="240" w:lineRule="auto"/>
              <w:jc w:val="center"/>
              <w:rPr>
                <w:rFonts w:eastAsiaTheme="minorHAnsi"/>
                <w:sz w:val="20"/>
                <w:szCs w:val="20"/>
                <w:lang w:eastAsia="en-US"/>
              </w:rPr>
            </w:pPr>
            <w:r w:rsidRPr="001202FB">
              <w:rPr>
                <w:sz w:val="20"/>
                <w:lang w:val="en-GB"/>
              </w:rPr>
              <w:t xml:space="preserve">82.10 ± </w:t>
            </w:r>
            <w:r>
              <w:rPr>
                <w:sz w:val="20"/>
                <w:lang w:val="en-GB"/>
              </w:rPr>
              <w:t>18.63</w:t>
            </w:r>
          </w:p>
        </w:tc>
        <w:tc>
          <w:tcPr>
            <w:tcW w:w="1635" w:type="dxa"/>
            <w:vAlign w:val="bottom"/>
          </w:tcPr>
          <w:p w14:paraId="2D4DEAE2" w14:textId="77777777" w:rsidR="00DA1809" w:rsidRPr="00B514BB" w:rsidRDefault="00DA1809" w:rsidP="00BA6A41">
            <w:pPr>
              <w:spacing w:after="0" w:line="240" w:lineRule="auto"/>
              <w:jc w:val="center"/>
              <w:rPr>
                <w:rFonts w:eastAsiaTheme="minorHAnsi"/>
                <w:sz w:val="20"/>
                <w:szCs w:val="20"/>
                <w:lang w:eastAsia="en-US"/>
              </w:rPr>
            </w:pPr>
            <w:r w:rsidRPr="001202FB">
              <w:rPr>
                <w:sz w:val="20"/>
                <w:lang w:val="en-GB"/>
              </w:rPr>
              <w:t>80.50</w:t>
            </w:r>
            <w:r>
              <w:rPr>
                <w:sz w:val="20"/>
                <w:lang w:val="en-GB"/>
              </w:rPr>
              <w:t xml:space="preserve"> </w:t>
            </w:r>
            <w:r w:rsidRPr="001202FB">
              <w:rPr>
                <w:sz w:val="20"/>
                <w:lang w:val="en-GB"/>
              </w:rPr>
              <w:t>±</w:t>
            </w:r>
            <w:r>
              <w:rPr>
                <w:sz w:val="20"/>
                <w:lang w:val="en-GB"/>
              </w:rPr>
              <w:t xml:space="preserve"> 17.39</w:t>
            </w:r>
          </w:p>
        </w:tc>
        <w:tc>
          <w:tcPr>
            <w:tcW w:w="1574" w:type="dxa"/>
            <w:vAlign w:val="bottom"/>
          </w:tcPr>
          <w:p w14:paraId="2138A124" w14:textId="77777777" w:rsidR="00DA1809" w:rsidRPr="00B514BB" w:rsidRDefault="00DA1809" w:rsidP="00BA6A41">
            <w:pPr>
              <w:pStyle w:val="Sarkain2"/>
              <w:keepNext/>
              <w:ind w:left="0"/>
              <w:jc w:val="center"/>
              <w:rPr>
                <w:b w:val="0"/>
                <w:sz w:val="20"/>
                <w:lang w:val="en-GB"/>
              </w:rPr>
            </w:pPr>
            <w:r w:rsidRPr="00735653">
              <w:rPr>
                <w:b w:val="0"/>
                <w:sz w:val="20"/>
                <w:lang w:val="en-GB"/>
              </w:rPr>
              <w:t>101.79</w:t>
            </w:r>
          </w:p>
        </w:tc>
        <w:tc>
          <w:tcPr>
            <w:tcW w:w="1716" w:type="dxa"/>
            <w:vAlign w:val="bottom"/>
          </w:tcPr>
          <w:p w14:paraId="148AAF08" w14:textId="77777777" w:rsidR="00DA1809" w:rsidRPr="00B514BB" w:rsidRDefault="00DA1809" w:rsidP="00BA6A41">
            <w:pPr>
              <w:spacing w:after="0" w:line="240" w:lineRule="auto"/>
              <w:jc w:val="center"/>
              <w:rPr>
                <w:rFonts w:eastAsiaTheme="minorHAnsi"/>
                <w:sz w:val="20"/>
                <w:szCs w:val="20"/>
                <w:lang w:eastAsia="en-US"/>
              </w:rPr>
            </w:pPr>
            <w:r>
              <w:rPr>
                <w:sz w:val="20"/>
                <w:lang w:val="en-GB"/>
              </w:rPr>
              <w:t xml:space="preserve"> 98.11 -105.60</w:t>
            </w:r>
          </w:p>
        </w:tc>
      </w:tr>
      <w:tr w:rsidR="00DA1809" w:rsidRPr="00B514BB" w14:paraId="0346EDEA" w14:textId="77777777" w:rsidTr="00BA6A41">
        <w:trPr>
          <w:jc w:val="center"/>
        </w:trPr>
        <w:tc>
          <w:tcPr>
            <w:tcW w:w="1556" w:type="dxa"/>
            <w:vAlign w:val="bottom"/>
          </w:tcPr>
          <w:p w14:paraId="17847232" w14:textId="77777777" w:rsidR="00DA1809" w:rsidRPr="00B514BB" w:rsidRDefault="00DA1809" w:rsidP="00BA6A41">
            <w:pPr>
              <w:spacing w:after="0" w:line="240" w:lineRule="auto"/>
              <w:rPr>
                <w:rFonts w:eastAsiaTheme="minorHAnsi"/>
                <w:b/>
                <w:sz w:val="20"/>
                <w:szCs w:val="20"/>
                <w:lang w:eastAsia="en-US"/>
              </w:rPr>
            </w:pPr>
            <w:r w:rsidRPr="00B514BB">
              <w:rPr>
                <w:rFonts w:eastAsiaTheme="minorHAnsi"/>
                <w:b/>
                <w:sz w:val="20"/>
                <w:szCs w:val="20"/>
                <w:lang w:eastAsia="en-US"/>
              </w:rPr>
              <w:t>AUC0-∞</w:t>
            </w:r>
          </w:p>
        </w:tc>
        <w:tc>
          <w:tcPr>
            <w:tcW w:w="1655" w:type="dxa"/>
            <w:vAlign w:val="bottom"/>
          </w:tcPr>
          <w:p w14:paraId="4F1D9C50" w14:textId="77777777" w:rsidR="00DA1809" w:rsidRPr="00B514BB" w:rsidRDefault="00DA1809" w:rsidP="00BA6A41">
            <w:pPr>
              <w:spacing w:after="0" w:line="240" w:lineRule="auto"/>
              <w:jc w:val="center"/>
              <w:rPr>
                <w:rFonts w:eastAsiaTheme="minorHAnsi"/>
                <w:sz w:val="20"/>
                <w:szCs w:val="20"/>
                <w:lang w:eastAsia="en-US"/>
              </w:rPr>
            </w:pPr>
            <w:r>
              <w:rPr>
                <w:sz w:val="20"/>
                <w:lang w:val="en-GB"/>
              </w:rPr>
              <w:t xml:space="preserve">85.64 </w:t>
            </w:r>
            <w:r w:rsidRPr="001202FB">
              <w:rPr>
                <w:sz w:val="20"/>
                <w:lang w:val="en-GB"/>
              </w:rPr>
              <w:t>± 21.03</w:t>
            </w:r>
          </w:p>
        </w:tc>
        <w:tc>
          <w:tcPr>
            <w:tcW w:w="1635" w:type="dxa"/>
            <w:vAlign w:val="bottom"/>
          </w:tcPr>
          <w:p w14:paraId="3E029316" w14:textId="77777777" w:rsidR="00DA1809" w:rsidRPr="00B514BB" w:rsidRDefault="00DA1809" w:rsidP="00BA6A41">
            <w:pPr>
              <w:spacing w:after="0" w:line="240" w:lineRule="auto"/>
              <w:jc w:val="center"/>
              <w:rPr>
                <w:rFonts w:eastAsiaTheme="minorHAnsi"/>
                <w:sz w:val="20"/>
                <w:szCs w:val="20"/>
                <w:lang w:eastAsia="en-US"/>
              </w:rPr>
            </w:pPr>
            <w:r w:rsidRPr="001202FB">
              <w:rPr>
                <w:sz w:val="20"/>
                <w:lang w:val="en-GB"/>
              </w:rPr>
              <w:t>84.33</w:t>
            </w:r>
            <w:r>
              <w:rPr>
                <w:sz w:val="20"/>
                <w:lang w:val="en-GB"/>
              </w:rPr>
              <w:t xml:space="preserve"> </w:t>
            </w:r>
            <w:r w:rsidRPr="001202FB">
              <w:rPr>
                <w:sz w:val="20"/>
                <w:lang w:val="en-GB"/>
              </w:rPr>
              <w:t>±</w:t>
            </w:r>
            <w:r>
              <w:rPr>
                <w:sz w:val="20"/>
                <w:lang w:val="en-GB"/>
              </w:rPr>
              <w:t xml:space="preserve"> 19.94</w:t>
            </w:r>
          </w:p>
        </w:tc>
        <w:tc>
          <w:tcPr>
            <w:tcW w:w="1574" w:type="dxa"/>
            <w:vAlign w:val="bottom"/>
          </w:tcPr>
          <w:p w14:paraId="03D18DA9" w14:textId="77777777" w:rsidR="00DA1809" w:rsidRPr="00B514BB" w:rsidRDefault="00DA1809" w:rsidP="00BA6A41">
            <w:pPr>
              <w:pStyle w:val="Sarkain2"/>
              <w:keepNext/>
              <w:ind w:left="0"/>
              <w:jc w:val="center"/>
              <w:rPr>
                <w:b w:val="0"/>
                <w:sz w:val="20"/>
                <w:lang w:val="en-GB"/>
              </w:rPr>
            </w:pPr>
            <w:r w:rsidRPr="00735653">
              <w:rPr>
                <w:b w:val="0"/>
                <w:sz w:val="20"/>
                <w:lang w:val="en-GB"/>
              </w:rPr>
              <w:t>101.34</w:t>
            </w:r>
          </w:p>
        </w:tc>
        <w:tc>
          <w:tcPr>
            <w:tcW w:w="1716" w:type="dxa"/>
            <w:vAlign w:val="bottom"/>
          </w:tcPr>
          <w:p w14:paraId="193437A1" w14:textId="77777777" w:rsidR="00DA1809" w:rsidRPr="00B514BB" w:rsidRDefault="00DA1809" w:rsidP="00BA6A41">
            <w:pPr>
              <w:spacing w:after="0" w:line="240" w:lineRule="auto"/>
              <w:jc w:val="center"/>
              <w:rPr>
                <w:rFonts w:eastAsiaTheme="minorHAnsi"/>
                <w:sz w:val="20"/>
                <w:szCs w:val="20"/>
                <w:lang w:eastAsia="en-US"/>
              </w:rPr>
            </w:pPr>
            <w:r>
              <w:rPr>
                <w:sz w:val="20"/>
                <w:lang w:val="en-GB"/>
              </w:rPr>
              <w:t>97.51 -105.32</w:t>
            </w:r>
          </w:p>
        </w:tc>
      </w:tr>
      <w:tr w:rsidR="00DA1809" w:rsidRPr="00B514BB" w14:paraId="65371C68" w14:textId="77777777" w:rsidTr="00BA6A41">
        <w:trPr>
          <w:jc w:val="center"/>
        </w:trPr>
        <w:tc>
          <w:tcPr>
            <w:tcW w:w="1556" w:type="dxa"/>
            <w:vAlign w:val="bottom"/>
          </w:tcPr>
          <w:p w14:paraId="5321D5FD" w14:textId="77777777" w:rsidR="00DA1809" w:rsidRPr="00B514BB" w:rsidRDefault="00DA1809" w:rsidP="00BA6A41">
            <w:pPr>
              <w:spacing w:after="0" w:line="240" w:lineRule="auto"/>
              <w:rPr>
                <w:rFonts w:eastAsiaTheme="minorHAnsi"/>
                <w:b/>
                <w:sz w:val="20"/>
                <w:szCs w:val="20"/>
                <w:lang w:eastAsia="en-US"/>
              </w:rPr>
            </w:pPr>
            <w:r w:rsidRPr="00B514BB">
              <w:rPr>
                <w:rFonts w:eastAsiaTheme="minorHAnsi"/>
                <w:b/>
                <w:sz w:val="20"/>
                <w:szCs w:val="20"/>
                <w:lang w:eastAsia="en-US"/>
              </w:rPr>
              <w:t>Cmax</w:t>
            </w:r>
          </w:p>
        </w:tc>
        <w:tc>
          <w:tcPr>
            <w:tcW w:w="1655" w:type="dxa"/>
            <w:vAlign w:val="bottom"/>
          </w:tcPr>
          <w:p w14:paraId="541B3CA7" w14:textId="77777777" w:rsidR="00DA1809" w:rsidRPr="00B514BB" w:rsidRDefault="00DA1809" w:rsidP="00BA6A41">
            <w:pPr>
              <w:spacing w:after="0" w:line="240" w:lineRule="auto"/>
              <w:jc w:val="center"/>
              <w:rPr>
                <w:rFonts w:eastAsiaTheme="minorHAnsi"/>
                <w:sz w:val="20"/>
                <w:szCs w:val="20"/>
                <w:lang w:eastAsia="en-US"/>
              </w:rPr>
            </w:pPr>
            <w:r>
              <w:rPr>
                <w:sz w:val="20"/>
                <w:lang w:val="en-GB"/>
              </w:rPr>
              <w:t>21.25</w:t>
            </w:r>
            <w:r w:rsidRPr="001202FB">
              <w:rPr>
                <w:sz w:val="20"/>
                <w:lang w:val="en-GB"/>
              </w:rPr>
              <w:t xml:space="preserve"> ±</w:t>
            </w:r>
            <w:r>
              <w:rPr>
                <w:sz w:val="20"/>
                <w:lang w:val="en-GB"/>
              </w:rPr>
              <w:t xml:space="preserve"> 4.18</w:t>
            </w:r>
          </w:p>
        </w:tc>
        <w:tc>
          <w:tcPr>
            <w:tcW w:w="1635" w:type="dxa"/>
            <w:vAlign w:val="bottom"/>
          </w:tcPr>
          <w:p w14:paraId="33F2B92C" w14:textId="77777777" w:rsidR="00DA1809" w:rsidRPr="00B514BB" w:rsidRDefault="00DA1809" w:rsidP="00BA6A41">
            <w:pPr>
              <w:spacing w:after="0" w:line="240" w:lineRule="auto"/>
              <w:jc w:val="center"/>
              <w:rPr>
                <w:rFonts w:eastAsiaTheme="minorHAnsi"/>
                <w:sz w:val="20"/>
                <w:szCs w:val="20"/>
                <w:lang w:eastAsia="en-US"/>
              </w:rPr>
            </w:pPr>
            <w:r w:rsidRPr="001202FB">
              <w:rPr>
                <w:sz w:val="20"/>
                <w:lang w:val="en-GB"/>
              </w:rPr>
              <w:t>20.71</w:t>
            </w:r>
            <w:r>
              <w:rPr>
                <w:sz w:val="20"/>
                <w:lang w:val="en-GB"/>
              </w:rPr>
              <w:t xml:space="preserve"> </w:t>
            </w:r>
            <w:r w:rsidRPr="001202FB">
              <w:rPr>
                <w:sz w:val="20"/>
                <w:lang w:val="en-GB"/>
              </w:rPr>
              <w:t>±</w:t>
            </w:r>
            <w:r>
              <w:rPr>
                <w:sz w:val="20"/>
                <w:lang w:val="en-GB"/>
              </w:rPr>
              <w:t xml:space="preserve"> 3.77</w:t>
            </w:r>
          </w:p>
        </w:tc>
        <w:tc>
          <w:tcPr>
            <w:tcW w:w="1574" w:type="dxa"/>
            <w:vAlign w:val="bottom"/>
          </w:tcPr>
          <w:p w14:paraId="01B6930C" w14:textId="77777777" w:rsidR="00DA1809" w:rsidRPr="00B514BB" w:rsidRDefault="00DA1809" w:rsidP="00BA6A41">
            <w:pPr>
              <w:pStyle w:val="Sarkain2"/>
              <w:keepNext/>
              <w:ind w:left="0"/>
              <w:jc w:val="center"/>
              <w:rPr>
                <w:b w:val="0"/>
                <w:sz w:val="20"/>
                <w:lang w:val="en-GB"/>
              </w:rPr>
            </w:pPr>
            <w:r w:rsidRPr="00735653">
              <w:rPr>
                <w:b w:val="0"/>
                <w:sz w:val="20"/>
                <w:lang w:val="en-GB"/>
              </w:rPr>
              <w:t xml:space="preserve">102.43 </w:t>
            </w:r>
          </w:p>
        </w:tc>
        <w:tc>
          <w:tcPr>
            <w:tcW w:w="1716" w:type="dxa"/>
            <w:vAlign w:val="bottom"/>
          </w:tcPr>
          <w:p w14:paraId="5433E077" w14:textId="77777777" w:rsidR="00DA1809" w:rsidRPr="00B514BB" w:rsidRDefault="00DA1809" w:rsidP="00BA6A41">
            <w:pPr>
              <w:spacing w:after="0" w:line="240" w:lineRule="auto"/>
              <w:jc w:val="center"/>
              <w:rPr>
                <w:rFonts w:eastAsiaTheme="minorHAnsi"/>
                <w:sz w:val="20"/>
                <w:szCs w:val="20"/>
                <w:lang w:eastAsia="en-US"/>
              </w:rPr>
            </w:pPr>
            <w:r w:rsidRPr="006532E5">
              <w:rPr>
                <w:sz w:val="20"/>
                <w:lang w:val="en-GB"/>
              </w:rPr>
              <w:t>94.98 – 110.46</w:t>
            </w:r>
          </w:p>
        </w:tc>
      </w:tr>
      <w:tr w:rsidR="00DA1809" w:rsidRPr="00B514BB" w14:paraId="6A089626" w14:textId="77777777" w:rsidTr="00BA6A41">
        <w:trPr>
          <w:jc w:val="center"/>
        </w:trPr>
        <w:tc>
          <w:tcPr>
            <w:tcW w:w="1556" w:type="dxa"/>
            <w:vAlign w:val="bottom"/>
          </w:tcPr>
          <w:p w14:paraId="0E49B732" w14:textId="77777777" w:rsidR="00DA1809" w:rsidRPr="00B514BB" w:rsidRDefault="00DA1809" w:rsidP="00BA6A41">
            <w:pPr>
              <w:spacing w:after="0" w:line="240" w:lineRule="auto"/>
              <w:rPr>
                <w:rFonts w:eastAsiaTheme="minorHAnsi"/>
                <w:b/>
                <w:sz w:val="20"/>
                <w:szCs w:val="20"/>
                <w:lang w:eastAsia="en-US"/>
              </w:rPr>
            </w:pPr>
            <w:r>
              <w:rPr>
                <w:rFonts w:eastAsiaTheme="minorHAnsi"/>
                <w:b/>
                <w:sz w:val="20"/>
                <w:szCs w:val="20"/>
                <w:lang w:eastAsia="en-US"/>
              </w:rPr>
              <w:t>Tmax</w:t>
            </w:r>
          </w:p>
        </w:tc>
        <w:tc>
          <w:tcPr>
            <w:tcW w:w="1655" w:type="dxa"/>
            <w:vAlign w:val="bottom"/>
          </w:tcPr>
          <w:p w14:paraId="3D05C4D8" w14:textId="77777777" w:rsidR="00DA1809" w:rsidRPr="00D31B9F" w:rsidRDefault="00DA1809" w:rsidP="00BA6A41">
            <w:pPr>
              <w:spacing w:after="0" w:line="240" w:lineRule="auto"/>
              <w:jc w:val="center"/>
              <w:rPr>
                <w:sz w:val="20"/>
                <w:lang w:val="en-GB"/>
              </w:rPr>
            </w:pPr>
            <w:r w:rsidRPr="00D31B9F">
              <w:rPr>
                <w:sz w:val="20"/>
                <w:lang w:val="en-GB"/>
              </w:rPr>
              <w:t>1.63</w:t>
            </w:r>
          </w:p>
          <w:p w14:paraId="215D577B" w14:textId="77777777" w:rsidR="00DA1809" w:rsidRDefault="00DA1809" w:rsidP="00BA6A41">
            <w:pPr>
              <w:spacing w:after="0" w:line="240" w:lineRule="auto"/>
              <w:jc w:val="center"/>
              <w:rPr>
                <w:sz w:val="20"/>
                <w:lang w:val="en-GB"/>
              </w:rPr>
            </w:pPr>
            <w:r w:rsidRPr="00D31B9F">
              <w:rPr>
                <w:sz w:val="20"/>
                <w:lang w:val="en-GB"/>
              </w:rPr>
              <w:t>(0.75 – 5.00)</w:t>
            </w:r>
          </w:p>
        </w:tc>
        <w:tc>
          <w:tcPr>
            <w:tcW w:w="1635" w:type="dxa"/>
            <w:vAlign w:val="bottom"/>
          </w:tcPr>
          <w:p w14:paraId="14F1C854" w14:textId="77777777" w:rsidR="00DA1809" w:rsidRPr="00D31B9F" w:rsidRDefault="00DA1809" w:rsidP="00BA6A41">
            <w:pPr>
              <w:keepNext/>
              <w:spacing w:after="0" w:line="240" w:lineRule="auto"/>
              <w:jc w:val="center"/>
              <w:rPr>
                <w:sz w:val="20"/>
                <w:lang w:val="en-GB"/>
              </w:rPr>
            </w:pPr>
            <w:r w:rsidRPr="00D31B9F">
              <w:rPr>
                <w:sz w:val="20"/>
                <w:lang w:val="en-GB"/>
              </w:rPr>
              <w:t>1.75</w:t>
            </w:r>
          </w:p>
          <w:p w14:paraId="1A9EEC4D" w14:textId="77777777" w:rsidR="00DA1809" w:rsidRPr="001202FB" w:rsidRDefault="00DA1809" w:rsidP="00BA6A41">
            <w:pPr>
              <w:spacing w:after="0" w:line="240" w:lineRule="auto"/>
              <w:jc w:val="center"/>
              <w:rPr>
                <w:sz w:val="20"/>
                <w:lang w:val="en-GB"/>
              </w:rPr>
            </w:pPr>
            <w:r w:rsidRPr="00D31B9F">
              <w:rPr>
                <w:sz w:val="20"/>
                <w:lang w:val="en-GB"/>
              </w:rPr>
              <w:t>(0.5 – 3.5)</w:t>
            </w:r>
          </w:p>
        </w:tc>
        <w:tc>
          <w:tcPr>
            <w:tcW w:w="1574" w:type="dxa"/>
            <w:vAlign w:val="bottom"/>
          </w:tcPr>
          <w:p w14:paraId="5DDBF8C6" w14:textId="77777777" w:rsidR="00DA1809" w:rsidRPr="00735653" w:rsidRDefault="00DA1809" w:rsidP="00BA6A41">
            <w:pPr>
              <w:pStyle w:val="Sarkain2"/>
              <w:keepNext/>
              <w:ind w:left="0"/>
              <w:jc w:val="center"/>
              <w:rPr>
                <w:b w:val="0"/>
                <w:sz w:val="20"/>
                <w:lang w:val="en-GB"/>
              </w:rPr>
            </w:pPr>
            <w:r>
              <w:rPr>
                <w:b w:val="0"/>
                <w:sz w:val="20"/>
                <w:lang w:val="en-GB"/>
              </w:rPr>
              <w:t>-</w:t>
            </w:r>
          </w:p>
        </w:tc>
        <w:tc>
          <w:tcPr>
            <w:tcW w:w="1716" w:type="dxa"/>
            <w:vAlign w:val="bottom"/>
          </w:tcPr>
          <w:p w14:paraId="5AE3A39D" w14:textId="77777777" w:rsidR="00DA1809" w:rsidRPr="006532E5" w:rsidRDefault="00DA1809" w:rsidP="00BA6A41">
            <w:pPr>
              <w:spacing w:after="0" w:line="240" w:lineRule="auto"/>
              <w:jc w:val="center"/>
              <w:rPr>
                <w:sz w:val="20"/>
                <w:lang w:val="en-GB"/>
              </w:rPr>
            </w:pPr>
            <w:r>
              <w:rPr>
                <w:sz w:val="20"/>
                <w:lang w:val="en-GB"/>
              </w:rPr>
              <w:t>-</w:t>
            </w:r>
          </w:p>
        </w:tc>
      </w:tr>
    </w:tbl>
    <w:p w14:paraId="66752105" w14:textId="77777777" w:rsidR="00DA1809" w:rsidRPr="00B514BB" w:rsidRDefault="00DA1809" w:rsidP="00DA1809">
      <w:pPr>
        <w:spacing w:after="0" w:line="240" w:lineRule="auto"/>
        <w:rPr>
          <w:rFonts w:eastAsiaTheme="minorHAnsi" w:cs="Arial"/>
          <w:i/>
          <w:lang w:eastAsia="en-US"/>
        </w:rPr>
      </w:pPr>
    </w:p>
    <w:p w14:paraId="3680A844" w14:textId="77777777" w:rsidR="00DA1809" w:rsidRPr="00B514BB" w:rsidRDefault="00DA1809" w:rsidP="00DA1809">
      <w:pPr>
        <w:spacing w:after="0" w:line="240" w:lineRule="auto"/>
        <w:rPr>
          <w:rFonts w:eastAsiaTheme="minorHAnsi" w:cs="Arial"/>
          <w:i/>
          <w:lang w:eastAsia="en-US"/>
        </w:rPr>
      </w:pPr>
    </w:p>
    <w:p w14:paraId="00C3FE51" w14:textId="77777777" w:rsidR="00DA1809" w:rsidRPr="00B514BB" w:rsidRDefault="00DA1809" w:rsidP="00DA1809">
      <w:pPr>
        <w:spacing w:after="0" w:line="240" w:lineRule="auto"/>
        <w:rPr>
          <w:rFonts w:eastAsiaTheme="minorHAnsi" w:cs="Arial"/>
          <w:i/>
          <w:lang w:eastAsia="en-US"/>
        </w:rPr>
      </w:pPr>
    </w:p>
    <w:p w14:paraId="7A001315" w14:textId="77777777" w:rsidR="00DA1809" w:rsidRPr="00B514BB" w:rsidRDefault="00DA1809" w:rsidP="00DA1809">
      <w:pPr>
        <w:spacing w:after="0" w:line="240" w:lineRule="auto"/>
        <w:rPr>
          <w:rFonts w:eastAsiaTheme="minorHAnsi" w:cs="Arial"/>
          <w:lang w:eastAsia="en-US"/>
        </w:rPr>
      </w:pPr>
      <w:r w:rsidRPr="00B514BB">
        <w:rPr>
          <w:rFonts w:eastAsiaTheme="minorHAnsi" w:cs="Arial"/>
          <w:i/>
          <w:lang w:eastAsia="en-US"/>
        </w:rPr>
        <w:t>Conclusioni sulla bioequivalenza</w:t>
      </w:r>
      <w:r w:rsidRPr="00B514BB">
        <w:rPr>
          <w:rFonts w:eastAsiaTheme="minorHAnsi" w:cs="Arial"/>
          <w:lang w:eastAsia="en-US"/>
        </w:rPr>
        <w:t>.</w:t>
      </w:r>
    </w:p>
    <w:p w14:paraId="6FE90C88" w14:textId="77777777" w:rsidR="00DA1809" w:rsidRPr="00B514BB" w:rsidRDefault="00DA1809" w:rsidP="00DA1809">
      <w:pPr>
        <w:spacing w:after="0" w:line="240" w:lineRule="auto"/>
        <w:jc w:val="both"/>
        <w:rPr>
          <w:rFonts w:eastAsiaTheme="minorHAnsi" w:cs="Arial"/>
          <w:lang w:eastAsia="en-US"/>
        </w:rPr>
      </w:pPr>
      <w:r w:rsidRPr="00B514BB">
        <w:rPr>
          <w:rFonts w:eastAsiaTheme="minorHAnsi" w:cs="Arial"/>
          <w:lang w:eastAsia="en-US"/>
        </w:rPr>
        <w:t>I risultati degli studi di bioequivalenza mostrano che gli intervalli di confidenza dei parametri farmacocinetici studiati cadono nel range di accettabilità di 80-125%, in accordo con le linee guida correnti.</w:t>
      </w:r>
    </w:p>
    <w:p w14:paraId="3DA18AAF" w14:textId="77777777" w:rsidR="008476EF" w:rsidRPr="00907A3F" w:rsidRDefault="008476EF" w:rsidP="00E61A29">
      <w:pPr>
        <w:spacing w:after="0" w:line="240" w:lineRule="auto"/>
        <w:ind w:right="6"/>
      </w:pPr>
    </w:p>
    <w:p w14:paraId="1EE10411" w14:textId="77777777" w:rsidR="00614226" w:rsidRPr="00161775" w:rsidRDefault="00614226" w:rsidP="00EF6711">
      <w:pPr>
        <w:spacing w:after="0" w:line="240" w:lineRule="auto"/>
        <w:ind w:right="6"/>
        <w:jc w:val="both"/>
        <w:rPr>
          <w:rFonts w:ascii="Calibri" w:eastAsia="Calibri" w:hAnsi="Calibri" w:cs="Calibri"/>
        </w:rPr>
      </w:pPr>
    </w:p>
    <w:p w14:paraId="29CF39D7" w14:textId="77777777" w:rsidR="00EE6200" w:rsidRPr="00411802" w:rsidRDefault="00EE6200" w:rsidP="00EE6200">
      <w:pPr>
        <w:spacing w:after="0" w:line="240" w:lineRule="auto"/>
        <w:jc w:val="both"/>
        <w:rPr>
          <w:rFonts w:ascii="Calibri" w:hAnsi="Calibri" w:cs="Arial"/>
          <w:b/>
        </w:rPr>
      </w:pPr>
      <w:r w:rsidRPr="00411802">
        <w:rPr>
          <w:rFonts w:ascii="Calibri" w:hAnsi="Calibri" w:cs="Arial"/>
          <w:b/>
        </w:rPr>
        <w:t>Efficacia e sicurezza clinica</w:t>
      </w:r>
    </w:p>
    <w:p w14:paraId="0DEAC899" w14:textId="4A3E6AB9" w:rsidR="00EE6200" w:rsidRPr="00411802" w:rsidRDefault="00EE6200" w:rsidP="00EE6200">
      <w:pPr>
        <w:spacing w:after="0" w:line="240" w:lineRule="auto"/>
        <w:jc w:val="both"/>
        <w:rPr>
          <w:rFonts w:ascii="Calibri" w:hAnsi="Calibri" w:cs="Arial"/>
        </w:rPr>
      </w:pPr>
      <w:r w:rsidRPr="00411802">
        <w:rPr>
          <w:rFonts w:ascii="Calibri" w:hAnsi="Calibri" w:cs="Arial"/>
        </w:rPr>
        <w:t xml:space="preserve">Non sono stati presentati nuovi dati di efficacia e sicurezza clinica: il profilo di sicurezza e l’efficacia del principio attivo di </w:t>
      </w:r>
      <w:r w:rsidR="00E52B80" w:rsidRPr="00411802">
        <w:rPr>
          <w:rFonts w:ascii="Calibri" w:eastAsia="Calibri" w:hAnsi="Calibri" w:cs="Calibri"/>
          <w:color w:val="000000"/>
        </w:rPr>
        <w:t>IBUMENOL</w:t>
      </w:r>
      <w:r w:rsidRPr="00411802">
        <w:rPr>
          <w:rFonts w:ascii="Calibri" w:eastAsia="Calibri" w:hAnsi="Calibri" w:cs="Calibri"/>
          <w:color w:val="000000"/>
        </w:rPr>
        <w:t xml:space="preserve"> </w:t>
      </w:r>
      <w:r w:rsidR="000C7E5F" w:rsidRPr="00411802">
        <w:rPr>
          <w:rFonts w:ascii="Calibri" w:hAnsi="Calibri" w:cs="Arial"/>
        </w:rPr>
        <w:t>è ben conosciuto.</w:t>
      </w:r>
    </w:p>
    <w:p w14:paraId="10E10B4F" w14:textId="6C55823E" w:rsidR="004E5A39" w:rsidRPr="00F73FFB" w:rsidRDefault="004E5A39" w:rsidP="00EF6711">
      <w:pPr>
        <w:spacing w:after="0" w:line="240" w:lineRule="auto"/>
        <w:ind w:right="6"/>
        <w:jc w:val="both"/>
        <w:rPr>
          <w:rFonts w:ascii="Calibri" w:eastAsia="Calibri" w:hAnsi="Calibri" w:cs="Calibri"/>
        </w:rPr>
      </w:pPr>
    </w:p>
    <w:p w14:paraId="7300F700" w14:textId="77777777" w:rsidR="004E5A39" w:rsidRPr="00F73FFB" w:rsidRDefault="004E5A39" w:rsidP="00EF6711">
      <w:pPr>
        <w:pStyle w:val="Paragrafoelenco"/>
        <w:spacing w:after="0" w:line="240" w:lineRule="auto"/>
        <w:ind w:left="0"/>
        <w:jc w:val="both"/>
        <w:rPr>
          <w:rFonts w:ascii="Calibri" w:hAnsi="Calibri"/>
          <w:b/>
        </w:rPr>
      </w:pPr>
      <w:r w:rsidRPr="00F73FFB">
        <w:rPr>
          <w:rFonts w:ascii="Calibri" w:hAnsi="Calibri"/>
          <w:b/>
        </w:rPr>
        <w:t>Piano di Valutazione del Rischio (</w:t>
      </w:r>
      <w:r w:rsidRPr="00F73FFB">
        <w:rPr>
          <w:rFonts w:ascii="Calibri" w:hAnsi="Calibri"/>
          <w:b/>
          <w:i/>
        </w:rPr>
        <w:t>Risk Management Plan</w:t>
      </w:r>
      <w:r w:rsidRPr="00F73FFB">
        <w:rPr>
          <w:rFonts w:ascii="Calibri" w:hAnsi="Calibri"/>
          <w:b/>
        </w:rPr>
        <w:t xml:space="preserve"> - RMP)</w:t>
      </w:r>
    </w:p>
    <w:p w14:paraId="0710A494" w14:textId="717F26DB" w:rsidR="00265B61" w:rsidRPr="006770CF" w:rsidRDefault="00A1072E" w:rsidP="00EC2A89">
      <w:pPr>
        <w:pStyle w:val="Paragrafoelenco"/>
        <w:spacing w:after="0" w:line="240" w:lineRule="auto"/>
        <w:ind w:left="0"/>
        <w:jc w:val="both"/>
        <w:rPr>
          <w:rFonts w:ascii="Calibri" w:hAnsi="Calibri"/>
        </w:rPr>
      </w:pPr>
      <w:r w:rsidRPr="00F73FFB">
        <w:rPr>
          <w:rFonts w:ascii="Calibri" w:hAnsi="Calibri"/>
        </w:rPr>
        <w:t xml:space="preserve">È </w:t>
      </w:r>
      <w:r w:rsidR="004E5A39" w:rsidRPr="00F73FFB">
        <w:rPr>
          <w:rFonts w:ascii="Calibri" w:hAnsi="Calibri"/>
        </w:rPr>
        <w:t xml:space="preserve">stato presentato un RMP in accordo a quanto previsto dalla Direttiva 2001/83/EU s.m.i. che descrive le attività di farmacovigilanza e gli interventi definiti al fine di identificare, caratterizzare, prevenire o minimizzare i </w:t>
      </w:r>
      <w:r w:rsidR="004E5A39" w:rsidRPr="006770CF">
        <w:rPr>
          <w:rFonts w:ascii="Calibri" w:hAnsi="Calibri"/>
        </w:rPr>
        <w:t xml:space="preserve">rischi collegati all’uso di </w:t>
      </w:r>
      <w:r w:rsidR="00E52B80" w:rsidRPr="006770CF">
        <w:rPr>
          <w:rFonts w:ascii="Calibri" w:hAnsi="Calibri"/>
        </w:rPr>
        <w:t>IBUMENOL</w:t>
      </w:r>
      <w:r w:rsidR="004E5A39" w:rsidRPr="006770CF">
        <w:rPr>
          <w:rFonts w:ascii="Calibri" w:hAnsi="Calibri"/>
        </w:rPr>
        <w:t>.</w:t>
      </w:r>
    </w:p>
    <w:p w14:paraId="78B3493B" w14:textId="77777777" w:rsidR="000F098E" w:rsidRPr="006770CF" w:rsidRDefault="000F098E" w:rsidP="00EF6711">
      <w:pPr>
        <w:pStyle w:val="Paragrafoelenco"/>
        <w:spacing w:after="0" w:line="240" w:lineRule="auto"/>
        <w:ind w:left="0"/>
        <w:jc w:val="both"/>
        <w:rPr>
          <w:rFonts w:ascii="Calibri" w:hAnsi="Calibri"/>
        </w:rPr>
      </w:pPr>
    </w:p>
    <w:tbl>
      <w:tblPr>
        <w:tblW w:w="4688"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3219"/>
        <w:gridCol w:w="6020"/>
      </w:tblGrid>
      <w:tr w:rsidR="006770CF" w:rsidRPr="006770CF" w14:paraId="345FD7E2" w14:textId="77777777" w:rsidTr="00B03C4E">
        <w:trPr>
          <w:jc w:val="center"/>
        </w:trPr>
        <w:tc>
          <w:tcPr>
            <w:tcW w:w="1742" w:type="pct"/>
            <w:shd w:val="clear" w:color="auto" w:fill="auto"/>
          </w:tcPr>
          <w:p w14:paraId="1C3DE62A" w14:textId="77777777" w:rsidR="000F098E" w:rsidRPr="006770CF" w:rsidRDefault="000F098E" w:rsidP="000F098E">
            <w:pPr>
              <w:spacing w:after="0" w:line="240" w:lineRule="auto"/>
              <w:jc w:val="both"/>
              <w:rPr>
                <w:rFonts w:eastAsiaTheme="minorHAnsi"/>
                <w:lang w:eastAsia="en-US"/>
              </w:rPr>
            </w:pPr>
            <w:r w:rsidRPr="006770CF">
              <w:rPr>
                <w:rFonts w:eastAsiaTheme="minorHAnsi"/>
                <w:lang w:eastAsia="en-US"/>
              </w:rPr>
              <w:t>Rischi identificati importanti</w:t>
            </w:r>
          </w:p>
        </w:tc>
        <w:tc>
          <w:tcPr>
            <w:tcW w:w="3258" w:type="pct"/>
            <w:shd w:val="clear" w:color="auto" w:fill="auto"/>
          </w:tcPr>
          <w:p w14:paraId="1107B05B" w14:textId="77777777" w:rsidR="000F098E" w:rsidRPr="006770CF" w:rsidRDefault="000F098E" w:rsidP="000F098E">
            <w:pPr>
              <w:spacing w:after="0" w:line="240" w:lineRule="auto"/>
              <w:jc w:val="both"/>
              <w:rPr>
                <w:rFonts w:eastAsiaTheme="minorHAnsi"/>
                <w:lang w:eastAsia="en-US"/>
              </w:rPr>
            </w:pPr>
            <w:r w:rsidRPr="006770CF">
              <w:rPr>
                <w:rFonts w:eastAsiaTheme="minorHAnsi"/>
                <w:lang w:eastAsia="en-US"/>
              </w:rPr>
              <w:t>Perforazione, ulcerazione e sanguinamento gastro-intestinale</w:t>
            </w:r>
          </w:p>
          <w:p w14:paraId="7D3B97AE" w14:textId="367D19C0" w:rsidR="00C95EC8" w:rsidRPr="006770CF" w:rsidRDefault="00C95EC8" w:rsidP="000F098E">
            <w:pPr>
              <w:spacing w:after="0" w:line="240" w:lineRule="auto"/>
              <w:jc w:val="both"/>
              <w:rPr>
                <w:rFonts w:eastAsiaTheme="minorHAnsi"/>
                <w:lang w:eastAsia="en-US"/>
              </w:rPr>
            </w:pPr>
            <w:r w:rsidRPr="006770CF">
              <w:rPr>
                <w:rFonts w:eastAsiaTheme="minorHAnsi"/>
                <w:lang w:eastAsia="en-US"/>
              </w:rPr>
              <w:t xml:space="preserve">Chiusura prematura del dotto arterioso </w:t>
            </w:r>
            <w:r w:rsidR="00901FC0">
              <w:rPr>
                <w:rFonts w:eastAsiaTheme="minorHAnsi"/>
                <w:lang w:eastAsia="en-US"/>
              </w:rPr>
              <w:t xml:space="preserve">fetale </w:t>
            </w:r>
            <w:r w:rsidRPr="006770CF">
              <w:rPr>
                <w:rFonts w:eastAsiaTheme="minorHAnsi"/>
                <w:lang w:eastAsia="en-US"/>
              </w:rPr>
              <w:t>(uso durante il terzo trimestre di gravidanza)</w:t>
            </w:r>
          </w:p>
          <w:p w14:paraId="60EBBE24" w14:textId="2F572900" w:rsidR="000F098E" w:rsidRPr="006770CF" w:rsidRDefault="008B2AB7" w:rsidP="000F098E">
            <w:pPr>
              <w:spacing w:after="0" w:line="240" w:lineRule="auto"/>
              <w:jc w:val="both"/>
              <w:rPr>
                <w:rFonts w:eastAsiaTheme="minorHAnsi"/>
                <w:lang w:eastAsia="en-US"/>
              </w:rPr>
            </w:pPr>
            <w:r w:rsidRPr="006770CF">
              <w:rPr>
                <w:rFonts w:eastAsiaTheme="minorHAnsi"/>
                <w:lang w:eastAsia="en-US"/>
              </w:rPr>
              <w:t>Reazioni di ipersensibilità</w:t>
            </w:r>
          </w:p>
          <w:p w14:paraId="4EEA4A03" w14:textId="42533B3D" w:rsidR="000F098E" w:rsidRPr="006770CF" w:rsidRDefault="004C3D50" w:rsidP="000F098E">
            <w:pPr>
              <w:spacing w:after="0" w:line="240" w:lineRule="auto"/>
              <w:jc w:val="both"/>
              <w:rPr>
                <w:rFonts w:eastAsiaTheme="minorHAnsi"/>
                <w:lang w:eastAsia="en-US"/>
              </w:rPr>
            </w:pPr>
            <w:r w:rsidRPr="006770CF">
              <w:rPr>
                <w:rFonts w:eastAsiaTheme="minorHAnsi"/>
                <w:lang w:eastAsia="en-US"/>
              </w:rPr>
              <w:t>Broncospasmo in pazienti con asma o malattia allergica</w:t>
            </w:r>
          </w:p>
          <w:p w14:paraId="0D263441" w14:textId="0A11023D" w:rsidR="000F098E" w:rsidRPr="006770CF" w:rsidRDefault="00A74327" w:rsidP="000F098E">
            <w:pPr>
              <w:spacing w:after="0" w:line="240" w:lineRule="auto"/>
              <w:jc w:val="both"/>
              <w:rPr>
                <w:rFonts w:eastAsiaTheme="minorHAnsi"/>
                <w:lang w:eastAsia="en-US"/>
              </w:rPr>
            </w:pPr>
            <w:r w:rsidRPr="006770CF">
              <w:rPr>
                <w:rFonts w:eastAsiaTheme="minorHAnsi"/>
                <w:lang w:eastAsia="en-US"/>
              </w:rPr>
              <w:t>Malattie cardio-renali</w:t>
            </w:r>
          </w:p>
          <w:p w14:paraId="0DAF48F4" w14:textId="662D2CC0" w:rsidR="000F098E" w:rsidRPr="006770CF" w:rsidRDefault="00F1634E" w:rsidP="000F098E">
            <w:pPr>
              <w:spacing w:after="0" w:line="240" w:lineRule="auto"/>
              <w:jc w:val="both"/>
              <w:rPr>
                <w:rFonts w:eastAsiaTheme="minorHAnsi"/>
                <w:lang w:eastAsia="en-US"/>
              </w:rPr>
            </w:pPr>
            <w:r w:rsidRPr="006770CF">
              <w:rPr>
                <w:rFonts w:eastAsiaTheme="minorHAnsi"/>
                <w:lang w:eastAsia="en-US"/>
              </w:rPr>
              <w:t xml:space="preserve">Eventi trombotici arteriosi (infarto miocardico e ictus) </w:t>
            </w:r>
            <w:r w:rsidR="000F098E" w:rsidRPr="006770CF">
              <w:rPr>
                <w:rFonts w:eastAsiaTheme="minorHAnsi"/>
                <w:lang w:eastAsia="en-US"/>
              </w:rPr>
              <w:t>(a 2400 mg/</w:t>
            </w:r>
            <w:r w:rsidRPr="006770CF">
              <w:rPr>
                <w:rFonts w:eastAsiaTheme="minorHAnsi"/>
                <w:lang w:eastAsia="en-US"/>
              </w:rPr>
              <w:t>giorno</w:t>
            </w:r>
            <w:r w:rsidR="000F098E" w:rsidRPr="006770CF">
              <w:rPr>
                <w:rFonts w:eastAsiaTheme="minorHAnsi"/>
                <w:lang w:eastAsia="en-US"/>
              </w:rPr>
              <w:t>)</w:t>
            </w:r>
          </w:p>
          <w:p w14:paraId="188E79FB" w14:textId="78974FEE" w:rsidR="000F098E" w:rsidRPr="006770CF" w:rsidRDefault="005C4AC0" w:rsidP="000F098E">
            <w:pPr>
              <w:spacing w:after="0" w:line="240" w:lineRule="auto"/>
              <w:jc w:val="both"/>
              <w:rPr>
                <w:rFonts w:eastAsiaTheme="minorHAnsi"/>
                <w:lang w:eastAsia="en-US"/>
              </w:rPr>
            </w:pPr>
            <w:r w:rsidRPr="006770CF">
              <w:rPr>
                <w:rFonts w:eastAsiaTheme="minorHAnsi"/>
                <w:lang w:eastAsia="en-US"/>
              </w:rPr>
              <w:t>Prolungamento del tempo di sanguinamento/coagulazione</w:t>
            </w:r>
          </w:p>
          <w:p w14:paraId="34BE1C34" w14:textId="49770D24" w:rsidR="000F098E" w:rsidRPr="006770CF" w:rsidRDefault="0091195B" w:rsidP="000F098E">
            <w:pPr>
              <w:spacing w:after="0" w:line="240" w:lineRule="auto"/>
              <w:jc w:val="both"/>
              <w:rPr>
                <w:rFonts w:eastAsiaTheme="minorHAnsi"/>
                <w:lang w:eastAsia="en-US"/>
              </w:rPr>
            </w:pPr>
            <w:r w:rsidRPr="006770CF">
              <w:rPr>
                <w:rFonts w:eastAsiaTheme="minorHAnsi"/>
                <w:lang w:eastAsia="en-US"/>
              </w:rPr>
              <w:t>Reazioni cutanee gravi inclusa la sindrome di Stevens-Johnson</w:t>
            </w:r>
            <w:r w:rsidR="00901FC0">
              <w:rPr>
                <w:rFonts w:eastAsiaTheme="minorHAnsi"/>
                <w:lang w:eastAsia="en-US"/>
              </w:rPr>
              <w:t>, la</w:t>
            </w:r>
            <w:r w:rsidRPr="006770CF">
              <w:rPr>
                <w:rFonts w:eastAsiaTheme="minorHAnsi"/>
                <w:lang w:eastAsia="en-US"/>
              </w:rPr>
              <w:t xml:space="preserve"> necrolisi epidermica tossica</w:t>
            </w:r>
            <w:r w:rsidR="00901FC0">
              <w:rPr>
                <w:rFonts w:eastAsiaTheme="minorHAnsi"/>
                <w:lang w:eastAsia="en-US"/>
              </w:rPr>
              <w:t xml:space="preserve"> e la</w:t>
            </w:r>
            <w:r w:rsidRPr="006770CF">
              <w:rPr>
                <w:rFonts w:eastAsiaTheme="minorHAnsi"/>
                <w:lang w:eastAsia="en-US"/>
              </w:rPr>
              <w:t xml:space="preserve"> </w:t>
            </w:r>
            <w:r w:rsidR="00BC7DEC" w:rsidRPr="006770CF">
              <w:rPr>
                <w:rFonts w:eastAsiaTheme="minorHAnsi"/>
                <w:lang w:eastAsia="en-US"/>
              </w:rPr>
              <w:t xml:space="preserve">sindrome </w:t>
            </w:r>
            <w:r w:rsidR="000F098E" w:rsidRPr="006770CF">
              <w:rPr>
                <w:rFonts w:eastAsiaTheme="minorHAnsi"/>
                <w:lang w:eastAsia="en-US"/>
              </w:rPr>
              <w:t>D</w:t>
            </w:r>
            <w:r w:rsidR="00BC7DEC" w:rsidRPr="006770CF">
              <w:rPr>
                <w:rFonts w:eastAsiaTheme="minorHAnsi"/>
                <w:lang w:eastAsia="en-US"/>
              </w:rPr>
              <w:t>RESS</w:t>
            </w:r>
            <w:bookmarkStart w:id="1" w:name="_GoBack"/>
            <w:bookmarkEnd w:id="1"/>
            <w:r w:rsidR="000F098E" w:rsidRPr="006770CF">
              <w:rPr>
                <w:rFonts w:eastAsiaTheme="minorHAnsi"/>
                <w:lang w:eastAsia="en-US"/>
              </w:rPr>
              <w:t>.</w:t>
            </w:r>
          </w:p>
          <w:p w14:paraId="677572D2" w14:textId="20B155C6" w:rsidR="00677530" w:rsidRPr="00907A3F" w:rsidRDefault="00677530" w:rsidP="000F098E">
            <w:pPr>
              <w:spacing w:after="0" w:line="240" w:lineRule="auto"/>
              <w:jc w:val="both"/>
              <w:rPr>
                <w:rFonts w:eastAsiaTheme="minorHAnsi"/>
                <w:lang w:eastAsia="en-US"/>
              </w:rPr>
            </w:pPr>
            <w:r w:rsidRPr="00907A3F">
              <w:rPr>
                <w:rFonts w:eastAsiaTheme="minorHAnsi"/>
                <w:lang w:eastAsia="en-US"/>
              </w:rPr>
              <w:t>Tossicità renale</w:t>
            </w:r>
          </w:p>
          <w:p w14:paraId="42448FC7" w14:textId="76C55873" w:rsidR="00677530" w:rsidRPr="00907A3F" w:rsidRDefault="005437AA" w:rsidP="000F098E">
            <w:pPr>
              <w:spacing w:after="0" w:line="240" w:lineRule="auto"/>
              <w:jc w:val="both"/>
              <w:rPr>
                <w:rFonts w:eastAsiaTheme="minorHAnsi"/>
                <w:lang w:eastAsia="en-US"/>
              </w:rPr>
            </w:pPr>
            <w:r w:rsidRPr="00907A3F">
              <w:rPr>
                <w:rFonts w:eastAsiaTheme="minorHAnsi"/>
                <w:lang w:eastAsia="en-US"/>
              </w:rPr>
              <w:t>Patologie epatiche</w:t>
            </w:r>
          </w:p>
          <w:p w14:paraId="3D4C54D9" w14:textId="058845B1" w:rsidR="000F098E" w:rsidRPr="006770CF" w:rsidRDefault="00D20D8E" w:rsidP="000F098E">
            <w:pPr>
              <w:spacing w:after="0" w:line="240" w:lineRule="auto"/>
              <w:jc w:val="both"/>
              <w:rPr>
                <w:rFonts w:eastAsiaTheme="minorHAnsi"/>
                <w:lang w:eastAsia="en-US"/>
              </w:rPr>
            </w:pPr>
            <w:r w:rsidRPr="006770CF">
              <w:rPr>
                <w:rFonts w:eastAsiaTheme="minorHAnsi"/>
                <w:lang w:eastAsia="en-US"/>
              </w:rPr>
              <w:t xml:space="preserve">Meningite asettica </w:t>
            </w:r>
            <w:r w:rsidR="000F098E" w:rsidRPr="006770CF">
              <w:rPr>
                <w:rFonts w:eastAsiaTheme="minorHAnsi"/>
                <w:lang w:eastAsia="en-US"/>
              </w:rPr>
              <w:t>(</w:t>
            </w:r>
            <w:r w:rsidRPr="006770CF">
              <w:rPr>
                <w:rFonts w:eastAsiaTheme="minorHAnsi"/>
                <w:lang w:eastAsia="en-US"/>
              </w:rPr>
              <w:t>in pazienti con lupus eritematoso sistemico e malattie del tessuto connettivo mista)</w:t>
            </w:r>
          </w:p>
        </w:tc>
      </w:tr>
      <w:tr w:rsidR="006770CF" w:rsidRPr="006770CF" w14:paraId="47F97BB6" w14:textId="77777777" w:rsidTr="00B03C4E">
        <w:trPr>
          <w:trHeight w:val="380"/>
          <w:jc w:val="center"/>
        </w:trPr>
        <w:tc>
          <w:tcPr>
            <w:tcW w:w="1742" w:type="pct"/>
            <w:shd w:val="clear" w:color="auto" w:fill="auto"/>
          </w:tcPr>
          <w:p w14:paraId="5BE9C4C7" w14:textId="77777777" w:rsidR="000F098E" w:rsidRPr="006770CF" w:rsidRDefault="000F098E" w:rsidP="000F098E">
            <w:pPr>
              <w:spacing w:after="0" w:line="240" w:lineRule="auto"/>
              <w:jc w:val="both"/>
              <w:rPr>
                <w:rFonts w:eastAsiaTheme="minorHAnsi"/>
                <w:lang w:eastAsia="en-US"/>
              </w:rPr>
            </w:pPr>
            <w:r w:rsidRPr="006770CF">
              <w:rPr>
                <w:rFonts w:eastAsiaTheme="minorHAnsi"/>
                <w:lang w:eastAsia="en-US"/>
              </w:rPr>
              <w:t>Rischi potenziali importanti</w:t>
            </w:r>
          </w:p>
        </w:tc>
        <w:tc>
          <w:tcPr>
            <w:tcW w:w="3258" w:type="pct"/>
            <w:shd w:val="clear" w:color="auto" w:fill="auto"/>
          </w:tcPr>
          <w:p w14:paraId="51A2FBF1" w14:textId="702947A7" w:rsidR="00D3568E" w:rsidRPr="00901FC0" w:rsidRDefault="00D3568E" w:rsidP="00D66F8B">
            <w:pPr>
              <w:spacing w:after="0" w:line="240" w:lineRule="auto"/>
              <w:jc w:val="both"/>
              <w:rPr>
                <w:rFonts w:eastAsiaTheme="minorHAnsi"/>
                <w:lang w:eastAsia="en-US"/>
              </w:rPr>
            </w:pPr>
            <w:r w:rsidRPr="00901FC0">
              <w:rPr>
                <w:rFonts w:eastAsiaTheme="minorHAnsi"/>
                <w:lang w:eastAsia="en-US"/>
              </w:rPr>
              <w:t xml:space="preserve">Malformazione cardiaca fetale, gastroschisi </w:t>
            </w:r>
            <w:r w:rsidR="00901FC0">
              <w:rPr>
                <w:rFonts w:eastAsiaTheme="minorHAnsi"/>
                <w:lang w:eastAsia="en-US"/>
              </w:rPr>
              <w:t>e</w:t>
            </w:r>
            <w:r w:rsidRPr="00901FC0">
              <w:rPr>
                <w:rFonts w:eastAsiaTheme="minorHAnsi"/>
                <w:lang w:eastAsia="en-US"/>
              </w:rPr>
              <w:t xml:space="preserve"> aborto (uso nelle prime fasi della gravidanza)</w:t>
            </w:r>
          </w:p>
          <w:p w14:paraId="7A2964AE" w14:textId="77777777" w:rsidR="00D3568E" w:rsidRPr="00901FC0" w:rsidRDefault="00D3568E" w:rsidP="00D66F8B">
            <w:pPr>
              <w:spacing w:after="0" w:line="240" w:lineRule="auto"/>
              <w:jc w:val="both"/>
              <w:rPr>
                <w:rFonts w:eastAsiaTheme="minorHAnsi"/>
                <w:lang w:eastAsia="en-US"/>
              </w:rPr>
            </w:pPr>
            <w:r w:rsidRPr="00901FC0">
              <w:rPr>
                <w:rFonts w:eastAsiaTheme="minorHAnsi"/>
                <w:lang w:eastAsia="en-US"/>
              </w:rPr>
              <w:t>Compromissione della fertilità femminile</w:t>
            </w:r>
          </w:p>
          <w:p w14:paraId="5E3EBD54" w14:textId="77777777" w:rsidR="00C745B9" w:rsidRPr="00901FC0" w:rsidRDefault="00C745B9" w:rsidP="00D66F8B">
            <w:pPr>
              <w:spacing w:after="0" w:line="240" w:lineRule="auto"/>
              <w:jc w:val="both"/>
              <w:rPr>
                <w:rFonts w:eastAsiaTheme="minorHAnsi"/>
                <w:lang w:eastAsia="en-US"/>
              </w:rPr>
            </w:pPr>
            <w:r w:rsidRPr="00901FC0">
              <w:rPr>
                <w:rFonts w:eastAsiaTheme="minorHAnsi"/>
                <w:lang w:eastAsia="en-US"/>
              </w:rPr>
              <w:t>Ruolo dei FANS sul peggioramento del decorso delle infezioni</w:t>
            </w:r>
          </w:p>
          <w:p w14:paraId="08A0D3A6" w14:textId="22638053" w:rsidR="000F098E" w:rsidRPr="00901FC0" w:rsidRDefault="00E47B6F" w:rsidP="00D66F8B">
            <w:pPr>
              <w:spacing w:after="0" w:line="240" w:lineRule="auto"/>
              <w:jc w:val="both"/>
              <w:rPr>
                <w:rFonts w:eastAsiaTheme="minorHAnsi"/>
                <w:lang w:eastAsia="en-US"/>
              </w:rPr>
            </w:pPr>
            <w:r w:rsidRPr="00901FC0">
              <w:rPr>
                <w:rFonts w:eastAsiaTheme="minorHAnsi"/>
                <w:lang w:eastAsia="en-US"/>
              </w:rPr>
              <w:t xml:space="preserve">Uso improprio (per es. uso nei </w:t>
            </w:r>
            <w:r w:rsidR="000F098E" w:rsidRPr="00901FC0">
              <w:rPr>
                <w:rFonts w:eastAsiaTheme="minorHAnsi"/>
                <w:lang w:eastAsia="en-US"/>
              </w:rPr>
              <w:t>bambini di età inferiore ai 12 anni</w:t>
            </w:r>
            <w:r w:rsidRPr="00901FC0">
              <w:rPr>
                <w:rFonts w:eastAsiaTheme="minorHAnsi"/>
                <w:lang w:eastAsia="en-US"/>
              </w:rPr>
              <w:t>)</w:t>
            </w:r>
          </w:p>
          <w:p w14:paraId="07D66BFD" w14:textId="7A849D22" w:rsidR="00D93F51" w:rsidRPr="006770CF" w:rsidRDefault="00D93F51" w:rsidP="00C745B9">
            <w:pPr>
              <w:spacing w:after="0" w:line="240" w:lineRule="auto"/>
              <w:jc w:val="both"/>
              <w:rPr>
                <w:rFonts w:eastAsiaTheme="minorHAnsi"/>
                <w:lang w:eastAsia="en-US"/>
              </w:rPr>
            </w:pPr>
          </w:p>
        </w:tc>
      </w:tr>
      <w:tr w:rsidR="00832BF2" w:rsidRPr="00832BF2" w14:paraId="33242FB6" w14:textId="77777777" w:rsidTr="00B03C4E">
        <w:trPr>
          <w:jc w:val="center"/>
        </w:trPr>
        <w:tc>
          <w:tcPr>
            <w:tcW w:w="1742" w:type="pct"/>
            <w:shd w:val="clear" w:color="auto" w:fill="auto"/>
          </w:tcPr>
          <w:p w14:paraId="490BD4CD" w14:textId="77777777" w:rsidR="000F098E" w:rsidRPr="00832BF2" w:rsidRDefault="000F098E" w:rsidP="000F098E">
            <w:pPr>
              <w:spacing w:after="0" w:line="240" w:lineRule="auto"/>
              <w:jc w:val="both"/>
              <w:rPr>
                <w:rFonts w:eastAsiaTheme="minorHAnsi"/>
                <w:lang w:eastAsia="en-US"/>
              </w:rPr>
            </w:pPr>
            <w:r w:rsidRPr="00832BF2">
              <w:rPr>
                <w:rFonts w:eastAsiaTheme="minorHAnsi"/>
                <w:lang w:eastAsia="en-US"/>
              </w:rPr>
              <w:lastRenderedPageBreak/>
              <w:t>Informazioni mancanti</w:t>
            </w:r>
          </w:p>
        </w:tc>
        <w:tc>
          <w:tcPr>
            <w:tcW w:w="3258" w:type="pct"/>
            <w:shd w:val="clear" w:color="auto" w:fill="auto"/>
          </w:tcPr>
          <w:p w14:paraId="65EF9496" w14:textId="7CCF552F" w:rsidR="000F098E" w:rsidRPr="00832BF2" w:rsidRDefault="00D93F51" w:rsidP="00C30A1D">
            <w:pPr>
              <w:spacing w:after="0" w:line="240" w:lineRule="auto"/>
              <w:jc w:val="both"/>
              <w:rPr>
                <w:rFonts w:eastAsiaTheme="minorHAnsi"/>
                <w:lang w:eastAsia="en-US"/>
              </w:rPr>
            </w:pPr>
            <w:r w:rsidRPr="00832BF2">
              <w:rPr>
                <w:rFonts w:eastAsiaTheme="minorHAnsi"/>
                <w:lang w:eastAsia="en-US"/>
              </w:rPr>
              <w:t>N</w:t>
            </w:r>
            <w:r w:rsidR="00C30A1D" w:rsidRPr="00832BF2">
              <w:rPr>
                <w:rFonts w:eastAsiaTheme="minorHAnsi"/>
                <w:lang w:eastAsia="en-US"/>
              </w:rPr>
              <w:t>essuna</w:t>
            </w:r>
          </w:p>
        </w:tc>
      </w:tr>
    </w:tbl>
    <w:p w14:paraId="6A5A786D" w14:textId="77777777" w:rsidR="000F098E" w:rsidRDefault="000F098E" w:rsidP="00EF6711">
      <w:pPr>
        <w:pStyle w:val="Paragrafoelenco"/>
        <w:spacing w:after="0" w:line="240" w:lineRule="auto"/>
        <w:ind w:left="0"/>
        <w:jc w:val="both"/>
        <w:rPr>
          <w:rFonts w:ascii="Calibri" w:hAnsi="Calibri"/>
        </w:rPr>
      </w:pPr>
    </w:p>
    <w:p w14:paraId="3FF77E07" w14:textId="4327D671" w:rsidR="001A2AFC" w:rsidRDefault="004E5A39" w:rsidP="00EF6711">
      <w:pPr>
        <w:pStyle w:val="Paragrafoelenco"/>
        <w:spacing w:after="0" w:line="240" w:lineRule="auto"/>
        <w:ind w:left="0"/>
        <w:jc w:val="both"/>
        <w:rPr>
          <w:rFonts w:ascii="Calibri" w:hAnsi="Calibri"/>
        </w:rPr>
      </w:pPr>
      <w:r w:rsidRPr="00F73FFB">
        <w:rPr>
          <w:rFonts w:ascii="Calibri" w:hAnsi="Calibri"/>
        </w:rPr>
        <w:t>Azioni routinarie di farmacovigilanza e di minimizzazione del rischio sono proposte per tutte le problematiche di sicurezza.</w:t>
      </w:r>
    </w:p>
    <w:p w14:paraId="248672B2" w14:textId="0E53CD4B" w:rsidR="004E5A39" w:rsidRPr="00F73FFB" w:rsidRDefault="004E5A39" w:rsidP="00EF6711">
      <w:pPr>
        <w:pStyle w:val="Paragrafoelenco"/>
        <w:spacing w:after="0" w:line="240" w:lineRule="auto"/>
        <w:ind w:left="0"/>
        <w:jc w:val="both"/>
        <w:rPr>
          <w:rFonts w:ascii="Calibri" w:hAnsi="Calibri"/>
        </w:rPr>
      </w:pPr>
      <w:r w:rsidRPr="00F73FFB">
        <w:rPr>
          <w:rFonts w:ascii="Calibri" w:hAnsi="Calibri"/>
        </w:rPr>
        <w:t xml:space="preserve">Oltre le misure previste nel Riassunto delle caratteristiche del prodotto </w:t>
      </w:r>
      <w:r w:rsidR="005C3F9D" w:rsidRPr="00F73FFB">
        <w:rPr>
          <w:rFonts w:ascii="Calibri" w:hAnsi="Calibri"/>
        </w:rPr>
        <w:t xml:space="preserve">per </w:t>
      </w:r>
      <w:r w:rsidR="00E52B80" w:rsidRPr="00F73FFB">
        <w:rPr>
          <w:rFonts w:ascii="Calibri" w:hAnsi="Calibri"/>
        </w:rPr>
        <w:t>IBUMENOL</w:t>
      </w:r>
      <w:r w:rsidR="005C3F9D" w:rsidRPr="00F73FFB">
        <w:rPr>
          <w:rFonts w:ascii="Calibri" w:hAnsi="Calibri"/>
        </w:rPr>
        <w:t xml:space="preserve"> </w:t>
      </w:r>
      <w:r w:rsidRPr="00F73FFB">
        <w:rPr>
          <w:rFonts w:ascii="Calibri" w:hAnsi="Calibri"/>
        </w:rPr>
        <w:t>non sono previste attività addizionali di minimizzazione del rischio</w:t>
      </w:r>
      <w:r w:rsidR="005C3F9D" w:rsidRPr="00F73FFB">
        <w:rPr>
          <w:rFonts w:ascii="Calibri" w:hAnsi="Calibri"/>
        </w:rPr>
        <w:t>.</w:t>
      </w:r>
    </w:p>
    <w:p w14:paraId="54EAE197" w14:textId="77777777" w:rsidR="004E5A39" w:rsidRPr="00F73FFB" w:rsidRDefault="004E5A39" w:rsidP="00EF6711">
      <w:pPr>
        <w:pStyle w:val="Paragrafoelenco"/>
        <w:spacing w:after="0" w:line="240" w:lineRule="auto"/>
        <w:ind w:left="0"/>
        <w:jc w:val="both"/>
        <w:rPr>
          <w:rFonts w:ascii="Calibri" w:hAnsi="Calibri"/>
        </w:rPr>
      </w:pPr>
    </w:p>
    <w:p w14:paraId="532F8B59" w14:textId="77777777" w:rsidR="004E5A39" w:rsidRPr="000241E9" w:rsidRDefault="004E5A39" w:rsidP="00EF6711">
      <w:pPr>
        <w:pStyle w:val="Paragrafoelenco"/>
        <w:spacing w:after="0" w:line="240" w:lineRule="auto"/>
        <w:ind w:left="0"/>
        <w:jc w:val="both"/>
        <w:rPr>
          <w:rFonts w:ascii="Calibri" w:hAnsi="Calibri"/>
          <w:b/>
        </w:rPr>
      </w:pPr>
      <w:r w:rsidRPr="000241E9">
        <w:rPr>
          <w:rFonts w:ascii="Calibri" w:hAnsi="Calibri"/>
          <w:b/>
        </w:rPr>
        <w:t>Conclusioni</w:t>
      </w:r>
    </w:p>
    <w:p w14:paraId="5563C44F" w14:textId="77777777" w:rsidR="001A2AFC" w:rsidRDefault="004E5A39" w:rsidP="00EF6711">
      <w:pPr>
        <w:pStyle w:val="Paragrafoelenco"/>
        <w:spacing w:after="0" w:line="240" w:lineRule="auto"/>
        <w:ind w:left="0"/>
        <w:jc w:val="both"/>
        <w:rPr>
          <w:rFonts w:ascii="Calibri" w:hAnsi="Calibri"/>
        </w:rPr>
      </w:pPr>
      <w:r w:rsidRPr="000241E9">
        <w:rPr>
          <w:rFonts w:ascii="Calibri" w:hAnsi="Calibri"/>
        </w:rPr>
        <w:t xml:space="preserve">Per la richiesta di AIC di </w:t>
      </w:r>
      <w:r w:rsidR="00E52B80" w:rsidRPr="000241E9">
        <w:rPr>
          <w:rFonts w:ascii="Calibri" w:eastAsia="Calibri" w:hAnsi="Calibri" w:cs="Calibri"/>
          <w:color w:val="000000"/>
        </w:rPr>
        <w:t>IBUMENOL</w:t>
      </w:r>
      <w:r w:rsidR="00BE7CDB" w:rsidRPr="000241E9">
        <w:rPr>
          <w:rFonts w:ascii="Calibri" w:eastAsia="Calibri" w:hAnsi="Calibri" w:cs="Calibri"/>
          <w:color w:val="000000"/>
        </w:rPr>
        <w:t xml:space="preserve"> </w:t>
      </w:r>
      <w:r w:rsidRPr="000241E9">
        <w:rPr>
          <w:rFonts w:ascii="Calibri" w:hAnsi="Calibri"/>
        </w:rPr>
        <w:t>sono state presentate sufficienti informazioni cliniche.</w:t>
      </w:r>
    </w:p>
    <w:p w14:paraId="6201A5F4" w14:textId="5202EDA5" w:rsidR="004E5A39" w:rsidRPr="000241E9" w:rsidRDefault="004E5A39" w:rsidP="00EF6711">
      <w:pPr>
        <w:pStyle w:val="Paragrafoelenco"/>
        <w:spacing w:after="0" w:line="240" w:lineRule="auto"/>
        <w:ind w:left="0"/>
        <w:jc w:val="both"/>
        <w:rPr>
          <w:rFonts w:ascii="Calibri" w:hAnsi="Calibri"/>
        </w:rPr>
      </w:pPr>
      <w:r w:rsidRPr="000241E9">
        <w:rPr>
          <w:rFonts w:ascii="Calibri" w:hAnsi="Calibri"/>
        </w:rPr>
        <w:t xml:space="preserve">Il rapporto beneficio/rischio di </w:t>
      </w:r>
      <w:r w:rsidR="00E52B80" w:rsidRPr="000241E9">
        <w:rPr>
          <w:rFonts w:ascii="Calibri" w:eastAsia="Calibri" w:hAnsi="Calibri" w:cs="Calibri"/>
          <w:color w:val="000000"/>
        </w:rPr>
        <w:t>IBUMENOL</w:t>
      </w:r>
      <w:r w:rsidR="00BE7CDB" w:rsidRPr="000241E9">
        <w:rPr>
          <w:rFonts w:ascii="Calibri" w:eastAsia="Calibri" w:hAnsi="Calibri" w:cs="Calibri"/>
          <w:color w:val="000000"/>
        </w:rPr>
        <w:t xml:space="preserve"> </w:t>
      </w:r>
      <w:r w:rsidRPr="000241E9">
        <w:rPr>
          <w:rFonts w:ascii="Calibri" w:hAnsi="Calibri"/>
        </w:rPr>
        <w:t>è considerato favorevole dal punto di vista clinico.</w:t>
      </w:r>
    </w:p>
    <w:p w14:paraId="74486C8F" w14:textId="77777777" w:rsidR="004E5A39" w:rsidRPr="000241E9" w:rsidRDefault="004E5A39" w:rsidP="00EF6711">
      <w:pPr>
        <w:pStyle w:val="Paragrafoelenco"/>
        <w:spacing w:after="0" w:line="240" w:lineRule="auto"/>
        <w:ind w:left="0"/>
        <w:jc w:val="both"/>
        <w:rPr>
          <w:rFonts w:ascii="Calibri" w:hAnsi="Calibri"/>
        </w:rPr>
      </w:pPr>
    </w:p>
    <w:p w14:paraId="1979B1DF" w14:textId="38CC42F1" w:rsidR="000C7E5F" w:rsidRPr="00FF528B" w:rsidRDefault="000C7E5F">
      <w:pPr>
        <w:rPr>
          <w:rFonts w:ascii="Calibri" w:hAnsi="Calibri"/>
          <w:highlight w:val="yellow"/>
        </w:rPr>
      </w:pPr>
      <w:r w:rsidRPr="00FF528B">
        <w:rPr>
          <w:rFonts w:ascii="Calibri" w:hAnsi="Calibri"/>
          <w:highlight w:val="yellow"/>
        </w:rPr>
        <w:br w:type="page"/>
      </w:r>
    </w:p>
    <w:p w14:paraId="6CA97EAB" w14:textId="77777777" w:rsidR="004E5A39" w:rsidRPr="005410EF" w:rsidRDefault="004E5A39" w:rsidP="00EF6711">
      <w:pPr>
        <w:pStyle w:val="Paragrafoelenco"/>
        <w:numPr>
          <w:ilvl w:val="0"/>
          <w:numId w:val="2"/>
        </w:numPr>
        <w:spacing w:after="0" w:line="240" w:lineRule="auto"/>
        <w:jc w:val="both"/>
        <w:rPr>
          <w:rFonts w:ascii="Calibri" w:hAnsi="Calibri"/>
          <w:b/>
          <w:sz w:val="24"/>
          <w:szCs w:val="24"/>
        </w:rPr>
      </w:pPr>
      <w:r w:rsidRPr="005410EF">
        <w:rPr>
          <w:rFonts w:ascii="Calibri" w:hAnsi="Calibri"/>
          <w:b/>
          <w:sz w:val="24"/>
          <w:szCs w:val="24"/>
        </w:rPr>
        <w:lastRenderedPageBreak/>
        <w:t>CONSULTAZIONE SUL FOGLIO ILLUSTRATIVO</w:t>
      </w:r>
    </w:p>
    <w:p w14:paraId="3D6D4AFA" w14:textId="77777777" w:rsidR="004E5A39" w:rsidRPr="005410EF" w:rsidRDefault="004E5A39" w:rsidP="00EF6711">
      <w:pPr>
        <w:spacing w:after="0" w:line="240" w:lineRule="auto"/>
        <w:jc w:val="both"/>
        <w:rPr>
          <w:rFonts w:ascii="Calibri" w:hAnsi="Calibri"/>
        </w:rPr>
      </w:pPr>
      <w:r w:rsidRPr="005410EF">
        <w:rPr>
          <w:rFonts w:ascii="Calibri" w:hAnsi="Calibri"/>
        </w:rPr>
        <w:t>Il foglio illustrativo è stato sottoposto al test di leggibilità in accordo ai requisiti dell’art. 59(3) e 61(1) della direttiva 2001/83/EU s.m.i. i risultati del test hanno dimostrato che il foglio illustrativo corrisponde ai criteri imposti dalla linea guida sulla leggibilità di etichetta e foglio illustrativo dei medicinali per uso umano.</w:t>
      </w:r>
    </w:p>
    <w:p w14:paraId="24E21F2E" w14:textId="77777777" w:rsidR="004E5A39" w:rsidRPr="005410EF" w:rsidRDefault="004E5A39" w:rsidP="00EF6711">
      <w:pPr>
        <w:pStyle w:val="Paragrafoelenco"/>
        <w:spacing w:after="0" w:line="240" w:lineRule="auto"/>
        <w:ind w:left="0"/>
        <w:jc w:val="both"/>
        <w:rPr>
          <w:rFonts w:ascii="Calibri" w:hAnsi="Calibri"/>
        </w:rPr>
      </w:pPr>
    </w:p>
    <w:p w14:paraId="11D2F0B2" w14:textId="77777777" w:rsidR="004E5A39" w:rsidRPr="005410EF" w:rsidRDefault="004E5A39" w:rsidP="00EF6711">
      <w:pPr>
        <w:spacing w:after="0" w:line="240" w:lineRule="auto"/>
        <w:jc w:val="both"/>
        <w:rPr>
          <w:rFonts w:ascii="Calibri" w:hAnsi="Calibri"/>
        </w:rPr>
      </w:pPr>
    </w:p>
    <w:p w14:paraId="64688CFE" w14:textId="77777777" w:rsidR="004E5A39" w:rsidRPr="00FD2C32" w:rsidRDefault="004E5A39" w:rsidP="00EF6711">
      <w:pPr>
        <w:pStyle w:val="Paragrafoelenco"/>
        <w:numPr>
          <w:ilvl w:val="0"/>
          <w:numId w:val="2"/>
        </w:numPr>
        <w:spacing w:after="0" w:line="240" w:lineRule="auto"/>
        <w:jc w:val="both"/>
        <w:rPr>
          <w:rFonts w:ascii="Calibri" w:hAnsi="Calibri"/>
          <w:b/>
        </w:rPr>
      </w:pPr>
      <w:r w:rsidRPr="00FD2C32">
        <w:rPr>
          <w:rFonts w:ascii="Calibri" w:hAnsi="Calibri"/>
          <w:b/>
        </w:rPr>
        <w:t>CONCLUSIONI, VALUTAZIONE DEL RAPPORTO BENEFICIO/RISCHIO E RACCOMANDAZIONI</w:t>
      </w:r>
    </w:p>
    <w:p w14:paraId="5FD73CE9" w14:textId="77777777" w:rsidR="00DA1809" w:rsidRDefault="004E5A39" w:rsidP="00EF6711">
      <w:pPr>
        <w:spacing w:after="0" w:line="240" w:lineRule="auto"/>
        <w:jc w:val="both"/>
        <w:rPr>
          <w:rFonts w:ascii="Calibri" w:hAnsi="Calibri"/>
        </w:rPr>
      </w:pPr>
      <w:r w:rsidRPr="00FD2C32">
        <w:rPr>
          <w:rFonts w:ascii="Calibri" w:hAnsi="Calibri"/>
        </w:rPr>
        <w:t xml:space="preserve">La qualità di </w:t>
      </w:r>
      <w:r w:rsidR="00E52B80" w:rsidRPr="00FD2C32">
        <w:rPr>
          <w:rFonts w:ascii="Calibri" w:eastAsia="Calibri" w:hAnsi="Calibri" w:cs="Calibri"/>
          <w:color w:val="000000"/>
        </w:rPr>
        <w:t>IBUMENOL</w:t>
      </w:r>
      <w:r w:rsidR="00BE7CDB" w:rsidRPr="00FD2C32">
        <w:rPr>
          <w:rFonts w:ascii="Calibri" w:eastAsia="Calibri" w:hAnsi="Calibri" w:cs="Calibri"/>
          <w:color w:val="000000"/>
        </w:rPr>
        <w:t xml:space="preserve"> </w:t>
      </w:r>
      <w:r w:rsidRPr="00FD2C32">
        <w:rPr>
          <w:rFonts w:ascii="Calibri" w:hAnsi="Calibri"/>
        </w:rPr>
        <w:t>è accettabile e non sono state rilevate criticità da un punto di vista non clinico e clinico.</w:t>
      </w:r>
    </w:p>
    <w:p w14:paraId="4F38802F" w14:textId="77777777" w:rsidR="00DA1809" w:rsidRPr="007B2390" w:rsidRDefault="00DA1809" w:rsidP="00DA1809">
      <w:pPr>
        <w:spacing w:after="0" w:line="240" w:lineRule="auto"/>
        <w:jc w:val="both"/>
        <w:rPr>
          <w:rFonts w:eastAsiaTheme="minorHAnsi"/>
          <w:lang w:eastAsia="en-US"/>
        </w:rPr>
      </w:pPr>
      <w:r w:rsidRPr="007B2390">
        <w:rPr>
          <w:rFonts w:eastAsiaTheme="minorHAnsi"/>
          <w:lang w:eastAsia="en-US"/>
        </w:rPr>
        <w:t xml:space="preserve">Lo studio di bioequivalenza e le sue conclusioni confermano che </w:t>
      </w:r>
      <w:r>
        <w:rPr>
          <w:rFonts w:eastAsia="Calibri" w:cs="Calibri"/>
          <w:color w:val="000000"/>
        </w:rPr>
        <w:t>IBUMENOL</w:t>
      </w:r>
      <w:r w:rsidRPr="007B2390">
        <w:rPr>
          <w:rFonts w:eastAsia="Calibri" w:cs="Calibri"/>
          <w:color w:val="000000"/>
        </w:rPr>
        <w:t xml:space="preserve"> </w:t>
      </w:r>
      <w:r w:rsidRPr="007B2390">
        <w:rPr>
          <w:rFonts w:eastAsiaTheme="minorHAnsi"/>
          <w:lang w:eastAsia="en-US"/>
        </w:rPr>
        <w:t xml:space="preserve">e il medicinale di riferimento </w:t>
      </w:r>
      <w:r>
        <w:rPr>
          <w:rFonts w:eastAsiaTheme="minorHAnsi"/>
          <w:lang w:eastAsia="en-US"/>
        </w:rPr>
        <w:t>NEOBRUFEN</w:t>
      </w:r>
      <w:r w:rsidRPr="007B2390">
        <w:rPr>
          <w:rFonts w:eastAsiaTheme="minorHAnsi"/>
          <w:lang w:eastAsia="en-US"/>
        </w:rPr>
        <w:t xml:space="preserve"> sono bioequivalenti.</w:t>
      </w:r>
    </w:p>
    <w:p w14:paraId="19F5CC2F" w14:textId="7706EDA1" w:rsidR="004E5A39" w:rsidRPr="00FD2C32" w:rsidRDefault="004E5A39" w:rsidP="00EF6711">
      <w:pPr>
        <w:spacing w:after="0" w:line="240" w:lineRule="auto"/>
        <w:jc w:val="both"/>
        <w:rPr>
          <w:rFonts w:ascii="Calibri" w:hAnsi="Calibri"/>
        </w:rPr>
      </w:pPr>
      <w:r w:rsidRPr="00FD2C32">
        <w:rPr>
          <w:rFonts w:ascii="Calibri" w:hAnsi="Calibri"/>
        </w:rPr>
        <w:t>Il rapporto beneficio/rischio è considerato positivo.</w:t>
      </w:r>
    </w:p>
    <w:p w14:paraId="05A6EDBC" w14:textId="77777777" w:rsidR="00CE62A1" w:rsidRPr="00BE17BB" w:rsidRDefault="004E5A39" w:rsidP="00EF6711">
      <w:pPr>
        <w:spacing w:after="0" w:line="240" w:lineRule="auto"/>
        <w:jc w:val="both"/>
        <w:rPr>
          <w:rFonts w:ascii="Calibri" w:eastAsia="Calibri" w:hAnsi="Calibri" w:cs="Calibri"/>
        </w:rPr>
      </w:pPr>
      <w:r w:rsidRPr="00FD2C32">
        <w:rPr>
          <w:rFonts w:ascii="Calibri" w:hAnsi="Calibri"/>
        </w:rPr>
        <w:t xml:space="preserve">Il riassunto delle caratteristiche del prodotto, il foglio illustrativo e le etichette sono in linea con le correnti linee guida. Questi documenti possono essere consultati sul sito istituzionale di AIFA </w:t>
      </w:r>
      <w:r w:rsidRPr="00FD2C32">
        <w:rPr>
          <w:rFonts w:ascii="Calibri" w:eastAsia="Calibri" w:hAnsi="Calibri" w:cs="Calibri"/>
        </w:rPr>
        <w:t>(</w:t>
      </w:r>
      <w:hyperlink r:id="rId14" w:history="1">
        <w:r w:rsidRPr="00FD2C32">
          <w:rPr>
            <w:rStyle w:val="Collegamentoipertestuale"/>
            <w:rFonts w:ascii="Calibri" w:eastAsia="Calibri" w:hAnsi="Calibri" w:cs="Calibri"/>
          </w:rPr>
          <w:t>https://farmaci.agenziafarmaco.gov.it/bancadatifarmaci</w:t>
        </w:r>
      </w:hyperlink>
      <w:r w:rsidRPr="00FD2C32">
        <w:rPr>
          <w:rFonts w:ascii="Calibri" w:eastAsia="Calibri" w:hAnsi="Calibri" w:cs="Calibri"/>
        </w:rPr>
        <w:t>).</w:t>
      </w:r>
    </w:p>
    <w:p w14:paraId="6FFB03C9" w14:textId="3664A41E" w:rsidR="00DA1809" w:rsidRDefault="00DA1809" w:rsidP="00EF6711">
      <w:pPr>
        <w:spacing w:after="0" w:line="240" w:lineRule="auto"/>
        <w:jc w:val="both"/>
        <w:rPr>
          <w:rFonts w:ascii="Calibri" w:eastAsia="Calibri" w:hAnsi="Calibri" w:cs="Calibri"/>
        </w:rPr>
      </w:pPr>
    </w:p>
    <w:p w14:paraId="063F5CC2" w14:textId="77777777" w:rsidR="00DA1809" w:rsidRPr="00DA1809" w:rsidRDefault="00DA1809" w:rsidP="00DA1809">
      <w:pPr>
        <w:rPr>
          <w:rFonts w:ascii="Calibri" w:eastAsia="Calibri" w:hAnsi="Calibri" w:cs="Calibri"/>
        </w:rPr>
      </w:pPr>
    </w:p>
    <w:p w14:paraId="00C57E1E" w14:textId="77777777" w:rsidR="00DA1809" w:rsidRPr="00DA1809" w:rsidRDefault="00DA1809" w:rsidP="00DA1809">
      <w:pPr>
        <w:rPr>
          <w:rFonts w:ascii="Calibri" w:eastAsia="Calibri" w:hAnsi="Calibri" w:cs="Calibri"/>
        </w:rPr>
      </w:pPr>
    </w:p>
    <w:p w14:paraId="67248055" w14:textId="77777777" w:rsidR="00DA1809" w:rsidRPr="00DA1809" w:rsidRDefault="00DA1809" w:rsidP="00DA1809">
      <w:pPr>
        <w:rPr>
          <w:rFonts w:ascii="Calibri" w:eastAsia="Calibri" w:hAnsi="Calibri" w:cs="Calibri"/>
        </w:rPr>
      </w:pPr>
    </w:p>
    <w:p w14:paraId="32096290" w14:textId="77777777" w:rsidR="00DA1809" w:rsidRPr="00DA1809" w:rsidRDefault="00DA1809" w:rsidP="00DA1809">
      <w:pPr>
        <w:rPr>
          <w:rFonts w:ascii="Calibri" w:eastAsia="Calibri" w:hAnsi="Calibri" w:cs="Calibri"/>
        </w:rPr>
      </w:pPr>
    </w:p>
    <w:p w14:paraId="68360B1D" w14:textId="77777777" w:rsidR="00DA1809" w:rsidRPr="00DA1809" w:rsidRDefault="00DA1809" w:rsidP="00DA1809">
      <w:pPr>
        <w:rPr>
          <w:rFonts w:ascii="Calibri" w:eastAsia="Calibri" w:hAnsi="Calibri" w:cs="Calibri"/>
        </w:rPr>
      </w:pPr>
    </w:p>
    <w:p w14:paraId="6DA426E7" w14:textId="77777777" w:rsidR="00DA1809" w:rsidRPr="00DA1809" w:rsidRDefault="00DA1809" w:rsidP="00DA1809">
      <w:pPr>
        <w:rPr>
          <w:rFonts w:ascii="Calibri" w:eastAsia="Calibri" w:hAnsi="Calibri" w:cs="Calibri"/>
        </w:rPr>
      </w:pPr>
    </w:p>
    <w:p w14:paraId="2BF2BC52" w14:textId="77777777" w:rsidR="00DA1809" w:rsidRPr="00DA1809" w:rsidRDefault="00DA1809" w:rsidP="00DA1809">
      <w:pPr>
        <w:rPr>
          <w:rFonts w:ascii="Calibri" w:eastAsia="Calibri" w:hAnsi="Calibri" w:cs="Calibri"/>
        </w:rPr>
      </w:pPr>
    </w:p>
    <w:p w14:paraId="284D6B80" w14:textId="77777777" w:rsidR="00DA1809" w:rsidRPr="00DA1809" w:rsidRDefault="00DA1809" w:rsidP="00DA1809">
      <w:pPr>
        <w:rPr>
          <w:rFonts w:ascii="Calibri" w:eastAsia="Calibri" w:hAnsi="Calibri" w:cs="Calibri"/>
        </w:rPr>
      </w:pPr>
    </w:p>
    <w:p w14:paraId="5467D7CF" w14:textId="77777777" w:rsidR="00DA1809" w:rsidRPr="00DA1809" w:rsidRDefault="00DA1809" w:rsidP="00DA1809">
      <w:pPr>
        <w:rPr>
          <w:rFonts w:ascii="Calibri" w:eastAsia="Calibri" w:hAnsi="Calibri" w:cs="Calibri"/>
        </w:rPr>
      </w:pPr>
    </w:p>
    <w:p w14:paraId="561BBAA4" w14:textId="77777777" w:rsidR="00DA1809" w:rsidRPr="00DA1809" w:rsidRDefault="00DA1809" w:rsidP="00DA1809">
      <w:pPr>
        <w:rPr>
          <w:rFonts w:ascii="Calibri" w:eastAsia="Calibri" w:hAnsi="Calibri" w:cs="Calibri"/>
        </w:rPr>
      </w:pPr>
    </w:p>
    <w:p w14:paraId="5EC6EB61" w14:textId="77777777" w:rsidR="00DA1809" w:rsidRPr="00DA1809" w:rsidRDefault="00DA1809" w:rsidP="00DA1809">
      <w:pPr>
        <w:rPr>
          <w:rFonts w:ascii="Calibri" w:eastAsia="Calibri" w:hAnsi="Calibri" w:cs="Calibri"/>
        </w:rPr>
      </w:pPr>
    </w:p>
    <w:p w14:paraId="22285676" w14:textId="77777777" w:rsidR="00DA1809" w:rsidRPr="00DA1809" w:rsidRDefault="00DA1809" w:rsidP="00DA1809">
      <w:pPr>
        <w:rPr>
          <w:rFonts w:ascii="Calibri" w:eastAsia="Calibri" w:hAnsi="Calibri" w:cs="Calibri"/>
        </w:rPr>
      </w:pPr>
    </w:p>
    <w:p w14:paraId="3C435159" w14:textId="77777777" w:rsidR="00DA1809" w:rsidRPr="00DA1809" w:rsidRDefault="00DA1809" w:rsidP="00DA1809">
      <w:pPr>
        <w:rPr>
          <w:rFonts w:ascii="Calibri" w:eastAsia="Calibri" w:hAnsi="Calibri" w:cs="Calibri"/>
        </w:rPr>
      </w:pPr>
    </w:p>
    <w:p w14:paraId="4639A255" w14:textId="77777777" w:rsidR="00DA1809" w:rsidRPr="00DA1809" w:rsidRDefault="00DA1809" w:rsidP="00DA1809">
      <w:pPr>
        <w:rPr>
          <w:rFonts w:ascii="Calibri" w:eastAsia="Calibri" w:hAnsi="Calibri" w:cs="Calibri"/>
        </w:rPr>
      </w:pPr>
    </w:p>
    <w:p w14:paraId="4CC31DD4" w14:textId="77777777" w:rsidR="00DA1809" w:rsidRPr="00DA1809" w:rsidRDefault="00DA1809" w:rsidP="00DA1809">
      <w:pPr>
        <w:rPr>
          <w:rFonts w:ascii="Calibri" w:eastAsia="Calibri" w:hAnsi="Calibri" w:cs="Calibri"/>
        </w:rPr>
      </w:pPr>
    </w:p>
    <w:p w14:paraId="0CD9A099" w14:textId="77777777" w:rsidR="00DA1809" w:rsidRPr="00DA1809" w:rsidRDefault="00DA1809" w:rsidP="00DA1809">
      <w:pPr>
        <w:rPr>
          <w:rFonts w:ascii="Calibri" w:eastAsia="Calibri" w:hAnsi="Calibri" w:cs="Calibri"/>
        </w:rPr>
      </w:pPr>
    </w:p>
    <w:p w14:paraId="64499E15" w14:textId="77777777" w:rsidR="00DA1809" w:rsidRPr="00DA1809" w:rsidRDefault="00DA1809" w:rsidP="00DA1809">
      <w:pPr>
        <w:rPr>
          <w:rFonts w:ascii="Calibri" w:eastAsia="Calibri" w:hAnsi="Calibri" w:cs="Calibri"/>
        </w:rPr>
      </w:pPr>
    </w:p>
    <w:p w14:paraId="4D129209" w14:textId="77777777" w:rsidR="00DA1809" w:rsidRPr="00DA1809" w:rsidRDefault="00DA1809" w:rsidP="00DA1809">
      <w:pPr>
        <w:rPr>
          <w:rFonts w:ascii="Calibri" w:eastAsia="Calibri" w:hAnsi="Calibri" w:cs="Calibri"/>
        </w:rPr>
      </w:pPr>
    </w:p>
    <w:p w14:paraId="339A1C4B" w14:textId="77777777" w:rsidR="00DA1809" w:rsidRPr="00DA1809" w:rsidRDefault="00DA1809" w:rsidP="00DA1809">
      <w:pPr>
        <w:rPr>
          <w:rFonts w:ascii="Calibri" w:eastAsia="Calibri" w:hAnsi="Calibri" w:cs="Calibri"/>
        </w:rPr>
      </w:pPr>
    </w:p>
    <w:sectPr w:rsidR="00DA1809" w:rsidRPr="00DA1809" w:rsidSect="00141353">
      <w:footerReference w:type="default" r:id="rId15"/>
      <w:pgSz w:w="11906" w:h="16838"/>
      <w:pgMar w:top="1418" w:right="1021" w:bottom="1021" w:left="1021" w:header="709" w:footer="73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DE38B3" w16cid:durableId="22935476"/>
  <w16cid:commentId w16cid:paraId="39D15ADD" w16cid:durableId="2293424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ECD883" w14:textId="77777777" w:rsidR="004261D8" w:rsidRDefault="004261D8" w:rsidP="00E95587">
      <w:pPr>
        <w:spacing w:after="0" w:line="240" w:lineRule="auto"/>
      </w:pPr>
      <w:r>
        <w:separator/>
      </w:r>
    </w:p>
  </w:endnote>
  <w:endnote w:type="continuationSeparator" w:id="0">
    <w:p w14:paraId="200AE029" w14:textId="77777777" w:rsidR="004261D8" w:rsidRDefault="004261D8" w:rsidP="00E95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jaVuSans">
    <w:altName w:val="MS Mincho"/>
    <w:panose1 w:val="00000000000000000000"/>
    <w:charset w:val="80"/>
    <w:family w:val="auto"/>
    <w:notTrueType/>
    <w:pitch w:val="default"/>
    <w:sig w:usb0="00000003" w:usb1="08070000" w:usb2="00000010" w:usb3="00000000" w:csb0="00020001"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96A5F" w14:textId="47C4B857" w:rsidR="00E95587" w:rsidRDefault="00E95587" w:rsidP="00E95587">
    <w:pPr>
      <w:pStyle w:val="Pidipagina"/>
      <w:jc w:val="right"/>
      <w:rPr>
        <w:rStyle w:val="Numeropagina"/>
        <w:rFonts w:ascii="Calibri" w:hAnsi="Calibri"/>
        <w:sz w:val="16"/>
        <w:szCs w:val="16"/>
      </w:rPr>
    </w:pPr>
    <w:r>
      <w:rPr>
        <w:rFonts w:ascii="Calibri" w:hAnsi="Calibri"/>
        <w:sz w:val="16"/>
        <w:szCs w:val="16"/>
      </w:rPr>
      <w:t xml:space="preserve">Pagina </w:t>
    </w:r>
    <w:r>
      <w:rPr>
        <w:rStyle w:val="Numeropagina"/>
        <w:rFonts w:ascii="Calibri" w:hAnsi="Calibri"/>
        <w:sz w:val="16"/>
        <w:szCs w:val="16"/>
      </w:rPr>
      <w:fldChar w:fldCharType="begin"/>
    </w:r>
    <w:r>
      <w:rPr>
        <w:rStyle w:val="Numeropagina"/>
        <w:rFonts w:ascii="Calibri" w:hAnsi="Calibri"/>
        <w:sz w:val="16"/>
        <w:szCs w:val="16"/>
      </w:rPr>
      <w:instrText xml:space="preserve"> PAGE </w:instrText>
    </w:r>
    <w:r>
      <w:rPr>
        <w:rStyle w:val="Numeropagina"/>
        <w:rFonts w:ascii="Calibri" w:hAnsi="Calibri"/>
        <w:sz w:val="16"/>
        <w:szCs w:val="16"/>
      </w:rPr>
      <w:fldChar w:fldCharType="separate"/>
    </w:r>
    <w:r w:rsidR="003D0F9B">
      <w:rPr>
        <w:rStyle w:val="Numeropagina"/>
        <w:rFonts w:ascii="Calibri" w:hAnsi="Calibri"/>
        <w:noProof/>
        <w:sz w:val="16"/>
        <w:szCs w:val="16"/>
      </w:rPr>
      <w:t>11</w:t>
    </w:r>
    <w:r>
      <w:rPr>
        <w:rStyle w:val="Numeropagina"/>
        <w:rFonts w:ascii="Calibri" w:hAnsi="Calibri"/>
        <w:sz w:val="16"/>
        <w:szCs w:val="16"/>
      </w:rPr>
      <w:fldChar w:fldCharType="end"/>
    </w:r>
    <w:r>
      <w:rPr>
        <w:rStyle w:val="Numeropagina"/>
        <w:rFonts w:ascii="Calibri" w:hAnsi="Calibri"/>
        <w:sz w:val="16"/>
        <w:szCs w:val="16"/>
      </w:rPr>
      <w:t xml:space="preserve"> di </w:t>
    </w:r>
    <w:r w:rsidR="00907A3F">
      <w:rPr>
        <w:rStyle w:val="Numeropagina"/>
        <w:rFonts w:ascii="Calibri" w:hAnsi="Calibri"/>
        <w:sz w:val="16"/>
        <w:szCs w:val="16"/>
      </w:rPr>
      <w:t>1</w:t>
    </w:r>
    <w:r w:rsidR="00DA1809">
      <w:rPr>
        <w:rStyle w:val="Numeropagina"/>
        <w:rFonts w:ascii="Calibri" w:hAnsi="Calibri"/>
        <w:sz w:val="16"/>
        <w:szCs w:val="16"/>
      </w:rPr>
      <w:t>1</w:t>
    </w:r>
  </w:p>
  <w:p w14:paraId="646090E0" w14:textId="78FB33AE" w:rsidR="00E95587" w:rsidRDefault="00FF528B" w:rsidP="00141353">
    <w:pPr>
      <w:pStyle w:val="Pidipagina"/>
      <w:jc w:val="right"/>
    </w:pPr>
    <w:r>
      <w:rPr>
        <w:noProof/>
      </w:rPr>
      <w:drawing>
        <wp:anchor distT="0" distB="0" distL="114300" distR="114300" simplePos="0" relativeHeight="251658240" behindDoc="1" locked="0" layoutInCell="1" allowOverlap="1" wp14:anchorId="519CF56F" wp14:editId="52856C7D">
          <wp:simplePos x="0" y="0"/>
          <wp:positionH relativeFrom="page">
            <wp:posOffset>-56515</wp:posOffset>
          </wp:positionH>
          <wp:positionV relativeFrom="page">
            <wp:posOffset>9947275</wp:posOffset>
          </wp:positionV>
          <wp:extent cx="7562215" cy="788035"/>
          <wp:effectExtent l="0" t="0" r="635" b="0"/>
          <wp:wrapNone/>
          <wp:docPr id="20"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magine 1"/>
                  <pic:cNvPicPr>
                    <a:picLocks/>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2215" cy="78803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31B0A" w14:textId="77777777" w:rsidR="004261D8" w:rsidRDefault="004261D8" w:rsidP="00E95587">
      <w:pPr>
        <w:spacing w:after="0" w:line="240" w:lineRule="auto"/>
      </w:pPr>
      <w:r>
        <w:separator/>
      </w:r>
    </w:p>
  </w:footnote>
  <w:footnote w:type="continuationSeparator" w:id="0">
    <w:p w14:paraId="19EFF4E8" w14:textId="77777777" w:rsidR="004261D8" w:rsidRDefault="004261D8" w:rsidP="00E955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7FB5"/>
    <w:multiLevelType w:val="hybridMultilevel"/>
    <w:tmpl w:val="0C5A3A2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40C02BC"/>
    <w:multiLevelType w:val="hybridMultilevel"/>
    <w:tmpl w:val="117649E2"/>
    <w:lvl w:ilvl="0" w:tplc="38265478">
      <w:numFmt w:val="bullet"/>
      <w:lvlText w:val="-"/>
      <w:lvlJc w:val="left"/>
      <w:pPr>
        <w:ind w:left="454" w:hanging="170"/>
      </w:pPr>
      <w:rPr>
        <w:rFonts w:ascii="Calibri" w:eastAsiaTheme="minorHAns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577EED"/>
    <w:multiLevelType w:val="hybridMultilevel"/>
    <w:tmpl w:val="E2CC59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9B72EE8"/>
    <w:multiLevelType w:val="hybridMultilevel"/>
    <w:tmpl w:val="59E066C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435766"/>
    <w:multiLevelType w:val="hybridMultilevel"/>
    <w:tmpl w:val="7CDEB2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61B45B6"/>
    <w:multiLevelType w:val="hybridMultilevel"/>
    <w:tmpl w:val="23AE0B1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4A891CF4"/>
    <w:multiLevelType w:val="hybridMultilevel"/>
    <w:tmpl w:val="D3CA8F4C"/>
    <w:lvl w:ilvl="0" w:tplc="FE049DD0">
      <w:start w:val="1"/>
      <w:numFmt w:val="upperRoman"/>
      <w:lvlText w:val="%1."/>
      <w:lvlJc w:val="left"/>
      <w:pPr>
        <w:ind w:left="1800" w:hanging="720"/>
      </w:pPr>
      <w:rPr>
        <w:rFonts w:hint="default"/>
        <w:sz w:val="24"/>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5B476C5B"/>
    <w:multiLevelType w:val="multilevel"/>
    <w:tmpl w:val="7BD06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1"/>
  </w:num>
  <w:num w:numId="4">
    <w:abstractNumId w:val="6"/>
  </w:num>
  <w:num w:numId="5">
    <w:abstractNumId w:val="5"/>
  </w:num>
  <w:num w:numId="6">
    <w:abstractNumId w:val="10"/>
  </w:num>
  <w:num w:numId="7">
    <w:abstractNumId w:val="0"/>
  </w:num>
  <w:num w:numId="8">
    <w:abstractNumId w:val="8"/>
  </w:num>
  <w:num w:numId="9">
    <w:abstractNumId w:val="3"/>
  </w:num>
  <w:num w:numId="10">
    <w:abstractNumId w:val="7"/>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01D3E"/>
    <w:rsid w:val="0000502F"/>
    <w:rsid w:val="00013020"/>
    <w:rsid w:val="00014743"/>
    <w:rsid w:val="0002093F"/>
    <w:rsid w:val="00022511"/>
    <w:rsid w:val="00023CEA"/>
    <w:rsid w:val="000241E9"/>
    <w:rsid w:val="000317B2"/>
    <w:rsid w:val="00035315"/>
    <w:rsid w:val="00040DD9"/>
    <w:rsid w:val="000527E2"/>
    <w:rsid w:val="00052C23"/>
    <w:rsid w:val="00062636"/>
    <w:rsid w:val="0006488F"/>
    <w:rsid w:val="00075A5F"/>
    <w:rsid w:val="00077E41"/>
    <w:rsid w:val="000808A3"/>
    <w:rsid w:val="0009772C"/>
    <w:rsid w:val="000A4BA1"/>
    <w:rsid w:val="000A5C43"/>
    <w:rsid w:val="000B145C"/>
    <w:rsid w:val="000B160C"/>
    <w:rsid w:val="000B7AC8"/>
    <w:rsid w:val="000C034E"/>
    <w:rsid w:val="000C6F36"/>
    <w:rsid w:val="000C7E5F"/>
    <w:rsid w:val="000D341B"/>
    <w:rsid w:val="000D5036"/>
    <w:rsid w:val="000E1F86"/>
    <w:rsid w:val="000E2562"/>
    <w:rsid w:val="000E4494"/>
    <w:rsid w:val="000F098E"/>
    <w:rsid w:val="000F658F"/>
    <w:rsid w:val="00102B32"/>
    <w:rsid w:val="00111E9E"/>
    <w:rsid w:val="00112394"/>
    <w:rsid w:val="00113FCA"/>
    <w:rsid w:val="00115F89"/>
    <w:rsid w:val="00116FAF"/>
    <w:rsid w:val="001178D8"/>
    <w:rsid w:val="00125E33"/>
    <w:rsid w:val="00125ED8"/>
    <w:rsid w:val="0013451A"/>
    <w:rsid w:val="00141353"/>
    <w:rsid w:val="001460CA"/>
    <w:rsid w:val="0014735C"/>
    <w:rsid w:val="00161775"/>
    <w:rsid w:val="001618FF"/>
    <w:rsid w:val="001645D7"/>
    <w:rsid w:val="00170C51"/>
    <w:rsid w:val="00173AB8"/>
    <w:rsid w:val="00177F49"/>
    <w:rsid w:val="00184524"/>
    <w:rsid w:val="00187B2F"/>
    <w:rsid w:val="00194D8F"/>
    <w:rsid w:val="00196752"/>
    <w:rsid w:val="001A2AFC"/>
    <w:rsid w:val="001B1A5F"/>
    <w:rsid w:val="001B217C"/>
    <w:rsid w:val="001C15DF"/>
    <w:rsid w:val="001D333A"/>
    <w:rsid w:val="001E073A"/>
    <w:rsid w:val="001E1D83"/>
    <w:rsid w:val="001F0AA8"/>
    <w:rsid w:val="001F2FB6"/>
    <w:rsid w:val="00222194"/>
    <w:rsid w:val="00222523"/>
    <w:rsid w:val="00233826"/>
    <w:rsid w:val="00247F0A"/>
    <w:rsid w:val="0026191F"/>
    <w:rsid w:val="0026320F"/>
    <w:rsid w:val="00265B61"/>
    <w:rsid w:val="00275851"/>
    <w:rsid w:val="00277A0E"/>
    <w:rsid w:val="002A162C"/>
    <w:rsid w:val="002C3B49"/>
    <w:rsid w:val="002D2387"/>
    <w:rsid w:val="002E2829"/>
    <w:rsid w:val="002F2543"/>
    <w:rsid w:val="002F4000"/>
    <w:rsid w:val="00300BEA"/>
    <w:rsid w:val="003061E0"/>
    <w:rsid w:val="00322188"/>
    <w:rsid w:val="0032291E"/>
    <w:rsid w:val="00330A82"/>
    <w:rsid w:val="00332166"/>
    <w:rsid w:val="003514DF"/>
    <w:rsid w:val="0035195E"/>
    <w:rsid w:val="00362900"/>
    <w:rsid w:val="00362DB1"/>
    <w:rsid w:val="00365716"/>
    <w:rsid w:val="00367CE0"/>
    <w:rsid w:val="00371290"/>
    <w:rsid w:val="00375909"/>
    <w:rsid w:val="0037665A"/>
    <w:rsid w:val="003928A0"/>
    <w:rsid w:val="003A3EB9"/>
    <w:rsid w:val="003A4910"/>
    <w:rsid w:val="003C1E95"/>
    <w:rsid w:val="003C489D"/>
    <w:rsid w:val="003D0F9B"/>
    <w:rsid w:val="003D7766"/>
    <w:rsid w:val="003F7A46"/>
    <w:rsid w:val="003F7D69"/>
    <w:rsid w:val="00400B94"/>
    <w:rsid w:val="00411802"/>
    <w:rsid w:val="00416833"/>
    <w:rsid w:val="0042214D"/>
    <w:rsid w:val="004232DB"/>
    <w:rsid w:val="00423A97"/>
    <w:rsid w:val="004241AC"/>
    <w:rsid w:val="004261D8"/>
    <w:rsid w:val="00427C1D"/>
    <w:rsid w:val="00432C60"/>
    <w:rsid w:val="004368FD"/>
    <w:rsid w:val="004418ED"/>
    <w:rsid w:val="00451480"/>
    <w:rsid w:val="0045477D"/>
    <w:rsid w:val="004609F8"/>
    <w:rsid w:val="00460E02"/>
    <w:rsid w:val="00461532"/>
    <w:rsid w:val="00462CDC"/>
    <w:rsid w:val="00467D2B"/>
    <w:rsid w:val="004703E1"/>
    <w:rsid w:val="0047120F"/>
    <w:rsid w:val="00482BC2"/>
    <w:rsid w:val="00492031"/>
    <w:rsid w:val="00494426"/>
    <w:rsid w:val="004B20A8"/>
    <w:rsid w:val="004C3D50"/>
    <w:rsid w:val="004C43BE"/>
    <w:rsid w:val="004D6490"/>
    <w:rsid w:val="004E5A39"/>
    <w:rsid w:val="004E7B55"/>
    <w:rsid w:val="004F5969"/>
    <w:rsid w:val="00500ACA"/>
    <w:rsid w:val="00504687"/>
    <w:rsid w:val="00504796"/>
    <w:rsid w:val="005049A1"/>
    <w:rsid w:val="00504FC1"/>
    <w:rsid w:val="0050655E"/>
    <w:rsid w:val="00507655"/>
    <w:rsid w:val="0051190B"/>
    <w:rsid w:val="00516286"/>
    <w:rsid w:val="00520216"/>
    <w:rsid w:val="005222A9"/>
    <w:rsid w:val="00522BED"/>
    <w:rsid w:val="00523B44"/>
    <w:rsid w:val="0052672F"/>
    <w:rsid w:val="0053410A"/>
    <w:rsid w:val="005410EF"/>
    <w:rsid w:val="005437AA"/>
    <w:rsid w:val="0056372C"/>
    <w:rsid w:val="00567615"/>
    <w:rsid w:val="00570A8B"/>
    <w:rsid w:val="00573995"/>
    <w:rsid w:val="00575C97"/>
    <w:rsid w:val="005917EC"/>
    <w:rsid w:val="005950D6"/>
    <w:rsid w:val="00597DFA"/>
    <w:rsid w:val="00597EE3"/>
    <w:rsid w:val="005C3F9D"/>
    <w:rsid w:val="005C4554"/>
    <w:rsid w:val="005C4AC0"/>
    <w:rsid w:val="005D0F7B"/>
    <w:rsid w:val="005F6388"/>
    <w:rsid w:val="00600B84"/>
    <w:rsid w:val="00614226"/>
    <w:rsid w:val="00616BFB"/>
    <w:rsid w:val="00621AE2"/>
    <w:rsid w:val="00631B8F"/>
    <w:rsid w:val="00641BE8"/>
    <w:rsid w:val="00642D6A"/>
    <w:rsid w:val="0064646C"/>
    <w:rsid w:val="00647E7C"/>
    <w:rsid w:val="00654D9E"/>
    <w:rsid w:val="006550E4"/>
    <w:rsid w:val="00664931"/>
    <w:rsid w:val="006727BD"/>
    <w:rsid w:val="00673E51"/>
    <w:rsid w:val="006770CF"/>
    <w:rsid w:val="00677530"/>
    <w:rsid w:val="006809D9"/>
    <w:rsid w:val="006857B1"/>
    <w:rsid w:val="006914B4"/>
    <w:rsid w:val="006970E2"/>
    <w:rsid w:val="00697EE7"/>
    <w:rsid w:val="006A6260"/>
    <w:rsid w:val="006B311C"/>
    <w:rsid w:val="006B3E12"/>
    <w:rsid w:val="006B5B8D"/>
    <w:rsid w:val="006D7B8C"/>
    <w:rsid w:val="006E1254"/>
    <w:rsid w:val="00701314"/>
    <w:rsid w:val="00702F18"/>
    <w:rsid w:val="0071101F"/>
    <w:rsid w:val="00716DF5"/>
    <w:rsid w:val="007170D7"/>
    <w:rsid w:val="007221B6"/>
    <w:rsid w:val="007277A2"/>
    <w:rsid w:val="0074089C"/>
    <w:rsid w:val="00745E21"/>
    <w:rsid w:val="007564C9"/>
    <w:rsid w:val="00766E26"/>
    <w:rsid w:val="00767716"/>
    <w:rsid w:val="007722E1"/>
    <w:rsid w:val="007743B7"/>
    <w:rsid w:val="00793ABA"/>
    <w:rsid w:val="00797416"/>
    <w:rsid w:val="007A00F4"/>
    <w:rsid w:val="007A61DC"/>
    <w:rsid w:val="007B65E4"/>
    <w:rsid w:val="007C0E5E"/>
    <w:rsid w:val="007C55A9"/>
    <w:rsid w:val="007C5C9B"/>
    <w:rsid w:val="007C6555"/>
    <w:rsid w:val="007D30B5"/>
    <w:rsid w:val="007E24DB"/>
    <w:rsid w:val="00800FF8"/>
    <w:rsid w:val="00807599"/>
    <w:rsid w:val="008216E0"/>
    <w:rsid w:val="00823F4C"/>
    <w:rsid w:val="008273E7"/>
    <w:rsid w:val="00832BF2"/>
    <w:rsid w:val="008476EF"/>
    <w:rsid w:val="00851296"/>
    <w:rsid w:val="00853594"/>
    <w:rsid w:val="008547B3"/>
    <w:rsid w:val="008743E4"/>
    <w:rsid w:val="00875308"/>
    <w:rsid w:val="008819D4"/>
    <w:rsid w:val="0088216F"/>
    <w:rsid w:val="008A6FEC"/>
    <w:rsid w:val="008B2AB7"/>
    <w:rsid w:val="008B3B44"/>
    <w:rsid w:val="008B60D7"/>
    <w:rsid w:val="008C3D30"/>
    <w:rsid w:val="008C6F30"/>
    <w:rsid w:val="008C741F"/>
    <w:rsid w:val="008C7468"/>
    <w:rsid w:val="008D10A9"/>
    <w:rsid w:val="008D1529"/>
    <w:rsid w:val="008E506D"/>
    <w:rsid w:val="008E603E"/>
    <w:rsid w:val="008E7C61"/>
    <w:rsid w:val="008F51CA"/>
    <w:rsid w:val="00901FC0"/>
    <w:rsid w:val="00902829"/>
    <w:rsid w:val="00907A3F"/>
    <w:rsid w:val="0091195B"/>
    <w:rsid w:val="00912346"/>
    <w:rsid w:val="00920D99"/>
    <w:rsid w:val="00927866"/>
    <w:rsid w:val="00931499"/>
    <w:rsid w:val="009415A8"/>
    <w:rsid w:val="00943785"/>
    <w:rsid w:val="00957832"/>
    <w:rsid w:val="00972649"/>
    <w:rsid w:val="009750F4"/>
    <w:rsid w:val="00983644"/>
    <w:rsid w:val="00983DBC"/>
    <w:rsid w:val="00996FB2"/>
    <w:rsid w:val="009A17AB"/>
    <w:rsid w:val="009A23DE"/>
    <w:rsid w:val="009A260F"/>
    <w:rsid w:val="009A433D"/>
    <w:rsid w:val="009A442F"/>
    <w:rsid w:val="009B03DB"/>
    <w:rsid w:val="009C20BD"/>
    <w:rsid w:val="009C6678"/>
    <w:rsid w:val="009D3446"/>
    <w:rsid w:val="009E0140"/>
    <w:rsid w:val="009E1EDF"/>
    <w:rsid w:val="009E2BC0"/>
    <w:rsid w:val="009E7DC1"/>
    <w:rsid w:val="009F1411"/>
    <w:rsid w:val="009F2C4C"/>
    <w:rsid w:val="009F3867"/>
    <w:rsid w:val="009F3F03"/>
    <w:rsid w:val="009F73B2"/>
    <w:rsid w:val="00A01AB1"/>
    <w:rsid w:val="00A05D07"/>
    <w:rsid w:val="00A1072E"/>
    <w:rsid w:val="00A153CE"/>
    <w:rsid w:val="00A17450"/>
    <w:rsid w:val="00A40FF3"/>
    <w:rsid w:val="00A42E57"/>
    <w:rsid w:val="00A62D2A"/>
    <w:rsid w:val="00A62D55"/>
    <w:rsid w:val="00A65BEE"/>
    <w:rsid w:val="00A711E4"/>
    <w:rsid w:val="00A74327"/>
    <w:rsid w:val="00A86DAE"/>
    <w:rsid w:val="00A87812"/>
    <w:rsid w:val="00A908B9"/>
    <w:rsid w:val="00A966D1"/>
    <w:rsid w:val="00AB0F1E"/>
    <w:rsid w:val="00AC7FB6"/>
    <w:rsid w:val="00AD201E"/>
    <w:rsid w:val="00AE7D25"/>
    <w:rsid w:val="00AF056F"/>
    <w:rsid w:val="00AF4C72"/>
    <w:rsid w:val="00B023E9"/>
    <w:rsid w:val="00B058F7"/>
    <w:rsid w:val="00B1186F"/>
    <w:rsid w:val="00B2068E"/>
    <w:rsid w:val="00B30431"/>
    <w:rsid w:val="00B34094"/>
    <w:rsid w:val="00B42F18"/>
    <w:rsid w:val="00B44DF6"/>
    <w:rsid w:val="00B72380"/>
    <w:rsid w:val="00B76D6C"/>
    <w:rsid w:val="00B82939"/>
    <w:rsid w:val="00B83FAE"/>
    <w:rsid w:val="00BA0ACD"/>
    <w:rsid w:val="00BA0AFB"/>
    <w:rsid w:val="00BA741D"/>
    <w:rsid w:val="00BB01FC"/>
    <w:rsid w:val="00BB2AF8"/>
    <w:rsid w:val="00BB7B54"/>
    <w:rsid w:val="00BC5590"/>
    <w:rsid w:val="00BC74C2"/>
    <w:rsid w:val="00BC7C8C"/>
    <w:rsid w:val="00BC7DEC"/>
    <w:rsid w:val="00BD46B8"/>
    <w:rsid w:val="00BE0662"/>
    <w:rsid w:val="00BE17BB"/>
    <w:rsid w:val="00BE3A0E"/>
    <w:rsid w:val="00BE7CDB"/>
    <w:rsid w:val="00BF2399"/>
    <w:rsid w:val="00BF2995"/>
    <w:rsid w:val="00BF2C86"/>
    <w:rsid w:val="00BF55B9"/>
    <w:rsid w:val="00BF560F"/>
    <w:rsid w:val="00BF7A42"/>
    <w:rsid w:val="00C073FE"/>
    <w:rsid w:val="00C10253"/>
    <w:rsid w:val="00C2565A"/>
    <w:rsid w:val="00C30A1D"/>
    <w:rsid w:val="00C34ECE"/>
    <w:rsid w:val="00C3688B"/>
    <w:rsid w:val="00C42AAC"/>
    <w:rsid w:val="00C66597"/>
    <w:rsid w:val="00C745B9"/>
    <w:rsid w:val="00C8385B"/>
    <w:rsid w:val="00C8461B"/>
    <w:rsid w:val="00C85763"/>
    <w:rsid w:val="00C95EC8"/>
    <w:rsid w:val="00CA36C6"/>
    <w:rsid w:val="00CB3761"/>
    <w:rsid w:val="00CC52A3"/>
    <w:rsid w:val="00CC7AFF"/>
    <w:rsid w:val="00CD75CD"/>
    <w:rsid w:val="00CE62A1"/>
    <w:rsid w:val="00CF02CC"/>
    <w:rsid w:val="00CF3612"/>
    <w:rsid w:val="00D031E9"/>
    <w:rsid w:val="00D125B4"/>
    <w:rsid w:val="00D16656"/>
    <w:rsid w:val="00D20170"/>
    <w:rsid w:val="00D20D8E"/>
    <w:rsid w:val="00D212AA"/>
    <w:rsid w:val="00D27199"/>
    <w:rsid w:val="00D336CD"/>
    <w:rsid w:val="00D3568E"/>
    <w:rsid w:val="00D368F9"/>
    <w:rsid w:val="00D4690D"/>
    <w:rsid w:val="00D57A10"/>
    <w:rsid w:val="00D60600"/>
    <w:rsid w:val="00D61D6D"/>
    <w:rsid w:val="00D65622"/>
    <w:rsid w:val="00D66F8B"/>
    <w:rsid w:val="00D806B5"/>
    <w:rsid w:val="00D81A7A"/>
    <w:rsid w:val="00D90EBC"/>
    <w:rsid w:val="00D93F51"/>
    <w:rsid w:val="00D96199"/>
    <w:rsid w:val="00DA1809"/>
    <w:rsid w:val="00DB359A"/>
    <w:rsid w:val="00DB6C83"/>
    <w:rsid w:val="00DD4E72"/>
    <w:rsid w:val="00DE633C"/>
    <w:rsid w:val="00DF6075"/>
    <w:rsid w:val="00E0025E"/>
    <w:rsid w:val="00E00920"/>
    <w:rsid w:val="00E10A87"/>
    <w:rsid w:val="00E10D6C"/>
    <w:rsid w:val="00E15084"/>
    <w:rsid w:val="00E43089"/>
    <w:rsid w:val="00E47AF2"/>
    <w:rsid w:val="00E47B6F"/>
    <w:rsid w:val="00E52B80"/>
    <w:rsid w:val="00E552D7"/>
    <w:rsid w:val="00E61A29"/>
    <w:rsid w:val="00E641B5"/>
    <w:rsid w:val="00E83F8D"/>
    <w:rsid w:val="00E84D38"/>
    <w:rsid w:val="00E95587"/>
    <w:rsid w:val="00E97F9E"/>
    <w:rsid w:val="00EB704E"/>
    <w:rsid w:val="00EC20D3"/>
    <w:rsid w:val="00EC2A89"/>
    <w:rsid w:val="00EC3589"/>
    <w:rsid w:val="00EC40A9"/>
    <w:rsid w:val="00EC4F2F"/>
    <w:rsid w:val="00EC5CCB"/>
    <w:rsid w:val="00EC7575"/>
    <w:rsid w:val="00ED2355"/>
    <w:rsid w:val="00EE6200"/>
    <w:rsid w:val="00EE6753"/>
    <w:rsid w:val="00EF062E"/>
    <w:rsid w:val="00EF6711"/>
    <w:rsid w:val="00F039D9"/>
    <w:rsid w:val="00F04FD2"/>
    <w:rsid w:val="00F1234F"/>
    <w:rsid w:val="00F16264"/>
    <w:rsid w:val="00F1634E"/>
    <w:rsid w:val="00F1656D"/>
    <w:rsid w:val="00F1697F"/>
    <w:rsid w:val="00F21084"/>
    <w:rsid w:val="00F21429"/>
    <w:rsid w:val="00F26F36"/>
    <w:rsid w:val="00F30D40"/>
    <w:rsid w:val="00F31422"/>
    <w:rsid w:val="00F43E9B"/>
    <w:rsid w:val="00F60A2D"/>
    <w:rsid w:val="00F66767"/>
    <w:rsid w:val="00F73FFB"/>
    <w:rsid w:val="00F80EB5"/>
    <w:rsid w:val="00F816F0"/>
    <w:rsid w:val="00F85989"/>
    <w:rsid w:val="00F96473"/>
    <w:rsid w:val="00FA2702"/>
    <w:rsid w:val="00FA49B4"/>
    <w:rsid w:val="00FB69C8"/>
    <w:rsid w:val="00FC1709"/>
    <w:rsid w:val="00FD2C32"/>
    <w:rsid w:val="00FD4B20"/>
    <w:rsid w:val="00FE65F0"/>
    <w:rsid w:val="00FE7C52"/>
    <w:rsid w:val="00FF3AA3"/>
    <w:rsid w:val="00FF52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EF072"/>
  <w15:docId w15:val="{45CD72BA-E869-4C5B-B2C6-437BB5EC9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nhideWhenUsed/>
    <w:rsid w:val="00265B61"/>
    <w:pPr>
      <w:spacing w:before="100" w:beforeAutospacing="1" w:after="100" w:afterAutospacing="1" w:line="240" w:lineRule="auto"/>
    </w:pPr>
    <w:rPr>
      <w:rFonts w:ascii="Times New Roman" w:eastAsia="Times New Roman" w:hAnsi="Times New Roman" w:cs="Times New Roman"/>
      <w:sz w:val="24"/>
      <w:szCs w:val="24"/>
    </w:rPr>
  </w:style>
  <w:style w:type="paragraph" w:styleId="Intestazione">
    <w:name w:val="header"/>
    <w:basedOn w:val="Normale"/>
    <w:link w:val="IntestazioneCarattere"/>
    <w:uiPriority w:val="99"/>
    <w:unhideWhenUsed/>
    <w:rsid w:val="00E9558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95587"/>
  </w:style>
  <w:style w:type="paragraph" w:styleId="Pidipagina">
    <w:name w:val="footer"/>
    <w:basedOn w:val="Normale"/>
    <w:link w:val="PidipaginaCarattere"/>
    <w:uiPriority w:val="99"/>
    <w:unhideWhenUsed/>
    <w:rsid w:val="00E9558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95587"/>
  </w:style>
  <w:style w:type="character" w:styleId="Numeropagina">
    <w:name w:val="page number"/>
    <w:basedOn w:val="Carpredefinitoparagrafo"/>
    <w:rsid w:val="00E95587"/>
  </w:style>
  <w:style w:type="character" w:styleId="Rimandocommento">
    <w:name w:val="annotation reference"/>
    <w:basedOn w:val="Carpredefinitoparagrafo"/>
    <w:unhideWhenUsed/>
    <w:rsid w:val="00432C60"/>
    <w:rPr>
      <w:sz w:val="16"/>
      <w:szCs w:val="16"/>
    </w:rPr>
  </w:style>
  <w:style w:type="paragraph" w:styleId="Testocommento">
    <w:name w:val="annotation text"/>
    <w:basedOn w:val="Normale"/>
    <w:link w:val="TestocommentoCarattere"/>
    <w:uiPriority w:val="99"/>
    <w:semiHidden/>
    <w:unhideWhenUsed/>
    <w:rsid w:val="00432C6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32C60"/>
    <w:rPr>
      <w:sz w:val="20"/>
      <w:szCs w:val="20"/>
    </w:rPr>
  </w:style>
  <w:style w:type="paragraph" w:styleId="Soggettocommento">
    <w:name w:val="annotation subject"/>
    <w:basedOn w:val="Testocommento"/>
    <w:next w:val="Testocommento"/>
    <w:link w:val="SoggettocommentoCarattere"/>
    <w:uiPriority w:val="99"/>
    <w:semiHidden/>
    <w:unhideWhenUsed/>
    <w:rsid w:val="00432C60"/>
    <w:rPr>
      <w:b/>
      <w:bCs/>
    </w:rPr>
  </w:style>
  <w:style w:type="character" w:customStyle="1" w:styleId="SoggettocommentoCarattere">
    <w:name w:val="Soggetto commento Carattere"/>
    <w:basedOn w:val="TestocommentoCarattere"/>
    <w:link w:val="Soggettocommento"/>
    <w:uiPriority w:val="99"/>
    <w:semiHidden/>
    <w:rsid w:val="00432C60"/>
    <w:rPr>
      <w:b/>
      <w:bCs/>
      <w:sz w:val="20"/>
      <w:szCs w:val="20"/>
    </w:rPr>
  </w:style>
  <w:style w:type="character" w:customStyle="1" w:styleId="NessunoA">
    <w:name w:val="Nessuno A"/>
    <w:rsid w:val="005D0F7B"/>
    <w:rPr>
      <w:lang w:val="it-IT"/>
    </w:rPr>
  </w:style>
  <w:style w:type="character" w:customStyle="1" w:styleId="Hyperlink0">
    <w:name w:val="Hyperlink.0"/>
    <w:basedOn w:val="Carpredefinitoparagrafo"/>
    <w:rsid w:val="00CD75CD"/>
    <w:rPr>
      <w:sz w:val="22"/>
      <w:szCs w:val="22"/>
    </w:rPr>
  </w:style>
  <w:style w:type="character" w:customStyle="1" w:styleId="Nessuno">
    <w:name w:val="Nessuno"/>
    <w:rsid w:val="00927866"/>
  </w:style>
  <w:style w:type="paragraph" w:customStyle="1" w:styleId="CorpoA">
    <w:name w:val="Corpo A"/>
    <w:rsid w:val="00116FAF"/>
    <w:pPr>
      <w:pBdr>
        <w:top w:val="nil"/>
        <w:left w:val="nil"/>
        <w:bottom w:val="nil"/>
        <w:right w:val="nil"/>
        <w:between w:val="nil"/>
        <w:bar w:val="nil"/>
      </w:pBdr>
    </w:pPr>
    <w:rPr>
      <w:rFonts w:ascii="Calibri" w:eastAsia="Calibri" w:hAnsi="Calibri" w:cs="Calibri"/>
      <w:color w:val="000000"/>
      <w:u w:color="000000"/>
      <w:bdr w:val="nil"/>
      <w14:textOutline w14:w="12700" w14:cap="flat" w14:cmpd="sng" w14:algn="ctr">
        <w14:noFill/>
        <w14:prstDash w14:val="solid"/>
        <w14:miter w14:lim="400000"/>
      </w14:textOutline>
    </w:rPr>
  </w:style>
  <w:style w:type="paragraph" w:customStyle="1" w:styleId="Corpotesto1">
    <w:name w:val="Corpo testo1"/>
    <w:rsid w:val="004E7B55"/>
    <w:pPr>
      <w:widowControl w:val="0"/>
      <w:snapToGrid w:val="0"/>
      <w:spacing w:after="0" w:line="240" w:lineRule="auto"/>
    </w:pPr>
    <w:rPr>
      <w:rFonts w:ascii="TimesNewRomanPS" w:eastAsia="Times New Roman" w:hAnsi="TimesNewRomanPS" w:cs="Times New Roman"/>
      <w:color w:val="000000"/>
      <w:sz w:val="24"/>
      <w:szCs w:val="20"/>
    </w:rPr>
  </w:style>
  <w:style w:type="character" w:styleId="Collegamentovisitato">
    <w:name w:val="FollowedHyperlink"/>
    <w:basedOn w:val="Carpredefinitoparagrafo"/>
    <w:uiPriority w:val="99"/>
    <w:semiHidden/>
    <w:unhideWhenUsed/>
    <w:rsid w:val="00E52B80"/>
    <w:rPr>
      <w:color w:val="800080" w:themeColor="followedHyperlink"/>
      <w:u w:val="single"/>
    </w:rPr>
  </w:style>
  <w:style w:type="paragraph" w:customStyle="1" w:styleId="Sarkain2">
    <w:name w:val="Sarkain2"/>
    <w:basedOn w:val="Normale"/>
    <w:rsid w:val="00DA1809"/>
    <w:pPr>
      <w:spacing w:after="0" w:line="240" w:lineRule="auto"/>
      <w:ind w:left="851"/>
    </w:pPr>
    <w:rPr>
      <w:rFonts w:ascii="Times New Roman" w:eastAsia="Times New Roman" w:hAnsi="Times New Roman" w:cs="Times New Roman"/>
      <w:b/>
      <w:sz w:val="24"/>
      <w:szCs w:val="20"/>
      <w:lang w:val="fi-FI" w:eastAsia="fi-FI"/>
    </w:rPr>
  </w:style>
  <w:style w:type="paragraph" w:styleId="Revisione">
    <w:name w:val="Revision"/>
    <w:hidden/>
    <w:uiPriority w:val="99"/>
    <w:semiHidden/>
    <w:rsid w:val="000527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845929">
      <w:bodyDiv w:val="1"/>
      <w:marLeft w:val="0"/>
      <w:marRight w:val="0"/>
      <w:marTop w:val="0"/>
      <w:marBottom w:val="0"/>
      <w:divBdr>
        <w:top w:val="none" w:sz="0" w:space="0" w:color="auto"/>
        <w:left w:val="none" w:sz="0" w:space="0" w:color="auto"/>
        <w:bottom w:val="none" w:sz="0" w:space="0" w:color="auto"/>
        <w:right w:val="none" w:sz="0" w:space="0" w:color="auto"/>
      </w:divBdr>
      <w:divsChild>
        <w:div w:id="985165669">
          <w:marLeft w:val="0"/>
          <w:marRight w:val="0"/>
          <w:marTop w:val="0"/>
          <w:marBottom w:val="0"/>
          <w:divBdr>
            <w:top w:val="none" w:sz="0" w:space="0" w:color="auto"/>
            <w:left w:val="none" w:sz="0" w:space="0" w:color="auto"/>
            <w:bottom w:val="none" w:sz="0" w:space="0" w:color="auto"/>
            <w:right w:val="none" w:sz="0" w:space="0" w:color="auto"/>
          </w:divBdr>
        </w:div>
        <w:div w:id="282461850">
          <w:marLeft w:val="0"/>
          <w:marRight w:val="0"/>
          <w:marTop w:val="0"/>
          <w:marBottom w:val="0"/>
          <w:divBdr>
            <w:top w:val="none" w:sz="0" w:space="0" w:color="auto"/>
            <w:left w:val="none" w:sz="0" w:space="0" w:color="auto"/>
            <w:bottom w:val="none" w:sz="0" w:space="0" w:color="auto"/>
            <w:right w:val="none" w:sz="0" w:space="0" w:color="auto"/>
          </w:divBdr>
        </w:div>
        <w:div w:id="995644174">
          <w:marLeft w:val="0"/>
          <w:marRight w:val="0"/>
          <w:marTop w:val="0"/>
          <w:marBottom w:val="0"/>
          <w:divBdr>
            <w:top w:val="none" w:sz="0" w:space="0" w:color="auto"/>
            <w:left w:val="none" w:sz="0" w:space="0" w:color="auto"/>
            <w:bottom w:val="none" w:sz="0" w:space="0" w:color="auto"/>
            <w:right w:val="none" w:sz="0" w:space="0" w:color="auto"/>
          </w:divBdr>
        </w:div>
        <w:div w:id="1568371576">
          <w:marLeft w:val="0"/>
          <w:marRight w:val="0"/>
          <w:marTop w:val="0"/>
          <w:marBottom w:val="0"/>
          <w:divBdr>
            <w:top w:val="none" w:sz="0" w:space="0" w:color="auto"/>
            <w:left w:val="none" w:sz="0" w:space="0" w:color="auto"/>
            <w:bottom w:val="none" w:sz="0" w:space="0" w:color="auto"/>
            <w:right w:val="none" w:sz="0" w:space="0" w:color="auto"/>
          </w:divBdr>
        </w:div>
        <w:div w:id="1839997658">
          <w:marLeft w:val="0"/>
          <w:marRight w:val="0"/>
          <w:marTop w:val="0"/>
          <w:marBottom w:val="0"/>
          <w:divBdr>
            <w:top w:val="none" w:sz="0" w:space="0" w:color="auto"/>
            <w:left w:val="none" w:sz="0" w:space="0" w:color="auto"/>
            <w:bottom w:val="none" w:sz="0" w:space="0" w:color="auto"/>
            <w:right w:val="none" w:sz="0" w:space="0" w:color="auto"/>
          </w:divBdr>
        </w:div>
        <w:div w:id="325939764">
          <w:marLeft w:val="0"/>
          <w:marRight w:val="0"/>
          <w:marTop w:val="0"/>
          <w:marBottom w:val="0"/>
          <w:divBdr>
            <w:top w:val="none" w:sz="0" w:space="0" w:color="auto"/>
            <w:left w:val="none" w:sz="0" w:space="0" w:color="auto"/>
            <w:bottom w:val="none" w:sz="0" w:space="0" w:color="auto"/>
            <w:right w:val="none" w:sz="0" w:space="0" w:color="auto"/>
          </w:divBdr>
        </w:div>
        <w:div w:id="1427916969">
          <w:marLeft w:val="0"/>
          <w:marRight w:val="0"/>
          <w:marTop w:val="0"/>
          <w:marBottom w:val="0"/>
          <w:divBdr>
            <w:top w:val="none" w:sz="0" w:space="0" w:color="auto"/>
            <w:left w:val="none" w:sz="0" w:space="0" w:color="auto"/>
            <w:bottom w:val="none" w:sz="0" w:space="0" w:color="auto"/>
            <w:right w:val="none" w:sz="0" w:space="0" w:color="auto"/>
          </w:divBdr>
        </w:div>
      </w:divsChild>
    </w:div>
    <w:div w:id="27310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farmaci.agenziafarmaco.gov.it/bancadatifarmac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armaci.agenziafarmaco.gov.it/bancadatifarmaci"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hyperlink" Target="https://farmaci.agenziafarmaco.gov.it/bancadatifarmaci" TargetMode="External"/><Relationship Id="rId4" Type="http://schemas.openxmlformats.org/officeDocument/2006/relationships/settings" Target="settings.xml"/><Relationship Id="rId9" Type="http://schemas.openxmlformats.org/officeDocument/2006/relationships/hyperlink" Target="https://farmaci.agenziafarmaco.gov.it/bancadatifarmaci" TargetMode="External"/><Relationship Id="rId14" Type="http://schemas.openxmlformats.org/officeDocument/2006/relationships/hyperlink" Target="https://farmaci.agenziafarmaco.gov.it/bancadatifarmac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25A16-B60C-4FC4-B1B2-97929A192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3026</Words>
  <Characters>17251</Characters>
  <Application>Microsoft Office Word</Application>
  <DocSecurity>0</DocSecurity>
  <Lines>143</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AIFA</dc:creator>
  <cp:lastModifiedBy>attennib</cp:lastModifiedBy>
  <cp:revision>3</cp:revision>
  <dcterms:created xsi:type="dcterms:W3CDTF">2021-12-13T11:13:00Z</dcterms:created>
  <dcterms:modified xsi:type="dcterms:W3CDTF">2021-12-13T11:14:00Z</dcterms:modified>
</cp:coreProperties>
</file>