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8C152" w14:textId="77777777" w:rsidR="005E0E94" w:rsidRDefault="005E0E94">
      <w:pPr>
        <w:rPr>
          <w:b/>
        </w:rPr>
      </w:pPr>
      <w:r w:rsidRPr="005E0E94">
        <w:rPr>
          <w:b/>
        </w:rPr>
        <w:t>GLOSSARIO</w:t>
      </w:r>
      <w:bookmarkStart w:id="0" w:name="_GoBack"/>
      <w:bookmarkEnd w:id="0"/>
    </w:p>
    <w:p w14:paraId="5F8D454F"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Allegato: </w:t>
      </w:r>
      <w:r>
        <w:rPr>
          <w:rFonts w:ascii="Times New Roman" w:hAnsi="Times New Roman" w:cs="Times New Roman"/>
          <w:sz w:val="24"/>
          <w:szCs w:val="24"/>
        </w:rPr>
        <w:t>documento unito ad un altro documento o ad una pratica con funzione di prova, memoria,</w:t>
      </w:r>
    </w:p>
    <w:p w14:paraId="49A8DA0A"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chiarimento o integrazione di notizie.</w:t>
      </w:r>
    </w:p>
    <w:p w14:paraId="6DC19283"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361EA679"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Annullamento: </w:t>
      </w:r>
      <w:r>
        <w:rPr>
          <w:rFonts w:ascii="Times New Roman" w:hAnsi="Times New Roman" w:cs="Times New Roman"/>
          <w:sz w:val="24"/>
          <w:szCs w:val="24"/>
        </w:rPr>
        <w:t>operazione che consente ad un utente abilitato di annullare una registrazione di protocollo.</w:t>
      </w:r>
    </w:p>
    <w:p w14:paraId="50E54599"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06ABF007"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Archivio: </w:t>
      </w:r>
      <w:r>
        <w:rPr>
          <w:rFonts w:ascii="Times New Roman" w:hAnsi="Times New Roman" w:cs="Times New Roman"/>
          <w:sz w:val="24"/>
          <w:szCs w:val="24"/>
        </w:rPr>
        <w:t xml:space="preserve">complesso dei documenti prodotti o comunque acquisiti da un ente nello svolgimento della propria attività. A fini gestionali l’archivio s’intende diviso in: </w:t>
      </w:r>
      <w:r>
        <w:rPr>
          <w:rFonts w:ascii="Times New Roman" w:hAnsi="Times New Roman" w:cs="Times New Roman"/>
          <w:i/>
          <w:iCs/>
          <w:sz w:val="24"/>
          <w:szCs w:val="24"/>
        </w:rPr>
        <w:t>Archivio corrente</w:t>
      </w:r>
      <w:r>
        <w:rPr>
          <w:rFonts w:ascii="Times New Roman" w:hAnsi="Times New Roman" w:cs="Times New Roman"/>
          <w:sz w:val="24"/>
          <w:szCs w:val="24"/>
        </w:rPr>
        <w:t xml:space="preserve">, per la parte relativa agli affari in corso; </w:t>
      </w:r>
      <w:r>
        <w:rPr>
          <w:rFonts w:ascii="Times New Roman" w:hAnsi="Times New Roman" w:cs="Times New Roman"/>
          <w:i/>
          <w:iCs/>
          <w:sz w:val="24"/>
          <w:szCs w:val="24"/>
        </w:rPr>
        <w:t>Archivio di deposito</w:t>
      </w:r>
      <w:r>
        <w:rPr>
          <w:rFonts w:ascii="Times New Roman" w:hAnsi="Times New Roman" w:cs="Times New Roman"/>
          <w:sz w:val="24"/>
          <w:szCs w:val="24"/>
        </w:rPr>
        <w:t xml:space="preserve">, per la parte di documenti relativi ad affari esauriti da meno di quaranta anni; </w:t>
      </w:r>
      <w:r>
        <w:rPr>
          <w:rFonts w:ascii="Times New Roman" w:hAnsi="Times New Roman" w:cs="Times New Roman"/>
          <w:i/>
          <w:iCs/>
          <w:sz w:val="24"/>
          <w:szCs w:val="24"/>
        </w:rPr>
        <w:t>Archivio storico</w:t>
      </w:r>
      <w:r>
        <w:rPr>
          <w:rFonts w:ascii="Times New Roman" w:hAnsi="Times New Roman" w:cs="Times New Roman"/>
          <w:sz w:val="24"/>
          <w:szCs w:val="24"/>
        </w:rPr>
        <w:t xml:space="preserve">, per la parte di documenti relativi ad affari esauriti da oltre quaranta anni. Con </w:t>
      </w:r>
      <w:r>
        <w:rPr>
          <w:rFonts w:ascii="Times New Roman" w:hAnsi="Times New Roman" w:cs="Times New Roman"/>
          <w:i/>
          <w:iCs/>
          <w:sz w:val="24"/>
          <w:szCs w:val="24"/>
        </w:rPr>
        <w:t xml:space="preserve">archivio </w:t>
      </w:r>
      <w:r>
        <w:rPr>
          <w:rFonts w:ascii="Times New Roman" w:hAnsi="Times New Roman" w:cs="Times New Roman"/>
          <w:sz w:val="24"/>
          <w:szCs w:val="24"/>
        </w:rPr>
        <w:t>si intende anche il luogo fisico di conservazione della documentazione.</w:t>
      </w:r>
    </w:p>
    <w:p w14:paraId="0D23F02C"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36C1813B"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Area Organizzativa Omogenea (AOO): </w:t>
      </w:r>
      <w:r>
        <w:rPr>
          <w:rFonts w:ascii="Times New Roman" w:hAnsi="Times New Roman" w:cs="Times New Roman"/>
          <w:sz w:val="24"/>
          <w:szCs w:val="24"/>
        </w:rPr>
        <w:t>insieme definito di unità organizzative di un’amministrazione, che usufruiscono in modo omogeneo e coordinato di comuni servizi per la gestione dei flussi documentari. In particolare, una AOO utilizza per la registrazione di protocollo un’unica sequenza numerica, rinnovata ogni anno solare.</w:t>
      </w:r>
    </w:p>
    <w:p w14:paraId="38878595"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421C741B"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Assegnazione: </w:t>
      </w:r>
      <w:r>
        <w:rPr>
          <w:rFonts w:ascii="Times New Roman" w:hAnsi="Times New Roman" w:cs="Times New Roman"/>
          <w:sz w:val="24"/>
          <w:szCs w:val="24"/>
        </w:rPr>
        <w:t>individuazione della persona fisica responsabile della trattazione dell’affare o del procedimento amministrativo e della gestione del relativo fascicolo nella fase corrente.</w:t>
      </w:r>
    </w:p>
    <w:p w14:paraId="589EF484"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65175B72"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Camicia: </w:t>
      </w:r>
      <w:r>
        <w:rPr>
          <w:rFonts w:ascii="Times New Roman" w:hAnsi="Times New Roman" w:cs="Times New Roman"/>
          <w:sz w:val="24"/>
          <w:szCs w:val="24"/>
        </w:rPr>
        <w:t>involucro cartaceo che raccoglie i documenti relativi ad un medesimo affare particolare o alla medesima attività generale, costituenti un fascicolo. La camicia ha funzione di protezione fisica dei documenti in essa raccolti e rende fisicamente esplicito il vincolo archivistico tra i documenti contenuti.</w:t>
      </w:r>
    </w:p>
    <w:p w14:paraId="4C1C090B"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6A93C2A9"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Casella istituzionale di posta elettronica: </w:t>
      </w:r>
      <w:r>
        <w:rPr>
          <w:rFonts w:ascii="Times New Roman" w:hAnsi="Times New Roman" w:cs="Times New Roman"/>
          <w:sz w:val="24"/>
          <w:szCs w:val="24"/>
        </w:rPr>
        <w:t>casella di posta elettronica riferita ad una Struttura dell’Amministrazione.</w:t>
      </w:r>
    </w:p>
    <w:p w14:paraId="419FBB2A"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27DC1812"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Copia semplice: </w:t>
      </w:r>
      <w:r>
        <w:rPr>
          <w:rFonts w:ascii="Times New Roman" w:hAnsi="Times New Roman" w:cs="Times New Roman"/>
          <w:sz w:val="24"/>
          <w:szCs w:val="24"/>
        </w:rPr>
        <w:t>riproduzione, priva di valore giuridico, di un documento originale.</w:t>
      </w:r>
    </w:p>
    <w:p w14:paraId="41942DE6"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6CB1B5B5"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Copia conforme: </w:t>
      </w:r>
      <w:r>
        <w:rPr>
          <w:rFonts w:ascii="Times New Roman" w:hAnsi="Times New Roman" w:cs="Times New Roman"/>
          <w:sz w:val="24"/>
          <w:szCs w:val="24"/>
        </w:rPr>
        <w:t>riproduzione di un documento originale nella quale la presenza di segni di autenticazione le conferiscono il medesimo valore giuridico dell’originale.</w:t>
      </w:r>
    </w:p>
    <w:p w14:paraId="7894C2D5"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7E035CBC"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Deposito, Archivio di: </w:t>
      </w:r>
      <w:r>
        <w:rPr>
          <w:rFonts w:ascii="Times New Roman" w:hAnsi="Times New Roman" w:cs="Times New Roman"/>
          <w:sz w:val="24"/>
          <w:szCs w:val="24"/>
        </w:rPr>
        <w:t>locale nel quale un ente conserva la propria documentazione relativa ad affari esauriti da più di cinque anni e da meno di quaranta.</w:t>
      </w:r>
    </w:p>
    <w:p w14:paraId="6209A622"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273760B6"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w:t>
      </w:r>
      <w:r>
        <w:rPr>
          <w:rFonts w:ascii="Times New Roman" w:hAnsi="Times New Roman" w:cs="Times New Roman"/>
          <w:sz w:val="24"/>
          <w:szCs w:val="24"/>
        </w:rPr>
        <w:t>testimonianza di un fatto</w:t>
      </w:r>
      <w:r>
        <w:rPr>
          <w:rFonts w:ascii="Calibri" w:hAnsi="Calibri" w:cs="Calibri"/>
        </w:rPr>
        <w:t xml:space="preserve">, </w:t>
      </w:r>
      <w:r>
        <w:rPr>
          <w:rFonts w:ascii="Times New Roman" w:hAnsi="Times New Roman" w:cs="Times New Roman"/>
          <w:sz w:val="24"/>
          <w:szCs w:val="24"/>
        </w:rPr>
        <w:t>non necessariamente di natura giuridica, compilata su tipologie diverse di supporto e con varie tecniche di scrittura, con l’osservanza di determinate forme le quali sono destinate a procurarle fede e forza di prova.</w:t>
      </w:r>
    </w:p>
    <w:p w14:paraId="1285F159" w14:textId="77777777" w:rsidR="005E0E94" w:rsidRDefault="005E0E94" w:rsidP="005E0E94">
      <w:pPr>
        <w:autoSpaceDE w:val="0"/>
        <w:autoSpaceDN w:val="0"/>
        <w:adjustRightInd w:val="0"/>
        <w:spacing w:after="0" w:line="240" w:lineRule="auto"/>
        <w:rPr>
          <w:rFonts w:ascii="Times New Roman" w:hAnsi="Times New Roman" w:cs="Times New Roman"/>
          <w:sz w:val="24"/>
          <w:szCs w:val="24"/>
        </w:rPr>
      </w:pPr>
    </w:p>
    <w:p w14:paraId="3788A4E5" w14:textId="77777777" w:rsidR="005E0E94" w:rsidRDefault="005E0E94" w:rsidP="005E0E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amministrativo: </w:t>
      </w:r>
      <w:r>
        <w:rPr>
          <w:rFonts w:ascii="Times New Roman" w:hAnsi="Times New Roman" w:cs="Times New Roman"/>
          <w:sz w:val="24"/>
          <w:szCs w:val="24"/>
        </w:rPr>
        <w:t>ogni rappresentazione, comunque formata, del contenuto di atti, anche interni, della pubblica amministrazione o comunque utilizzati ai fini dell'attività amministrativa.</w:t>
      </w:r>
    </w:p>
    <w:p w14:paraId="102ABC90" w14:textId="77777777" w:rsidR="00C10D35" w:rsidRDefault="00C10D35" w:rsidP="005E0E94">
      <w:pPr>
        <w:autoSpaceDE w:val="0"/>
        <w:autoSpaceDN w:val="0"/>
        <w:adjustRightInd w:val="0"/>
        <w:spacing w:after="0" w:line="240" w:lineRule="auto"/>
        <w:jc w:val="both"/>
        <w:rPr>
          <w:rFonts w:ascii="Times New Roman" w:hAnsi="Times New Roman" w:cs="Times New Roman"/>
          <w:sz w:val="24"/>
          <w:szCs w:val="24"/>
        </w:rPr>
      </w:pPr>
    </w:p>
    <w:p w14:paraId="52908BD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cartaceo (c.d. “analogico”): </w:t>
      </w:r>
      <w:r>
        <w:rPr>
          <w:rFonts w:ascii="Times New Roman" w:hAnsi="Times New Roman" w:cs="Times New Roman"/>
          <w:sz w:val="24"/>
          <w:szCs w:val="24"/>
        </w:rPr>
        <w:t xml:space="preserve">documento prodotto su supporto cartaceo con strumenti analogici (ad esempio, un’istanza scritta a mano) oppure prodotto su supporto informatico e </w:t>
      </w:r>
      <w:r>
        <w:rPr>
          <w:rFonts w:ascii="Times New Roman" w:hAnsi="Times New Roman" w:cs="Times New Roman"/>
          <w:sz w:val="24"/>
          <w:szCs w:val="24"/>
        </w:rPr>
        <w:lastRenderedPageBreak/>
        <w:t>successivamente stampato (ad esempio, un documento prodotto tramite sistema di videoscrittura o text editor), leggibile direttamente senza l’ausilio di strumenti.</w:t>
      </w:r>
    </w:p>
    <w:p w14:paraId="0E51CBC4"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7302E01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digitalizzato: </w:t>
      </w:r>
      <w:r>
        <w:rPr>
          <w:rFonts w:ascii="Times New Roman" w:hAnsi="Times New Roman" w:cs="Times New Roman"/>
          <w:sz w:val="24"/>
          <w:szCs w:val="24"/>
        </w:rPr>
        <w:t>documento cartaceo sottoposto a processo di acquisizione ottica, del quale è prodotta un’immagine digitale.</w:t>
      </w:r>
    </w:p>
    <w:p w14:paraId="505AB90D"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437A0FA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 arrivo </w:t>
      </w:r>
      <w:r>
        <w:rPr>
          <w:rFonts w:ascii="Times New Roman" w:hAnsi="Times New Roman" w:cs="Times New Roman"/>
          <w:sz w:val="24"/>
          <w:szCs w:val="24"/>
        </w:rPr>
        <w:t xml:space="preserve">è il documento pervenuto o comunque acquisito dalla </w:t>
      </w:r>
      <w:r w:rsidR="00E0795C">
        <w:rPr>
          <w:rFonts w:ascii="Times New Roman" w:hAnsi="Times New Roman" w:cs="Times New Roman"/>
          <w:sz w:val="24"/>
          <w:szCs w:val="24"/>
        </w:rPr>
        <w:t xml:space="preserve">Agenzia </w:t>
      </w:r>
      <w:r>
        <w:rPr>
          <w:rFonts w:ascii="Times New Roman" w:hAnsi="Times New Roman" w:cs="Times New Roman"/>
          <w:sz w:val="24"/>
          <w:szCs w:val="24"/>
        </w:rPr>
        <w:t>nell’esercizio delle proprie funzioni.</w:t>
      </w:r>
    </w:p>
    <w:p w14:paraId="3CB72AAC"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9ECDA6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 partenza </w:t>
      </w:r>
      <w:r>
        <w:rPr>
          <w:rFonts w:ascii="Times New Roman" w:hAnsi="Times New Roman" w:cs="Times New Roman"/>
          <w:sz w:val="24"/>
          <w:szCs w:val="24"/>
        </w:rPr>
        <w:t xml:space="preserve">è il documento prodotto dalla </w:t>
      </w:r>
      <w:r w:rsidR="00E0795C">
        <w:rPr>
          <w:rFonts w:ascii="Times New Roman" w:hAnsi="Times New Roman" w:cs="Times New Roman"/>
          <w:sz w:val="24"/>
          <w:szCs w:val="24"/>
        </w:rPr>
        <w:t xml:space="preserve">Agenzia </w:t>
      </w:r>
      <w:r>
        <w:rPr>
          <w:rFonts w:ascii="Times New Roman" w:hAnsi="Times New Roman" w:cs="Times New Roman"/>
          <w:sz w:val="24"/>
          <w:szCs w:val="24"/>
        </w:rPr>
        <w:t xml:space="preserve">nell’esercizio delle proprie funzioni e inviato a soggetti pubblici e privati esterni alla </w:t>
      </w:r>
      <w:r w:rsidR="00E0795C">
        <w:rPr>
          <w:rFonts w:ascii="Times New Roman" w:hAnsi="Times New Roman" w:cs="Times New Roman"/>
          <w:sz w:val="24"/>
          <w:szCs w:val="24"/>
        </w:rPr>
        <w:t>Agenzia</w:t>
      </w:r>
      <w:r>
        <w:rPr>
          <w:rFonts w:ascii="Times New Roman" w:hAnsi="Times New Roman" w:cs="Times New Roman"/>
          <w:sz w:val="24"/>
          <w:szCs w:val="24"/>
        </w:rPr>
        <w:t xml:space="preserve"> stessa.</w:t>
      </w:r>
    </w:p>
    <w:p w14:paraId="6E82A988"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25AEAEA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informatico </w:t>
      </w:r>
      <w:r>
        <w:rPr>
          <w:rFonts w:ascii="Times New Roman" w:hAnsi="Times New Roman" w:cs="Times New Roman"/>
          <w:sz w:val="24"/>
          <w:szCs w:val="24"/>
        </w:rPr>
        <w:t>è la rappresentazione informatica di atti, fatti e dati giuridicamente rilevanti.</w:t>
      </w:r>
    </w:p>
    <w:p w14:paraId="396E49CE"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7122C37"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Documento interno </w:t>
      </w:r>
      <w:r>
        <w:rPr>
          <w:rFonts w:ascii="Times New Roman" w:hAnsi="Times New Roman" w:cs="Times New Roman"/>
          <w:sz w:val="24"/>
          <w:szCs w:val="24"/>
        </w:rPr>
        <w:t xml:space="preserve">è il documento che viene scambiato esclusivamente fra UOR della </w:t>
      </w:r>
      <w:r w:rsidR="00E0795C">
        <w:rPr>
          <w:rFonts w:ascii="Times New Roman" w:hAnsi="Times New Roman" w:cs="Times New Roman"/>
          <w:sz w:val="24"/>
          <w:szCs w:val="24"/>
        </w:rPr>
        <w:t>Agenzia</w:t>
      </w:r>
      <w:r>
        <w:rPr>
          <w:rFonts w:ascii="Times New Roman" w:hAnsi="Times New Roman" w:cs="Times New Roman"/>
          <w:sz w:val="24"/>
          <w:szCs w:val="24"/>
        </w:rPr>
        <w:t>.</w:t>
      </w:r>
    </w:p>
    <w:p w14:paraId="6F3725A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Può essere:</w:t>
      </w:r>
    </w:p>
    <w:p w14:paraId="31AC522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formale, cioè dotato di preminente carattere giuridico-probatorio, e in questo caso va protocollato;</w:t>
      </w:r>
    </w:p>
    <w:p w14:paraId="3AD998B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informale, cioè dotato di preminente carattere informativo (note informali, promemoria tecnici, documenti preparatori a livello di ultima bozza ecc.), e in questo caso può anche non essere protocollato.</w:t>
      </w:r>
    </w:p>
    <w:p w14:paraId="48C53EF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20D34F7" w14:textId="77777777" w:rsidR="00C10D35" w:rsidRP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b/>
          <w:bCs/>
          <w:sz w:val="24"/>
          <w:szCs w:val="24"/>
        </w:rPr>
        <w:t xml:space="preserve">Elenco di versamento: </w:t>
      </w:r>
      <w:r>
        <w:rPr>
          <w:rFonts w:ascii="Times New Roman" w:hAnsi="Times New Roman" w:cs="Times New Roman"/>
          <w:sz w:val="24"/>
          <w:szCs w:val="24"/>
        </w:rPr>
        <w:t>strumento di corredo che descrive in modo sintetico le unità archivistiche</w:t>
      </w:r>
      <w:r>
        <w:rPr>
          <w:rFonts w:ascii="Times New Roman" w:hAnsi="Times New Roman" w:cs="Times New Roman"/>
          <w:i/>
          <w:iCs/>
          <w:sz w:val="24"/>
          <w:szCs w:val="24"/>
        </w:rPr>
        <w:t xml:space="preserve">, </w:t>
      </w:r>
      <w:r>
        <w:rPr>
          <w:rFonts w:ascii="Times New Roman" w:hAnsi="Times New Roman" w:cs="Times New Roman"/>
          <w:sz w:val="24"/>
          <w:szCs w:val="24"/>
        </w:rPr>
        <w:t>redatto in occasione del versamento di documentazione in Archivio.</w:t>
      </w:r>
    </w:p>
    <w:p w14:paraId="5FB5BA26"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9B33C83" w14:textId="77777777" w:rsidR="00C10D35" w:rsidRP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Fascicolazione: </w:t>
      </w:r>
      <w:r>
        <w:rPr>
          <w:rFonts w:ascii="Times New Roman" w:hAnsi="Times New Roman" w:cs="Times New Roman"/>
          <w:sz w:val="24"/>
          <w:szCs w:val="24"/>
        </w:rPr>
        <w:t>attività di gestione archivistica dei documenti che consente di raccogliere tutta la documentazione inerente ad uno specifico procedimento amministrativo o affare in un medesimo fascicolo</w:t>
      </w:r>
      <w:r>
        <w:rPr>
          <w:rFonts w:ascii="Times New Roman" w:hAnsi="Times New Roman" w:cs="Times New Roman"/>
          <w:i/>
          <w:iCs/>
          <w:sz w:val="24"/>
          <w:szCs w:val="24"/>
        </w:rPr>
        <w:t xml:space="preserve">. </w:t>
      </w:r>
      <w:r>
        <w:rPr>
          <w:rFonts w:ascii="Times New Roman" w:hAnsi="Times New Roman" w:cs="Times New Roman"/>
          <w:sz w:val="24"/>
          <w:szCs w:val="24"/>
        </w:rPr>
        <w:t xml:space="preserve">Vedi anche </w:t>
      </w:r>
      <w:r>
        <w:rPr>
          <w:rFonts w:ascii="Times New Roman" w:hAnsi="Times New Roman" w:cs="Times New Roman"/>
          <w:i/>
          <w:iCs/>
          <w:sz w:val="24"/>
          <w:szCs w:val="24"/>
        </w:rPr>
        <w:t>Fascicolo.</w:t>
      </w:r>
    </w:p>
    <w:p w14:paraId="4C255F55" w14:textId="77777777" w:rsidR="00C10D35" w:rsidRDefault="00C10D35" w:rsidP="00C10D35">
      <w:pPr>
        <w:autoSpaceDE w:val="0"/>
        <w:autoSpaceDN w:val="0"/>
        <w:adjustRightInd w:val="0"/>
        <w:spacing w:after="0" w:line="240" w:lineRule="auto"/>
        <w:rPr>
          <w:rFonts w:ascii="Times New Roman" w:hAnsi="Times New Roman" w:cs="Times New Roman"/>
          <w:i/>
          <w:iCs/>
          <w:sz w:val="24"/>
          <w:szCs w:val="24"/>
        </w:rPr>
      </w:pPr>
    </w:p>
    <w:p w14:paraId="50C70F6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Fascicolo cartaceo: </w:t>
      </w:r>
      <w:r>
        <w:rPr>
          <w:rFonts w:ascii="Times New Roman" w:hAnsi="Times New Roman" w:cs="Times New Roman"/>
          <w:sz w:val="24"/>
          <w:szCs w:val="24"/>
        </w:rPr>
        <w:t>insieme di documenti relativi ad una determinata pratica, attività, affare o persona, collocati all’interno di una camicia (o copertina) in ordine cronologico.</w:t>
      </w:r>
    </w:p>
    <w:p w14:paraId="7FA5CB5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677816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Fascicolo elettronico: </w:t>
      </w:r>
      <w:r>
        <w:rPr>
          <w:rFonts w:ascii="Times New Roman" w:hAnsi="Times New Roman" w:cs="Times New Roman"/>
          <w:sz w:val="24"/>
          <w:szCs w:val="24"/>
        </w:rPr>
        <w:t xml:space="preserve">documenti relativi ad una determinata pratica, attività, affare o persona aggregati in ordine cronologico all’interno del </w:t>
      </w:r>
      <w:r>
        <w:rPr>
          <w:rFonts w:ascii="Times New Roman" w:hAnsi="Times New Roman" w:cs="Times New Roman"/>
          <w:i/>
          <w:iCs/>
          <w:sz w:val="24"/>
          <w:szCs w:val="24"/>
        </w:rPr>
        <w:t>sistema di gestione informatica dei documenti</w:t>
      </w:r>
      <w:r>
        <w:rPr>
          <w:rFonts w:ascii="Times New Roman" w:hAnsi="Times New Roman" w:cs="Times New Roman"/>
          <w:sz w:val="24"/>
          <w:szCs w:val="24"/>
        </w:rPr>
        <w:t>.</w:t>
      </w:r>
    </w:p>
    <w:p w14:paraId="01AD404B"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6E881CDD"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Firma digitale: </w:t>
      </w:r>
      <w:r>
        <w:rPr>
          <w:rFonts w:ascii="Times New Roman" w:hAnsi="Times New Roman" w:cs="Times New Roman"/>
          <w:sz w:val="24"/>
          <w:szCs w:val="24"/>
        </w:rPr>
        <w:t>particolare firma elettronica qualificata basata su un sistema di chiavi asimmetriche a coppia, una pubblica e una privata, che consente al titolare tramite la chiave privata e al destinatario tramite la chiave pubblica, rispettivamente, di rendere manifesta e di verificare la provenienza e l’integrità di un documento informatico o di un insieme di documenti informatici.</w:t>
      </w:r>
    </w:p>
    <w:p w14:paraId="76C83D26"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7ADEDD1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Flusso documentario: </w:t>
      </w:r>
      <w:r>
        <w:rPr>
          <w:rFonts w:ascii="Times New Roman" w:hAnsi="Times New Roman" w:cs="Times New Roman"/>
          <w:sz w:val="24"/>
          <w:szCs w:val="24"/>
        </w:rPr>
        <w:t>insieme delle operazioni alle quali è soggetta la documentazione prodotta o acquisita da un ente; esso comprende le fasi che vanno dalla registrazione e segnatura di protocollo alla classificazione, organizzazione, assegnazione, inserimento e conservazione dei documenti, compresi quelli non soggetti a registrazione di protocollo, nell’ambito del sistema di classificazione adottato.</w:t>
      </w:r>
    </w:p>
    <w:p w14:paraId="52D529DA" w14:textId="77777777" w:rsidR="00C10D35" w:rsidRDefault="00C10D35" w:rsidP="00C10D35">
      <w:pPr>
        <w:autoSpaceDE w:val="0"/>
        <w:autoSpaceDN w:val="0"/>
        <w:adjustRightInd w:val="0"/>
        <w:spacing w:after="0" w:line="240" w:lineRule="auto"/>
        <w:rPr>
          <w:rFonts w:ascii="Times New Roman" w:hAnsi="Times New Roman" w:cs="Times New Roman"/>
          <w:sz w:val="24"/>
          <w:szCs w:val="24"/>
        </w:rPr>
      </w:pPr>
    </w:p>
    <w:p w14:paraId="56B3705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Gestione documentale: </w:t>
      </w:r>
      <w:r>
        <w:rPr>
          <w:rFonts w:ascii="Times New Roman" w:hAnsi="Times New Roman" w:cs="Times New Roman"/>
          <w:sz w:val="24"/>
          <w:szCs w:val="24"/>
        </w:rPr>
        <w:t xml:space="preserve">vedi </w:t>
      </w:r>
      <w:r>
        <w:rPr>
          <w:rFonts w:ascii="Times New Roman" w:hAnsi="Times New Roman" w:cs="Times New Roman"/>
          <w:i/>
          <w:iCs/>
          <w:sz w:val="24"/>
          <w:szCs w:val="24"/>
        </w:rPr>
        <w:t>Sistema di gestione informatica dei documenti</w:t>
      </w:r>
      <w:r>
        <w:rPr>
          <w:rFonts w:ascii="Times New Roman" w:hAnsi="Times New Roman" w:cs="Times New Roman"/>
          <w:sz w:val="24"/>
          <w:szCs w:val="24"/>
        </w:rPr>
        <w:t>.</w:t>
      </w:r>
    </w:p>
    <w:p w14:paraId="3CE9221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6CD31C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8FAA6D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Gestione dei documenti: </w:t>
      </w:r>
      <w:r>
        <w:rPr>
          <w:rFonts w:ascii="Times New Roman" w:hAnsi="Times New Roman" w:cs="Times New Roman"/>
          <w:sz w:val="24"/>
          <w:szCs w:val="24"/>
        </w:rPr>
        <w:t>insieme delle attività finalizzate alla registrazione e segnatura di protocollo, nonché alla classificazione, organizzazione, assegnazione, reperimento e conservazione dei documenti formati o acquisiti dalle amministrazioni.</w:t>
      </w:r>
    </w:p>
    <w:p w14:paraId="62DE2A0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FFFAF7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Indice del </w:t>
      </w:r>
      <w:proofErr w:type="spellStart"/>
      <w:r>
        <w:rPr>
          <w:rFonts w:ascii="Times New Roman" w:hAnsi="Times New Roman" w:cs="Times New Roman"/>
          <w:b/>
          <w:bCs/>
          <w:sz w:val="24"/>
          <w:szCs w:val="24"/>
        </w:rPr>
        <w:t>Titolario</w:t>
      </w:r>
      <w:proofErr w:type="spellEnd"/>
      <w:r>
        <w:rPr>
          <w:rFonts w:ascii="Times New Roman" w:hAnsi="Times New Roman" w:cs="Times New Roman"/>
          <w:b/>
          <w:bCs/>
          <w:sz w:val="24"/>
          <w:szCs w:val="24"/>
        </w:rPr>
        <w:t xml:space="preserve"> di classificazione: </w:t>
      </w:r>
      <w:r>
        <w:rPr>
          <w:rFonts w:ascii="Times New Roman" w:hAnsi="Times New Roman" w:cs="Times New Roman"/>
          <w:sz w:val="24"/>
          <w:szCs w:val="24"/>
        </w:rPr>
        <w:t xml:space="preserve">strumento per la corretta classificazione dei documenti, costituito da un insieme di voci relative alle diverse attività svolte da un Ente, organizzate in ordine alfabetico in modo da consentire all’utente una facile fruizione del </w:t>
      </w:r>
      <w:proofErr w:type="spellStart"/>
      <w:r>
        <w:rPr>
          <w:rFonts w:ascii="Times New Roman" w:hAnsi="Times New Roman" w:cs="Times New Roman"/>
          <w:sz w:val="24"/>
          <w:szCs w:val="24"/>
        </w:rPr>
        <w:t>Titolario</w:t>
      </w:r>
      <w:proofErr w:type="spellEnd"/>
      <w:r>
        <w:rPr>
          <w:rFonts w:ascii="Times New Roman" w:hAnsi="Times New Roman" w:cs="Times New Roman"/>
          <w:sz w:val="24"/>
          <w:szCs w:val="24"/>
        </w:rPr>
        <w:t>.</w:t>
      </w:r>
    </w:p>
    <w:p w14:paraId="0EFBC01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B0564C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Inserimento: </w:t>
      </w:r>
      <w:r>
        <w:rPr>
          <w:rFonts w:ascii="Times New Roman" w:hAnsi="Times New Roman" w:cs="Times New Roman"/>
          <w:sz w:val="24"/>
          <w:szCs w:val="24"/>
        </w:rPr>
        <w:t>operazione che consente ad un utente abilitato di inserire i dati e di provvedere ad una registrazione di protocollo.</w:t>
      </w:r>
    </w:p>
    <w:p w14:paraId="48F752F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336F4E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Inserto: </w:t>
      </w:r>
      <w:r>
        <w:rPr>
          <w:rFonts w:ascii="Times New Roman" w:hAnsi="Times New Roman" w:cs="Times New Roman"/>
          <w:sz w:val="24"/>
          <w:szCs w:val="24"/>
        </w:rPr>
        <w:t xml:space="preserve">insieme organico di documenti contenuti in un sottofascicolo, del quale rappresenta una partizione. Ciascun inserto è registrato nel </w:t>
      </w:r>
      <w:r>
        <w:rPr>
          <w:rFonts w:ascii="Times New Roman" w:hAnsi="Times New Roman" w:cs="Times New Roman"/>
          <w:i/>
          <w:iCs/>
          <w:sz w:val="24"/>
          <w:szCs w:val="24"/>
        </w:rPr>
        <w:t xml:space="preserve">repertorio dei fascicoli </w:t>
      </w:r>
      <w:r>
        <w:rPr>
          <w:rFonts w:ascii="Times New Roman" w:hAnsi="Times New Roman" w:cs="Times New Roman"/>
          <w:sz w:val="24"/>
          <w:szCs w:val="24"/>
        </w:rPr>
        <w:t>all’interno del sottofascicolo di appartenenza.</w:t>
      </w:r>
    </w:p>
    <w:p w14:paraId="7E5DD83E"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13DC7AB"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b/>
          <w:bCs/>
          <w:sz w:val="24"/>
          <w:szCs w:val="24"/>
        </w:rPr>
        <w:t xml:space="preserve">Massimario di conservazione e scarto: </w:t>
      </w:r>
      <w:r>
        <w:rPr>
          <w:rFonts w:ascii="Times New Roman" w:hAnsi="Times New Roman" w:cs="Times New Roman"/>
          <w:sz w:val="24"/>
          <w:szCs w:val="24"/>
        </w:rPr>
        <w:t xml:space="preserve">vedi </w:t>
      </w:r>
      <w:r>
        <w:rPr>
          <w:rFonts w:ascii="Times New Roman" w:hAnsi="Times New Roman" w:cs="Times New Roman"/>
          <w:i/>
          <w:iCs/>
          <w:sz w:val="24"/>
          <w:szCs w:val="24"/>
        </w:rPr>
        <w:t>Piano di conservazione</w:t>
      </w:r>
    </w:p>
    <w:p w14:paraId="6A21E2C8" w14:textId="77777777" w:rsidR="00FB39DC" w:rsidRDefault="00FB39DC" w:rsidP="00C10D35">
      <w:pPr>
        <w:autoSpaceDE w:val="0"/>
        <w:autoSpaceDN w:val="0"/>
        <w:adjustRightInd w:val="0"/>
        <w:spacing w:after="0" w:line="240" w:lineRule="auto"/>
        <w:jc w:val="both"/>
        <w:rPr>
          <w:rFonts w:ascii="Times New Roman" w:hAnsi="Times New Roman" w:cs="Times New Roman"/>
          <w:i/>
          <w:iCs/>
          <w:sz w:val="24"/>
          <w:szCs w:val="24"/>
        </w:rPr>
      </w:pPr>
    </w:p>
    <w:p w14:paraId="3105EFA5" w14:textId="77777777" w:rsidR="00FB39DC" w:rsidRPr="00FB39DC" w:rsidRDefault="00FB39DC" w:rsidP="00C10D35">
      <w:pPr>
        <w:autoSpaceDE w:val="0"/>
        <w:autoSpaceDN w:val="0"/>
        <w:adjustRightInd w:val="0"/>
        <w:spacing w:after="0" w:line="240" w:lineRule="auto"/>
        <w:jc w:val="both"/>
        <w:rPr>
          <w:rFonts w:ascii="Times New Roman" w:hAnsi="Times New Roman" w:cs="Times New Roman"/>
          <w:sz w:val="24"/>
          <w:szCs w:val="24"/>
        </w:rPr>
      </w:pPr>
      <w:proofErr w:type="spellStart"/>
      <w:r w:rsidRPr="00FB39DC">
        <w:rPr>
          <w:rFonts w:ascii="Times New Roman" w:hAnsi="Times New Roman" w:cs="Times New Roman"/>
          <w:b/>
          <w:sz w:val="24"/>
          <w:szCs w:val="24"/>
        </w:rPr>
        <w:t>MdG</w:t>
      </w:r>
      <w:proofErr w:type="spellEnd"/>
      <w:r w:rsidRPr="00FB39DC">
        <w:rPr>
          <w:rFonts w:ascii="Times New Roman" w:hAnsi="Times New Roman" w:cs="Times New Roman"/>
          <w:b/>
          <w:sz w:val="24"/>
          <w:szCs w:val="24"/>
        </w:rPr>
        <w:t>:</w:t>
      </w:r>
      <w:r>
        <w:rPr>
          <w:rFonts w:ascii="Times New Roman" w:hAnsi="Times New Roman" w:cs="Times New Roman"/>
          <w:sz w:val="24"/>
          <w:szCs w:val="24"/>
        </w:rPr>
        <w:t xml:space="preserve"> Manuale di gestione del protocollo informatico, gestione documentale e degli archivi</w:t>
      </w:r>
    </w:p>
    <w:p w14:paraId="4BC75060"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p>
    <w:p w14:paraId="38635EF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Metadati: </w:t>
      </w:r>
      <w:r>
        <w:rPr>
          <w:rFonts w:ascii="Times New Roman" w:hAnsi="Times New Roman" w:cs="Times New Roman"/>
          <w:sz w:val="24"/>
          <w:szCs w:val="24"/>
        </w:rPr>
        <w:t>informazioni strutturate o semi-strutturate che descrivono il contesto, il contenuto e la struttura dei documenti e la loro gestione nel tempo.</w:t>
      </w:r>
    </w:p>
    <w:p w14:paraId="57403A9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614D0E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Minuta: </w:t>
      </w:r>
      <w:r>
        <w:rPr>
          <w:rFonts w:ascii="Times New Roman" w:hAnsi="Times New Roman" w:cs="Times New Roman"/>
          <w:sz w:val="24"/>
          <w:szCs w:val="24"/>
        </w:rPr>
        <w:t>per ogni documento destinato ad essere spedito vengono compilati due esemplari, uno dei quali entra a far parte dell’archivio del destinatario, mentre l’altro viene conservato dall’autore ed entra a far parte dell’archivio del mittente. L’esemplare che resta al mittente prende il nome di minuta.</w:t>
      </w:r>
    </w:p>
    <w:p w14:paraId="779E24A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08F0D72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Oggetto del documento: </w:t>
      </w:r>
      <w:r>
        <w:rPr>
          <w:rFonts w:ascii="Times New Roman" w:hAnsi="Times New Roman" w:cs="Times New Roman"/>
          <w:sz w:val="24"/>
          <w:szCs w:val="24"/>
        </w:rPr>
        <w:t>enunciazione sommaria, sintetizzata in poche parole, dell’argomento di cui tratta il documento. L’oggetto viene scritto sul documento, nello spazio apposito, e deve essere riportato sia sul registro di protocollo dell’ente che invia il documento sia su quello dell’ente che lo riceve.</w:t>
      </w:r>
    </w:p>
    <w:p w14:paraId="1A7A23A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AB73BA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Originale: </w:t>
      </w:r>
      <w:r>
        <w:rPr>
          <w:rFonts w:ascii="Times New Roman" w:hAnsi="Times New Roman" w:cs="Times New Roman"/>
          <w:sz w:val="24"/>
          <w:szCs w:val="24"/>
        </w:rPr>
        <w:t>documento perfetto nei suoi elementi sostanziali e formali.</w:t>
      </w:r>
    </w:p>
    <w:p w14:paraId="42792C8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3DAEC263"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Piano di fascicolazione: </w:t>
      </w:r>
      <w:r>
        <w:rPr>
          <w:rFonts w:ascii="Times New Roman" w:hAnsi="Times New Roman" w:cs="Times New Roman"/>
          <w:sz w:val="24"/>
          <w:szCs w:val="24"/>
        </w:rPr>
        <w:t>piano che contiene l’elenco e la descrizione dei fascicoli aperti ogni anno da una Struttura amministrativa.</w:t>
      </w:r>
    </w:p>
    <w:p w14:paraId="74642D6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422E8F4D"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Piano di classificazione: </w:t>
      </w:r>
      <w:r>
        <w:rPr>
          <w:rFonts w:ascii="Times New Roman" w:hAnsi="Times New Roman" w:cs="Times New Roman"/>
          <w:sz w:val="24"/>
          <w:szCs w:val="24"/>
        </w:rPr>
        <w:t xml:space="preserve">vedi </w:t>
      </w:r>
      <w:proofErr w:type="spellStart"/>
      <w:r>
        <w:rPr>
          <w:rFonts w:ascii="Times New Roman" w:hAnsi="Times New Roman" w:cs="Times New Roman"/>
          <w:i/>
          <w:iCs/>
          <w:sz w:val="24"/>
          <w:szCs w:val="24"/>
        </w:rPr>
        <w:t>Titolario</w:t>
      </w:r>
      <w:proofErr w:type="spellEnd"/>
      <w:r>
        <w:rPr>
          <w:rFonts w:ascii="Times New Roman" w:hAnsi="Times New Roman" w:cs="Times New Roman"/>
          <w:i/>
          <w:iCs/>
          <w:sz w:val="24"/>
          <w:szCs w:val="24"/>
        </w:rPr>
        <w:t xml:space="preserve"> di classificazione</w:t>
      </w:r>
      <w:r>
        <w:rPr>
          <w:rFonts w:ascii="Times New Roman" w:hAnsi="Times New Roman" w:cs="Times New Roman"/>
          <w:sz w:val="24"/>
          <w:szCs w:val="24"/>
        </w:rPr>
        <w:t>.</w:t>
      </w:r>
    </w:p>
    <w:p w14:paraId="0F3C508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7E9C61A"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Piano di conservazione: </w:t>
      </w:r>
      <w:r>
        <w:rPr>
          <w:rFonts w:ascii="Times New Roman" w:hAnsi="Times New Roman" w:cs="Times New Roman"/>
          <w:sz w:val="24"/>
          <w:szCs w:val="24"/>
        </w:rPr>
        <w:t xml:space="preserve">strumento che consente di coordinare razionalmente lo scarto archivistico (cioè la destinazione al macero) dei documenti prodotti da un ente. Il massimario riproduce l’elenco delle partizioni (titoli) e sottopartizioni (classi e sottoclassi) del </w:t>
      </w:r>
      <w:proofErr w:type="spellStart"/>
      <w:r>
        <w:rPr>
          <w:rFonts w:ascii="Times New Roman" w:hAnsi="Times New Roman" w:cs="Times New Roman"/>
          <w:sz w:val="24"/>
          <w:szCs w:val="24"/>
        </w:rPr>
        <w:t>Titolario</w:t>
      </w:r>
      <w:proofErr w:type="spellEnd"/>
      <w:r>
        <w:rPr>
          <w:rFonts w:ascii="Times New Roman" w:hAnsi="Times New Roman" w:cs="Times New Roman"/>
          <w:sz w:val="24"/>
          <w:szCs w:val="24"/>
        </w:rPr>
        <w:t xml:space="preserve"> di classificazione, con una descrizione più o meno dettagliata delle competenze cui ciascuna partizione si riferisce e della natura dei relativi documenti; indica per ciascuna partizione quali documenti debbano essere conservati permanentemente (e quindi versati dopo quarant’anni dall’esaurimento degli affari all’Archivio) e quali invece possono essere destinati al macero dopo cinque anni, dopo dieci anni, dopo venti anni, ecc.</w:t>
      </w:r>
    </w:p>
    <w:p w14:paraId="7E61875E"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E931CA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Posta elettronica certificata (PEC): </w:t>
      </w:r>
      <w:r>
        <w:rPr>
          <w:rFonts w:ascii="Times New Roman" w:hAnsi="Times New Roman" w:cs="Times New Roman"/>
          <w:sz w:val="24"/>
          <w:szCs w:val="24"/>
        </w:rPr>
        <w:t xml:space="preserve">sistema di posta elettronica nel quale è fornita al mittente ricevuta elettronica, con valenza legale, attestante l’invio e la consegna di documenti informatici. </w:t>
      </w:r>
      <w:r>
        <w:rPr>
          <w:rFonts w:ascii="Times New Roman" w:hAnsi="Times New Roman" w:cs="Times New Roman"/>
          <w:sz w:val="24"/>
          <w:szCs w:val="24"/>
        </w:rPr>
        <w:lastRenderedPageBreak/>
        <w:t>"Certificare" l’invio e la ricezione - i due momenti fondamentali nella trasmissione dei documenti informatici - significa fornire al mittente, dal proprio gestore di posta, una ricevuta che costituisce prova legale dell’avvenuta spedizione del messaggio e dell’eventuale allegata documentazione. Allo stesso modo, quando il messaggio perviene al destinatario, il gestore invia al mittente la ricevuta di avvenuta (o mancata) consegna con precisa indicazione temporale. Nel caso in cui il mittente smarrisca le ricevute, la traccia informatica delle operazioni svolte viene conservata per un periodo di tempo definito a cura dei gestori, con lo stesso valore giuridico delle ricevute.</w:t>
      </w:r>
    </w:p>
    <w:p w14:paraId="6CBE3383"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7CB1F8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Prontuario del </w:t>
      </w:r>
      <w:proofErr w:type="spellStart"/>
      <w:r>
        <w:rPr>
          <w:rFonts w:ascii="Times New Roman" w:hAnsi="Times New Roman" w:cs="Times New Roman"/>
          <w:b/>
          <w:bCs/>
          <w:sz w:val="24"/>
          <w:szCs w:val="24"/>
        </w:rPr>
        <w:t>Titolario</w:t>
      </w:r>
      <w:proofErr w:type="spellEnd"/>
      <w:r>
        <w:rPr>
          <w:rFonts w:ascii="Times New Roman" w:hAnsi="Times New Roman" w:cs="Times New Roman"/>
          <w:b/>
          <w:bCs/>
          <w:sz w:val="24"/>
          <w:szCs w:val="24"/>
        </w:rPr>
        <w:t xml:space="preserve"> di classificazione: </w:t>
      </w:r>
      <w:r>
        <w:rPr>
          <w:rFonts w:ascii="Times New Roman" w:hAnsi="Times New Roman" w:cs="Times New Roman"/>
          <w:sz w:val="24"/>
          <w:szCs w:val="24"/>
        </w:rPr>
        <w:t xml:space="preserve">vedi </w:t>
      </w:r>
      <w:r>
        <w:rPr>
          <w:rFonts w:ascii="Times New Roman" w:hAnsi="Times New Roman" w:cs="Times New Roman"/>
          <w:i/>
          <w:iCs/>
          <w:sz w:val="24"/>
          <w:szCs w:val="24"/>
        </w:rPr>
        <w:t xml:space="preserve">Indice del </w:t>
      </w:r>
      <w:proofErr w:type="spellStart"/>
      <w:r>
        <w:rPr>
          <w:rFonts w:ascii="Times New Roman" w:hAnsi="Times New Roman" w:cs="Times New Roman"/>
          <w:i/>
          <w:iCs/>
          <w:sz w:val="24"/>
          <w:szCs w:val="24"/>
        </w:rPr>
        <w:t>Titolario</w:t>
      </w:r>
      <w:proofErr w:type="spellEnd"/>
      <w:r>
        <w:rPr>
          <w:rFonts w:ascii="Times New Roman" w:hAnsi="Times New Roman" w:cs="Times New Roman"/>
          <w:i/>
          <w:iCs/>
          <w:sz w:val="24"/>
          <w:szCs w:val="24"/>
        </w:rPr>
        <w:t xml:space="preserve"> di classificazione</w:t>
      </w:r>
      <w:r>
        <w:rPr>
          <w:rFonts w:ascii="Times New Roman" w:hAnsi="Times New Roman" w:cs="Times New Roman"/>
          <w:sz w:val="24"/>
          <w:szCs w:val="24"/>
        </w:rPr>
        <w:t>.</w:t>
      </w:r>
    </w:p>
    <w:p w14:paraId="2684558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3DD208B0"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b/>
          <w:bCs/>
          <w:sz w:val="24"/>
          <w:szCs w:val="24"/>
        </w:rPr>
        <w:t xml:space="preserve">Protocollazione: </w:t>
      </w:r>
      <w:r>
        <w:rPr>
          <w:rFonts w:ascii="Times New Roman" w:hAnsi="Times New Roman" w:cs="Times New Roman"/>
          <w:sz w:val="24"/>
          <w:szCs w:val="24"/>
        </w:rPr>
        <w:t xml:space="preserve">vedi </w:t>
      </w:r>
      <w:r>
        <w:rPr>
          <w:rFonts w:ascii="Times New Roman" w:hAnsi="Times New Roman" w:cs="Times New Roman"/>
          <w:i/>
          <w:iCs/>
          <w:sz w:val="24"/>
          <w:szCs w:val="24"/>
        </w:rPr>
        <w:t>Registrazione di protocollo.</w:t>
      </w:r>
    </w:p>
    <w:p w14:paraId="3DA43050" w14:textId="77777777" w:rsidR="00C10D35" w:rsidRDefault="00C10D35" w:rsidP="00C10D35">
      <w:pPr>
        <w:autoSpaceDE w:val="0"/>
        <w:autoSpaceDN w:val="0"/>
        <w:adjustRightInd w:val="0"/>
        <w:spacing w:after="0" w:line="240" w:lineRule="auto"/>
        <w:jc w:val="both"/>
        <w:rPr>
          <w:rFonts w:ascii="Times New Roman" w:hAnsi="Times New Roman" w:cs="Times New Roman"/>
          <w:i/>
          <w:iCs/>
          <w:sz w:val="24"/>
          <w:szCs w:val="24"/>
        </w:rPr>
      </w:pPr>
    </w:p>
    <w:p w14:paraId="5EDE47E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Registrazione di protocollo: </w:t>
      </w:r>
      <w:r>
        <w:rPr>
          <w:rFonts w:ascii="Times New Roman" w:hAnsi="Times New Roman" w:cs="Times New Roman"/>
          <w:sz w:val="24"/>
          <w:szCs w:val="24"/>
        </w:rPr>
        <w:t>insieme degli elementi, rilevanti sul piano giuridico-probatorio, desunti dai documenti prodotti o comunque acquisiti da un ente. Tali elementi, inseriti nel registro di protocollo, sono in parte obbligatori (data di registrazione, numero di protocollo, mittente o destinatario, oggetto, numero degli allegati, descrizione degli allegati, indice di classificazione) in parte accessori (data di arrivo del documento, UOR e RPA competenti a trattare il documento, anno e numero del fascicolo, mezzo di trasmissione, collegamento con l'eventuale numero di protocollo del documento immediatamente precedente concernente il medesimo affare o procedimento).</w:t>
      </w:r>
    </w:p>
    <w:p w14:paraId="10783BE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F9F23D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Registro di protocollo: </w:t>
      </w:r>
      <w:r>
        <w:rPr>
          <w:rFonts w:ascii="Times New Roman" w:hAnsi="Times New Roman" w:cs="Times New Roman"/>
          <w:sz w:val="24"/>
          <w:szCs w:val="24"/>
        </w:rPr>
        <w:t xml:space="preserve">atto pubblico di fede privilegiata che attesta l’effettivo ricevimento e l’effettiva spedizione di un documento idoneo a produrre effetti giuridici. Ai sensi del D.P.R. 28 dicembre 2000, n. 445 il registro di protocollo è gestito esclusivamente mediante un sistema di gestione informatica dei documenti, disciplinato dal presente Manuale di gestione. Nelle situazioni di emergenza nelle quali non sia possibile utilizzare il sistema di gestione informatica dei documenti è attivato un registro alternativo denominato </w:t>
      </w:r>
      <w:r>
        <w:rPr>
          <w:rFonts w:ascii="Times New Roman" w:hAnsi="Times New Roman" w:cs="Times New Roman"/>
          <w:i/>
          <w:iCs/>
          <w:sz w:val="24"/>
          <w:szCs w:val="24"/>
        </w:rPr>
        <w:t>registro di protocollo di emergenza</w:t>
      </w:r>
      <w:r>
        <w:rPr>
          <w:rFonts w:ascii="Times New Roman" w:hAnsi="Times New Roman" w:cs="Times New Roman"/>
          <w:sz w:val="24"/>
          <w:szCs w:val="24"/>
        </w:rPr>
        <w:t>.</w:t>
      </w:r>
    </w:p>
    <w:p w14:paraId="472E28B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0DE122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Registro di protocollo di emergenza: </w:t>
      </w:r>
      <w:r>
        <w:rPr>
          <w:rFonts w:ascii="Times New Roman" w:hAnsi="Times New Roman" w:cs="Times New Roman"/>
          <w:sz w:val="24"/>
          <w:szCs w:val="24"/>
        </w:rPr>
        <w:t xml:space="preserve">Vedi </w:t>
      </w:r>
      <w:r>
        <w:rPr>
          <w:rFonts w:ascii="Times New Roman" w:hAnsi="Times New Roman" w:cs="Times New Roman"/>
          <w:i/>
          <w:iCs/>
          <w:sz w:val="24"/>
          <w:szCs w:val="24"/>
        </w:rPr>
        <w:t>Registro di protocollo</w:t>
      </w:r>
      <w:r>
        <w:rPr>
          <w:rFonts w:ascii="Times New Roman" w:hAnsi="Times New Roman" w:cs="Times New Roman"/>
          <w:sz w:val="24"/>
          <w:szCs w:val="24"/>
        </w:rPr>
        <w:t>.</w:t>
      </w:r>
    </w:p>
    <w:p w14:paraId="726B8283"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217AD0B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Repertorio: </w:t>
      </w:r>
      <w:r>
        <w:rPr>
          <w:rFonts w:ascii="Times New Roman" w:hAnsi="Times New Roman" w:cs="Times New Roman"/>
          <w:sz w:val="24"/>
          <w:szCs w:val="24"/>
        </w:rPr>
        <w:t>registro in cui sono annotati, in ordine cronologico, documenti e atti che presentano analogie formali (ad esempio circolari, deliberazioni di un organo collegiale, contratti, ecc.), indipendentemente dall’oggetto trattato. Ai sensi del D.P.R. 28 dicembre 2000, n. 445 tale forma di registrazione ha valore giuridico-probatorio ed è da ritenersi alternativa alla registrazione di protocollo.</w:t>
      </w:r>
    </w:p>
    <w:p w14:paraId="7FA55FA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0652A65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Repertorio dei fascicoli: </w:t>
      </w:r>
      <w:r>
        <w:rPr>
          <w:rFonts w:ascii="Times New Roman" w:hAnsi="Times New Roman" w:cs="Times New Roman"/>
          <w:sz w:val="24"/>
          <w:szCs w:val="24"/>
        </w:rPr>
        <w:t xml:space="preserve">registro sul quale vengono annotati, con un numero progressivo, i fascicoli, secondo l’ordine cronologico con il quale si costituiscono all’interno delle suddivisioni del </w:t>
      </w:r>
      <w:proofErr w:type="spellStart"/>
      <w:r>
        <w:rPr>
          <w:rFonts w:ascii="Times New Roman" w:hAnsi="Times New Roman" w:cs="Times New Roman"/>
          <w:sz w:val="24"/>
          <w:szCs w:val="24"/>
        </w:rPr>
        <w:t>titolario</w:t>
      </w:r>
      <w:proofErr w:type="spellEnd"/>
      <w:r>
        <w:rPr>
          <w:rFonts w:ascii="Times New Roman" w:hAnsi="Times New Roman" w:cs="Times New Roman"/>
          <w:sz w:val="24"/>
          <w:szCs w:val="24"/>
        </w:rPr>
        <w:t xml:space="preserve"> (titoli, classi/serie).</w:t>
      </w:r>
    </w:p>
    <w:p w14:paraId="2BC32A99" w14:textId="77777777" w:rsidR="00FB39DC" w:rsidRDefault="00FB39DC" w:rsidP="00C10D35">
      <w:pPr>
        <w:autoSpaceDE w:val="0"/>
        <w:autoSpaceDN w:val="0"/>
        <w:adjustRightInd w:val="0"/>
        <w:spacing w:after="0" w:line="240" w:lineRule="auto"/>
        <w:jc w:val="both"/>
        <w:rPr>
          <w:rFonts w:ascii="Times New Roman" w:hAnsi="Times New Roman" w:cs="Times New Roman"/>
          <w:sz w:val="24"/>
          <w:szCs w:val="24"/>
        </w:rPr>
      </w:pPr>
    </w:p>
    <w:p w14:paraId="7945F9C2" w14:textId="77777777" w:rsidR="00FB39DC" w:rsidRDefault="00FB39DC" w:rsidP="00C10D35">
      <w:pPr>
        <w:autoSpaceDE w:val="0"/>
        <w:autoSpaceDN w:val="0"/>
        <w:adjustRightInd w:val="0"/>
        <w:spacing w:after="0" w:line="240" w:lineRule="auto"/>
        <w:jc w:val="both"/>
        <w:rPr>
          <w:rFonts w:ascii="Times New Roman" w:hAnsi="Times New Roman" w:cs="Times New Roman"/>
          <w:sz w:val="24"/>
          <w:szCs w:val="24"/>
        </w:rPr>
      </w:pPr>
      <w:r w:rsidRPr="00FB39DC">
        <w:rPr>
          <w:rFonts w:ascii="Times New Roman" w:hAnsi="Times New Roman" w:cs="Times New Roman"/>
          <w:b/>
          <w:sz w:val="24"/>
          <w:szCs w:val="24"/>
        </w:rPr>
        <w:t>RSP:</w:t>
      </w:r>
      <w:r>
        <w:rPr>
          <w:rFonts w:ascii="Times New Roman" w:hAnsi="Times New Roman" w:cs="Times New Roman"/>
          <w:sz w:val="24"/>
          <w:szCs w:val="24"/>
        </w:rPr>
        <w:t xml:space="preserve"> Responsabile del Servizio per la tenuta del protocollo informatico, la gestione dei flussi documentali e degli archivi</w:t>
      </w:r>
    </w:p>
    <w:p w14:paraId="0C8B80F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EDE3B9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Responsabile del Procedimento Amministrativo (RPA): </w:t>
      </w:r>
      <w:r>
        <w:rPr>
          <w:rFonts w:ascii="Times New Roman" w:hAnsi="Times New Roman" w:cs="Times New Roman"/>
          <w:sz w:val="24"/>
          <w:szCs w:val="24"/>
        </w:rPr>
        <w:t>persona fisica incaricata dell’istruttoria e degli adempimenti di un affare o di un procedimento amministrativo, ai sensi dell’art. 5 della legge 7 agosto 1990, n. 241.</w:t>
      </w:r>
    </w:p>
    <w:p w14:paraId="0EA1303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58C309A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Ruolo funzionale: </w:t>
      </w:r>
      <w:r>
        <w:rPr>
          <w:rFonts w:ascii="Times New Roman" w:hAnsi="Times New Roman" w:cs="Times New Roman"/>
          <w:sz w:val="24"/>
          <w:szCs w:val="24"/>
        </w:rPr>
        <w:t xml:space="preserve">insieme delle funzioni che nel sistema </w:t>
      </w:r>
      <w:r w:rsidR="00E0795C">
        <w:rPr>
          <w:rFonts w:ascii="Times New Roman" w:hAnsi="Times New Roman" w:cs="Times New Roman"/>
          <w:sz w:val="24"/>
          <w:szCs w:val="24"/>
        </w:rPr>
        <w:t>DOCSPA/</w:t>
      </w:r>
      <w:proofErr w:type="spellStart"/>
      <w:r>
        <w:rPr>
          <w:rFonts w:ascii="Times New Roman" w:hAnsi="Times New Roman" w:cs="Times New Roman"/>
          <w:sz w:val="24"/>
          <w:szCs w:val="24"/>
        </w:rPr>
        <w:t>P.</w:t>
      </w:r>
      <w:proofErr w:type="gramStart"/>
      <w:r>
        <w:rPr>
          <w:rFonts w:ascii="Times New Roman" w:hAnsi="Times New Roman" w:cs="Times New Roman"/>
          <w:sz w:val="24"/>
          <w:szCs w:val="24"/>
        </w:rPr>
        <w:t>I.Tre</w:t>
      </w:r>
      <w:proofErr w:type="spellEnd"/>
      <w:proofErr w:type="gramEnd"/>
      <w:r>
        <w:rPr>
          <w:rFonts w:ascii="Times New Roman" w:hAnsi="Times New Roman" w:cs="Times New Roman"/>
          <w:sz w:val="24"/>
          <w:szCs w:val="24"/>
        </w:rPr>
        <w:t xml:space="preserve"> configurano un’attività lavorativa; ad ogni ruolo corrispondono uno o più utenti del sistema e gradi diversi di visibilità sui documenti.</w:t>
      </w:r>
    </w:p>
    <w:p w14:paraId="4D55AEBF"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B1DAAE1"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Scarto: </w:t>
      </w:r>
      <w:r>
        <w:rPr>
          <w:rFonts w:ascii="Times New Roman" w:hAnsi="Times New Roman" w:cs="Times New Roman"/>
          <w:sz w:val="24"/>
          <w:szCs w:val="24"/>
        </w:rPr>
        <w:t>operazione con cui si destina al macero una parte dei documenti di un archivio durante la fase di deposito. Tale operazione richiede una procedura formale e viene effettuata previo provvedimento di autorizzazione rilasciato dal dirigente della Struttura competente in materia di archivi.</w:t>
      </w:r>
    </w:p>
    <w:p w14:paraId="6C315D3E" w14:textId="77777777" w:rsidR="009C208D" w:rsidRDefault="009C208D" w:rsidP="00C10D35">
      <w:pPr>
        <w:autoSpaceDE w:val="0"/>
        <w:autoSpaceDN w:val="0"/>
        <w:adjustRightInd w:val="0"/>
        <w:spacing w:after="0" w:line="240" w:lineRule="auto"/>
        <w:jc w:val="both"/>
        <w:rPr>
          <w:rFonts w:ascii="Times New Roman" w:hAnsi="Times New Roman" w:cs="Times New Roman"/>
          <w:sz w:val="24"/>
          <w:szCs w:val="24"/>
        </w:rPr>
      </w:pPr>
    </w:p>
    <w:p w14:paraId="3CD2F5C1" w14:textId="77777777" w:rsidR="009C208D" w:rsidRDefault="009C208D" w:rsidP="00C10D35">
      <w:pPr>
        <w:autoSpaceDE w:val="0"/>
        <w:autoSpaceDN w:val="0"/>
        <w:adjustRightInd w:val="0"/>
        <w:spacing w:after="0" w:line="240" w:lineRule="auto"/>
        <w:jc w:val="both"/>
        <w:rPr>
          <w:rFonts w:ascii="Times New Roman" w:hAnsi="Times New Roman" w:cs="Times New Roman"/>
          <w:sz w:val="24"/>
          <w:szCs w:val="24"/>
        </w:rPr>
      </w:pPr>
      <w:proofErr w:type="spellStart"/>
      <w:r w:rsidRPr="009C208D">
        <w:rPr>
          <w:rFonts w:ascii="Times New Roman" w:hAnsi="Times New Roman" w:cs="Times New Roman"/>
          <w:b/>
          <w:sz w:val="24"/>
          <w:szCs w:val="24"/>
        </w:rPr>
        <w:t>SdP</w:t>
      </w:r>
      <w:proofErr w:type="spellEnd"/>
      <w:r w:rsidRPr="009C208D">
        <w:rPr>
          <w:rFonts w:ascii="Times New Roman" w:hAnsi="Times New Roman" w:cs="Times New Roman"/>
          <w:b/>
          <w:sz w:val="24"/>
          <w:szCs w:val="24"/>
        </w:rPr>
        <w:t>:</w:t>
      </w:r>
      <w:r>
        <w:rPr>
          <w:rFonts w:ascii="Times New Roman" w:hAnsi="Times New Roman" w:cs="Times New Roman"/>
          <w:sz w:val="24"/>
          <w:szCs w:val="24"/>
        </w:rPr>
        <w:t xml:space="preserve"> Servizio di protocollo informatico</w:t>
      </w:r>
    </w:p>
    <w:p w14:paraId="042ACC0D"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78E2C784"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Segnatura di protocollo: </w:t>
      </w:r>
      <w:r>
        <w:rPr>
          <w:rFonts w:ascii="Times New Roman" w:hAnsi="Times New Roman" w:cs="Times New Roman"/>
          <w:sz w:val="24"/>
          <w:szCs w:val="24"/>
        </w:rPr>
        <w:t>apposizione o associazione al documento, in forma permanente e non modificabile, delle informazioni riguardanti la registrazione di protocollo.</w:t>
      </w:r>
    </w:p>
    <w:p w14:paraId="2F0D070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21D30C3B"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Selezione: </w:t>
      </w:r>
      <w:r>
        <w:rPr>
          <w:rFonts w:ascii="Times New Roman" w:hAnsi="Times New Roman" w:cs="Times New Roman"/>
          <w:sz w:val="24"/>
          <w:szCs w:val="24"/>
        </w:rPr>
        <w:t xml:space="preserve">individuazione dei documenti da destinare alla conservazione permanente o allo </w:t>
      </w:r>
      <w:r>
        <w:rPr>
          <w:rFonts w:ascii="Times New Roman" w:hAnsi="Times New Roman" w:cs="Times New Roman"/>
          <w:i/>
          <w:iCs/>
          <w:sz w:val="24"/>
          <w:szCs w:val="24"/>
        </w:rPr>
        <w:t>scarto</w:t>
      </w:r>
      <w:r>
        <w:rPr>
          <w:rFonts w:ascii="Times New Roman" w:hAnsi="Times New Roman" w:cs="Times New Roman"/>
          <w:sz w:val="24"/>
          <w:szCs w:val="24"/>
        </w:rPr>
        <w:t>.</w:t>
      </w:r>
    </w:p>
    <w:p w14:paraId="3888FCDD"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7A59846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Servizio archivistico: </w:t>
      </w:r>
      <w:r>
        <w:rPr>
          <w:rFonts w:ascii="Times New Roman" w:hAnsi="Times New Roman" w:cs="Times New Roman"/>
          <w:sz w:val="24"/>
          <w:szCs w:val="24"/>
        </w:rPr>
        <w:t>servizio per la gestione informatica dei documenti, del protocollo, dei flussi documentari e degli archivi.</w:t>
      </w:r>
    </w:p>
    <w:p w14:paraId="573A10C7"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69A291B6"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Sistema di gestione informatica dei documenti: </w:t>
      </w:r>
      <w:r>
        <w:rPr>
          <w:rFonts w:ascii="Times New Roman" w:hAnsi="Times New Roman" w:cs="Times New Roman"/>
          <w:sz w:val="24"/>
          <w:szCs w:val="24"/>
        </w:rPr>
        <w:t>insieme delle risorse di calcolo, degli apparati, delle reti di comunicazione e delle procedure informatiche utilizzate dalle amministrazioni per la gestione dei documenti.</w:t>
      </w:r>
    </w:p>
    <w:p w14:paraId="1CBCD0C8"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
    <w:p w14:paraId="12A23E15"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Smistamento di un documento: </w:t>
      </w:r>
      <w:r>
        <w:rPr>
          <w:rFonts w:ascii="Times New Roman" w:hAnsi="Times New Roman" w:cs="Times New Roman"/>
          <w:sz w:val="24"/>
          <w:szCs w:val="24"/>
        </w:rPr>
        <w:t xml:space="preserve">individuazione di un’unità organizzativa responsabile (UOR) cui affidare un documento. Vedi anche </w:t>
      </w:r>
      <w:r>
        <w:rPr>
          <w:rFonts w:ascii="Times New Roman" w:hAnsi="Times New Roman" w:cs="Times New Roman"/>
          <w:i/>
          <w:iCs/>
          <w:sz w:val="24"/>
          <w:szCs w:val="24"/>
        </w:rPr>
        <w:t>Assegnazione</w:t>
      </w:r>
      <w:r>
        <w:rPr>
          <w:rFonts w:ascii="Times New Roman" w:hAnsi="Times New Roman" w:cs="Times New Roman"/>
          <w:sz w:val="24"/>
          <w:szCs w:val="24"/>
        </w:rPr>
        <w:t>.</w:t>
      </w:r>
    </w:p>
    <w:p w14:paraId="753472A8"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781F9EB9"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Sottofascicolo: </w:t>
      </w:r>
      <w:r>
        <w:rPr>
          <w:rFonts w:ascii="Times New Roman" w:hAnsi="Times New Roman" w:cs="Times New Roman"/>
          <w:sz w:val="24"/>
          <w:szCs w:val="24"/>
        </w:rPr>
        <w:t xml:space="preserve">insieme organico di documenti contenuti in un fascicolo, del quale rappresenta una partizione. Ciascun sottofascicolo è annotato nel </w:t>
      </w:r>
      <w:r>
        <w:rPr>
          <w:rFonts w:ascii="Times New Roman" w:hAnsi="Times New Roman" w:cs="Times New Roman"/>
          <w:i/>
          <w:iCs/>
          <w:sz w:val="24"/>
          <w:szCs w:val="24"/>
        </w:rPr>
        <w:t xml:space="preserve">repertorio dei fascicoli </w:t>
      </w:r>
      <w:r>
        <w:rPr>
          <w:rFonts w:ascii="Times New Roman" w:hAnsi="Times New Roman" w:cs="Times New Roman"/>
          <w:sz w:val="24"/>
          <w:szCs w:val="24"/>
        </w:rPr>
        <w:t>all’interno del fascicolo di appartenenza.</w:t>
      </w:r>
    </w:p>
    <w:p w14:paraId="70191D9C"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0E91D400"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Stampa di un documento informatico: </w:t>
      </w:r>
      <w:r>
        <w:rPr>
          <w:rFonts w:ascii="Times New Roman" w:hAnsi="Times New Roman" w:cs="Times New Roman"/>
          <w:sz w:val="24"/>
          <w:szCs w:val="24"/>
        </w:rPr>
        <w:t>stampa di un documento nativo digitale. Le copie su supporto cartaceo di un documento informatico, sottoscritto con firma digitale, sostituiscono l’esemplare informatico da cui sono tratte solo se ne viene attestata la conformità all’originale in tutte le sue componenti.</w:t>
      </w:r>
    </w:p>
    <w:p w14:paraId="0B7EADE3"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15E1A58C"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Supporto ottico di memorizzazione: </w:t>
      </w:r>
      <w:r>
        <w:rPr>
          <w:rFonts w:ascii="Times New Roman" w:hAnsi="Times New Roman" w:cs="Times New Roman"/>
          <w:sz w:val="24"/>
          <w:szCs w:val="24"/>
        </w:rPr>
        <w:t>mezzo fisico che consente la memorizzazione di documenti informatici mediante l’impiego della tecnologia laser (dischi ottici, DVD ecc.).</w:t>
      </w:r>
    </w:p>
    <w:p w14:paraId="0C98BBA9"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5A640707"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
          <w:bCs/>
          <w:sz w:val="24"/>
          <w:szCs w:val="24"/>
        </w:rPr>
        <w:t>Titolario</w:t>
      </w:r>
      <w:proofErr w:type="spellEnd"/>
      <w:r>
        <w:rPr>
          <w:rFonts w:ascii="Times New Roman" w:hAnsi="Times New Roman" w:cs="Times New Roman"/>
          <w:b/>
          <w:bCs/>
          <w:sz w:val="24"/>
          <w:szCs w:val="24"/>
        </w:rPr>
        <w:t xml:space="preserve"> di classificazione: </w:t>
      </w:r>
      <w:r>
        <w:rPr>
          <w:rFonts w:ascii="Times New Roman" w:hAnsi="Times New Roman" w:cs="Times New Roman"/>
          <w:sz w:val="24"/>
          <w:szCs w:val="24"/>
        </w:rPr>
        <w:t>sistema logico di suddivisione gerarchica, dal generale al particolare, dei documenti, basato sulle funzioni esercitate dall’ente che li produce o li acquisisce.</w:t>
      </w:r>
    </w:p>
    <w:p w14:paraId="4A6E8011" w14:textId="77777777" w:rsidR="00C10D35" w:rsidRDefault="00C10D35" w:rsidP="00C10D35">
      <w:pPr>
        <w:autoSpaceDE w:val="0"/>
        <w:autoSpaceDN w:val="0"/>
        <w:adjustRightInd w:val="0"/>
        <w:spacing w:after="0" w:line="240" w:lineRule="auto"/>
        <w:jc w:val="both"/>
        <w:rPr>
          <w:rFonts w:ascii="Times New Roman" w:hAnsi="Times New Roman" w:cs="Times New Roman"/>
          <w:b/>
          <w:bCs/>
          <w:sz w:val="24"/>
          <w:szCs w:val="24"/>
        </w:rPr>
      </w:pPr>
    </w:p>
    <w:p w14:paraId="0C33F4EE"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Trasferimento: </w:t>
      </w:r>
      <w:r>
        <w:rPr>
          <w:rFonts w:ascii="Times New Roman" w:hAnsi="Times New Roman" w:cs="Times New Roman"/>
          <w:sz w:val="24"/>
          <w:szCs w:val="24"/>
        </w:rPr>
        <w:t>operazione con cui periodicamente (di solito una volta l’anno) i documenti non più</w:t>
      </w:r>
      <w:r w:rsidR="00C80C60">
        <w:rPr>
          <w:rFonts w:ascii="Times New Roman" w:hAnsi="Times New Roman" w:cs="Times New Roman"/>
          <w:sz w:val="24"/>
          <w:szCs w:val="24"/>
        </w:rPr>
        <w:t xml:space="preserve"> </w:t>
      </w:r>
      <w:r>
        <w:rPr>
          <w:rFonts w:ascii="Times New Roman" w:hAnsi="Times New Roman" w:cs="Times New Roman"/>
          <w:sz w:val="24"/>
          <w:szCs w:val="24"/>
        </w:rPr>
        <w:t>necessari al disbrigo degli affari correnti vengono trasferiti nell’archivio di deposito.</w:t>
      </w:r>
    </w:p>
    <w:p w14:paraId="4047FF64" w14:textId="77777777" w:rsidR="00C80C60" w:rsidRDefault="00C80C60" w:rsidP="00C10D35">
      <w:pPr>
        <w:autoSpaceDE w:val="0"/>
        <w:autoSpaceDN w:val="0"/>
        <w:adjustRightInd w:val="0"/>
        <w:spacing w:after="0" w:line="240" w:lineRule="auto"/>
        <w:jc w:val="both"/>
        <w:rPr>
          <w:rFonts w:ascii="Times New Roman" w:hAnsi="Times New Roman" w:cs="Times New Roman"/>
          <w:b/>
          <w:bCs/>
          <w:sz w:val="24"/>
          <w:szCs w:val="24"/>
        </w:rPr>
      </w:pPr>
    </w:p>
    <w:p w14:paraId="251D6A42" w14:textId="77777777" w:rsidR="00C10D35"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Unità Organizzativa Responsabile (UOR): </w:t>
      </w:r>
      <w:r>
        <w:rPr>
          <w:rFonts w:ascii="Times New Roman" w:hAnsi="Times New Roman" w:cs="Times New Roman"/>
          <w:sz w:val="24"/>
          <w:szCs w:val="24"/>
        </w:rPr>
        <w:t>Struttura di primo o secondo livello dell’AOO al</w:t>
      </w:r>
      <w:r w:rsidR="00C80C60">
        <w:rPr>
          <w:rFonts w:ascii="Times New Roman" w:hAnsi="Times New Roman" w:cs="Times New Roman"/>
          <w:sz w:val="24"/>
          <w:szCs w:val="24"/>
        </w:rPr>
        <w:t xml:space="preserve"> </w:t>
      </w:r>
      <w:r>
        <w:rPr>
          <w:rFonts w:ascii="Times New Roman" w:hAnsi="Times New Roman" w:cs="Times New Roman"/>
          <w:sz w:val="24"/>
          <w:szCs w:val="24"/>
        </w:rPr>
        <w:t xml:space="preserve">quale afferisce il </w:t>
      </w:r>
      <w:r>
        <w:rPr>
          <w:rFonts w:ascii="Times New Roman" w:hAnsi="Times New Roman" w:cs="Times New Roman"/>
          <w:i/>
          <w:iCs/>
          <w:sz w:val="24"/>
          <w:szCs w:val="24"/>
        </w:rPr>
        <w:t>RPA</w:t>
      </w:r>
      <w:r>
        <w:rPr>
          <w:rFonts w:ascii="Times New Roman" w:hAnsi="Times New Roman" w:cs="Times New Roman"/>
          <w:sz w:val="24"/>
          <w:szCs w:val="24"/>
        </w:rPr>
        <w:t>, prevista dall’art. 4 della legge 7 agosto 1990, n. 241.</w:t>
      </w:r>
    </w:p>
    <w:p w14:paraId="74823207" w14:textId="77777777" w:rsidR="00ED036C" w:rsidRDefault="00ED036C" w:rsidP="00C10D35">
      <w:pPr>
        <w:autoSpaceDE w:val="0"/>
        <w:autoSpaceDN w:val="0"/>
        <w:adjustRightInd w:val="0"/>
        <w:spacing w:after="0" w:line="240" w:lineRule="auto"/>
        <w:jc w:val="both"/>
        <w:rPr>
          <w:rFonts w:ascii="Times New Roman" w:hAnsi="Times New Roman" w:cs="Times New Roman"/>
          <w:sz w:val="24"/>
          <w:szCs w:val="24"/>
        </w:rPr>
      </w:pPr>
    </w:p>
    <w:p w14:paraId="41C61E65" w14:textId="77777777" w:rsidR="00ED036C" w:rsidRDefault="00ED036C" w:rsidP="00C10D35">
      <w:pPr>
        <w:autoSpaceDE w:val="0"/>
        <w:autoSpaceDN w:val="0"/>
        <w:adjustRightInd w:val="0"/>
        <w:spacing w:after="0" w:line="240" w:lineRule="auto"/>
        <w:jc w:val="both"/>
        <w:rPr>
          <w:rFonts w:ascii="Times New Roman" w:hAnsi="Times New Roman" w:cs="Times New Roman"/>
          <w:sz w:val="24"/>
          <w:szCs w:val="24"/>
        </w:rPr>
      </w:pPr>
      <w:r w:rsidRPr="00ED036C">
        <w:rPr>
          <w:rFonts w:ascii="Times New Roman" w:hAnsi="Times New Roman" w:cs="Times New Roman"/>
          <w:b/>
          <w:sz w:val="24"/>
          <w:szCs w:val="24"/>
        </w:rPr>
        <w:t xml:space="preserve">Ufficio Utente </w:t>
      </w:r>
      <w:r w:rsidR="0077506F">
        <w:rPr>
          <w:rFonts w:ascii="Times New Roman" w:hAnsi="Times New Roman" w:cs="Times New Roman"/>
          <w:b/>
          <w:sz w:val="24"/>
          <w:szCs w:val="24"/>
        </w:rPr>
        <w:t>(UO</w:t>
      </w:r>
      <w:r w:rsidRPr="00ED036C">
        <w:rPr>
          <w:rFonts w:ascii="Times New Roman" w:hAnsi="Times New Roman" w:cs="Times New Roman"/>
          <w:b/>
          <w:sz w:val="24"/>
          <w:szCs w:val="24"/>
        </w:rPr>
        <w:t>):</w:t>
      </w:r>
      <w:r>
        <w:rPr>
          <w:rFonts w:ascii="Times New Roman" w:hAnsi="Times New Roman" w:cs="Times New Roman"/>
          <w:sz w:val="24"/>
          <w:szCs w:val="24"/>
        </w:rPr>
        <w:t xml:space="preserve"> un ufficio dell’AOO che utilizza i servizi messi a disposizione del servizio di protocollo informatico; ovvero il soggetto, destinatario del documento, così come risulta dalla segnatura di protocollo nei campi opzionali</w:t>
      </w:r>
    </w:p>
    <w:p w14:paraId="6888D93D" w14:textId="77777777" w:rsidR="00C80C60" w:rsidRDefault="00C80C60" w:rsidP="00C10D35">
      <w:pPr>
        <w:autoSpaceDE w:val="0"/>
        <w:autoSpaceDN w:val="0"/>
        <w:adjustRightInd w:val="0"/>
        <w:spacing w:after="0" w:line="240" w:lineRule="auto"/>
        <w:jc w:val="both"/>
        <w:rPr>
          <w:rFonts w:ascii="Times New Roman" w:hAnsi="Times New Roman" w:cs="Times New Roman"/>
          <w:b/>
          <w:bCs/>
          <w:sz w:val="24"/>
          <w:szCs w:val="24"/>
        </w:rPr>
      </w:pPr>
    </w:p>
    <w:p w14:paraId="6502DD1D" w14:textId="77777777" w:rsidR="00C10D35" w:rsidRPr="005E0E94" w:rsidRDefault="00C10D35" w:rsidP="00C10D3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Versamento: </w:t>
      </w:r>
      <w:r>
        <w:rPr>
          <w:rFonts w:ascii="Times New Roman" w:hAnsi="Times New Roman" w:cs="Times New Roman"/>
          <w:sz w:val="24"/>
          <w:szCs w:val="24"/>
        </w:rPr>
        <w:t>operazione con cui una Struttura trasferisce periodicamente dall’archivio di deposito</w:t>
      </w:r>
      <w:r w:rsidR="00C80C60">
        <w:rPr>
          <w:rFonts w:ascii="Times New Roman" w:hAnsi="Times New Roman" w:cs="Times New Roman"/>
          <w:sz w:val="24"/>
          <w:szCs w:val="24"/>
        </w:rPr>
        <w:t xml:space="preserve"> </w:t>
      </w:r>
      <w:r>
        <w:rPr>
          <w:rFonts w:ascii="Times New Roman" w:hAnsi="Times New Roman" w:cs="Times New Roman"/>
          <w:sz w:val="24"/>
          <w:szCs w:val="24"/>
        </w:rPr>
        <w:t>all’Archivio i documenti che si riferiscono ad affari esauriti da oltre quarant’anni.</w:t>
      </w:r>
    </w:p>
    <w:sectPr w:rsidR="00C10D35" w:rsidRPr="005E0E94" w:rsidSect="00E76F1F">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494DD" w14:textId="77777777" w:rsidR="00153A83" w:rsidRDefault="00153A83" w:rsidP="005E0E94">
      <w:pPr>
        <w:spacing w:after="0" w:line="240" w:lineRule="auto"/>
      </w:pPr>
      <w:r>
        <w:separator/>
      </w:r>
    </w:p>
  </w:endnote>
  <w:endnote w:type="continuationSeparator" w:id="0">
    <w:p w14:paraId="3E7533E7" w14:textId="77777777" w:rsidR="00153A83" w:rsidRDefault="00153A83" w:rsidP="005E0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42093" w14:textId="77777777" w:rsidR="00483AD2" w:rsidRDefault="00483A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3830176"/>
      <w:docPartObj>
        <w:docPartGallery w:val="Page Numbers (Bottom of Page)"/>
        <w:docPartUnique/>
      </w:docPartObj>
    </w:sdtPr>
    <w:sdtEndPr/>
    <w:sdtContent>
      <w:p w14:paraId="6DB5F293" w14:textId="6AA44F88" w:rsidR="0067306F" w:rsidRDefault="0067306F">
        <w:pPr>
          <w:pStyle w:val="Pidipagina"/>
          <w:jc w:val="right"/>
        </w:pPr>
        <w:r>
          <w:rPr>
            <w:noProof/>
          </w:rPr>
          <w:drawing>
            <wp:anchor distT="0" distB="0" distL="114300" distR="114300" simplePos="0" relativeHeight="251660288" behindDoc="1" locked="0" layoutInCell="1" allowOverlap="1" wp14:anchorId="7778F289" wp14:editId="4476E0B6">
              <wp:simplePos x="0" y="0"/>
              <wp:positionH relativeFrom="page">
                <wp:posOffset>-85725</wp:posOffset>
              </wp:positionH>
              <wp:positionV relativeFrom="page">
                <wp:posOffset>9915525</wp:posOffset>
              </wp:positionV>
              <wp:extent cx="7557295" cy="788035"/>
              <wp:effectExtent l="0" t="0" r="0" b="0"/>
              <wp:wrapNone/>
              <wp:docPr id="3" name="Immagine 3" descr="Piede_Indiriz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Piede_Indirizz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748" cy="788499"/>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p w14:paraId="2888FA57" w14:textId="3CB90765" w:rsidR="00C70B0D" w:rsidRDefault="006F0FF9" w:rsidP="006F0FF9">
    <w:pPr>
      <w:pStyle w:val="Pidipagina"/>
      <w:tabs>
        <w:tab w:val="clear" w:pos="4819"/>
        <w:tab w:val="clear" w:pos="9638"/>
        <w:tab w:val="left" w:pos="415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CFACE" w14:textId="77777777" w:rsidR="00483AD2" w:rsidRDefault="00483A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03E16" w14:textId="77777777" w:rsidR="00153A83" w:rsidRDefault="00153A83" w:rsidP="005E0E94">
      <w:pPr>
        <w:spacing w:after="0" w:line="240" w:lineRule="auto"/>
      </w:pPr>
      <w:r>
        <w:separator/>
      </w:r>
    </w:p>
  </w:footnote>
  <w:footnote w:type="continuationSeparator" w:id="0">
    <w:p w14:paraId="6516594C" w14:textId="77777777" w:rsidR="00153A83" w:rsidRDefault="00153A83" w:rsidP="005E0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96877" w14:textId="77777777" w:rsidR="00483AD2" w:rsidRDefault="00483A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30133" w14:textId="33D4C5FB" w:rsidR="001E108D" w:rsidRDefault="001E108D" w:rsidP="001E108D">
    <w:pPr>
      <w:pStyle w:val="Intestazione"/>
      <w:tabs>
        <w:tab w:val="left" w:pos="10632"/>
      </w:tabs>
      <w:rPr>
        <w:sz w:val="20"/>
        <w:szCs w:val="20"/>
      </w:rPr>
    </w:pPr>
    <w:r>
      <w:rPr>
        <w:noProof/>
      </w:rPr>
      <w:drawing>
        <wp:anchor distT="0" distB="0" distL="114300" distR="114300" simplePos="0" relativeHeight="251664384" behindDoc="0" locked="0" layoutInCell="1" allowOverlap="1" wp14:anchorId="5ACFE6B8" wp14:editId="0BB4D825">
          <wp:simplePos x="0" y="0"/>
          <wp:positionH relativeFrom="column">
            <wp:posOffset>0</wp:posOffset>
          </wp:positionH>
          <wp:positionV relativeFrom="paragraph">
            <wp:posOffset>-635</wp:posOffset>
          </wp:positionV>
          <wp:extent cx="993140" cy="370205"/>
          <wp:effectExtent l="0" t="0" r="0" b="0"/>
          <wp:wrapNone/>
          <wp:docPr id="1" name="Immagine 1" descr="AIFA18_Def_8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AIFA18_Def_8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sidRPr="00972B60">
      <w:rPr>
        <w:sz w:val="20"/>
        <w:szCs w:val="20"/>
      </w:rPr>
      <w:t>Agenzia Italiana del Farmaco</w:t>
    </w:r>
  </w:p>
  <w:p w14:paraId="3881CE69" w14:textId="108C8A2F" w:rsidR="001E108D" w:rsidRPr="005E0E94" w:rsidRDefault="001E108D" w:rsidP="001E108D">
    <w:pPr>
      <w:pStyle w:val="Intestazione"/>
      <w:rPr>
        <w:b/>
      </w:rPr>
    </w:pPr>
    <w:r>
      <w:rPr>
        <w:b/>
      </w:rPr>
      <w:t xml:space="preserve">                                                               </w:t>
    </w:r>
    <w:r w:rsidR="003F1F1E">
      <w:rPr>
        <w:b/>
      </w:rPr>
      <w:t xml:space="preserve">  </w:t>
    </w:r>
    <w:r w:rsidRPr="001E108D">
      <w:rPr>
        <w:sz w:val="20"/>
        <w:szCs w:val="20"/>
      </w:rPr>
      <w:t>Manuale di gestione documentale – Allegato 1</w:t>
    </w:r>
    <w:r w:rsidR="00A31E5C">
      <w:rPr>
        <w:sz w:val="20"/>
        <w:szCs w:val="20"/>
      </w:rPr>
      <w:t xml:space="preserve"> DSQ/035 Rev.0</w:t>
    </w:r>
    <w:r w:rsidR="008A5D08">
      <w:rPr>
        <w:sz w:val="20"/>
        <w:szCs w:val="20"/>
      </w:rPr>
      <w:t xml:space="preserve"> Data </w:t>
    </w:r>
    <w:r w:rsidR="00483AD2">
      <w:rPr>
        <w:sz w:val="20"/>
        <w:szCs w:val="20"/>
      </w:rPr>
      <w:t>07/12/20</w:t>
    </w:r>
  </w:p>
  <w:p w14:paraId="400D8FD7" w14:textId="6612DE33" w:rsidR="001E108D" w:rsidRPr="00972B60" w:rsidRDefault="001E108D" w:rsidP="001E108D">
    <w:pPr>
      <w:pStyle w:val="Intestazione"/>
      <w:tabs>
        <w:tab w:val="left" w:pos="10773"/>
        <w:tab w:val="left" w:pos="10915"/>
      </w:tabs>
      <w:jc w:val="right"/>
      <w:rPr>
        <w:sz w:val="20"/>
        <w:szCs w:val="20"/>
      </w:rPr>
    </w:pPr>
    <w:r>
      <w:rPr>
        <w:sz w:val="20"/>
        <w:szCs w:val="20"/>
      </w:rPr>
      <w:t xml:space="preserve"> ________________________________________________________________________________________________</w:t>
    </w:r>
  </w:p>
  <w:p w14:paraId="742B786D" w14:textId="77777777" w:rsidR="005E0E94" w:rsidRDefault="005E0E9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FCAA4" w14:textId="77777777" w:rsidR="00483AD2" w:rsidRDefault="00483AD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94"/>
    <w:rsid w:val="000B6777"/>
    <w:rsid w:val="00153A83"/>
    <w:rsid w:val="001920B5"/>
    <w:rsid w:val="001E108D"/>
    <w:rsid w:val="003F1F1E"/>
    <w:rsid w:val="00461C3A"/>
    <w:rsid w:val="00483AD2"/>
    <w:rsid w:val="005E0E94"/>
    <w:rsid w:val="0067306F"/>
    <w:rsid w:val="0069446B"/>
    <w:rsid w:val="006F0FF9"/>
    <w:rsid w:val="0077506F"/>
    <w:rsid w:val="007D33A7"/>
    <w:rsid w:val="00877919"/>
    <w:rsid w:val="008A5D08"/>
    <w:rsid w:val="008F5D1E"/>
    <w:rsid w:val="00965CF4"/>
    <w:rsid w:val="009C208D"/>
    <w:rsid w:val="00A31E5C"/>
    <w:rsid w:val="00A640D9"/>
    <w:rsid w:val="00B72DE7"/>
    <w:rsid w:val="00C05B9C"/>
    <w:rsid w:val="00C10D35"/>
    <w:rsid w:val="00C70B0D"/>
    <w:rsid w:val="00C80C60"/>
    <w:rsid w:val="00E0795C"/>
    <w:rsid w:val="00E132E2"/>
    <w:rsid w:val="00E76F1F"/>
    <w:rsid w:val="00EC26B1"/>
    <w:rsid w:val="00ED036C"/>
    <w:rsid w:val="00FB39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2C5C1"/>
  <w15:docId w15:val="{C2C153E3-994E-452F-85EC-CFC6EFFB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6F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0E9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0E94"/>
  </w:style>
  <w:style w:type="paragraph" w:styleId="Pidipagina">
    <w:name w:val="footer"/>
    <w:basedOn w:val="Normale"/>
    <w:link w:val="PidipaginaCarattere"/>
    <w:uiPriority w:val="99"/>
    <w:unhideWhenUsed/>
    <w:rsid w:val="005E0E9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0E94"/>
  </w:style>
  <w:style w:type="paragraph" w:styleId="Testofumetto">
    <w:name w:val="Balloon Text"/>
    <w:basedOn w:val="Normale"/>
    <w:link w:val="TestofumettoCarattere"/>
    <w:uiPriority w:val="99"/>
    <w:semiHidden/>
    <w:unhideWhenUsed/>
    <w:rsid w:val="005E0E9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0E94"/>
    <w:rPr>
      <w:rFonts w:ascii="Tahoma" w:hAnsi="Tahoma" w:cs="Tahoma"/>
      <w:sz w:val="16"/>
      <w:szCs w:val="16"/>
    </w:rPr>
  </w:style>
  <w:style w:type="character" w:customStyle="1" w:styleId="IntestazioneCarattere1">
    <w:name w:val="Intestazione Carattere1"/>
    <w:uiPriority w:val="99"/>
    <w:rsid w:val="001E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2185</Words>
  <Characters>12456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darcangelom</dc:creator>
  <cp:keywords/>
  <dc:description/>
  <cp:lastModifiedBy>camponeschil</cp:lastModifiedBy>
  <cp:revision>2</cp:revision>
  <dcterms:created xsi:type="dcterms:W3CDTF">2021-09-02T08:25:00Z</dcterms:created>
  <dcterms:modified xsi:type="dcterms:W3CDTF">2021-09-02T08:25:00Z</dcterms:modified>
</cp:coreProperties>
</file>