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13BEE" w14:textId="77777777" w:rsidR="004241AC" w:rsidRPr="002A3F14" w:rsidRDefault="00204F5D" w:rsidP="004241AC">
      <w:pPr>
        <w:spacing w:after="0" w:line="240" w:lineRule="auto"/>
        <w:jc w:val="center"/>
        <w:rPr>
          <w:lang w:val="en-US"/>
        </w:rPr>
      </w:pPr>
      <w:r w:rsidRPr="00E50975">
        <w:rPr>
          <w:rFonts w:cs="Calibri"/>
          <w:noProof/>
          <w:lang w:val="en-GB" w:eastAsia="en-GB"/>
        </w:rPr>
        <w:drawing>
          <wp:inline distT="0" distB="0" distL="0" distR="0" wp14:anchorId="7DCA18E3" wp14:editId="4D29B117">
            <wp:extent cx="2657475" cy="10953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4FEB0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6C1B8F0F" w14:textId="77777777" w:rsidR="00204F5D" w:rsidRDefault="00204F5D" w:rsidP="00823F4C">
      <w:pPr>
        <w:spacing w:after="0" w:line="240" w:lineRule="auto"/>
        <w:jc w:val="center"/>
        <w:rPr>
          <w:b/>
          <w:sz w:val="28"/>
        </w:rPr>
      </w:pPr>
      <w:bookmarkStart w:id="0" w:name="Text15"/>
    </w:p>
    <w:p w14:paraId="784C2C94" w14:textId="77777777" w:rsidR="00204F5D" w:rsidRDefault="00204F5D" w:rsidP="00823F4C">
      <w:pPr>
        <w:spacing w:after="0" w:line="240" w:lineRule="auto"/>
        <w:jc w:val="center"/>
        <w:rPr>
          <w:b/>
          <w:sz w:val="28"/>
        </w:rPr>
      </w:pPr>
    </w:p>
    <w:p w14:paraId="1D572CF8" w14:textId="77777777" w:rsidR="00204F5D" w:rsidRDefault="00204F5D" w:rsidP="00823F4C">
      <w:pPr>
        <w:spacing w:after="0" w:line="240" w:lineRule="auto"/>
        <w:jc w:val="center"/>
        <w:rPr>
          <w:b/>
          <w:sz w:val="28"/>
        </w:rPr>
      </w:pPr>
    </w:p>
    <w:p w14:paraId="3464DBAB" w14:textId="77777777" w:rsidR="00204F5D" w:rsidRDefault="00204F5D" w:rsidP="00823F4C">
      <w:pPr>
        <w:spacing w:after="0" w:line="240" w:lineRule="auto"/>
        <w:jc w:val="center"/>
        <w:rPr>
          <w:b/>
          <w:sz w:val="28"/>
        </w:rPr>
      </w:pPr>
    </w:p>
    <w:p w14:paraId="1C4C0418" w14:textId="77777777" w:rsidR="00204F5D" w:rsidRDefault="00204F5D" w:rsidP="00823F4C">
      <w:pPr>
        <w:spacing w:after="0" w:line="240" w:lineRule="auto"/>
        <w:jc w:val="center"/>
        <w:rPr>
          <w:b/>
          <w:sz w:val="28"/>
        </w:rPr>
      </w:pPr>
    </w:p>
    <w:p w14:paraId="2B45BF72" w14:textId="77777777" w:rsidR="00204F5D" w:rsidRDefault="00204F5D" w:rsidP="00823F4C">
      <w:pPr>
        <w:spacing w:after="0" w:line="240" w:lineRule="auto"/>
        <w:jc w:val="center"/>
        <w:rPr>
          <w:b/>
          <w:sz w:val="28"/>
        </w:rPr>
      </w:pPr>
    </w:p>
    <w:p w14:paraId="2DCE5121" w14:textId="77777777" w:rsidR="00204F5D" w:rsidRDefault="00204F5D" w:rsidP="00823F4C">
      <w:pPr>
        <w:spacing w:after="0" w:line="240" w:lineRule="auto"/>
        <w:jc w:val="center"/>
        <w:rPr>
          <w:b/>
          <w:sz w:val="28"/>
        </w:rPr>
      </w:pPr>
    </w:p>
    <w:p w14:paraId="5F0B3B39" w14:textId="77777777" w:rsidR="00204F5D" w:rsidRDefault="00204F5D" w:rsidP="00823F4C">
      <w:pPr>
        <w:spacing w:after="0" w:line="240" w:lineRule="auto"/>
        <w:jc w:val="center"/>
        <w:rPr>
          <w:b/>
          <w:sz w:val="28"/>
        </w:rPr>
      </w:pPr>
    </w:p>
    <w:p w14:paraId="4CEBEA8C" w14:textId="77777777" w:rsidR="00204F5D" w:rsidRPr="00204F5D" w:rsidRDefault="00204F5D" w:rsidP="00823F4C">
      <w:pPr>
        <w:spacing w:after="0" w:line="240" w:lineRule="auto"/>
        <w:jc w:val="center"/>
        <w:rPr>
          <w:b/>
          <w:sz w:val="36"/>
        </w:rPr>
      </w:pPr>
    </w:p>
    <w:p w14:paraId="1191EBD5" w14:textId="77777777" w:rsidR="00823F4C" w:rsidRPr="00204F5D" w:rsidRDefault="00823F4C" w:rsidP="00823F4C">
      <w:pPr>
        <w:spacing w:after="0" w:line="240" w:lineRule="auto"/>
        <w:jc w:val="center"/>
        <w:rPr>
          <w:b/>
          <w:sz w:val="36"/>
        </w:rPr>
      </w:pPr>
      <w:r w:rsidRPr="00204F5D">
        <w:rPr>
          <w:b/>
          <w:sz w:val="36"/>
        </w:rPr>
        <w:t>Relazione Pubblica di Valutazione</w:t>
      </w:r>
    </w:p>
    <w:p w14:paraId="2610FE3B" w14:textId="77777777" w:rsidR="004241AC" w:rsidRPr="00204F5D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highlight w:val="yellow"/>
        </w:rPr>
      </w:pPr>
    </w:p>
    <w:p w14:paraId="74F5EB95" w14:textId="77777777" w:rsidR="00823F4C" w:rsidRPr="00204F5D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highlight w:val="yellow"/>
        </w:rPr>
      </w:pPr>
    </w:p>
    <w:p w14:paraId="195B9E47" w14:textId="77777777" w:rsidR="004609F8" w:rsidRPr="00204F5D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highlight w:val="yellow"/>
        </w:rPr>
      </w:pPr>
    </w:p>
    <w:p w14:paraId="6AD3DA0A" w14:textId="77777777" w:rsidR="00BF7A42" w:rsidRPr="00204F5D" w:rsidRDefault="00C778B9" w:rsidP="004241AC">
      <w:pPr>
        <w:widowControl w:val="0"/>
        <w:spacing w:after="0" w:line="240" w:lineRule="auto"/>
        <w:jc w:val="center"/>
        <w:rPr>
          <w:b/>
          <w:sz w:val="40"/>
        </w:rPr>
      </w:pPr>
      <w:r w:rsidRPr="00204F5D">
        <w:rPr>
          <w:b/>
          <w:sz w:val="40"/>
        </w:rPr>
        <w:t>FIBUS</w:t>
      </w:r>
    </w:p>
    <w:p w14:paraId="5C60A013" w14:textId="77777777" w:rsidR="004609F8" w:rsidRPr="00204F5D" w:rsidRDefault="004609F8" w:rsidP="004241AC">
      <w:pPr>
        <w:widowControl w:val="0"/>
        <w:spacing w:after="0" w:line="240" w:lineRule="auto"/>
        <w:jc w:val="center"/>
        <w:rPr>
          <w:snapToGrid w:val="0"/>
          <w:sz w:val="28"/>
        </w:rPr>
      </w:pPr>
    </w:p>
    <w:p w14:paraId="01E9EF38" w14:textId="77777777" w:rsidR="004241AC" w:rsidRPr="00204F5D" w:rsidRDefault="004241AC" w:rsidP="004241AC">
      <w:pPr>
        <w:widowControl w:val="0"/>
        <w:spacing w:after="0" w:line="240" w:lineRule="auto"/>
        <w:jc w:val="center"/>
        <w:rPr>
          <w:snapToGrid w:val="0"/>
          <w:sz w:val="28"/>
        </w:rPr>
      </w:pPr>
      <w:r w:rsidRPr="00204F5D">
        <w:rPr>
          <w:snapToGrid w:val="0"/>
          <w:sz w:val="28"/>
        </w:rPr>
        <w:t xml:space="preserve"> (</w:t>
      </w:r>
      <w:r w:rsidR="000F7204" w:rsidRPr="00204F5D">
        <w:rPr>
          <w:snapToGrid w:val="0"/>
          <w:sz w:val="28"/>
        </w:rPr>
        <w:t>Ibuprofene</w:t>
      </w:r>
      <w:r w:rsidRPr="00204F5D">
        <w:rPr>
          <w:snapToGrid w:val="0"/>
          <w:sz w:val="28"/>
        </w:rPr>
        <w:t>)</w:t>
      </w:r>
    </w:p>
    <w:p w14:paraId="068AE38E" w14:textId="77777777" w:rsidR="004241AC" w:rsidRPr="00204F5D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</w:rPr>
      </w:pPr>
    </w:p>
    <w:p w14:paraId="19487883" w14:textId="77777777" w:rsidR="004609F8" w:rsidRPr="00204F5D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</w:rPr>
      </w:pPr>
    </w:p>
    <w:p w14:paraId="0C43ED5C" w14:textId="77777777" w:rsidR="00797416" w:rsidRPr="00204F5D" w:rsidRDefault="00797416" w:rsidP="004241AC">
      <w:pPr>
        <w:spacing w:after="0" w:line="240" w:lineRule="auto"/>
        <w:jc w:val="center"/>
        <w:rPr>
          <w:b/>
          <w:sz w:val="28"/>
        </w:rPr>
      </w:pPr>
      <w:r w:rsidRPr="00204F5D">
        <w:rPr>
          <w:b/>
          <w:sz w:val="28"/>
        </w:rPr>
        <w:t xml:space="preserve">Ditta </w:t>
      </w:r>
      <w:r w:rsidR="005A1FFF" w:rsidRPr="00204F5D">
        <w:rPr>
          <w:b/>
          <w:sz w:val="28"/>
        </w:rPr>
        <w:t xml:space="preserve">FG </w:t>
      </w:r>
      <w:r w:rsidR="000F7204" w:rsidRPr="00204F5D">
        <w:rPr>
          <w:b/>
          <w:sz w:val="28"/>
        </w:rPr>
        <w:t>S.r.l.</w:t>
      </w:r>
    </w:p>
    <w:p w14:paraId="24F59A5C" w14:textId="77777777" w:rsidR="00EC3589" w:rsidRPr="00204F5D" w:rsidRDefault="00BF7A42" w:rsidP="004241AC">
      <w:pPr>
        <w:spacing w:after="0" w:line="240" w:lineRule="auto"/>
        <w:jc w:val="center"/>
        <w:rPr>
          <w:b/>
          <w:sz w:val="28"/>
        </w:rPr>
      </w:pPr>
      <w:r w:rsidRPr="00204F5D">
        <w:rPr>
          <w:b/>
          <w:sz w:val="28"/>
        </w:rPr>
        <w:t xml:space="preserve"> </w:t>
      </w:r>
    </w:p>
    <w:p w14:paraId="7D2F7287" w14:textId="77777777" w:rsidR="004609F8" w:rsidRPr="00204F5D" w:rsidRDefault="004609F8" w:rsidP="004241AC">
      <w:pPr>
        <w:spacing w:after="0" w:line="240" w:lineRule="auto"/>
        <w:jc w:val="center"/>
        <w:rPr>
          <w:b/>
          <w:sz w:val="28"/>
        </w:rPr>
      </w:pPr>
    </w:p>
    <w:p w14:paraId="2049A8F5" w14:textId="77777777" w:rsidR="00204F5D" w:rsidRPr="00204F5D" w:rsidRDefault="004241AC" w:rsidP="004241AC">
      <w:pPr>
        <w:spacing w:after="0" w:line="240" w:lineRule="auto"/>
        <w:jc w:val="center"/>
        <w:rPr>
          <w:b/>
          <w:sz w:val="28"/>
        </w:rPr>
      </w:pPr>
      <w:r w:rsidRPr="00204F5D">
        <w:rPr>
          <w:b/>
          <w:sz w:val="28"/>
        </w:rPr>
        <w:t xml:space="preserve">Numero di AIC: </w:t>
      </w:r>
      <w:r w:rsidR="005A1FFF" w:rsidRPr="00204F5D">
        <w:rPr>
          <w:b/>
          <w:sz w:val="28"/>
        </w:rPr>
        <w:t>047066</w:t>
      </w:r>
    </w:p>
    <w:p w14:paraId="44E37D45" w14:textId="77777777" w:rsidR="00204F5D" w:rsidRDefault="00204F5D">
      <w:pPr>
        <w:rPr>
          <w:b/>
        </w:rPr>
      </w:pPr>
      <w:r>
        <w:rPr>
          <w:b/>
        </w:rPr>
        <w:br w:type="page"/>
      </w:r>
    </w:p>
    <w:bookmarkEnd w:id="0"/>
    <w:p w14:paraId="664997BB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lastRenderedPageBreak/>
        <w:t>RIASSUNTO DELLA RELAZIONE PUBBLICA DI VALUTAZIONE</w:t>
      </w:r>
    </w:p>
    <w:p w14:paraId="304ECEB4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A5CAD33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C778B9">
        <w:rPr>
          <w:rFonts w:eastAsia="Calibri" w:cs="Calibri"/>
          <w:color w:val="000000"/>
          <w:lang w:eastAsia="it-IT"/>
        </w:rPr>
        <w:t>FIBUS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C778B9">
        <w:rPr>
          <w:rFonts w:eastAsia="Calibri" w:cs="Calibri"/>
          <w:color w:val="000000"/>
          <w:lang w:eastAsia="it-IT"/>
        </w:rPr>
        <w:t>FIBUS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C778B9">
        <w:rPr>
          <w:rFonts w:eastAsia="Calibri" w:cs="Calibri"/>
          <w:color w:val="000000"/>
          <w:lang w:eastAsia="it-IT"/>
        </w:rPr>
        <w:t>FIBUS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306D6741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C778B9">
        <w:rPr>
          <w:rFonts w:eastAsia="Calibri" w:cs="Calibri"/>
          <w:color w:val="000000"/>
          <w:lang w:eastAsia="it-IT"/>
        </w:rPr>
        <w:t>FIBUS</w:t>
      </w:r>
      <w:r w:rsidR="000F7204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701EE767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CA03C7F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A3DCB7F" w14:textId="77777777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C778B9">
        <w:rPr>
          <w:rFonts w:eastAsia="Calibri" w:cs="Calibri"/>
          <w:b/>
          <w:color w:val="000000"/>
          <w:lang w:eastAsia="it-IT"/>
        </w:rPr>
        <w:t>FIBUS</w:t>
      </w:r>
      <w:r w:rsidR="00BF7F42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0FB4AE9E" w14:textId="77777777" w:rsidR="00797416" w:rsidRPr="00204F5D" w:rsidRDefault="00C778B9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lang w:eastAsia="it-IT"/>
        </w:rPr>
      </w:pPr>
      <w:r w:rsidRPr="00204F5D">
        <w:rPr>
          <w:rFonts w:eastAsia="Calibri" w:cstheme="minorHAnsi"/>
          <w:color w:val="000000"/>
          <w:lang w:eastAsia="it-IT"/>
        </w:rPr>
        <w:t>FIBUS</w:t>
      </w:r>
      <w:r w:rsidR="00797416" w:rsidRPr="00204F5D">
        <w:rPr>
          <w:rFonts w:eastAsia="Calibri" w:cstheme="minorHAnsi"/>
          <w:color w:val="000000"/>
          <w:lang w:eastAsia="it-IT"/>
        </w:rPr>
        <w:t xml:space="preserve"> </w:t>
      </w:r>
      <w:r w:rsidR="00BB2AF8" w:rsidRPr="00204F5D">
        <w:rPr>
          <w:rFonts w:eastAsia="Calibri" w:cstheme="minorHAnsi"/>
          <w:color w:val="000000"/>
          <w:lang w:eastAsia="it-IT"/>
        </w:rPr>
        <w:t xml:space="preserve">è un medicinale contenente il principio attivo </w:t>
      </w:r>
      <w:r w:rsidR="000F7204" w:rsidRPr="00204F5D">
        <w:rPr>
          <w:rFonts w:eastAsia="Calibri" w:cstheme="minorHAnsi"/>
          <w:color w:val="000000"/>
          <w:lang w:eastAsia="it-IT"/>
        </w:rPr>
        <w:t>ibup</w:t>
      </w:r>
      <w:r w:rsidR="006E4F43">
        <w:rPr>
          <w:rFonts w:eastAsia="Calibri" w:cstheme="minorHAnsi"/>
          <w:color w:val="000000"/>
          <w:lang w:eastAsia="it-IT"/>
        </w:rPr>
        <w:t>r</w:t>
      </w:r>
      <w:r w:rsidR="000F7204" w:rsidRPr="00204F5D">
        <w:rPr>
          <w:rFonts w:eastAsia="Calibri" w:cstheme="minorHAnsi"/>
          <w:color w:val="000000"/>
          <w:lang w:eastAsia="it-IT"/>
        </w:rPr>
        <w:t>ofene</w:t>
      </w:r>
      <w:r w:rsidR="00797416" w:rsidRPr="00204F5D">
        <w:rPr>
          <w:rFonts w:eastAsia="Calibri" w:cstheme="minorHAnsi"/>
          <w:color w:val="000000"/>
          <w:lang w:eastAsia="it-IT"/>
        </w:rPr>
        <w:t xml:space="preserve"> </w:t>
      </w:r>
      <w:r w:rsidR="00BB2AF8" w:rsidRPr="00204F5D">
        <w:rPr>
          <w:rFonts w:eastAsia="Calibri" w:cstheme="minorHAnsi"/>
          <w:color w:val="000000"/>
          <w:lang w:eastAsia="it-IT"/>
        </w:rPr>
        <w:t xml:space="preserve">ed </w:t>
      </w:r>
      <w:r w:rsidR="00797416" w:rsidRPr="00204F5D">
        <w:rPr>
          <w:rFonts w:eastAsia="Calibri" w:cstheme="minorHAnsi"/>
          <w:color w:val="000000"/>
          <w:lang w:eastAsia="it-IT"/>
        </w:rPr>
        <w:t>è disponibile come:</w:t>
      </w:r>
    </w:p>
    <w:p w14:paraId="219B90F5" w14:textId="77777777" w:rsidR="00797416" w:rsidRPr="00204F5D" w:rsidRDefault="00797416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lang w:eastAsia="it-IT"/>
        </w:rPr>
      </w:pPr>
      <w:r w:rsidRPr="00204F5D">
        <w:rPr>
          <w:rFonts w:eastAsia="Calibri" w:cstheme="minorHAnsi"/>
          <w:color w:val="000000"/>
          <w:lang w:eastAsia="it-IT"/>
        </w:rPr>
        <w:t>compresse</w:t>
      </w:r>
      <w:r w:rsidR="001E56D1" w:rsidRPr="00204F5D">
        <w:rPr>
          <w:rFonts w:eastAsia="Calibri" w:cstheme="minorHAnsi"/>
          <w:color w:val="000000"/>
          <w:lang w:eastAsia="it-IT"/>
        </w:rPr>
        <w:t xml:space="preserve"> rivestite </w:t>
      </w:r>
      <w:r w:rsidR="00BB2AF8" w:rsidRPr="00204F5D">
        <w:rPr>
          <w:rFonts w:eastAsia="Calibri" w:cstheme="minorHAnsi"/>
          <w:color w:val="000000"/>
          <w:lang w:eastAsia="it-IT"/>
        </w:rPr>
        <w:t>contenent</w:t>
      </w:r>
      <w:r w:rsidRPr="00204F5D">
        <w:rPr>
          <w:rFonts w:eastAsia="Calibri" w:cstheme="minorHAnsi"/>
          <w:color w:val="000000"/>
          <w:lang w:eastAsia="it-IT"/>
        </w:rPr>
        <w:t>i</w:t>
      </w:r>
      <w:r w:rsidR="00BB2AF8" w:rsidRPr="00204F5D">
        <w:rPr>
          <w:rFonts w:eastAsia="Calibri" w:cstheme="minorHAnsi"/>
          <w:color w:val="000000"/>
          <w:lang w:eastAsia="it-IT"/>
        </w:rPr>
        <w:t xml:space="preserve"> </w:t>
      </w:r>
      <w:r w:rsidR="000F7204" w:rsidRPr="00204F5D">
        <w:rPr>
          <w:rFonts w:eastAsia="Calibri" w:cstheme="minorHAnsi"/>
          <w:color w:val="000000"/>
          <w:lang w:eastAsia="it-IT"/>
        </w:rPr>
        <w:t xml:space="preserve">200 mg </w:t>
      </w:r>
      <w:r w:rsidRPr="00204F5D">
        <w:rPr>
          <w:rFonts w:eastAsia="Calibri" w:cstheme="minorHAnsi"/>
          <w:color w:val="000000"/>
          <w:lang w:eastAsia="it-IT"/>
        </w:rPr>
        <w:t xml:space="preserve"> di</w:t>
      </w:r>
      <w:r w:rsidR="00BB2AF8" w:rsidRPr="00204F5D">
        <w:rPr>
          <w:rFonts w:eastAsia="Calibri" w:cstheme="minorHAnsi"/>
          <w:color w:val="000000"/>
          <w:lang w:eastAsia="it-IT"/>
        </w:rPr>
        <w:t xml:space="preserve"> principio attivo</w:t>
      </w:r>
      <w:r w:rsidR="000F7204" w:rsidRPr="00204F5D">
        <w:rPr>
          <w:rFonts w:eastAsia="Calibri" w:cstheme="minorHAnsi"/>
          <w:color w:val="000000"/>
          <w:lang w:eastAsia="it-IT"/>
        </w:rPr>
        <w:t>.</w:t>
      </w:r>
    </w:p>
    <w:p w14:paraId="6814CB43" w14:textId="77777777" w:rsidR="00300BEA" w:rsidRPr="00204F5D" w:rsidRDefault="00300BEA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lang w:eastAsia="it-IT"/>
        </w:rPr>
      </w:pPr>
    </w:p>
    <w:p w14:paraId="00C6B564" w14:textId="77777777" w:rsidR="00797416" w:rsidRPr="00204F5D" w:rsidRDefault="00C778B9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lang w:eastAsia="it-IT"/>
        </w:rPr>
      </w:pPr>
      <w:r w:rsidRPr="00204F5D">
        <w:rPr>
          <w:rFonts w:eastAsia="Calibri" w:cstheme="minorHAnsi"/>
          <w:color w:val="000000"/>
          <w:lang w:eastAsia="it-IT"/>
        </w:rPr>
        <w:t>FIBUS</w:t>
      </w:r>
      <w:r w:rsidR="00797416" w:rsidRPr="00204F5D">
        <w:rPr>
          <w:rFonts w:eastAsia="Calibri" w:cstheme="minorHAnsi"/>
          <w:color w:val="000000"/>
          <w:lang w:eastAsia="it-IT"/>
        </w:rPr>
        <w:t xml:space="preserve"> </w:t>
      </w:r>
      <w:r w:rsidR="00BB2AF8" w:rsidRPr="00204F5D">
        <w:rPr>
          <w:rFonts w:eastAsia="Calibri" w:cstheme="minorHAnsi"/>
          <w:color w:val="000000"/>
          <w:lang w:eastAsia="it-IT"/>
        </w:rPr>
        <w:t xml:space="preserve">è un “medicinale generico”, cioè è analogo ad un “medicinale di riferimento”, </w:t>
      </w:r>
      <w:r w:rsidR="000F7204" w:rsidRPr="00204F5D">
        <w:rPr>
          <w:rFonts w:eastAsia="Calibri" w:cstheme="minorHAnsi"/>
          <w:color w:val="000000"/>
          <w:lang w:eastAsia="it-IT"/>
        </w:rPr>
        <w:t>Moment</w:t>
      </w:r>
      <w:r w:rsidR="00797416" w:rsidRPr="00204F5D">
        <w:rPr>
          <w:rFonts w:eastAsia="Calibri" w:cstheme="minorHAnsi"/>
          <w:color w:val="000000"/>
          <w:lang w:eastAsia="it-IT"/>
        </w:rPr>
        <w:t>, già autorizzato in Italia.</w:t>
      </w:r>
    </w:p>
    <w:p w14:paraId="62296DF4" w14:textId="77777777" w:rsidR="00300BEA" w:rsidRPr="00204F5D" w:rsidRDefault="00300BEA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lang w:eastAsia="it-IT"/>
        </w:rPr>
      </w:pPr>
    </w:p>
    <w:p w14:paraId="6A6C256C" w14:textId="77777777" w:rsidR="00797416" w:rsidRPr="00204F5D" w:rsidRDefault="00300BEA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lang w:eastAsia="it-IT"/>
        </w:rPr>
      </w:pPr>
      <w:r w:rsidRPr="00204F5D">
        <w:rPr>
          <w:rFonts w:eastAsia="Calibri" w:cstheme="minorHAnsi"/>
          <w:color w:val="000000"/>
          <w:lang w:eastAsia="it-IT"/>
        </w:rPr>
        <w:t>Sul sito dell’Agenzia Italiana del Farmaco (AIFA) (</w:t>
      </w:r>
      <w:hyperlink r:id="rId6" w:history="1">
        <w:r w:rsidRPr="00204F5D">
          <w:rPr>
            <w:rStyle w:val="Collegamentoipertestuale"/>
            <w:rFonts w:eastAsia="Calibri" w:cstheme="minorHAnsi"/>
            <w:lang w:eastAsia="it-IT"/>
          </w:rPr>
          <w:t>https://farmaci.agenziafarmaco.gov.it/bancadatifarmaci</w:t>
        </w:r>
      </w:hyperlink>
      <w:r w:rsidRPr="00204F5D">
        <w:rPr>
          <w:rFonts w:eastAsia="Calibri" w:cstheme="minorHAnsi"/>
          <w:lang w:eastAsia="it-IT"/>
        </w:rPr>
        <w:t>)</w:t>
      </w:r>
      <w:r w:rsidRPr="00204F5D">
        <w:rPr>
          <w:rFonts w:cstheme="minorHAnsi"/>
        </w:rPr>
        <w:t xml:space="preserve"> </w:t>
      </w:r>
      <w:r w:rsidRPr="00204F5D">
        <w:rPr>
          <w:rFonts w:eastAsia="Calibri" w:cstheme="minorHAnsi"/>
          <w:color w:val="000000"/>
          <w:lang w:eastAsia="it-IT"/>
        </w:rPr>
        <w:t xml:space="preserve">è possibile consultare il Riassunto delle caratteristiche del prodotto e il foglio illustrativo di </w:t>
      </w:r>
      <w:r w:rsidR="000F7204" w:rsidRPr="00204F5D">
        <w:rPr>
          <w:rFonts w:eastAsia="Calibri" w:cstheme="minorHAnsi"/>
          <w:color w:val="000000"/>
          <w:lang w:eastAsia="it-IT"/>
        </w:rPr>
        <w:t>Moment</w:t>
      </w:r>
      <w:r w:rsidRPr="00204F5D">
        <w:rPr>
          <w:rFonts w:eastAsia="Calibri" w:cstheme="minorHAnsi"/>
          <w:color w:val="000000"/>
          <w:lang w:eastAsia="it-IT"/>
        </w:rPr>
        <w:t>.</w:t>
      </w:r>
    </w:p>
    <w:p w14:paraId="51E4883C" w14:textId="77777777" w:rsidR="00BB2AF8" w:rsidRPr="00204F5D" w:rsidRDefault="00BB2AF8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lang w:eastAsia="it-IT"/>
        </w:rPr>
      </w:pPr>
    </w:p>
    <w:p w14:paraId="474B4422" w14:textId="77777777" w:rsidR="006B311C" w:rsidRPr="00204F5D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it-IT"/>
        </w:rPr>
      </w:pPr>
    </w:p>
    <w:p w14:paraId="2D819A21" w14:textId="77777777" w:rsidR="000C0626" w:rsidRPr="00204F5D" w:rsidRDefault="00C778B9" w:rsidP="000C062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Cs w:val="24"/>
          <w:lang w:eastAsia="it-IT"/>
        </w:rPr>
      </w:pPr>
      <w:r w:rsidRPr="00204F5D">
        <w:rPr>
          <w:rFonts w:eastAsia="Calibri" w:cstheme="minorHAnsi"/>
          <w:bCs/>
          <w:color w:val="000000"/>
          <w:szCs w:val="24"/>
          <w:lang w:eastAsia="it-IT"/>
        </w:rPr>
        <w:t>FIBUS</w:t>
      </w:r>
      <w:r w:rsidR="000C0626" w:rsidRPr="00204F5D">
        <w:rPr>
          <w:rFonts w:eastAsia="Calibri" w:cstheme="minorHAnsi"/>
          <w:bCs/>
          <w:color w:val="000000"/>
          <w:szCs w:val="24"/>
          <w:lang w:eastAsia="it-IT"/>
        </w:rPr>
        <w:t xml:space="preserve"> contiene ibuprofene, un medicinale che appartiene alla classe degli analgesici-antinfiammatori, cioè farmaci che combattono il dolore e l’infiammazione.</w:t>
      </w:r>
    </w:p>
    <w:p w14:paraId="6002AC4B" w14:textId="77777777" w:rsidR="000C0626" w:rsidRPr="00204F5D" w:rsidRDefault="000C0626" w:rsidP="000C062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Cs w:val="24"/>
          <w:lang w:eastAsia="it-IT"/>
        </w:rPr>
      </w:pPr>
    </w:p>
    <w:p w14:paraId="61989DF3" w14:textId="77777777" w:rsidR="000C0626" w:rsidRPr="00204F5D" w:rsidRDefault="00C778B9" w:rsidP="000C062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Cs w:val="24"/>
          <w:lang w:eastAsia="it-IT"/>
        </w:rPr>
      </w:pPr>
      <w:r w:rsidRPr="00204F5D">
        <w:rPr>
          <w:rFonts w:eastAsia="Calibri" w:cstheme="minorHAnsi"/>
          <w:bCs/>
          <w:color w:val="000000"/>
          <w:szCs w:val="24"/>
          <w:lang w:eastAsia="it-IT"/>
        </w:rPr>
        <w:t>FIBUS</w:t>
      </w:r>
      <w:r w:rsidR="000C0626" w:rsidRPr="00204F5D">
        <w:rPr>
          <w:rFonts w:eastAsia="Calibri" w:cstheme="minorHAnsi"/>
          <w:bCs/>
          <w:color w:val="000000"/>
          <w:szCs w:val="24"/>
          <w:lang w:eastAsia="it-IT"/>
        </w:rPr>
        <w:t xml:space="preserve"> è utilizzato, negli adulti e negli adolescenti a partire dai 12 anni, per:</w:t>
      </w:r>
    </w:p>
    <w:p w14:paraId="36F051EA" w14:textId="77777777" w:rsidR="000C0626" w:rsidRPr="00204F5D" w:rsidRDefault="000C0626" w:rsidP="000C062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Cs w:val="24"/>
          <w:lang w:eastAsia="it-IT"/>
        </w:rPr>
      </w:pPr>
      <w:r w:rsidRPr="00204F5D">
        <w:rPr>
          <w:rFonts w:eastAsia="Calibri" w:cstheme="minorHAnsi"/>
          <w:bCs/>
          <w:color w:val="000000"/>
          <w:szCs w:val="24"/>
          <w:lang w:eastAsia="it-IT"/>
        </w:rPr>
        <w:t>-</w:t>
      </w:r>
      <w:r w:rsidRPr="00204F5D">
        <w:rPr>
          <w:rFonts w:eastAsia="Calibri" w:cstheme="minorHAnsi"/>
          <w:bCs/>
          <w:color w:val="000000"/>
          <w:szCs w:val="24"/>
          <w:lang w:eastAsia="it-IT"/>
        </w:rPr>
        <w:tab/>
        <w:t>Il trattamento di dolori di varia origine e natura (mal di testa, mal di denti, nevralgie, dolori osteo-articolari e muscolari, dolori mestruali);</w:t>
      </w:r>
    </w:p>
    <w:p w14:paraId="3C83414B" w14:textId="77777777" w:rsidR="000C0626" w:rsidRPr="00204F5D" w:rsidRDefault="000C0626" w:rsidP="000C062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Cs w:val="24"/>
          <w:lang w:eastAsia="it-IT"/>
        </w:rPr>
      </w:pPr>
      <w:r w:rsidRPr="00204F5D">
        <w:rPr>
          <w:rFonts w:eastAsia="Calibri" w:cstheme="minorHAnsi"/>
          <w:bCs/>
          <w:color w:val="000000"/>
          <w:szCs w:val="24"/>
          <w:lang w:eastAsia="it-IT"/>
        </w:rPr>
        <w:t>-</w:t>
      </w:r>
      <w:r w:rsidRPr="00204F5D">
        <w:rPr>
          <w:rFonts w:eastAsia="Calibri" w:cstheme="minorHAnsi"/>
          <w:bCs/>
          <w:color w:val="000000"/>
          <w:szCs w:val="24"/>
          <w:lang w:eastAsia="it-IT"/>
        </w:rPr>
        <w:tab/>
        <w:t>La riduzione dei sintomi degli stati febbrili ed influenzali.</w:t>
      </w:r>
    </w:p>
    <w:p w14:paraId="126CB86F" w14:textId="77777777" w:rsidR="000C0626" w:rsidRPr="00204F5D" w:rsidRDefault="000C0626" w:rsidP="000C062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Cs w:val="24"/>
          <w:lang w:eastAsia="it-IT"/>
        </w:rPr>
      </w:pPr>
    </w:p>
    <w:p w14:paraId="6FEC3A29" w14:textId="77777777" w:rsidR="00F15B80" w:rsidRPr="006E4F43" w:rsidRDefault="00F15B80" w:rsidP="00F15B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Cs w:val="24"/>
          <w:lang w:eastAsia="it-IT"/>
        </w:rPr>
      </w:pPr>
      <w:r w:rsidRPr="00204F5D">
        <w:rPr>
          <w:rFonts w:eastAsia="Calibri" w:cstheme="minorHAnsi"/>
          <w:bCs/>
          <w:color w:val="000000"/>
          <w:szCs w:val="24"/>
          <w:lang w:eastAsia="it-IT"/>
        </w:rPr>
        <w:t>E’ necessario rivolgersi</w:t>
      </w:r>
      <w:r w:rsidRPr="006E4F43">
        <w:rPr>
          <w:rFonts w:eastAsia="Calibri" w:cstheme="minorHAnsi"/>
          <w:bCs/>
          <w:color w:val="000000"/>
          <w:szCs w:val="24"/>
          <w:lang w:eastAsia="it-IT"/>
        </w:rPr>
        <w:t xml:space="preserve"> al medico se il paziente non si sente meglio o se si sente peggio dopo 3 giorni di trattamento.</w:t>
      </w:r>
    </w:p>
    <w:p w14:paraId="54802DCE" w14:textId="77777777" w:rsidR="00BB2AF8" w:rsidRPr="000C062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14:paraId="546A1BDD" w14:textId="77777777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C778B9">
        <w:rPr>
          <w:rFonts w:eastAsia="Calibri" w:cs="Calibri"/>
          <w:b/>
          <w:color w:val="000000"/>
          <w:lang w:eastAsia="it-IT"/>
        </w:rPr>
        <w:t>FIBUS</w:t>
      </w:r>
    </w:p>
    <w:p w14:paraId="05BBD9EF" w14:textId="77777777" w:rsidR="001C15DF" w:rsidRPr="003C11FD" w:rsidRDefault="00C778B9" w:rsidP="001C15DF">
      <w:pPr>
        <w:tabs>
          <w:tab w:val="left" w:pos="0"/>
        </w:tabs>
        <w:spacing w:after="0" w:line="240" w:lineRule="auto"/>
        <w:jc w:val="both"/>
      </w:pPr>
      <w:r w:rsidRPr="003C11FD">
        <w:rPr>
          <w:rFonts w:eastAsia="Calibri" w:cs="Calibri"/>
          <w:color w:val="000000"/>
          <w:lang w:eastAsia="it-IT"/>
        </w:rPr>
        <w:t>FIBUS</w:t>
      </w:r>
      <w:r w:rsidR="001C15DF" w:rsidRPr="003C11FD">
        <w:rPr>
          <w:rFonts w:eastAsia="Calibri" w:cs="Calibri"/>
          <w:color w:val="000000"/>
          <w:lang w:eastAsia="it-IT"/>
        </w:rPr>
        <w:t xml:space="preserve"> </w:t>
      </w:r>
      <w:r w:rsidR="001C15DF" w:rsidRPr="003C11FD">
        <w:rPr>
          <w:rFonts w:cs="Arial"/>
        </w:rPr>
        <w:t>è un medicinale di automedicazione (OTC) e non necessita di prescrizione del medico.</w:t>
      </w:r>
    </w:p>
    <w:p w14:paraId="12A467D7" w14:textId="77777777" w:rsidR="001C15DF" w:rsidRPr="003C11FD" w:rsidRDefault="001C15DF" w:rsidP="001C15DF">
      <w:pPr>
        <w:tabs>
          <w:tab w:val="left" w:pos="0"/>
        </w:tabs>
        <w:spacing w:after="0" w:line="240" w:lineRule="auto"/>
        <w:jc w:val="both"/>
      </w:pPr>
    </w:p>
    <w:p w14:paraId="4830578E" w14:textId="77777777" w:rsidR="008F6FC2" w:rsidRPr="00D60362" w:rsidRDefault="008F6FC2" w:rsidP="008F6FC2">
      <w:pPr>
        <w:autoSpaceDE w:val="0"/>
        <w:autoSpaceDN w:val="0"/>
        <w:adjustRightInd w:val="0"/>
        <w:spacing w:after="0" w:line="240" w:lineRule="auto"/>
        <w:jc w:val="both"/>
      </w:pPr>
      <w:r w:rsidRPr="00D60362">
        <w:t xml:space="preserve">La dose raccomandata </w:t>
      </w:r>
      <w:r w:rsidR="003C11FD" w:rsidRPr="00D60362">
        <w:t xml:space="preserve">in adulti e adolescenti oltre i 12 anni </w:t>
      </w:r>
      <w:r w:rsidRPr="00D60362">
        <w:t xml:space="preserve">è 1-2 compresse, due-tre volte al giorno.  </w:t>
      </w:r>
    </w:p>
    <w:p w14:paraId="019BC220" w14:textId="77777777" w:rsidR="008F6FC2" w:rsidRPr="00D60362" w:rsidRDefault="008F6FC2" w:rsidP="008F6FC2">
      <w:pPr>
        <w:autoSpaceDE w:val="0"/>
        <w:autoSpaceDN w:val="0"/>
        <w:adjustRightInd w:val="0"/>
        <w:spacing w:after="0" w:line="240" w:lineRule="auto"/>
        <w:jc w:val="both"/>
      </w:pPr>
    </w:p>
    <w:p w14:paraId="4F72E971" w14:textId="77777777" w:rsidR="008F6FC2" w:rsidRPr="00D60362" w:rsidRDefault="008F6FC2" w:rsidP="008F6FC2">
      <w:pPr>
        <w:autoSpaceDE w:val="0"/>
        <w:autoSpaceDN w:val="0"/>
        <w:adjustRightInd w:val="0"/>
        <w:spacing w:after="0" w:line="240" w:lineRule="auto"/>
        <w:jc w:val="both"/>
      </w:pPr>
      <w:r w:rsidRPr="00D60362">
        <w:t>Dopo tre giorni di trattamento senza risultati apprezzabili si deve consultare  il medico.</w:t>
      </w:r>
    </w:p>
    <w:p w14:paraId="06726727" w14:textId="77777777" w:rsidR="008F6FC2" w:rsidRPr="00D60362" w:rsidRDefault="008F6FC2" w:rsidP="008F6FC2">
      <w:pPr>
        <w:autoSpaceDE w:val="0"/>
        <w:autoSpaceDN w:val="0"/>
        <w:adjustRightInd w:val="0"/>
        <w:spacing w:after="0" w:line="240" w:lineRule="auto"/>
        <w:jc w:val="both"/>
      </w:pPr>
    </w:p>
    <w:p w14:paraId="6DEBEC9A" w14:textId="77777777" w:rsidR="008F6FC2" w:rsidRPr="00D60362" w:rsidRDefault="008F6FC2" w:rsidP="008F6FC2">
      <w:pPr>
        <w:autoSpaceDE w:val="0"/>
        <w:autoSpaceDN w:val="0"/>
        <w:adjustRightInd w:val="0"/>
        <w:spacing w:after="0" w:line="240" w:lineRule="auto"/>
        <w:jc w:val="both"/>
      </w:pPr>
      <w:r w:rsidRPr="00D60362">
        <w:t>Deve essere usata la dose efficace più bassa per il periodo più breve necessario ad alleviare i sintomi.</w:t>
      </w:r>
    </w:p>
    <w:p w14:paraId="0EE0BAF2" w14:textId="77777777" w:rsidR="008F6FC2" w:rsidRPr="00D60362" w:rsidRDefault="008F6FC2" w:rsidP="008F6FC2">
      <w:pPr>
        <w:autoSpaceDE w:val="0"/>
        <w:autoSpaceDN w:val="0"/>
        <w:adjustRightInd w:val="0"/>
        <w:spacing w:after="0" w:line="240" w:lineRule="auto"/>
        <w:jc w:val="both"/>
      </w:pPr>
      <w:r w:rsidRPr="00D60362">
        <w:t>Se il paziente ha un’infezione, si deve rivolgere immediatamente al medico qualora i sintomi (per esempio febbre e dolore) persistano o peggiorino.</w:t>
      </w:r>
    </w:p>
    <w:p w14:paraId="5E709813" w14:textId="77777777" w:rsidR="008F6FC2" w:rsidRPr="00D60362" w:rsidRDefault="008F6FC2" w:rsidP="008F6FC2">
      <w:pPr>
        <w:autoSpaceDE w:val="0"/>
        <w:autoSpaceDN w:val="0"/>
        <w:adjustRightInd w:val="0"/>
        <w:spacing w:after="0" w:line="240" w:lineRule="auto"/>
        <w:jc w:val="both"/>
      </w:pPr>
    </w:p>
    <w:p w14:paraId="2086F9A8" w14:textId="77777777" w:rsidR="003C11FD" w:rsidRPr="00D60362" w:rsidRDefault="008F6FC2" w:rsidP="008F6FC2">
      <w:pPr>
        <w:tabs>
          <w:tab w:val="left" w:pos="0"/>
        </w:tabs>
        <w:spacing w:after="0" w:line="240" w:lineRule="auto"/>
        <w:jc w:val="both"/>
      </w:pPr>
      <w:r w:rsidRPr="00D60362">
        <w:t xml:space="preserve">Non si devono superare </w:t>
      </w:r>
      <w:r w:rsidR="00F15B80" w:rsidRPr="00D60362">
        <w:t>l</w:t>
      </w:r>
      <w:r w:rsidRPr="00D60362">
        <w:t xml:space="preserve">e dosi di 6 compresse al giorno. </w:t>
      </w:r>
    </w:p>
    <w:p w14:paraId="752452F5" w14:textId="77777777" w:rsidR="003C11FD" w:rsidRPr="00D60362" w:rsidRDefault="003C11FD" w:rsidP="003C11FD">
      <w:pPr>
        <w:tabs>
          <w:tab w:val="left" w:pos="0"/>
        </w:tabs>
        <w:spacing w:after="0" w:line="240" w:lineRule="auto"/>
        <w:jc w:val="both"/>
      </w:pPr>
      <w:bookmarkStart w:id="1" w:name="_Hlk122444038"/>
      <w:r w:rsidRPr="00D60362">
        <w:t>Nei pazienti anziani  il dosaggio può essere più basso.</w:t>
      </w:r>
    </w:p>
    <w:p w14:paraId="0D8F724D" w14:textId="4EB0CE8A" w:rsidR="008F6FC2" w:rsidRPr="00D60362" w:rsidRDefault="003C11FD" w:rsidP="008F6FC2">
      <w:pPr>
        <w:tabs>
          <w:tab w:val="left" w:pos="0"/>
        </w:tabs>
        <w:spacing w:after="0" w:line="240" w:lineRule="auto"/>
        <w:jc w:val="both"/>
      </w:pPr>
      <w:r w:rsidRPr="00D60362">
        <w:t>I pazienti che soffrono</w:t>
      </w:r>
      <w:r w:rsidR="008F6FC2" w:rsidRPr="00D60362">
        <w:t xml:space="preserve"> di una malattia dei reni e/o del fegato o del cuore</w:t>
      </w:r>
      <w:r w:rsidRPr="00D60362">
        <w:t xml:space="preserve"> </w:t>
      </w:r>
      <w:r w:rsidR="008F6FC2" w:rsidRPr="00D60362">
        <w:t>dev</w:t>
      </w:r>
      <w:r w:rsidRPr="00D60362">
        <w:t>ono</w:t>
      </w:r>
      <w:r w:rsidR="008F6FC2" w:rsidRPr="00D60362">
        <w:t xml:space="preserve"> consultare il medico che stabilirà la dose adatta.</w:t>
      </w:r>
    </w:p>
    <w:p w14:paraId="532099A9" w14:textId="77777777" w:rsidR="008F6FC2" w:rsidRPr="00D60362" w:rsidRDefault="003C11FD" w:rsidP="008F6FC2">
      <w:pPr>
        <w:tabs>
          <w:tab w:val="left" w:pos="0"/>
        </w:tabs>
        <w:spacing w:after="0" w:line="240" w:lineRule="auto"/>
        <w:jc w:val="both"/>
      </w:pPr>
      <w:r w:rsidRPr="00D60362">
        <w:t>I pazienti che soffrono</w:t>
      </w:r>
      <w:r w:rsidR="008F6FC2" w:rsidRPr="00D60362">
        <w:t xml:space="preserve"> di una grave malattia del fegato, non dev</w:t>
      </w:r>
      <w:r w:rsidRPr="00D60362">
        <w:t>ono</w:t>
      </w:r>
      <w:r w:rsidR="008F6FC2" w:rsidRPr="00D60362">
        <w:t xml:space="preserve"> prendere</w:t>
      </w:r>
      <w:bookmarkEnd w:id="1"/>
      <w:r w:rsidR="008F6FC2" w:rsidRPr="00D60362">
        <w:t xml:space="preserve"> </w:t>
      </w:r>
      <w:r w:rsidR="00C778B9" w:rsidRPr="00D60362">
        <w:t>FIBUS</w:t>
      </w:r>
      <w:r w:rsidR="008F6FC2" w:rsidRPr="00D60362">
        <w:t>.</w:t>
      </w:r>
    </w:p>
    <w:p w14:paraId="24B3D03F" w14:textId="77777777" w:rsidR="008A6FEC" w:rsidRPr="00D60362" w:rsidRDefault="008A6FEC" w:rsidP="00BB2AF8">
      <w:pPr>
        <w:tabs>
          <w:tab w:val="left" w:pos="0"/>
        </w:tabs>
        <w:spacing w:after="0" w:line="240" w:lineRule="auto"/>
        <w:jc w:val="both"/>
      </w:pPr>
    </w:p>
    <w:p w14:paraId="2148D149" w14:textId="77777777" w:rsidR="00BF7F42" w:rsidRPr="00D60362" w:rsidRDefault="00BF7F42" w:rsidP="00BF7F42">
      <w:pPr>
        <w:autoSpaceDE w:val="0"/>
        <w:autoSpaceDN w:val="0"/>
        <w:adjustRightInd w:val="0"/>
        <w:spacing w:after="0" w:line="240" w:lineRule="auto"/>
        <w:jc w:val="both"/>
      </w:pPr>
      <w:bookmarkStart w:id="2" w:name="_Hlk122444183"/>
      <w:r w:rsidRPr="00D60362">
        <w:t>Uso negli adolescenti</w:t>
      </w:r>
    </w:p>
    <w:p w14:paraId="0191B38B" w14:textId="77777777" w:rsidR="00BF7F42" w:rsidRPr="00D60362" w:rsidRDefault="003C11FD" w:rsidP="00BF7F42">
      <w:pPr>
        <w:autoSpaceDE w:val="0"/>
        <w:autoSpaceDN w:val="0"/>
        <w:adjustRightInd w:val="0"/>
        <w:spacing w:after="0" w:line="240" w:lineRule="auto"/>
        <w:jc w:val="both"/>
      </w:pPr>
      <w:r w:rsidRPr="00D60362">
        <w:t>I pazienti adolescenti</w:t>
      </w:r>
      <w:r w:rsidR="00BF7F42" w:rsidRPr="00D60362">
        <w:t xml:space="preserve"> dev</w:t>
      </w:r>
      <w:r w:rsidRPr="00D60362">
        <w:t>ono</w:t>
      </w:r>
      <w:r w:rsidR="00BF7F42" w:rsidRPr="00D60362">
        <w:t xml:space="preserve"> consultare il medico nel caso l’uso del medicinale sia necessario per più di 3 giorni o nel caso di peggioramento della sintomatologia.</w:t>
      </w:r>
    </w:p>
    <w:p w14:paraId="4DA17CB0" w14:textId="77777777" w:rsidR="008A6FEC" w:rsidRPr="00D60362" w:rsidRDefault="008A6FEC" w:rsidP="00BB2AF8">
      <w:pPr>
        <w:autoSpaceDE w:val="0"/>
        <w:autoSpaceDN w:val="0"/>
        <w:adjustRightInd w:val="0"/>
        <w:spacing w:after="0" w:line="240" w:lineRule="auto"/>
        <w:jc w:val="both"/>
      </w:pPr>
    </w:p>
    <w:p w14:paraId="473957AF" w14:textId="77777777" w:rsidR="00BF7F42" w:rsidRPr="00BF7F42" w:rsidRDefault="00BF7F42" w:rsidP="00BF7F4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D60362">
        <w:rPr>
          <w:rFonts w:eastAsia="Calibri" w:cs="Verdana"/>
          <w:color w:val="000000"/>
          <w:lang w:eastAsia="it-IT"/>
        </w:rPr>
        <w:t>L</w:t>
      </w:r>
      <w:r w:rsidR="003C11FD" w:rsidRPr="00D60362">
        <w:rPr>
          <w:rFonts w:eastAsia="Calibri" w:cs="Verdana"/>
          <w:color w:val="000000"/>
          <w:lang w:eastAsia="it-IT"/>
        </w:rPr>
        <w:t>e</w:t>
      </w:r>
      <w:r w:rsidRPr="00D60362">
        <w:rPr>
          <w:rFonts w:eastAsia="Calibri" w:cs="Verdana"/>
          <w:color w:val="000000"/>
          <w:lang w:eastAsia="it-IT"/>
        </w:rPr>
        <w:t xml:space="preserve"> compress</w:t>
      </w:r>
      <w:r w:rsidR="003C11FD" w:rsidRPr="00D60362">
        <w:rPr>
          <w:rFonts w:eastAsia="Calibri" w:cs="Verdana"/>
          <w:color w:val="000000"/>
          <w:lang w:eastAsia="it-IT"/>
        </w:rPr>
        <w:t>e</w:t>
      </w:r>
      <w:r w:rsidRPr="00D60362">
        <w:rPr>
          <w:rFonts w:eastAsia="Calibri" w:cs="Verdana"/>
          <w:color w:val="000000"/>
          <w:lang w:eastAsia="it-IT"/>
        </w:rPr>
        <w:t xml:space="preserve"> dev</w:t>
      </w:r>
      <w:r w:rsidR="003C11FD" w:rsidRPr="00D60362">
        <w:rPr>
          <w:rFonts w:eastAsia="Calibri" w:cs="Verdana"/>
          <w:color w:val="000000"/>
          <w:lang w:eastAsia="it-IT"/>
        </w:rPr>
        <w:t>ono</w:t>
      </w:r>
      <w:r w:rsidRPr="00D60362">
        <w:rPr>
          <w:rFonts w:eastAsia="Calibri" w:cs="Verdana"/>
          <w:color w:val="000000"/>
          <w:lang w:eastAsia="it-IT"/>
        </w:rPr>
        <w:t xml:space="preserve"> essere pres</w:t>
      </w:r>
      <w:r w:rsidR="00B94E5B" w:rsidRPr="00D60362">
        <w:rPr>
          <w:rFonts w:eastAsia="Calibri" w:cs="Verdana"/>
          <w:color w:val="000000"/>
          <w:lang w:eastAsia="it-IT"/>
        </w:rPr>
        <w:t>e</w:t>
      </w:r>
      <w:r w:rsidRPr="00D60362">
        <w:rPr>
          <w:rFonts w:eastAsia="Calibri" w:cs="Verdana"/>
          <w:color w:val="000000"/>
          <w:lang w:eastAsia="it-IT"/>
        </w:rPr>
        <w:t xml:space="preserve"> aiutandosi con un bicchiere di acqua.</w:t>
      </w:r>
    </w:p>
    <w:bookmarkEnd w:id="2"/>
    <w:p w14:paraId="7DE5C184" w14:textId="77777777" w:rsidR="00F96473" w:rsidRPr="004B4170" w:rsidRDefault="00BF7F42" w:rsidP="00BF7F4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BF7F42">
        <w:rPr>
          <w:rFonts w:eastAsia="Calibri" w:cs="Verdana"/>
          <w:color w:val="000000"/>
          <w:lang w:eastAsia="it-IT"/>
        </w:rPr>
        <w:lastRenderedPageBreak/>
        <w:t xml:space="preserve">È possibile assumere </w:t>
      </w:r>
      <w:r w:rsidR="00C778B9">
        <w:rPr>
          <w:rFonts w:eastAsia="Calibri" w:cs="Verdana"/>
          <w:color w:val="000000"/>
          <w:lang w:eastAsia="it-IT"/>
        </w:rPr>
        <w:t>FIBUS</w:t>
      </w:r>
      <w:r w:rsidRPr="00BF7F42">
        <w:rPr>
          <w:rFonts w:eastAsia="Calibri" w:cs="Verdana"/>
          <w:color w:val="000000"/>
          <w:lang w:eastAsia="it-IT"/>
        </w:rPr>
        <w:t xml:space="preserve"> a stomaco vuoto. Nei soggetti con problemi di tollerabilità gastrica, è preferibile assumere il medicinale a stomaco pieno.</w:t>
      </w:r>
    </w:p>
    <w:p w14:paraId="723DE933" w14:textId="77777777" w:rsidR="00BF7F42" w:rsidRDefault="00BF7F42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4C283A4B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C778B9">
        <w:rPr>
          <w:rFonts w:eastAsia="Calibri" w:cs="Calibri"/>
          <w:b/>
          <w:color w:val="000000"/>
          <w:lang w:eastAsia="it-IT"/>
        </w:rPr>
        <w:t>FIBUS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3E513752" w14:textId="77777777" w:rsidR="00BB2AF8" w:rsidRPr="00F96473" w:rsidRDefault="00C778B9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  <w:r>
        <w:rPr>
          <w:rFonts w:eastAsia="Calibri" w:cs="Calibri"/>
          <w:color w:val="000000"/>
          <w:lang w:eastAsia="it-IT"/>
        </w:rPr>
        <w:t>FIBUS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1E56D1" w:rsidRPr="001E56D1">
        <w:rPr>
          <w:rFonts w:eastAsia="Calibri" w:cs="Calibri"/>
          <w:bCs/>
          <w:color w:val="000000"/>
          <w:lang w:eastAsia="it-IT"/>
        </w:rPr>
        <w:t>M01AE01</w:t>
      </w:r>
      <w:r w:rsidR="001E56D1">
        <w:rPr>
          <w:rFonts w:eastAsia="Calibri" w:cs="Calibri"/>
          <w:bCs/>
          <w:color w:val="000000"/>
          <w:lang w:eastAsia="it-IT"/>
        </w:rPr>
        <w:t xml:space="preserve">, </w:t>
      </w:r>
      <w:r w:rsidR="001E56D1">
        <w:rPr>
          <w:rFonts w:eastAsia="Calibri" w:cs="Calibri"/>
          <w:color w:val="000000"/>
          <w:lang w:eastAsia="it-IT"/>
        </w:rPr>
        <w:t>contiene il principio attivo ibuprofene</w:t>
      </w:r>
      <w:r w:rsidR="001E56D1">
        <w:t xml:space="preserve"> </w:t>
      </w:r>
      <w:r w:rsidR="001E56D1" w:rsidRPr="001E56D1">
        <w:t xml:space="preserve">che appartiene alla classe degli analgesici-antinfiammatori, cioè farmaci che combattono il dolore e </w:t>
      </w:r>
      <w:r w:rsidR="001E56D1" w:rsidRPr="00B94E5B">
        <w:t>l’infiammazione</w:t>
      </w:r>
      <w:r w:rsidR="001E56D1" w:rsidRPr="006E4F43">
        <w:rPr>
          <w:b/>
          <w:i/>
          <w:sz w:val="20"/>
        </w:rPr>
        <w:t>.</w:t>
      </w:r>
    </w:p>
    <w:p w14:paraId="4CC42A17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1C8FA460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C778B9">
        <w:rPr>
          <w:rFonts w:eastAsia="Calibri" w:cs="Calibri"/>
          <w:b/>
          <w:color w:val="000000"/>
          <w:lang w:eastAsia="it-IT"/>
        </w:rPr>
        <w:t>FIBUS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14:paraId="4DA1BF8E" w14:textId="77777777" w:rsidR="00F96473" w:rsidRDefault="00F96473" w:rsidP="00F96473">
      <w:pPr>
        <w:spacing w:after="0" w:line="240" w:lineRule="auto"/>
        <w:jc w:val="both"/>
        <w:rPr>
          <w:rFonts w:ascii="Calibri" w:hAnsi="Calibri" w:cs="Arial"/>
        </w:rPr>
      </w:pPr>
      <w:r w:rsidRPr="00D85E7D">
        <w:rPr>
          <w:rFonts w:cs="Arial"/>
        </w:rPr>
        <w:t xml:space="preserve">Poiché </w:t>
      </w:r>
      <w:r w:rsidR="00C778B9">
        <w:rPr>
          <w:rFonts w:eastAsia="Calibri" w:cs="Calibri"/>
          <w:color w:val="000000"/>
          <w:lang w:eastAsia="it-IT"/>
        </w:rPr>
        <w:t>FIBUS</w:t>
      </w:r>
      <w:r w:rsidR="001E56D1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 </w:t>
      </w:r>
      <w:r w:rsidRPr="00D85E7D">
        <w:rPr>
          <w:rFonts w:cs="Arial"/>
        </w:rPr>
        <w:t>è un medicinale generico, è stato sufficiente effettuare prove cliniche per determinare</w:t>
      </w:r>
      <w:r w:rsidRPr="00D85E7D">
        <w:rPr>
          <w:rFonts w:cs="Arial"/>
          <w:b/>
        </w:rPr>
        <w:t xml:space="preserve"> </w:t>
      </w:r>
      <w:r w:rsidRPr="00D85E7D">
        <w:rPr>
          <w:rFonts w:cs="Arial"/>
        </w:rPr>
        <w:t xml:space="preserve">la bioequivalenza rispetto al medicinale di riferimento </w:t>
      </w:r>
      <w:r w:rsidR="001E56D1">
        <w:rPr>
          <w:rFonts w:cs="Arial"/>
        </w:rPr>
        <w:t>Moment</w:t>
      </w:r>
      <w:r w:rsidRPr="00D85E7D">
        <w:rPr>
          <w:rFonts w:cs="Arial"/>
        </w:rPr>
        <w:t>. Due medicinali sono</w:t>
      </w:r>
      <w:r>
        <w:rPr>
          <w:rFonts w:ascii="Calibri" w:hAnsi="Calibri" w:cs="Arial"/>
        </w:rPr>
        <w:t xml:space="preserve"> bioequivalenti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14:paraId="513E8BC4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784CE98" w14:textId="77777777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C778B9">
        <w:rPr>
          <w:rFonts w:eastAsia="Calibri" w:cs="Calibri"/>
          <w:b/>
          <w:color w:val="000000"/>
          <w:lang w:eastAsia="it-IT"/>
        </w:rPr>
        <w:t>FIBUS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6CF688BD" w14:textId="77777777" w:rsidR="00BB2AF8" w:rsidRPr="002A3F14" w:rsidRDefault="00C778B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FIBUS</w:t>
      </w:r>
      <w:r w:rsidR="007170D7">
        <w:rPr>
          <w:rFonts w:ascii="Calibri" w:hAnsi="Calibri" w:cs="Arial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medicinale </w:t>
      </w:r>
      <w:r w:rsidR="00BB2AF8">
        <w:rPr>
          <w:rFonts w:eastAsia="Calibri" w:cs="Calibri"/>
          <w:lang w:eastAsia="it-IT"/>
        </w:rPr>
        <w:t>generico ed è bioequivalente al medicinale di riferimento;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14:paraId="48E8AD9A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158B900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C778B9">
        <w:rPr>
          <w:rFonts w:eastAsia="Calibri" w:cs="Calibri"/>
          <w:b/>
          <w:color w:val="000000"/>
          <w:lang w:eastAsia="it-IT"/>
        </w:rPr>
        <w:t>FIBUS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14:paraId="63BDF67C" w14:textId="77777777"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 w:rsidR="008559A7">
        <w:rPr>
          <w:rFonts w:eastAsia="Calibri" w:cs="Calibri"/>
          <w:lang w:eastAsia="it-IT"/>
        </w:rPr>
        <w:t xml:space="preserve"> nella riunione del 6-8 giugno 2022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</w:t>
      </w:r>
      <w:r>
        <w:rPr>
          <w:rFonts w:eastAsia="Calibri" w:cs="Calibri"/>
          <w:lang w:eastAsia="it-IT"/>
        </w:rPr>
        <w:t xml:space="preserve">come nel caso del medicinale di riferimento </w:t>
      </w:r>
      <w:r w:rsidR="001E56D1">
        <w:rPr>
          <w:rFonts w:eastAsia="Calibri" w:cs="Calibri"/>
          <w:lang w:eastAsia="it-IT"/>
        </w:rPr>
        <w:t>Moment</w:t>
      </w:r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r w:rsidR="00C778B9">
        <w:rPr>
          <w:rFonts w:eastAsia="Calibri" w:cs="Calibri"/>
          <w:color w:val="000000"/>
          <w:lang w:eastAsia="it-IT"/>
        </w:rPr>
        <w:t>FIBUS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 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 Cbis</w:t>
      </w:r>
      <w:r w:rsidRPr="00CB3303">
        <w:rPr>
          <w:rFonts w:eastAsia="Calibri" w:cs="Calibri"/>
          <w:lang w:eastAsia="it-IT"/>
        </w:rPr>
        <w:t xml:space="preserve">. </w:t>
      </w:r>
    </w:p>
    <w:p w14:paraId="09A5E9D0" w14:textId="77777777"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3D078038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C778B9">
        <w:rPr>
          <w:rFonts w:eastAsia="Calibri" w:cs="Calibri"/>
          <w:b/>
          <w:color w:val="000000"/>
          <w:lang w:eastAsia="it-IT"/>
        </w:rPr>
        <w:t>FIBUS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63CEABE6" w14:textId="77777777"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C778B9">
        <w:rPr>
          <w:rFonts w:eastAsia="Calibri" w:cs="Calibri"/>
          <w:color w:val="000000"/>
          <w:lang w:eastAsia="it-IT"/>
        </w:rPr>
        <w:t>FIBUS</w:t>
      </w:r>
      <w:r w:rsidR="004241AC" w:rsidRPr="007170D7">
        <w:rPr>
          <w:rFonts w:eastAsia="Calibri" w:cs="Calibri"/>
          <w:lang w:eastAsia="it-IT"/>
        </w:rPr>
        <w:t>.</w:t>
      </w:r>
    </w:p>
    <w:p w14:paraId="0AA5824E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A84A575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C778B9">
        <w:rPr>
          <w:rFonts w:eastAsia="Calibri" w:cs="Calibri"/>
          <w:b/>
          <w:color w:val="000000"/>
          <w:lang w:eastAsia="it-IT"/>
        </w:rPr>
        <w:t>FIBUS</w:t>
      </w:r>
    </w:p>
    <w:p w14:paraId="1DCC390C" w14:textId="77777777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8559A7">
        <w:rPr>
          <w:rFonts w:eastAsia="Calibri" w:cs="Calibri"/>
          <w:bCs/>
          <w:iCs/>
          <w:lang w:eastAsia="it-IT"/>
        </w:rPr>
        <w:t>29/08/2022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C778B9">
        <w:rPr>
          <w:rFonts w:eastAsia="Calibri" w:cs="Calibri"/>
          <w:color w:val="000000"/>
          <w:lang w:eastAsia="it-IT"/>
        </w:rPr>
        <w:t>FIBUS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3EB53609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48E6C558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582DA526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="00F15B80">
        <w:rPr>
          <w:rFonts w:eastAsia="Calibri" w:cs="Calibri"/>
          <w:lang w:eastAsia="it-IT"/>
        </w:rPr>
        <w:t>con FIBUS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7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6A257706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A540150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43C335A0" w14:textId="77777777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8559A7">
        <w:rPr>
          <w:rFonts w:eastAsia="Calibri" w:cs="Calibri"/>
          <w:lang w:eastAsia="it-IT"/>
        </w:rPr>
        <w:t>data 20/12/2022</w:t>
      </w:r>
      <w:r w:rsidRPr="002A3F14">
        <w:rPr>
          <w:rFonts w:eastAsia="Calibri" w:cs="Calibri"/>
          <w:lang w:eastAsia="it-IT"/>
        </w:rPr>
        <w:t xml:space="preserve">. </w:t>
      </w:r>
    </w:p>
    <w:p w14:paraId="32ED139E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4C165BB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0C9EBC7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D66F8C7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262A8B5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DEF0D5A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6E04196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440F620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B2F1345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80342C3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025270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C58135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9EB9101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D26B273" w14:textId="77777777" w:rsidR="008559A7" w:rsidRDefault="008559A7" w:rsidP="004E5A39">
      <w:pPr>
        <w:spacing w:after="0" w:line="240" w:lineRule="auto"/>
        <w:jc w:val="center"/>
        <w:rPr>
          <w:b/>
          <w:sz w:val="28"/>
        </w:rPr>
      </w:pPr>
    </w:p>
    <w:p w14:paraId="1098AC83" w14:textId="77777777" w:rsidR="008559A7" w:rsidRDefault="008559A7" w:rsidP="004E5A39">
      <w:pPr>
        <w:spacing w:after="0" w:line="240" w:lineRule="auto"/>
        <w:jc w:val="center"/>
        <w:rPr>
          <w:b/>
          <w:sz w:val="28"/>
        </w:rPr>
      </w:pPr>
    </w:p>
    <w:p w14:paraId="4C1EE30C" w14:textId="77777777" w:rsidR="008559A7" w:rsidRDefault="008559A7" w:rsidP="004E5A39">
      <w:pPr>
        <w:spacing w:after="0" w:line="240" w:lineRule="auto"/>
        <w:jc w:val="center"/>
        <w:rPr>
          <w:b/>
          <w:sz w:val="28"/>
        </w:rPr>
      </w:pPr>
    </w:p>
    <w:p w14:paraId="57F92BCF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0D1285FC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1AAAC999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2504BD23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41D8B74A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31FC67FA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3B2DB059" w14:textId="77777777" w:rsidR="004E5A39" w:rsidRDefault="004E5A39" w:rsidP="004E5A39">
      <w:pPr>
        <w:spacing w:after="0" w:line="240" w:lineRule="auto"/>
        <w:jc w:val="both"/>
      </w:pPr>
    </w:p>
    <w:p w14:paraId="62D30798" w14:textId="77777777" w:rsidR="004E5A39" w:rsidRDefault="004E5A39" w:rsidP="004E5A39">
      <w:pPr>
        <w:spacing w:after="0" w:line="240" w:lineRule="auto"/>
        <w:jc w:val="both"/>
      </w:pPr>
    </w:p>
    <w:p w14:paraId="54D73413" w14:textId="77777777" w:rsidR="004E5A39" w:rsidRDefault="004E5A39" w:rsidP="004E5A39">
      <w:pPr>
        <w:spacing w:after="0" w:line="240" w:lineRule="auto"/>
        <w:jc w:val="both"/>
      </w:pPr>
    </w:p>
    <w:p w14:paraId="5EF59F48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0FEC79F5" w14:textId="77777777" w:rsidR="004E5A39" w:rsidRPr="002A3F14" w:rsidRDefault="004E5A39" w:rsidP="004E5A39">
      <w:pPr>
        <w:spacing w:after="0" w:line="240" w:lineRule="auto"/>
        <w:jc w:val="both"/>
      </w:pPr>
    </w:p>
    <w:p w14:paraId="7E0F5596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2D53546E" w14:textId="77777777" w:rsidR="004E5A39" w:rsidRPr="0033523E" w:rsidRDefault="004E5A39" w:rsidP="004E5A39">
      <w:pPr>
        <w:pStyle w:val="Paragrafoelenco"/>
        <w:rPr>
          <w:b/>
        </w:rPr>
      </w:pPr>
    </w:p>
    <w:p w14:paraId="70DABA07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121F95FB" w14:textId="77777777" w:rsidR="004E5A39" w:rsidRPr="0033523E" w:rsidRDefault="004E5A39" w:rsidP="004E5A39">
      <w:pPr>
        <w:pStyle w:val="Paragrafoelenco"/>
        <w:rPr>
          <w:b/>
        </w:rPr>
      </w:pPr>
    </w:p>
    <w:p w14:paraId="60C98656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2E338E60" w14:textId="77777777" w:rsidR="004E5A39" w:rsidRPr="0033523E" w:rsidRDefault="004E5A39" w:rsidP="004E5A39">
      <w:pPr>
        <w:pStyle w:val="Paragrafoelenco"/>
        <w:rPr>
          <w:b/>
        </w:rPr>
      </w:pPr>
    </w:p>
    <w:p w14:paraId="0AE9B964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4379F3DD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388D4A84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1F706CA4" w14:textId="77777777" w:rsidR="004E5A39" w:rsidRDefault="004E5A39" w:rsidP="004E5A39"/>
    <w:p w14:paraId="37049C61" w14:textId="77777777" w:rsidR="004E5A39" w:rsidRDefault="004E5A39" w:rsidP="004E5A39"/>
    <w:p w14:paraId="46F0160C" w14:textId="77777777" w:rsidR="006E4F43" w:rsidRDefault="006E4F43">
      <w:r>
        <w:br w:type="page"/>
      </w:r>
    </w:p>
    <w:p w14:paraId="038A97EA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14:paraId="76F29F68" w14:textId="77777777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5A1FFF">
        <w:t>FG</w:t>
      </w:r>
      <w:r w:rsidR="00B854CF" w:rsidRPr="00B854CF">
        <w:t xml:space="preserve"> S.r.l.</w:t>
      </w:r>
      <w:r w:rsidR="00B854CF">
        <w:t xml:space="preserve"> </w:t>
      </w:r>
      <w:r w:rsidRPr="00EF6711">
        <w:t xml:space="preserve">l’autorizzazione all’immissione in commercio (AIC) per il medicinale </w:t>
      </w:r>
      <w:r w:rsidR="00C778B9">
        <w:rPr>
          <w:rFonts w:eastAsia="Calibri" w:cs="Calibri"/>
          <w:color w:val="000000"/>
          <w:lang w:eastAsia="it-IT"/>
        </w:rPr>
        <w:t>FIBUS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B854CF">
        <w:rPr>
          <w:rFonts w:eastAsia="Calibri" w:cs="Calibri"/>
          <w:bCs/>
          <w:iCs/>
          <w:lang w:eastAsia="it-IT"/>
        </w:rPr>
        <w:t>29/08/2022</w:t>
      </w:r>
      <w:r w:rsidR="009E0140" w:rsidRPr="00EF6711">
        <w:rPr>
          <w:rFonts w:eastAsia="Calibri" w:cs="Calibri"/>
          <w:bCs/>
          <w:iCs/>
          <w:lang w:eastAsia="it-IT"/>
        </w:rPr>
        <w:t>.</w:t>
      </w:r>
      <w:r w:rsidRPr="00EF6711">
        <w:t xml:space="preserve">  </w:t>
      </w:r>
    </w:p>
    <w:p w14:paraId="54DA49D9" w14:textId="77777777" w:rsidR="004E5A39" w:rsidRPr="00EF6711" w:rsidRDefault="004E5A39" w:rsidP="00EF6711">
      <w:pPr>
        <w:spacing w:after="0" w:line="240" w:lineRule="auto"/>
        <w:jc w:val="both"/>
      </w:pPr>
    </w:p>
    <w:p w14:paraId="554FE76B" w14:textId="77777777" w:rsidR="004E5A39" w:rsidRDefault="00C778B9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FIBUS</w:t>
      </w:r>
      <w:r w:rsidR="002177C3" w:rsidRPr="002177C3">
        <w:t xml:space="preserve"> </w:t>
      </w:r>
      <w:r w:rsidR="002177C3" w:rsidRPr="002177C3">
        <w:rPr>
          <w:rFonts w:eastAsia="Calibri" w:cs="Calibri"/>
          <w:color w:val="000000"/>
          <w:lang w:eastAsia="it-IT"/>
        </w:rPr>
        <w:t>è un medicinale di automedicazione (OTC) e non neces</w:t>
      </w:r>
      <w:r w:rsidR="002177C3">
        <w:rPr>
          <w:rFonts w:eastAsia="Calibri" w:cs="Calibri"/>
          <w:color w:val="000000"/>
          <w:lang w:eastAsia="it-IT"/>
        </w:rPr>
        <w:t>sita di prescrizione del medico</w:t>
      </w:r>
      <w:r w:rsidR="00EF6711" w:rsidRPr="00B7597D">
        <w:rPr>
          <w:rFonts w:eastAsia="Calibri" w:cs="Calibri"/>
          <w:color w:val="000000"/>
          <w:lang w:eastAsia="it-IT"/>
        </w:rPr>
        <w:t>.</w:t>
      </w:r>
    </w:p>
    <w:p w14:paraId="756DC8B0" w14:textId="77777777"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0FB8F975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B854CF">
        <w:t xml:space="preserve">10(1) </w:t>
      </w:r>
      <w:r w:rsidRPr="00EF6711">
        <w:t>della Direttiva 2001/83/EU s.m.i.</w:t>
      </w:r>
    </w:p>
    <w:p w14:paraId="4646B82C" w14:textId="77777777" w:rsidR="0042214D" w:rsidRPr="0042214D" w:rsidRDefault="0042214D" w:rsidP="00EF6711">
      <w:pPr>
        <w:widowControl w:val="0"/>
        <w:spacing w:after="0" w:line="240" w:lineRule="auto"/>
        <w:jc w:val="both"/>
        <w:rPr>
          <w:rFonts w:eastAsia="Calibri" w:cs="Calibri"/>
          <w:b/>
          <w:bCs/>
          <w:i/>
          <w:sz w:val="20"/>
          <w:lang w:eastAsia="it-IT"/>
        </w:rPr>
      </w:pPr>
    </w:p>
    <w:p w14:paraId="22145271" w14:textId="77777777" w:rsidR="004E5A39" w:rsidRPr="00EF6711" w:rsidRDefault="00C778B9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FIBUS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B854CF">
        <w:rPr>
          <w:rFonts w:eastAsia="Calibri" w:cs="Calibri"/>
          <w:lang w:eastAsia="it-IT"/>
        </w:rPr>
        <w:t xml:space="preserve"> ibuprofene</w:t>
      </w:r>
      <w:r w:rsidR="004E5A39" w:rsidRPr="00EF6711">
        <w:rPr>
          <w:rFonts w:eastAsia="Calibri" w:cs="Calibri"/>
          <w:lang w:eastAsia="it-IT"/>
        </w:rPr>
        <w:t xml:space="preserve"> noto</w:t>
      </w:r>
      <w:r w:rsidR="00B854CF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B854CF">
        <w:rPr>
          <w:rFonts w:eastAsia="Calibri" w:cs="Calibri"/>
          <w:lang w:eastAsia="it-IT"/>
        </w:rPr>
        <w:t xml:space="preserve"> nel medicinale di riferimento Moment</w:t>
      </w:r>
      <w:r w:rsidR="0042214D">
        <w:rPr>
          <w:rFonts w:eastAsia="Calibri" w:cs="Calibri"/>
          <w:lang w:eastAsia="it-IT"/>
        </w:rPr>
        <w:t xml:space="preserve"> 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14:paraId="00AB8675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4F51DBF8" w14:textId="77777777" w:rsidR="00EF6711" w:rsidRDefault="00C778B9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>
        <w:rPr>
          <w:rFonts w:eastAsia="Calibri" w:cs="Calibri"/>
          <w:color w:val="000000"/>
          <w:lang w:eastAsia="it-IT"/>
        </w:rPr>
        <w:t>FIBUS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>odice ATC è</w:t>
      </w:r>
      <w:r w:rsidR="00642815">
        <w:t xml:space="preserve"> </w:t>
      </w:r>
      <w:r w:rsidR="00642815" w:rsidRPr="00642815">
        <w:t>M01AE01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r w:rsidR="00642815">
        <w:rPr>
          <w:rFonts w:eastAsia="Calibri" w:cs="Calibri"/>
          <w:lang w:eastAsia="it-IT"/>
        </w:rPr>
        <w:t xml:space="preserve">ibuprofene appartenente alla classe dei </w:t>
      </w:r>
      <w:r w:rsidR="00642815" w:rsidRPr="00642815">
        <w:rPr>
          <w:rFonts w:eastAsia="Calibri" w:cs="Calibri"/>
          <w:lang w:eastAsia="it-IT"/>
        </w:rPr>
        <w:t>farmaci antiinfiammatori/antireumatici, non steroidei.</w:t>
      </w:r>
      <w:r w:rsidR="0042214D">
        <w:rPr>
          <w:rFonts w:eastAsia="Calibri" w:cs="Calibri"/>
          <w:lang w:eastAsia="it-IT"/>
        </w:rPr>
        <w:t xml:space="preserve"> </w:t>
      </w:r>
    </w:p>
    <w:p w14:paraId="12708C0B" w14:textId="77777777" w:rsidR="00642815" w:rsidRPr="00663CA5" w:rsidRDefault="00642815" w:rsidP="0064281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663CA5">
        <w:rPr>
          <w:rFonts w:eastAsia="Calibri" w:cs="Calibri"/>
          <w:lang w:eastAsia="it-IT"/>
        </w:rPr>
        <w:t>L’ibuprofene è un potente inibitore della sintesi prostaglandinica ed esercita la sua attività inibendone la sintesi perifericamente.</w:t>
      </w:r>
    </w:p>
    <w:p w14:paraId="02B943DD" w14:textId="77777777" w:rsidR="00642815" w:rsidRPr="00663CA5" w:rsidRDefault="00642815" w:rsidP="0064281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663CA5">
        <w:rPr>
          <w:rFonts w:eastAsia="Calibri" w:cs="Calibri"/>
          <w:lang w:eastAsia="it-IT"/>
        </w:rPr>
        <w:t>E’ un analgesico-antinfiammatorio di sintesi, dotato inoltre di spiccata attività antipiretica. Chimicamente è il capostipite dei derivati fenilpropionici ad attività antinfiammatoria. L’attività analgesica è di tipo non narcotico.</w:t>
      </w:r>
    </w:p>
    <w:p w14:paraId="186D1BCD" w14:textId="77777777" w:rsidR="00642815" w:rsidRPr="00663CA5" w:rsidRDefault="00642815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</w:p>
    <w:p w14:paraId="2CD048E4" w14:textId="77777777" w:rsidR="00265B61" w:rsidRPr="00663CA5" w:rsidRDefault="00C778B9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663CA5">
        <w:rPr>
          <w:rFonts w:eastAsia="Calibri" w:cs="Calibri"/>
          <w:lang w:eastAsia="it-IT"/>
        </w:rPr>
        <w:t>FIBUS</w:t>
      </w:r>
      <w:r w:rsidR="00642815" w:rsidRPr="00663CA5">
        <w:rPr>
          <w:rFonts w:eastAsia="Calibri" w:cs="Calibri"/>
          <w:lang w:eastAsia="it-IT"/>
        </w:rPr>
        <w:t xml:space="preserve"> </w:t>
      </w:r>
      <w:r w:rsidR="0042214D" w:rsidRPr="00663CA5">
        <w:rPr>
          <w:rFonts w:eastAsia="Calibri" w:cs="Calibri"/>
          <w:lang w:eastAsia="it-IT"/>
        </w:rPr>
        <w:t xml:space="preserve"> </w:t>
      </w:r>
      <w:r w:rsidR="00265B61" w:rsidRPr="00663CA5">
        <w:rPr>
          <w:rFonts w:eastAsia="Calibri" w:cs="Calibri"/>
          <w:lang w:eastAsia="it-IT"/>
        </w:rPr>
        <w:t>è utilizzato per</w:t>
      </w:r>
      <w:r w:rsidR="003F70E4" w:rsidRPr="00663CA5">
        <w:rPr>
          <w:rFonts w:eastAsia="Calibri" w:cs="Calibri"/>
          <w:lang w:eastAsia="it-IT"/>
        </w:rPr>
        <w:t xml:space="preserve"> i dolori di varia origine e natura (mal di testa, mal di denti, nevralgie, dolori osteo-articolari e muscolari, dolori mestruali). Coadiuvante nel trattamento sintomatico degli stati febbrili e influenzali.</w:t>
      </w:r>
    </w:p>
    <w:p w14:paraId="4D890CE6" w14:textId="77777777" w:rsidR="003F70E4" w:rsidRPr="00663CA5" w:rsidRDefault="00C778B9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663CA5">
        <w:rPr>
          <w:rFonts w:eastAsia="Calibri" w:cs="Calibri"/>
          <w:lang w:eastAsia="it-IT"/>
        </w:rPr>
        <w:t>FIBUS</w:t>
      </w:r>
      <w:r w:rsidR="003F70E4" w:rsidRPr="00663CA5">
        <w:rPr>
          <w:rFonts w:eastAsia="Calibri" w:cs="Calibri"/>
          <w:lang w:eastAsia="it-IT"/>
        </w:rPr>
        <w:t xml:space="preserve"> è indicato negli adulti e negli adolescenti di età pari o superiore ai 12 anni.</w:t>
      </w:r>
    </w:p>
    <w:p w14:paraId="1DC0A4A1" w14:textId="77777777" w:rsidR="00265B61" w:rsidRPr="00663CA5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</w:p>
    <w:p w14:paraId="02787C80" w14:textId="77777777" w:rsidR="0042214D" w:rsidRPr="00900C91" w:rsidRDefault="0042214D" w:rsidP="0042214D">
      <w:pPr>
        <w:spacing w:after="0" w:line="240" w:lineRule="auto"/>
        <w:jc w:val="both"/>
      </w:pPr>
      <w:r w:rsidRPr="00663CA5">
        <w:rPr>
          <w:rFonts w:eastAsia="Calibri" w:cs="Calibri"/>
          <w:lang w:eastAsia="it-IT"/>
        </w:rPr>
        <w:t xml:space="preserve">La richiesta di AIC è supportata da uno studio di bioequivalenza che ha confrontato i profili farmacocinetici del medicinale test </w:t>
      </w:r>
      <w:r w:rsidR="00C778B9" w:rsidRPr="00663CA5">
        <w:rPr>
          <w:rFonts w:eastAsia="Calibri" w:cs="Calibri"/>
          <w:lang w:eastAsia="it-IT"/>
        </w:rPr>
        <w:t>FIBUS</w:t>
      </w:r>
      <w:r>
        <w:rPr>
          <w:rFonts w:eastAsia="Calibri" w:cs="Calibri"/>
          <w:color w:val="000000"/>
          <w:lang w:eastAsia="it-IT"/>
        </w:rPr>
        <w:t xml:space="preserve"> </w:t>
      </w:r>
      <w:r w:rsidRPr="00900C91">
        <w:t>e quelli del medicinale</w:t>
      </w:r>
      <w:r>
        <w:t xml:space="preserve"> di riferimento</w:t>
      </w:r>
      <w:r w:rsidR="003F70E4">
        <w:t xml:space="preserve"> Moment</w:t>
      </w:r>
      <w:r>
        <w:t xml:space="preserve"> autorizzato in Italia</w:t>
      </w:r>
      <w:r w:rsidRPr="00900C91">
        <w:t>.</w:t>
      </w:r>
    </w:p>
    <w:p w14:paraId="634CDCF7" w14:textId="77777777" w:rsidR="0042214D" w:rsidRDefault="0042214D" w:rsidP="0042214D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r w:rsidRPr="00900C91">
        <w:rPr>
          <w:i/>
        </w:rPr>
        <w:t>Good Clinical Practice</w:t>
      </w:r>
      <w:r w:rsidRPr="00900C91">
        <w:t xml:space="preserve"> - GCP).</w:t>
      </w:r>
    </w:p>
    <w:p w14:paraId="16C5DEDB" w14:textId="77777777" w:rsidR="00CC52A3" w:rsidRPr="00900C91" w:rsidRDefault="00CC52A3" w:rsidP="0042214D">
      <w:pPr>
        <w:spacing w:after="0" w:line="240" w:lineRule="auto"/>
        <w:jc w:val="both"/>
      </w:pPr>
    </w:p>
    <w:p w14:paraId="400329FC" w14:textId="75D81432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Le autorità </w:t>
      </w:r>
      <w:r w:rsidRPr="00995AD9">
        <w:t>regolator</w:t>
      </w:r>
      <w:r w:rsidR="003B5233" w:rsidRPr="00995AD9">
        <w:t>i</w:t>
      </w:r>
      <w:r w:rsidRPr="00995AD9">
        <w:t>e competenti</w:t>
      </w:r>
      <w:bookmarkStart w:id="3" w:name="_GoBack"/>
      <w:bookmarkEnd w:id="3"/>
      <w:r w:rsidRPr="00EF6711">
        <w:t xml:space="preserve"> hanno rilasciato i certificati GMP per i siti di produzione sul territorio dell’Unione Europea.</w:t>
      </w:r>
    </w:p>
    <w:p w14:paraId="546E8BC0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2FF43179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14:paraId="461AB7F0" w14:textId="77777777" w:rsidR="004E5A39" w:rsidRPr="00EF6711" w:rsidRDefault="004E5A39" w:rsidP="00EF6711">
      <w:pPr>
        <w:spacing w:after="0" w:line="240" w:lineRule="auto"/>
        <w:jc w:val="both"/>
      </w:pPr>
    </w:p>
    <w:p w14:paraId="0A0F48E2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C778B9">
        <w:rPr>
          <w:rFonts w:eastAsia="Calibri" w:cs="Calibri"/>
          <w:color w:val="000000"/>
          <w:lang w:eastAsia="it-IT"/>
        </w:rPr>
        <w:t>FIBUS</w:t>
      </w:r>
      <w:r w:rsidR="003F70E4">
        <w:rPr>
          <w:rFonts w:eastAsia="Calibri" w:cs="Calibri"/>
          <w:color w:val="000000"/>
          <w:lang w:eastAsia="it-IT"/>
        </w:rPr>
        <w:t xml:space="preserve"> </w:t>
      </w:r>
      <w:r w:rsidR="00265B61" w:rsidRPr="00EF6711"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076BBFA6" w14:textId="77777777" w:rsidR="004E5A39" w:rsidRPr="00EF6711" w:rsidRDefault="004E5A39" w:rsidP="00EF6711">
      <w:pPr>
        <w:spacing w:after="0" w:line="240" w:lineRule="auto"/>
        <w:jc w:val="both"/>
      </w:pPr>
    </w:p>
    <w:p w14:paraId="4BA409F6" w14:textId="77777777" w:rsidR="004E5A39" w:rsidRPr="00EF6711" w:rsidRDefault="004E5A39" w:rsidP="00EF6711">
      <w:pPr>
        <w:spacing w:after="0" w:line="240" w:lineRule="auto"/>
        <w:jc w:val="both"/>
      </w:pPr>
    </w:p>
    <w:p w14:paraId="6F1F0738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1464DBEB" w14:textId="77777777" w:rsidR="00CC52A3" w:rsidRPr="00CC52A3" w:rsidRDefault="00CC52A3" w:rsidP="00EF6711">
      <w:pPr>
        <w:spacing w:after="0" w:line="240" w:lineRule="auto"/>
        <w:jc w:val="both"/>
        <w:rPr>
          <w:b/>
          <w:i/>
          <w:sz w:val="20"/>
        </w:rPr>
      </w:pPr>
    </w:p>
    <w:p w14:paraId="7C55817C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r w:rsidR="003F70E4">
        <w:rPr>
          <w:b/>
        </w:rPr>
        <w:t>Ibuprofene</w:t>
      </w:r>
    </w:p>
    <w:p w14:paraId="77557E4F" w14:textId="77777777" w:rsidR="004E5A39" w:rsidRPr="00CC52A3" w:rsidRDefault="004E5A39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EF6711">
        <w:rPr>
          <w:u w:val="single"/>
        </w:rPr>
        <w:t>Nome chimico</w:t>
      </w:r>
      <w:r w:rsidR="000E4494" w:rsidRPr="00EF6711">
        <w:rPr>
          <w:i/>
          <w:iCs/>
        </w:rPr>
        <w:t xml:space="preserve"> </w:t>
      </w:r>
      <w:r w:rsidR="00F702F4" w:rsidRPr="00F702F4">
        <w:rPr>
          <w:i/>
          <w:iCs/>
        </w:rPr>
        <w:t>(2RS)-2-[4-(2-Methylpropyl)phenyl]propanoic acid.</w:t>
      </w:r>
    </w:p>
    <w:p w14:paraId="25DB9E1A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14:paraId="754D1998" w14:textId="77777777" w:rsidR="004E5A39" w:rsidRPr="00663CA5" w:rsidRDefault="00544A00" w:rsidP="00EF6711">
      <w:pPr>
        <w:spacing w:after="0" w:line="240" w:lineRule="auto"/>
        <w:jc w:val="center"/>
      </w:pPr>
      <w:r w:rsidRPr="00663CA5">
        <w:rPr>
          <w:noProof/>
          <w:lang w:val="en-GB" w:eastAsia="en-GB"/>
        </w:rPr>
        <w:drawing>
          <wp:inline distT="0" distB="0" distL="0" distR="0" wp14:anchorId="537BA1E3" wp14:editId="48FE55D5">
            <wp:extent cx="2790825" cy="771525"/>
            <wp:effectExtent l="0" t="0" r="9525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DBC75E" w14:textId="77777777" w:rsidR="004E5A39" w:rsidRPr="00663CA5" w:rsidRDefault="004E5A39" w:rsidP="00EF6711">
      <w:pPr>
        <w:spacing w:after="0" w:line="240" w:lineRule="auto"/>
        <w:jc w:val="both"/>
      </w:pPr>
      <w:r w:rsidRPr="00663CA5">
        <w:rPr>
          <w:u w:val="single"/>
        </w:rPr>
        <w:t>Formula molecolare</w:t>
      </w:r>
      <w:r w:rsidRPr="00663CA5">
        <w:t>:</w:t>
      </w:r>
      <w:r w:rsidRPr="00663CA5">
        <w:rPr>
          <w:rStyle w:val="s1"/>
          <w:rFonts w:asciiTheme="minorHAnsi" w:hAnsiTheme="minorHAnsi"/>
        </w:rPr>
        <w:t xml:space="preserve"> </w:t>
      </w:r>
      <w:r w:rsidR="00544A00" w:rsidRPr="00663CA5">
        <w:rPr>
          <w:rFonts w:ascii="Helvetica" w:hAnsi="Helvetica"/>
          <w:color w:val="222222"/>
          <w:sz w:val="21"/>
          <w:szCs w:val="21"/>
          <w:shd w:val="clear" w:color="auto" w:fill="FFFFFF"/>
        </w:rPr>
        <w:t>C</w:t>
      </w:r>
      <w:r w:rsidR="00544A00" w:rsidRPr="00663CA5">
        <w:rPr>
          <w:rFonts w:ascii="Helvetica" w:hAnsi="Helvetica"/>
          <w:color w:val="222222"/>
          <w:sz w:val="16"/>
          <w:szCs w:val="16"/>
          <w:shd w:val="clear" w:color="auto" w:fill="FFFFFF"/>
          <w:vertAlign w:val="subscript"/>
        </w:rPr>
        <w:t>13</w:t>
      </w:r>
      <w:r w:rsidR="00544A00" w:rsidRPr="00663CA5">
        <w:rPr>
          <w:rFonts w:ascii="Helvetica" w:hAnsi="Helvetica"/>
          <w:color w:val="222222"/>
          <w:sz w:val="21"/>
          <w:szCs w:val="21"/>
          <w:shd w:val="clear" w:color="auto" w:fill="FFFFFF"/>
        </w:rPr>
        <w:t>H</w:t>
      </w:r>
      <w:r w:rsidR="00544A00" w:rsidRPr="00663CA5">
        <w:rPr>
          <w:rFonts w:ascii="Helvetica" w:hAnsi="Helvetica"/>
          <w:color w:val="222222"/>
          <w:sz w:val="16"/>
          <w:szCs w:val="16"/>
          <w:shd w:val="clear" w:color="auto" w:fill="FFFFFF"/>
          <w:vertAlign w:val="subscript"/>
        </w:rPr>
        <w:t>18</w:t>
      </w:r>
      <w:r w:rsidR="00544A00" w:rsidRPr="00663CA5">
        <w:rPr>
          <w:rFonts w:ascii="Helvetica" w:hAnsi="Helvetica"/>
          <w:color w:val="222222"/>
          <w:sz w:val="21"/>
          <w:szCs w:val="21"/>
          <w:shd w:val="clear" w:color="auto" w:fill="FFFFFF"/>
        </w:rPr>
        <w:t>O</w:t>
      </w:r>
      <w:r w:rsidR="00544A00" w:rsidRPr="00663CA5">
        <w:rPr>
          <w:rFonts w:ascii="Helvetica" w:hAnsi="Helvetica"/>
          <w:color w:val="222222"/>
          <w:sz w:val="16"/>
          <w:szCs w:val="16"/>
          <w:shd w:val="clear" w:color="auto" w:fill="FFFFFF"/>
          <w:vertAlign w:val="subscript"/>
        </w:rPr>
        <w:t>2</w:t>
      </w:r>
    </w:p>
    <w:p w14:paraId="6F7C3165" w14:textId="77777777" w:rsidR="004E5A39" w:rsidRPr="00EF6711" w:rsidRDefault="004E5A39" w:rsidP="00EF6711">
      <w:pPr>
        <w:spacing w:after="0" w:line="240" w:lineRule="auto"/>
        <w:jc w:val="both"/>
      </w:pPr>
      <w:r w:rsidRPr="00663CA5">
        <w:rPr>
          <w:u w:val="single"/>
        </w:rPr>
        <w:t>Peso molecolare</w:t>
      </w:r>
      <w:r w:rsidRPr="00663CA5">
        <w:t>:</w:t>
      </w:r>
      <w:r w:rsidRPr="00663CA5">
        <w:rPr>
          <w:rFonts w:cs="Arial"/>
          <w:color w:val="252525"/>
          <w:shd w:val="clear" w:color="auto" w:fill="F9F9F9"/>
        </w:rPr>
        <w:t xml:space="preserve"> </w:t>
      </w:r>
      <w:r w:rsidR="00544A00" w:rsidRPr="00663CA5">
        <w:rPr>
          <w:rFonts w:cs="Calibri"/>
        </w:rPr>
        <w:t xml:space="preserve">206,3 </w:t>
      </w:r>
      <w:r w:rsidRPr="00663CA5">
        <w:rPr>
          <w:rStyle w:val="s1"/>
          <w:rFonts w:asciiTheme="minorHAnsi" w:hAnsiTheme="minorHAnsi"/>
        </w:rPr>
        <w:t>g/mol</w:t>
      </w:r>
    </w:p>
    <w:p w14:paraId="0A7FDE24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544A00">
        <w:t>[</w:t>
      </w:r>
      <w:r w:rsidR="00544A00" w:rsidRPr="00544A00">
        <w:t>15687-27-1</w:t>
      </w:r>
      <w:r w:rsidR="00CC52A3">
        <w:t>]</w:t>
      </w:r>
    </w:p>
    <w:p w14:paraId="6679B4A9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544A00">
        <w:t>polvere cristallina bianca o biancastra o cristalli incolore.</w:t>
      </w:r>
    </w:p>
    <w:p w14:paraId="6614B054" w14:textId="77777777" w:rsidR="004E5A39" w:rsidRPr="00EF6711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F6711">
        <w:rPr>
          <w:u w:val="single"/>
        </w:rPr>
        <w:lastRenderedPageBreak/>
        <w:t>Solubilità</w:t>
      </w:r>
      <w:r w:rsidR="005E5CE5">
        <w:t xml:space="preserve">: praticamente insolubile in acqua, ampiamente solubile in  </w:t>
      </w:r>
      <w:r w:rsidR="006C17DA">
        <w:t xml:space="preserve">acetone, metanolo e cloruro di metilene. </w:t>
      </w:r>
    </w:p>
    <w:p w14:paraId="42BD66CC" w14:textId="77777777" w:rsidR="004E5A39" w:rsidRDefault="004E5A39" w:rsidP="00EF6711">
      <w:pPr>
        <w:spacing w:after="0" w:line="240" w:lineRule="auto"/>
        <w:jc w:val="both"/>
        <w:rPr>
          <w:highlight w:val="yellow"/>
        </w:rPr>
      </w:pPr>
    </w:p>
    <w:p w14:paraId="771D899B" w14:textId="77777777" w:rsidR="000B7AC8" w:rsidRPr="00A72D8A" w:rsidRDefault="000B7AC8" w:rsidP="000B7AC8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 il Direttorato Europeo per la Qualità dei Medicinali (</w:t>
      </w:r>
      <w:r w:rsidRPr="00A72D8A">
        <w:rPr>
          <w:i/>
        </w:rPr>
        <w:t>European Directorate for Quality of Medicnals</w:t>
      </w:r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14:paraId="4334F5EC" w14:textId="77777777" w:rsidR="000B7AC8" w:rsidRDefault="000B7AC8" w:rsidP="000B7AC8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periodo di retest è definito in </w:t>
      </w:r>
      <w:r w:rsidR="006C17DA">
        <w:t>48</w:t>
      </w:r>
      <w:r w:rsidRPr="00F93450">
        <w:t xml:space="preserve"> </w:t>
      </w:r>
      <w:r>
        <w:t>m</w:t>
      </w:r>
      <w:r w:rsidRPr="00F93450">
        <w:t>esi</w:t>
      </w:r>
      <w:r w:rsidR="006C17DA">
        <w:t xml:space="preserve">, quando confezionato in fusto i fibra con </w:t>
      </w:r>
      <w:r w:rsidR="0057296B">
        <w:t>rivestimento in polietilene.</w:t>
      </w:r>
    </w:p>
    <w:p w14:paraId="61CB26E3" w14:textId="77777777" w:rsidR="00CC52A3" w:rsidRPr="00EF6711" w:rsidRDefault="00CC52A3" w:rsidP="00EF6711">
      <w:pPr>
        <w:spacing w:after="0" w:line="240" w:lineRule="auto"/>
        <w:jc w:val="both"/>
      </w:pPr>
    </w:p>
    <w:p w14:paraId="499FCF98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12EBE119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7E273E9D" w14:textId="77777777" w:rsidR="004E5A39" w:rsidRPr="00EF6711" w:rsidRDefault="00C778B9" w:rsidP="00EF67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FIBUS</w:t>
      </w:r>
      <w:r w:rsidR="0057296B">
        <w:rPr>
          <w:rFonts w:eastAsia="Calibri" w:cs="Calibri"/>
          <w:color w:val="000000"/>
          <w:lang w:eastAsia="it-IT"/>
        </w:rPr>
        <w:t xml:space="preserve">  è disponibile in compresse rivestite </w:t>
      </w:r>
      <w:r w:rsidR="0057296B" w:rsidRPr="0057296B">
        <w:rPr>
          <w:rFonts w:eastAsia="Calibri" w:cs="Calibri"/>
          <w:color w:val="000000"/>
          <w:lang w:eastAsia="it-IT"/>
        </w:rPr>
        <w:t>contenenti 200 mg  di principio attivo</w:t>
      </w:r>
      <w:r w:rsidR="00B30431" w:rsidRPr="00EF6711">
        <w:rPr>
          <w:rFonts w:eastAsia="Calibri" w:cs="Calibri"/>
          <w:color w:val="000000"/>
          <w:lang w:eastAsia="it-IT"/>
        </w:rPr>
        <w:t>.</w:t>
      </w:r>
      <w:r w:rsidR="004E5A39" w:rsidRPr="00EF6711">
        <w:rPr>
          <w:rFonts w:cs="Helvetica"/>
        </w:rPr>
        <w:t xml:space="preserve"> </w:t>
      </w:r>
    </w:p>
    <w:p w14:paraId="429A18A0" w14:textId="77777777" w:rsidR="00B30431" w:rsidRDefault="0057296B" w:rsidP="00EF6711">
      <w:pPr>
        <w:spacing w:after="0" w:line="240" w:lineRule="auto"/>
        <w:jc w:val="both"/>
      </w:pPr>
      <w:r>
        <w:t>Gli eccipienti sono:</w:t>
      </w:r>
    </w:p>
    <w:p w14:paraId="2CAF9B40" w14:textId="77777777" w:rsidR="0057296B" w:rsidRPr="0057296B" w:rsidRDefault="0057296B" w:rsidP="0057296B">
      <w:pPr>
        <w:spacing w:after="0" w:line="240" w:lineRule="auto"/>
        <w:jc w:val="both"/>
        <w:rPr>
          <w:b/>
          <w:bCs/>
        </w:rPr>
      </w:pPr>
      <w:r w:rsidRPr="0057296B">
        <w:rPr>
          <w:b/>
          <w:bCs/>
        </w:rPr>
        <w:t>Nucleo della compressa:</w:t>
      </w:r>
    </w:p>
    <w:p w14:paraId="67E3BA05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Amido di mais</w:t>
      </w:r>
    </w:p>
    <w:p w14:paraId="26642E81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Povidone</w:t>
      </w:r>
    </w:p>
    <w:p w14:paraId="6C58D8C9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Sodio amido glicolato tipo A</w:t>
      </w:r>
    </w:p>
    <w:p w14:paraId="278193A1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Silice colloidale anidra</w:t>
      </w:r>
    </w:p>
    <w:p w14:paraId="31093DAA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Talco</w:t>
      </w:r>
    </w:p>
    <w:p w14:paraId="4A8F62BF" w14:textId="77777777" w:rsidR="0057296B" w:rsidRPr="0057296B" w:rsidRDefault="0057296B" w:rsidP="0057296B">
      <w:pPr>
        <w:spacing w:after="0" w:line="240" w:lineRule="auto"/>
        <w:jc w:val="both"/>
        <w:rPr>
          <w:b/>
          <w:bCs/>
        </w:rPr>
      </w:pPr>
    </w:p>
    <w:p w14:paraId="79CC17DE" w14:textId="77777777" w:rsidR="0057296B" w:rsidRPr="0057296B" w:rsidRDefault="0057296B" w:rsidP="0057296B">
      <w:pPr>
        <w:spacing w:after="0" w:line="240" w:lineRule="auto"/>
        <w:jc w:val="both"/>
        <w:rPr>
          <w:b/>
          <w:bCs/>
        </w:rPr>
      </w:pPr>
      <w:r w:rsidRPr="0057296B">
        <w:rPr>
          <w:b/>
          <w:bCs/>
        </w:rPr>
        <w:t>Rivestimento:</w:t>
      </w:r>
    </w:p>
    <w:p w14:paraId="25BCA1BA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Ipromellosa</w:t>
      </w:r>
    </w:p>
    <w:p w14:paraId="50951CA2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Macrogol 6000</w:t>
      </w:r>
    </w:p>
    <w:p w14:paraId="0378584F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Titanio diossido</w:t>
      </w:r>
    </w:p>
    <w:p w14:paraId="3AE07FEE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Talco</w:t>
      </w:r>
    </w:p>
    <w:p w14:paraId="51988DE6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Saccarosio</w:t>
      </w:r>
    </w:p>
    <w:p w14:paraId="6488927C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Acacia</w:t>
      </w:r>
    </w:p>
    <w:p w14:paraId="66688865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Povidone</w:t>
      </w:r>
    </w:p>
    <w:p w14:paraId="5345735E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Magnesio carbonato leggero</w:t>
      </w:r>
    </w:p>
    <w:p w14:paraId="2A67AD79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Cera carnauba.</w:t>
      </w:r>
    </w:p>
    <w:p w14:paraId="6676CA01" w14:textId="77777777" w:rsidR="0057296B" w:rsidRPr="00EF6711" w:rsidRDefault="0057296B" w:rsidP="00EF6711">
      <w:pPr>
        <w:spacing w:after="0" w:line="240" w:lineRule="auto"/>
        <w:jc w:val="both"/>
        <w:rPr>
          <w:b/>
          <w:bCs/>
        </w:rPr>
      </w:pPr>
    </w:p>
    <w:p w14:paraId="76307A67" w14:textId="77777777" w:rsidR="004E5A39" w:rsidRDefault="004E5A39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Europea.</w:t>
      </w:r>
    </w:p>
    <w:p w14:paraId="3CD4ACCA" w14:textId="77777777" w:rsidR="006C17DA" w:rsidRDefault="006C17DA" w:rsidP="000808A3">
      <w:pPr>
        <w:spacing w:after="0" w:line="240" w:lineRule="auto"/>
        <w:jc w:val="both"/>
      </w:pPr>
    </w:p>
    <w:p w14:paraId="45F5A676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7BFFD7FA" w14:textId="77777777" w:rsidR="004E5A39" w:rsidRPr="00EF6711" w:rsidRDefault="004E5A39" w:rsidP="00EF6711">
      <w:pPr>
        <w:spacing w:after="0" w:line="240" w:lineRule="auto"/>
        <w:jc w:val="both"/>
      </w:pPr>
    </w:p>
    <w:p w14:paraId="210D8D3B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1FEFCA35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4D2D0874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dati comparativi relativi al profilo di impurezze rispetto al medicinale di riferimento</w:t>
      </w:r>
      <w:r w:rsidR="00B30431" w:rsidRPr="00EF6711">
        <w:rPr>
          <w:rFonts w:eastAsia="Calibri" w:cs="Calibri"/>
          <w:lang w:eastAsia="it-IT"/>
        </w:rPr>
        <w:t xml:space="preserve"> </w:t>
      </w:r>
      <w:r w:rsidR="0057296B">
        <w:rPr>
          <w:rFonts w:eastAsia="Calibri" w:cs="Calibri"/>
          <w:lang w:eastAsia="it-IT"/>
        </w:rPr>
        <w:t>Moment</w:t>
      </w:r>
      <w:r w:rsidRPr="00EF6711">
        <w:t>. I dati sono soddisfacenti.</w:t>
      </w:r>
    </w:p>
    <w:p w14:paraId="53AA22A1" w14:textId="77777777" w:rsidR="004E5A39" w:rsidRPr="00EF6711" w:rsidRDefault="004E5A39" w:rsidP="00EF6711">
      <w:pPr>
        <w:spacing w:after="0" w:line="240" w:lineRule="auto"/>
        <w:jc w:val="both"/>
      </w:pPr>
    </w:p>
    <w:p w14:paraId="40FF682F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214CA9EB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151F63DB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704686F9" w14:textId="77777777" w:rsidR="004E5A39" w:rsidRPr="00EF6711" w:rsidRDefault="004E5A39" w:rsidP="00EF6711">
      <w:pPr>
        <w:spacing w:after="0" w:line="240" w:lineRule="auto"/>
        <w:jc w:val="both"/>
      </w:pPr>
    </w:p>
    <w:p w14:paraId="5CB4E40F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229DF8FB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21656D62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4B2204EB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73238DAD" w14:textId="77777777" w:rsidR="00BA0ACD" w:rsidRPr="00EF6711" w:rsidRDefault="00C778B9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FIBUS</w:t>
      </w:r>
      <w:r w:rsidR="0057296B">
        <w:rPr>
          <w:rFonts w:eastAsia="Calibri" w:cs="Calibri"/>
          <w:color w:val="000000"/>
          <w:lang w:eastAsia="it-IT"/>
        </w:rPr>
        <w:t xml:space="preserve"> 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</w:t>
      </w:r>
      <w:r w:rsidR="0057296B">
        <w:t>in blister di PVC/Al.</w:t>
      </w:r>
    </w:p>
    <w:p w14:paraId="35FF0BAD" w14:textId="77777777"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>Sono state fornite specifiche e certificati analitici per tutti i componenti del confezionamento primario, che è adeguato per il medicinale.</w:t>
      </w:r>
    </w:p>
    <w:p w14:paraId="146FBFFF" w14:textId="77777777" w:rsidR="00BA0ACD" w:rsidRPr="00EF6711" w:rsidRDefault="00BA0ACD" w:rsidP="00EF6711">
      <w:pPr>
        <w:spacing w:after="0" w:line="240" w:lineRule="auto"/>
        <w:jc w:val="both"/>
      </w:pPr>
    </w:p>
    <w:p w14:paraId="1E254C71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17F24460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57296B">
        <w:t xml:space="preserve">3 </w:t>
      </w:r>
      <w:r w:rsidR="00265B61">
        <w:t>anni</w:t>
      </w:r>
      <w:r w:rsidRPr="00EF6711">
        <w:t xml:space="preserve"> senza nessuna condizione particolare di conservazione</w:t>
      </w:r>
      <w:r w:rsidR="00BA0ACD" w:rsidRPr="00EF6711">
        <w:t xml:space="preserve">. </w:t>
      </w:r>
    </w:p>
    <w:p w14:paraId="4435C8A1" w14:textId="77777777" w:rsidR="004E5A39" w:rsidRPr="00EF6711" w:rsidRDefault="004E5A39" w:rsidP="00EF6711">
      <w:pPr>
        <w:spacing w:after="0" w:line="240" w:lineRule="auto"/>
        <w:jc w:val="both"/>
      </w:pPr>
    </w:p>
    <w:p w14:paraId="5E5E9357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6D475C0D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C778B9">
        <w:rPr>
          <w:rFonts w:eastAsia="Calibri" w:cs="Calibri"/>
          <w:color w:val="000000"/>
          <w:lang w:eastAsia="it-IT"/>
        </w:rPr>
        <w:t>FIBUS</w:t>
      </w:r>
      <w:r w:rsidR="002E4910">
        <w:rPr>
          <w:rFonts w:eastAsia="Calibri" w:cs="Calibri"/>
          <w:color w:val="000000"/>
          <w:lang w:eastAsia="it-IT"/>
        </w:rPr>
        <w:t xml:space="preserve"> 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C778B9">
        <w:rPr>
          <w:rFonts w:eastAsia="Calibri" w:cs="Calibri"/>
          <w:color w:val="000000"/>
          <w:lang w:eastAsia="it-IT"/>
        </w:rPr>
        <w:t>FIBUS</w:t>
      </w:r>
      <w:r w:rsidR="002E4910">
        <w:rPr>
          <w:rFonts w:eastAsia="Calibri" w:cs="Calibri"/>
          <w:color w:val="000000"/>
          <w:lang w:eastAsia="it-IT"/>
        </w:rPr>
        <w:t xml:space="preserve"> </w:t>
      </w:r>
      <w:r w:rsidR="00265B61" w:rsidRPr="00EF6711">
        <w:t xml:space="preserve"> </w:t>
      </w:r>
      <w:r w:rsidRPr="00EF6711">
        <w:t>dal punto di vista chimico-farmaceutico.</w:t>
      </w:r>
    </w:p>
    <w:p w14:paraId="65A34AB1" w14:textId="77777777" w:rsidR="004E5A39" w:rsidRPr="00EF6711" w:rsidRDefault="004E5A39" w:rsidP="00EF6711">
      <w:pPr>
        <w:spacing w:after="0" w:line="240" w:lineRule="auto"/>
        <w:jc w:val="both"/>
      </w:pPr>
    </w:p>
    <w:p w14:paraId="44755EC3" w14:textId="77777777" w:rsidR="004E5A39" w:rsidRPr="00EF6711" w:rsidRDefault="004E5A39" w:rsidP="00EF6711">
      <w:pPr>
        <w:spacing w:after="0" w:line="240" w:lineRule="auto"/>
        <w:jc w:val="both"/>
      </w:pPr>
    </w:p>
    <w:p w14:paraId="65C13F58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41A8115F" w14:textId="77777777"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C778B9">
        <w:rPr>
          <w:rFonts w:eastAsia="Calibri" w:cs="Calibri"/>
          <w:color w:val="000000"/>
          <w:lang w:eastAsia="it-IT"/>
        </w:rPr>
        <w:t>FIBUS</w:t>
      </w:r>
      <w:r w:rsidR="002E4910">
        <w:rPr>
          <w:rFonts w:eastAsia="Calibri" w:cs="Calibri"/>
          <w:color w:val="000000"/>
          <w:lang w:eastAsia="it-IT"/>
        </w:rPr>
        <w:t xml:space="preserve"> 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r w:rsidR="002E4910">
        <w:rPr>
          <w:rFonts w:eastAsia="Calibri" w:cs="Calibri"/>
          <w:lang w:eastAsia="it-IT"/>
        </w:rPr>
        <w:t xml:space="preserve">Moment </w:t>
      </w:r>
      <w:r w:rsidRPr="00EF6711">
        <w:t>è autorizzato in Italia da oltre 10 anni</w:t>
      </w:r>
      <w:r w:rsidR="000808A3">
        <w:t>.</w:t>
      </w:r>
    </w:p>
    <w:p w14:paraId="67AF53C2" w14:textId="77777777" w:rsidR="004E5A39" w:rsidRPr="00EF6711" w:rsidRDefault="002E4910" w:rsidP="00EF6711">
      <w:pPr>
        <w:spacing w:after="0" w:line="240" w:lineRule="auto"/>
        <w:jc w:val="both"/>
      </w:pPr>
      <w:r>
        <w:t>L</w:t>
      </w:r>
      <w:r w:rsidR="000808A3">
        <w:t>e proprietà farmacodinamiche, farmacocinetiche</w:t>
      </w:r>
      <w:r w:rsidR="00C778B9">
        <w:t xml:space="preserve"> e tossicologiche </w:t>
      </w:r>
      <w:r>
        <w:t>dell’ ibuprofene</w:t>
      </w:r>
      <w:r w:rsidR="000808A3">
        <w:t xml:space="preserve"> sono ben conosciute; pertanto, non sono richiesti ulteriori studi non clinici. Il richiedente l’AIC ha presentato una overview redatta da un esperto qualificato che ha fornito una approfondita rassegna dei dati bibliografici farmacologici, farmacocinetic</w:t>
      </w:r>
      <w:r>
        <w:t>i e tossicologici dell’ ibuprofene</w:t>
      </w:r>
      <w:r w:rsidR="000808A3">
        <w:t>.</w:t>
      </w:r>
    </w:p>
    <w:p w14:paraId="4C2D290B" w14:textId="77777777"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14:paraId="7B8C7697" w14:textId="77777777" w:rsidR="004E5A39" w:rsidRPr="00EF6711" w:rsidRDefault="004E5A39" w:rsidP="00EF6711">
      <w:pPr>
        <w:spacing w:after="0" w:line="240" w:lineRule="auto"/>
        <w:jc w:val="both"/>
      </w:pPr>
    </w:p>
    <w:p w14:paraId="56AE78C3" w14:textId="77777777" w:rsidR="004E5A39" w:rsidRPr="00EF6711" w:rsidRDefault="004E5A39" w:rsidP="00EF6711">
      <w:pPr>
        <w:spacing w:after="0" w:line="240" w:lineRule="auto"/>
        <w:jc w:val="both"/>
      </w:pPr>
    </w:p>
    <w:p w14:paraId="7E5BBF0E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20BD83B5" w14:textId="77777777" w:rsidR="002E4910" w:rsidRDefault="00C778B9" w:rsidP="002E491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FIBUS</w:t>
      </w:r>
      <w:r w:rsidR="002E4910">
        <w:rPr>
          <w:rFonts w:eastAsia="Calibri" w:cs="Calibri"/>
          <w:color w:val="000000"/>
          <w:lang w:eastAsia="it-IT"/>
        </w:rPr>
        <w:t xml:space="preserve"> 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265B61">
        <w:t xml:space="preserve">è utilizzato per </w:t>
      </w:r>
      <w:r w:rsidR="002E4910">
        <w:t>i dolori di varia origine e natura (mal di testa, mal di denti, nevralgie, dolori osteo-articolari e muscolari, dolori mestruali). Coadiuvante nel trattamento sintomatico degli stati febbrili e influenzali.</w:t>
      </w:r>
    </w:p>
    <w:p w14:paraId="217287E7" w14:textId="77777777" w:rsidR="002E4910" w:rsidRDefault="00C778B9" w:rsidP="002E491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FIBUS</w:t>
      </w:r>
      <w:r w:rsidR="002E4910">
        <w:t xml:space="preserve"> è indicato negli adulti e negli adolescenti di età pari o superiore ai 12 anni.</w:t>
      </w:r>
    </w:p>
    <w:p w14:paraId="41D477E5" w14:textId="77777777" w:rsidR="00265B61" w:rsidRDefault="00265B61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0F0850E7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4D14770C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2527EBFD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07952094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14:paraId="7F0F952B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</w:t>
      </w:r>
      <w:r w:rsidR="002E4910">
        <w:rPr>
          <w:rFonts w:eastAsia="Calibri" w:cs="Calibri"/>
          <w:lang w:eastAsia="it-IT"/>
        </w:rPr>
        <w:t xml:space="preserve">dell’ibuprofene </w:t>
      </w:r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14:paraId="13DA96CC" w14:textId="77777777"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43D7D378" w14:textId="77777777" w:rsidR="004E5A39" w:rsidRPr="0021122E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bookmarkStart w:id="4" w:name="_Hlk122444283"/>
      <w:r w:rsidRPr="0021122E">
        <w:rPr>
          <w:rFonts w:eastAsia="Times New Roman" w:cs="Times New Roman"/>
          <w:b/>
        </w:rPr>
        <w:t>Farmacologia clinica</w:t>
      </w:r>
    </w:p>
    <w:p w14:paraId="49D887BF" w14:textId="77777777" w:rsidR="00BE7CDB" w:rsidRPr="0021122E" w:rsidRDefault="004E5A39" w:rsidP="00BE7CDB">
      <w:pPr>
        <w:spacing w:after="0" w:line="240" w:lineRule="auto"/>
        <w:jc w:val="both"/>
      </w:pPr>
      <w:r w:rsidRPr="0021122E">
        <w:rPr>
          <w:rFonts w:eastAsia="Calibri" w:cs="Calibri"/>
          <w:lang w:eastAsia="it-IT"/>
        </w:rPr>
        <w:t xml:space="preserve">La farmacologia clinica di </w:t>
      </w:r>
      <w:r w:rsidR="0021122E" w:rsidRPr="0021122E">
        <w:rPr>
          <w:rFonts w:eastAsia="Calibri" w:cs="Calibri"/>
          <w:lang w:eastAsia="it-IT"/>
        </w:rPr>
        <w:t>ibuprofene</w:t>
      </w:r>
      <w:r w:rsidR="000808A3" w:rsidRPr="0021122E">
        <w:t xml:space="preserve"> </w:t>
      </w:r>
      <w:r w:rsidRPr="0021122E">
        <w:rPr>
          <w:rFonts w:eastAsia="Calibri" w:cs="Calibri"/>
          <w:lang w:eastAsia="it-IT"/>
        </w:rPr>
        <w:t>è ben conosciuta.</w:t>
      </w:r>
      <w:r w:rsidRPr="0021122E">
        <w:t xml:space="preserve"> </w:t>
      </w:r>
      <w:r w:rsidR="0021122E" w:rsidRPr="0021122E">
        <w:rPr>
          <w:rFonts w:eastAsia="Calibri" w:cs="Calibri"/>
          <w:color w:val="000000"/>
          <w:lang w:eastAsia="it-IT"/>
        </w:rPr>
        <w:t>FIBUS</w:t>
      </w:r>
      <w:r w:rsidR="000808A3" w:rsidRPr="0021122E">
        <w:rPr>
          <w:rFonts w:eastAsia="Calibri" w:cs="Calibri"/>
          <w:color w:val="000000"/>
          <w:lang w:eastAsia="it-IT"/>
        </w:rPr>
        <w:t xml:space="preserve"> </w:t>
      </w:r>
      <w:r w:rsidRPr="0021122E">
        <w:t xml:space="preserve">contiene </w:t>
      </w:r>
      <w:r w:rsidR="00BA0ACD" w:rsidRPr="0021122E">
        <w:t>un</w:t>
      </w:r>
      <w:r w:rsidRPr="0021122E">
        <w:t xml:space="preserve"> principi</w:t>
      </w:r>
      <w:r w:rsidR="00BA0ACD" w:rsidRPr="0021122E">
        <w:t>o</w:t>
      </w:r>
      <w:r w:rsidRPr="0021122E">
        <w:t xml:space="preserve"> attiv</w:t>
      </w:r>
      <w:r w:rsidR="00BA0ACD" w:rsidRPr="0021122E">
        <w:t>o</w:t>
      </w:r>
      <w:r w:rsidRPr="0021122E">
        <w:t xml:space="preserve"> not</w:t>
      </w:r>
      <w:r w:rsidR="00BA0ACD" w:rsidRPr="0021122E">
        <w:t>o</w:t>
      </w:r>
      <w:r w:rsidRPr="0021122E">
        <w:t xml:space="preserve"> present</w:t>
      </w:r>
      <w:r w:rsidR="00BA0ACD" w:rsidRPr="0021122E">
        <w:t>e</w:t>
      </w:r>
      <w:r w:rsidRPr="0021122E">
        <w:t xml:space="preserve"> nel medicinale </w:t>
      </w:r>
      <w:r w:rsidR="00BA0ACD" w:rsidRPr="0021122E">
        <w:t xml:space="preserve">di riferimento </w:t>
      </w:r>
      <w:r w:rsidR="0021122E" w:rsidRPr="0021122E">
        <w:t>Moment,</w:t>
      </w:r>
      <w:r w:rsidRPr="0021122E">
        <w:t xml:space="preserve"> autorizzato in Italia da più di 10 anni.</w:t>
      </w:r>
      <w:r w:rsidR="006727BD" w:rsidRPr="0021122E">
        <w:t xml:space="preserve"> </w:t>
      </w:r>
      <w:r w:rsidR="00BE7CDB" w:rsidRPr="0021122E">
        <w:t>Con l’eccezione dello studio di bioequivalenza, non sono stati condotti nuovi studi clinici di farmacodinamica e farmacocinetica</w:t>
      </w:r>
      <w:r w:rsidR="0021122E" w:rsidRPr="0021122E">
        <w:t>.</w:t>
      </w:r>
    </w:p>
    <w:p w14:paraId="12DC8C79" w14:textId="77777777" w:rsidR="004E5A39" w:rsidRPr="00C078FC" w:rsidRDefault="004E5A39" w:rsidP="00EF6711">
      <w:pPr>
        <w:spacing w:after="0" w:line="240" w:lineRule="auto"/>
        <w:jc w:val="both"/>
        <w:rPr>
          <w:highlight w:val="yellow"/>
        </w:rPr>
      </w:pPr>
    </w:p>
    <w:p w14:paraId="3205A884" w14:textId="77777777" w:rsidR="006727BD" w:rsidRPr="0021122E" w:rsidRDefault="006727BD" w:rsidP="006727BD">
      <w:pPr>
        <w:spacing w:after="0" w:line="240" w:lineRule="auto"/>
        <w:jc w:val="both"/>
        <w:rPr>
          <w:b/>
        </w:rPr>
      </w:pPr>
      <w:r w:rsidRPr="0021122E">
        <w:rPr>
          <w:b/>
        </w:rPr>
        <w:t>Studio di bioequivalenza</w:t>
      </w:r>
    </w:p>
    <w:p w14:paraId="1E1EB063" w14:textId="77777777" w:rsidR="005049A1" w:rsidRPr="0021122E" w:rsidRDefault="005049A1" w:rsidP="005049A1">
      <w:pPr>
        <w:spacing w:after="0" w:line="240" w:lineRule="auto"/>
        <w:jc w:val="both"/>
      </w:pPr>
      <w:r w:rsidRPr="0021122E">
        <w:t xml:space="preserve">La richiesta di AIC è supportata da uno studio di bioequivalenza che ha confrontato i profili farmacocinetici di </w:t>
      </w:r>
      <w:r w:rsidR="0021122E" w:rsidRPr="0021122E">
        <w:rPr>
          <w:rFonts w:eastAsia="Calibri" w:cs="Calibri"/>
          <w:color w:val="000000"/>
          <w:lang w:eastAsia="it-IT"/>
        </w:rPr>
        <w:t>FIBUS</w:t>
      </w:r>
      <w:r w:rsidRPr="0021122E">
        <w:rPr>
          <w:rFonts w:eastAsia="Calibri" w:cs="Calibri"/>
          <w:color w:val="000000"/>
          <w:lang w:eastAsia="it-IT"/>
        </w:rPr>
        <w:t xml:space="preserve"> </w:t>
      </w:r>
      <w:r w:rsidRPr="0021122E">
        <w:t xml:space="preserve">e quelli del medicinale di riferimento </w:t>
      </w:r>
      <w:r w:rsidR="0021122E" w:rsidRPr="0021122E">
        <w:t>Moment.</w:t>
      </w:r>
    </w:p>
    <w:p w14:paraId="1A61970A" w14:textId="77777777" w:rsidR="005049A1" w:rsidRPr="0021122E" w:rsidRDefault="005049A1" w:rsidP="005049A1">
      <w:pPr>
        <w:pStyle w:val="Paragrafoelenco"/>
        <w:spacing w:after="0" w:line="240" w:lineRule="auto"/>
        <w:ind w:left="0"/>
        <w:jc w:val="both"/>
      </w:pPr>
      <w:r w:rsidRPr="0021122E">
        <w:t>Lo studio era caratterizzato da un appropriato disegno ed è stato condotto in accordo ai principi GCP.</w:t>
      </w:r>
    </w:p>
    <w:p w14:paraId="2CEC22A4" w14:textId="77777777" w:rsidR="005049A1" w:rsidRPr="0021122E" w:rsidRDefault="005049A1" w:rsidP="005049A1">
      <w:pPr>
        <w:pStyle w:val="Paragrafoelenco"/>
        <w:spacing w:after="0" w:line="240" w:lineRule="auto"/>
        <w:ind w:left="0"/>
        <w:jc w:val="both"/>
      </w:pPr>
      <w:r w:rsidRPr="0021122E">
        <w:t>Sono stati forniti certificati analitici per medicinale test e medicinale di riferimento.</w:t>
      </w:r>
    </w:p>
    <w:p w14:paraId="79F9B668" w14:textId="77777777" w:rsidR="0021122E" w:rsidRDefault="0021122E" w:rsidP="005049A1">
      <w:pPr>
        <w:spacing w:after="0" w:line="240" w:lineRule="auto"/>
        <w:jc w:val="both"/>
        <w:rPr>
          <w:rFonts w:ascii="Calibri" w:hAnsi="Calibri"/>
          <w:b/>
          <w:i/>
          <w:sz w:val="20"/>
          <w:highlight w:val="yellow"/>
        </w:rPr>
      </w:pPr>
    </w:p>
    <w:p w14:paraId="7BD7A2E6" w14:textId="77777777" w:rsidR="005049A1" w:rsidRPr="00502C92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647FBB">
        <w:rPr>
          <w:rFonts w:ascii="Calibri" w:hAnsi="Calibri"/>
        </w:rPr>
        <w:t>Lo studio di bioequivalenza è uno studio comparativo, randomizzato, a dose singola, 2-periodi, crossover</w:t>
      </w:r>
      <w:r w:rsidR="00647FBB" w:rsidRPr="00647FBB">
        <w:rPr>
          <w:rFonts w:ascii="Calibri" w:hAnsi="Calibri"/>
        </w:rPr>
        <w:t>, in dose singola a digiuno,</w:t>
      </w:r>
      <w:r w:rsidRPr="00647FBB">
        <w:rPr>
          <w:rFonts w:ascii="Calibri" w:hAnsi="Calibri"/>
        </w:rPr>
        <w:t xml:space="preserve"> condotto </w:t>
      </w:r>
      <w:r w:rsidR="00647FBB" w:rsidRPr="00647FBB">
        <w:rPr>
          <w:rFonts w:ascii="Calibri" w:hAnsi="Calibri"/>
        </w:rPr>
        <w:t>su</w:t>
      </w:r>
      <w:r w:rsidRPr="00647FBB">
        <w:rPr>
          <w:rFonts w:ascii="Calibri" w:hAnsi="Calibri"/>
        </w:rPr>
        <w:t xml:space="preserve"> </w:t>
      </w:r>
      <w:r w:rsidR="00647FBB" w:rsidRPr="00647FBB">
        <w:rPr>
          <w:rFonts w:ascii="Calibri" w:hAnsi="Calibri"/>
        </w:rPr>
        <w:t>2</w:t>
      </w:r>
      <w:r w:rsidRPr="00647FBB">
        <w:rPr>
          <w:rFonts w:ascii="Calibri" w:hAnsi="Calibri"/>
        </w:rPr>
        <w:t>6 volontari san</w:t>
      </w:r>
      <w:r w:rsidR="00647FBB" w:rsidRPr="00647FBB">
        <w:rPr>
          <w:rFonts w:ascii="Calibri" w:hAnsi="Calibri"/>
        </w:rPr>
        <w:t>i.</w:t>
      </w:r>
      <w:r w:rsidRPr="00647FBB">
        <w:rPr>
          <w:rFonts w:ascii="Calibri" w:hAnsi="Calibri"/>
        </w:rPr>
        <w:t xml:space="preserve"> </w:t>
      </w:r>
      <w:r w:rsidRPr="00647FBB">
        <w:rPr>
          <w:rFonts w:ascii="Calibri" w:hAnsi="Calibri" w:cs="Arial"/>
        </w:rPr>
        <w:t xml:space="preserve">Dopo una notte di digiuno, il medicinale è stato somministrato con acqua. </w:t>
      </w:r>
      <w:r w:rsidRPr="00647FBB">
        <w:rPr>
          <w:rFonts w:ascii="Calibri" w:hAnsi="Calibri"/>
        </w:rPr>
        <w:t xml:space="preserve">Un soddisfacente periodo di wash-out di </w:t>
      </w:r>
      <w:r w:rsidR="00647FBB" w:rsidRPr="00647FBB">
        <w:rPr>
          <w:rFonts w:ascii="Calibri" w:hAnsi="Calibri" w:cs="Arial"/>
        </w:rPr>
        <w:t>7</w:t>
      </w:r>
      <w:r w:rsidRPr="00647FBB">
        <w:rPr>
          <w:rFonts w:ascii="Calibri" w:hAnsi="Calibri" w:cs="Arial"/>
        </w:rPr>
        <w:t xml:space="preserve"> giorni è stato previsto tra le somministrazioni in ogni gruppo.</w:t>
      </w:r>
      <w:r w:rsidR="00647FBB" w:rsidRPr="00647FBB">
        <w:rPr>
          <w:rFonts w:ascii="Calibri" w:hAnsi="Calibri" w:cs="Arial"/>
        </w:rPr>
        <w:t xml:space="preserve"> </w:t>
      </w:r>
      <w:r w:rsidRPr="00647FBB">
        <w:rPr>
          <w:rFonts w:ascii="Calibri" w:hAnsi="Calibri" w:cs="Arial"/>
        </w:rPr>
        <w:t xml:space="preserve">Campioni di sangue sono stati prelevati al tempo zero (pre-dose) e a specificati </w:t>
      </w:r>
      <w:r w:rsidRPr="00647FBB">
        <w:rPr>
          <w:rFonts w:ascii="Calibri" w:hAnsi="Calibri" w:cs="Arial"/>
        </w:rPr>
        <w:lastRenderedPageBreak/>
        <w:t xml:space="preserve">tempi fino a </w:t>
      </w:r>
      <w:r w:rsidR="00647FBB" w:rsidRPr="00647FBB">
        <w:rPr>
          <w:rFonts w:ascii="Calibri" w:hAnsi="Calibri" w:cs="Arial"/>
        </w:rPr>
        <w:t>24</w:t>
      </w:r>
      <w:r w:rsidRPr="00647FBB">
        <w:rPr>
          <w:rFonts w:ascii="Calibri" w:hAnsi="Calibri" w:cs="Arial"/>
        </w:rPr>
        <w:t xml:space="preserve"> ore dopo la somministrazione. I livelli plasmatici di </w:t>
      </w:r>
      <w:r w:rsidR="00647FBB" w:rsidRPr="00647FBB">
        <w:rPr>
          <w:rFonts w:ascii="Calibri" w:hAnsi="Calibri" w:cs="Arial"/>
        </w:rPr>
        <w:t>ibuprofene</w:t>
      </w:r>
      <w:r w:rsidRPr="00647FBB">
        <w:rPr>
          <w:rFonts w:ascii="Calibri" w:hAnsi="Calibri" w:cs="Arial"/>
        </w:rPr>
        <w:t xml:space="preserve"> sono stati determinati mediante </w:t>
      </w:r>
      <w:r w:rsidRPr="00502C92">
        <w:rPr>
          <w:rFonts w:ascii="Calibri" w:hAnsi="Calibri" w:cs="Arial"/>
        </w:rPr>
        <w:t xml:space="preserve">un metodo analitico </w:t>
      </w:r>
      <w:r w:rsidR="00647FBB" w:rsidRPr="00502C92">
        <w:rPr>
          <w:rFonts w:ascii="Calibri" w:hAnsi="Calibri" w:cs="Arial"/>
        </w:rPr>
        <w:t>LC-MS/MS</w:t>
      </w:r>
      <w:r w:rsidRPr="00502C92">
        <w:rPr>
          <w:rFonts w:ascii="Calibri" w:hAnsi="Calibri" w:cs="Arial"/>
        </w:rPr>
        <w:t xml:space="preserve"> opportunamente convalidato.</w:t>
      </w:r>
    </w:p>
    <w:p w14:paraId="1A9139C8" w14:textId="77777777" w:rsidR="005049A1" w:rsidRPr="00502C92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502C92">
        <w:rPr>
          <w:rFonts w:ascii="Calibri" w:hAnsi="Calibri" w:cs="Arial"/>
        </w:rPr>
        <w:t xml:space="preserve">Per </w:t>
      </w:r>
      <w:r w:rsidR="00647FBB" w:rsidRPr="00502C92">
        <w:rPr>
          <w:rFonts w:ascii="Calibri" w:hAnsi="Calibri" w:cs="Arial"/>
        </w:rPr>
        <w:t>ibuprofene</w:t>
      </w:r>
      <w:r w:rsidRPr="00502C92">
        <w:rPr>
          <w:rFonts w:ascii="Calibri" w:hAnsi="Calibri" w:cs="Arial"/>
        </w:rPr>
        <w:t xml:space="preserve"> sono state definite le seguenti variabili farmacocinetiche: C</w:t>
      </w:r>
      <w:r w:rsidRPr="00502C92">
        <w:rPr>
          <w:rFonts w:ascii="Calibri" w:hAnsi="Calibri" w:cs="Arial"/>
          <w:vertAlign w:val="subscript"/>
        </w:rPr>
        <w:t>max</w:t>
      </w:r>
      <w:r w:rsidRPr="00502C92">
        <w:rPr>
          <w:rFonts w:ascii="Calibri" w:hAnsi="Calibri" w:cs="Arial"/>
        </w:rPr>
        <w:t>, AUC</w:t>
      </w:r>
      <w:r w:rsidRPr="00502C92">
        <w:rPr>
          <w:rFonts w:ascii="Calibri" w:hAnsi="Calibri" w:cs="Arial"/>
          <w:vertAlign w:val="subscript"/>
        </w:rPr>
        <w:t>0-t</w:t>
      </w:r>
      <w:r w:rsidRPr="00502C92">
        <w:rPr>
          <w:rFonts w:ascii="Calibri" w:hAnsi="Calibri" w:cs="Arial"/>
        </w:rPr>
        <w:t xml:space="preserve">, </w:t>
      </w:r>
      <w:r w:rsidR="008C72BC">
        <w:rPr>
          <w:rFonts w:ascii="Calibri" w:hAnsi="Calibri" w:cs="Arial"/>
        </w:rPr>
        <w:t>T</w:t>
      </w:r>
      <w:r w:rsidRPr="00502C92">
        <w:rPr>
          <w:rFonts w:ascii="Calibri" w:hAnsi="Calibri" w:cs="Arial"/>
          <w:vertAlign w:val="subscript"/>
        </w:rPr>
        <w:t>max</w:t>
      </w:r>
      <w:r w:rsidRPr="00502C92">
        <w:rPr>
          <w:rFonts w:ascii="Calibri" w:hAnsi="Calibri" w:cs="Arial"/>
        </w:rPr>
        <w:t xml:space="preserve">, </w:t>
      </w:r>
      <w:r w:rsidR="00502C92" w:rsidRPr="00502C92">
        <w:rPr>
          <w:rFonts w:ascii="Calibri" w:hAnsi="Calibri" w:cs="Arial"/>
        </w:rPr>
        <w:t>AUC</w:t>
      </w:r>
      <w:r w:rsidR="00502C92" w:rsidRPr="00502C92">
        <w:rPr>
          <w:rFonts w:ascii="Calibri" w:hAnsi="Calibri" w:cs="Arial"/>
          <w:vertAlign w:val="subscript"/>
        </w:rPr>
        <w:t>0-</w:t>
      </w:r>
      <w:r w:rsidR="00502C92" w:rsidRPr="00502C92">
        <w:rPr>
          <w:rFonts w:ascii="Calibri" w:hAnsi="Calibri" w:cs="Arial"/>
          <w:vertAlign w:val="subscript"/>
          <w:lang w:val="en-GB"/>
        </w:rPr>
        <w:sym w:font="Symbol" w:char="00A5"/>
      </w:r>
      <w:r w:rsidR="00502C92" w:rsidRPr="00502C92">
        <w:rPr>
          <w:rFonts w:ascii="Calibri" w:hAnsi="Calibri" w:cs="Arial"/>
        </w:rPr>
        <w:t>,</w:t>
      </w:r>
      <w:r w:rsidR="00502C92">
        <w:rPr>
          <w:rFonts w:ascii="Calibri" w:hAnsi="Calibri" w:cs="Arial"/>
        </w:rPr>
        <w:t xml:space="preserve"> </w:t>
      </w:r>
      <w:r w:rsidRPr="00502C92">
        <w:rPr>
          <w:rFonts w:ascii="Calibri" w:hAnsi="Calibri" w:cs="Arial"/>
        </w:rPr>
        <w:t>t</w:t>
      </w:r>
      <w:r w:rsidRPr="00502C92">
        <w:rPr>
          <w:rFonts w:ascii="Calibri" w:hAnsi="Calibri" w:cs="Arial"/>
          <w:vertAlign w:val="subscript"/>
        </w:rPr>
        <w:t>½</w:t>
      </w:r>
      <w:r w:rsidRPr="00502C92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C</w:t>
      </w:r>
      <w:r w:rsidRPr="00502C92">
        <w:rPr>
          <w:rFonts w:ascii="Calibri" w:hAnsi="Calibri" w:cs="Arial"/>
          <w:vertAlign w:val="subscript"/>
        </w:rPr>
        <w:t>max</w:t>
      </w:r>
      <w:r w:rsidRPr="00502C92">
        <w:rPr>
          <w:rFonts w:ascii="Calibri" w:hAnsi="Calibri" w:cs="Arial"/>
        </w:rPr>
        <w:t xml:space="preserve"> e AUC</w:t>
      </w:r>
      <w:r w:rsidRPr="00502C92">
        <w:rPr>
          <w:rFonts w:ascii="Calibri" w:hAnsi="Calibri" w:cs="Arial"/>
          <w:vertAlign w:val="subscript"/>
        </w:rPr>
        <w:t>0-t</w:t>
      </w:r>
      <w:r w:rsidRPr="00502C92">
        <w:rPr>
          <w:rFonts w:ascii="Calibri" w:hAnsi="Calibri" w:cs="Arial"/>
        </w:rPr>
        <w:t>, cadono nel range di accettabilità di 0.80-1.25 (80%-125%)</w:t>
      </w:r>
      <w:r w:rsidR="00502C92" w:rsidRPr="00502C92">
        <w:rPr>
          <w:rFonts w:ascii="Calibri" w:hAnsi="Calibri" w:cs="Arial"/>
        </w:rPr>
        <w:t xml:space="preserve"> e se i valori della mediana e del range di </w:t>
      </w:r>
      <w:r w:rsidR="008C72BC">
        <w:rPr>
          <w:rFonts w:ascii="Calibri" w:hAnsi="Calibri" w:cs="Arial"/>
        </w:rPr>
        <w:t>T</w:t>
      </w:r>
      <w:r w:rsidR="00502C92" w:rsidRPr="008C72BC">
        <w:rPr>
          <w:rFonts w:ascii="Calibri" w:hAnsi="Calibri" w:cs="Arial"/>
          <w:vertAlign w:val="subscript"/>
        </w:rPr>
        <w:t xml:space="preserve">max </w:t>
      </w:r>
      <w:r w:rsidR="00502C92" w:rsidRPr="00502C92">
        <w:rPr>
          <w:rFonts w:ascii="Calibri" w:hAnsi="Calibri" w:cs="Arial"/>
        </w:rPr>
        <w:t>tra test e reference sono comparabili, in accordo a quanto previsto dalla lineaguida “</w:t>
      </w:r>
      <w:r w:rsidR="00502C92" w:rsidRPr="00502C92">
        <w:rPr>
          <w:rFonts w:ascii="Calibri" w:hAnsi="Calibri" w:cs="Arial"/>
          <w:i/>
        </w:rPr>
        <w:t>Ibuprofen product-specific bioequivalence guidance - Scientific guideline</w:t>
      </w:r>
      <w:r w:rsidR="00502C92" w:rsidRPr="00502C92">
        <w:rPr>
          <w:rFonts w:ascii="Calibri" w:hAnsi="Calibri" w:cs="Arial"/>
        </w:rPr>
        <w:t>”</w:t>
      </w:r>
      <w:r w:rsidRPr="00502C92">
        <w:rPr>
          <w:rFonts w:ascii="Calibri" w:hAnsi="Calibri" w:cs="Arial"/>
        </w:rPr>
        <w:t>.</w:t>
      </w:r>
    </w:p>
    <w:p w14:paraId="50627A9B" w14:textId="77777777" w:rsidR="005049A1" w:rsidRPr="00502C92" w:rsidRDefault="005049A1" w:rsidP="005049A1">
      <w:pPr>
        <w:pStyle w:val="Paragrafoelenco"/>
        <w:spacing w:after="0" w:line="240" w:lineRule="auto"/>
        <w:ind w:left="0"/>
        <w:jc w:val="both"/>
      </w:pPr>
    </w:p>
    <w:p w14:paraId="6D067B0D" w14:textId="77777777" w:rsidR="005049A1" w:rsidRPr="00502C92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502C92">
        <w:rPr>
          <w:u w:val="single"/>
        </w:rPr>
        <w:t>Risultati</w:t>
      </w:r>
    </w:p>
    <w:p w14:paraId="2CAB8D65" w14:textId="77777777" w:rsidR="005049A1" w:rsidRPr="00502C92" w:rsidRDefault="00502C92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502C92">
        <w:rPr>
          <w:rFonts w:ascii="Calibri" w:hAnsi="Calibri" w:cs="Arial"/>
        </w:rPr>
        <w:t>26</w:t>
      </w:r>
      <w:r w:rsidR="005049A1" w:rsidRPr="00502C92">
        <w:rPr>
          <w:rFonts w:ascii="Calibri" w:hAnsi="Calibri" w:cs="Arial"/>
        </w:rPr>
        <w:t xml:space="preserve"> volontari sani sono stati arruolati nello studio. </w:t>
      </w:r>
      <w:r w:rsidRPr="00502C92">
        <w:rPr>
          <w:rFonts w:ascii="Calibri" w:hAnsi="Calibri" w:cs="Arial"/>
        </w:rPr>
        <w:t>Tutti i</w:t>
      </w:r>
      <w:r w:rsidR="005049A1" w:rsidRPr="00502C92">
        <w:rPr>
          <w:rFonts w:ascii="Calibri" w:hAnsi="Calibri" w:cs="Arial"/>
        </w:rPr>
        <w:t xml:space="preserve"> soggetti </w:t>
      </w:r>
      <w:r w:rsidR="005049A1" w:rsidRPr="00502C92">
        <w:t xml:space="preserve">hanno completato la fase clinica e </w:t>
      </w:r>
      <w:r w:rsidR="005049A1" w:rsidRPr="00502C92">
        <w:rPr>
          <w:rFonts w:ascii="Calibri" w:hAnsi="Calibri" w:cs="Arial"/>
        </w:rPr>
        <w:t>sono stati inclusi nell’analisi farmacocinetica.</w:t>
      </w:r>
    </w:p>
    <w:p w14:paraId="4C5C3647" w14:textId="77777777" w:rsidR="005049A1" w:rsidRPr="00502C92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14:paraId="089B32CA" w14:textId="77777777" w:rsidR="005049A1" w:rsidRPr="00502C92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502C92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14:paraId="44F81F90" w14:textId="77777777" w:rsidR="005049A1" w:rsidRPr="00502C92" w:rsidRDefault="005049A1" w:rsidP="005049A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502C92">
        <w:rPr>
          <w:rFonts w:ascii="Calibri" w:hAnsi="Calibri" w:cs="Arial"/>
        </w:rPr>
        <w:t xml:space="preserve">Nel corso dello studio </w:t>
      </w:r>
      <w:r w:rsidR="00502C92" w:rsidRPr="00502C92">
        <w:rPr>
          <w:rFonts w:ascii="Calibri" w:hAnsi="Calibri" w:cs="Arial"/>
        </w:rPr>
        <w:t xml:space="preserve">in 6 soggetti </w:t>
      </w:r>
      <w:r w:rsidRPr="00502C92">
        <w:rPr>
          <w:rFonts w:ascii="Calibri" w:hAnsi="Calibri" w:cs="Arial"/>
        </w:rPr>
        <w:t xml:space="preserve">si sono manifestati </w:t>
      </w:r>
      <w:r w:rsidR="00502C92" w:rsidRPr="00502C92">
        <w:t>7</w:t>
      </w:r>
      <w:r w:rsidRPr="00502C92">
        <w:t xml:space="preserve"> eventi avversi</w:t>
      </w:r>
      <w:r w:rsidR="00502C92" w:rsidRPr="00502C92">
        <w:t>, nessuno dei quali</w:t>
      </w:r>
      <w:r w:rsidRPr="00502C92">
        <w:t xml:space="preserve"> </w:t>
      </w:r>
      <w:r w:rsidRPr="00502C92">
        <w:rPr>
          <w:rFonts w:ascii="Calibri" w:hAnsi="Calibri" w:cs="Arial"/>
        </w:rPr>
        <w:t>correlati al trattamento</w:t>
      </w:r>
      <w:r w:rsidRPr="00502C92">
        <w:t xml:space="preserve">. </w:t>
      </w:r>
      <w:r w:rsidRPr="00502C92">
        <w:rPr>
          <w:rFonts w:ascii="Calibri" w:hAnsi="Calibri" w:cs="Arial"/>
        </w:rPr>
        <w:t xml:space="preserve">In particolare, è stata riscontrata </w:t>
      </w:r>
      <w:r w:rsidR="00502C92" w:rsidRPr="00502C92">
        <w:t xml:space="preserve">cefalea. </w:t>
      </w:r>
      <w:r w:rsidRPr="00502C92">
        <w:rPr>
          <w:rFonts w:ascii="Calibri" w:hAnsi="Calibri" w:cs="Arial"/>
        </w:rPr>
        <w:t>Non sono stati rilevati eventi avversi gravi</w:t>
      </w:r>
      <w:r w:rsidR="00502C92" w:rsidRPr="00502C92">
        <w:rPr>
          <w:rFonts w:ascii="Calibri" w:hAnsi="Calibri" w:cs="Arial"/>
        </w:rPr>
        <w:t>.</w:t>
      </w:r>
    </w:p>
    <w:p w14:paraId="7DDFA948" w14:textId="77777777" w:rsidR="005049A1" w:rsidRPr="00C078FC" w:rsidRDefault="005049A1" w:rsidP="005049A1">
      <w:pPr>
        <w:spacing w:after="0" w:line="240" w:lineRule="auto"/>
        <w:rPr>
          <w:highlight w:val="yellow"/>
        </w:rPr>
      </w:pPr>
    </w:p>
    <w:p w14:paraId="086E246C" w14:textId="77777777" w:rsidR="005049A1" w:rsidRPr="00502C92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02C92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502C92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14:paraId="0478010E" w14:textId="77777777" w:rsidR="005049A1" w:rsidRPr="00502C92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02C92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14:paraId="0ACD23F2" w14:textId="77777777" w:rsidR="005049A1" w:rsidRPr="00C078FC" w:rsidRDefault="005049A1" w:rsidP="005049A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696"/>
        <w:gridCol w:w="1985"/>
        <w:gridCol w:w="1843"/>
        <w:gridCol w:w="4330"/>
      </w:tblGrid>
      <w:tr w:rsidR="005049A1" w:rsidRPr="00BA660E" w14:paraId="4C687923" w14:textId="77777777" w:rsidTr="00BA660E">
        <w:trPr>
          <w:jc w:val="center"/>
        </w:trPr>
        <w:tc>
          <w:tcPr>
            <w:tcW w:w="0" w:type="auto"/>
            <w:gridSpan w:val="4"/>
            <w:shd w:val="clear" w:color="auto" w:fill="auto"/>
            <w:vAlign w:val="bottom"/>
          </w:tcPr>
          <w:p w14:paraId="7AE8B4AE" w14:textId="77777777" w:rsidR="005049A1" w:rsidRPr="00BA660E" w:rsidRDefault="00502C92" w:rsidP="004814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660E">
              <w:rPr>
                <w:rFonts w:cstheme="minorHAnsi"/>
                <w:b/>
                <w:bCs/>
                <w:sz w:val="20"/>
                <w:szCs w:val="20"/>
              </w:rPr>
              <w:t>Ibuoprofene</w:t>
            </w:r>
          </w:p>
        </w:tc>
      </w:tr>
      <w:tr w:rsidR="00BA660E" w:rsidRPr="00BA660E" w14:paraId="3EEDB8CB" w14:textId="77777777" w:rsidTr="00E5693D">
        <w:trPr>
          <w:jc w:val="center"/>
        </w:trPr>
        <w:tc>
          <w:tcPr>
            <w:tcW w:w="1696" w:type="dxa"/>
            <w:vAlign w:val="bottom"/>
          </w:tcPr>
          <w:p w14:paraId="5EFC0C5A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>Parametro</w:t>
            </w:r>
          </w:p>
        </w:tc>
        <w:tc>
          <w:tcPr>
            <w:tcW w:w="1985" w:type="dxa"/>
            <w:vAlign w:val="bottom"/>
          </w:tcPr>
          <w:p w14:paraId="0672D455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 xml:space="preserve">Test </w:t>
            </w:r>
          </w:p>
          <w:p w14:paraId="7E48691D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>(Ibuprofene 200 mg)</w:t>
            </w:r>
          </w:p>
        </w:tc>
        <w:tc>
          <w:tcPr>
            <w:tcW w:w="1843" w:type="dxa"/>
            <w:vAlign w:val="bottom"/>
          </w:tcPr>
          <w:p w14:paraId="3AF56C21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>Reference</w:t>
            </w:r>
          </w:p>
          <w:p w14:paraId="74420BB9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>(Moment 200 mg)</w:t>
            </w:r>
          </w:p>
        </w:tc>
        <w:tc>
          <w:tcPr>
            <w:tcW w:w="4330" w:type="dxa"/>
            <w:vAlign w:val="bottom"/>
          </w:tcPr>
          <w:p w14:paraId="24C89AF7" w14:textId="77777777" w:rsidR="00BA660E" w:rsidRPr="00BA660E" w:rsidRDefault="00BA660E" w:rsidP="00BA660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>GMR (Geometric Means ratio) 90% Intervalli di confidenza</w:t>
            </w:r>
          </w:p>
        </w:tc>
      </w:tr>
      <w:tr w:rsidR="00BA660E" w:rsidRPr="00BA660E" w14:paraId="71C0E39C" w14:textId="77777777" w:rsidTr="00E5693D">
        <w:trPr>
          <w:jc w:val="center"/>
        </w:trPr>
        <w:tc>
          <w:tcPr>
            <w:tcW w:w="1696" w:type="dxa"/>
            <w:vAlign w:val="bottom"/>
          </w:tcPr>
          <w:p w14:paraId="40D70D07" w14:textId="77777777" w:rsidR="00BA660E" w:rsidRPr="00BA660E" w:rsidRDefault="00BA660E" w:rsidP="0048145F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>AUC</w:t>
            </w:r>
            <w:r w:rsidRPr="00BA660E">
              <w:rPr>
                <w:rFonts w:cstheme="minorHAnsi"/>
                <w:b/>
                <w:sz w:val="20"/>
                <w:szCs w:val="20"/>
                <w:vertAlign w:val="subscript"/>
              </w:rPr>
              <w:t xml:space="preserve">0-t </w:t>
            </w:r>
            <w:r w:rsidRPr="00BA660E">
              <w:rPr>
                <w:rFonts w:cstheme="minorHAnsi"/>
                <w:sz w:val="18"/>
                <w:szCs w:val="20"/>
              </w:rPr>
              <w:t>(h*μg/mL)</w:t>
            </w:r>
          </w:p>
        </w:tc>
        <w:tc>
          <w:tcPr>
            <w:tcW w:w="1985" w:type="dxa"/>
            <w:vAlign w:val="bottom"/>
          </w:tcPr>
          <w:p w14:paraId="151B91BF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 xml:space="preserve">76.719 </w:t>
            </w:r>
          </w:p>
        </w:tc>
        <w:tc>
          <w:tcPr>
            <w:tcW w:w="1843" w:type="dxa"/>
            <w:vAlign w:val="bottom"/>
          </w:tcPr>
          <w:p w14:paraId="5DB31BCF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75.883</w:t>
            </w:r>
          </w:p>
        </w:tc>
        <w:tc>
          <w:tcPr>
            <w:tcW w:w="4330" w:type="dxa"/>
            <w:vAlign w:val="bottom"/>
          </w:tcPr>
          <w:p w14:paraId="3B3EC2B8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101.10 (97.15 - 105.21)</w:t>
            </w:r>
          </w:p>
        </w:tc>
      </w:tr>
      <w:tr w:rsidR="00BA660E" w:rsidRPr="00BA660E" w14:paraId="7B37A20D" w14:textId="77777777" w:rsidTr="00E5693D">
        <w:trPr>
          <w:jc w:val="center"/>
        </w:trPr>
        <w:tc>
          <w:tcPr>
            <w:tcW w:w="1696" w:type="dxa"/>
            <w:vAlign w:val="bottom"/>
          </w:tcPr>
          <w:p w14:paraId="0FE8BE8D" w14:textId="77777777" w:rsidR="00BA660E" w:rsidRPr="00BA660E" w:rsidRDefault="00BA660E" w:rsidP="0048145F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>AUC</w:t>
            </w:r>
            <w:r w:rsidRPr="00BA660E">
              <w:rPr>
                <w:rFonts w:cstheme="minorHAnsi"/>
                <w:b/>
                <w:sz w:val="20"/>
                <w:szCs w:val="20"/>
                <w:vertAlign w:val="subscript"/>
              </w:rPr>
              <w:t>0-∞</w:t>
            </w:r>
            <w:r>
              <w:rPr>
                <w:rFonts w:cstheme="minorHAnsi"/>
                <w:b/>
                <w:sz w:val="20"/>
                <w:szCs w:val="20"/>
                <w:vertAlign w:val="subscript"/>
              </w:rPr>
              <w:t xml:space="preserve"> </w:t>
            </w:r>
            <w:r w:rsidR="00E5693D">
              <w:rPr>
                <w:rFonts w:cstheme="minorHAnsi"/>
                <w:b/>
                <w:sz w:val="20"/>
                <w:szCs w:val="20"/>
                <w:vertAlign w:val="subscript"/>
              </w:rPr>
              <w:t xml:space="preserve"> (</w:t>
            </w:r>
            <w:r w:rsidRPr="00335646">
              <w:rPr>
                <w:rFonts w:cstheme="minorHAnsi"/>
                <w:sz w:val="18"/>
                <w:szCs w:val="20"/>
              </w:rPr>
              <w:t>h*μg/mL)</w:t>
            </w:r>
          </w:p>
        </w:tc>
        <w:tc>
          <w:tcPr>
            <w:tcW w:w="1985" w:type="dxa"/>
            <w:vAlign w:val="bottom"/>
          </w:tcPr>
          <w:p w14:paraId="6EE2E9D5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77.802</w:t>
            </w:r>
          </w:p>
        </w:tc>
        <w:tc>
          <w:tcPr>
            <w:tcW w:w="1843" w:type="dxa"/>
            <w:vAlign w:val="bottom"/>
          </w:tcPr>
          <w:p w14:paraId="12317C94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77.365</w:t>
            </w:r>
          </w:p>
        </w:tc>
        <w:tc>
          <w:tcPr>
            <w:tcW w:w="4330" w:type="dxa"/>
            <w:vAlign w:val="bottom"/>
          </w:tcPr>
          <w:p w14:paraId="0F84F856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100.56 (96.55 – 104.74)</w:t>
            </w:r>
          </w:p>
        </w:tc>
      </w:tr>
      <w:tr w:rsidR="00BA660E" w:rsidRPr="00BA660E" w14:paraId="0511FA5E" w14:textId="77777777" w:rsidTr="00E5693D">
        <w:trPr>
          <w:jc w:val="center"/>
        </w:trPr>
        <w:tc>
          <w:tcPr>
            <w:tcW w:w="1696" w:type="dxa"/>
            <w:vAlign w:val="bottom"/>
          </w:tcPr>
          <w:p w14:paraId="2050D060" w14:textId="77777777" w:rsidR="00BA660E" w:rsidRPr="00BA660E" w:rsidRDefault="00BA660E" w:rsidP="0048145F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>C</w:t>
            </w:r>
            <w:r w:rsidRPr="00BA660E">
              <w:rPr>
                <w:rFonts w:cstheme="minorHAnsi"/>
                <w:b/>
                <w:sz w:val="20"/>
                <w:szCs w:val="20"/>
                <w:vertAlign w:val="subscript"/>
              </w:rPr>
              <w:t xml:space="preserve">max </w:t>
            </w:r>
            <w:r w:rsidRPr="00E5693D">
              <w:rPr>
                <w:rFonts w:cstheme="minorHAnsi"/>
                <w:sz w:val="18"/>
                <w:szCs w:val="20"/>
              </w:rPr>
              <w:t>(μg/mL)</w:t>
            </w:r>
          </w:p>
        </w:tc>
        <w:tc>
          <w:tcPr>
            <w:tcW w:w="1985" w:type="dxa"/>
            <w:vAlign w:val="bottom"/>
          </w:tcPr>
          <w:p w14:paraId="5756ABE5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21.462</w:t>
            </w:r>
          </w:p>
        </w:tc>
        <w:tc>
          <w:tcPr>
            <w:tcW w:w="1843" w:type="dxa"/>
            <w:vAlign w:val="bottom"/>
          </w:tcPr>
          <w:p w14:paraId="330D52CC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20.467</w:t>
            </w:r>
          </w:p>
        </w:tc>
        <w:tc>
          <w:tcPr>
            <w:tcW w:w="4330" w:type="dxa"/>
            <w:vAlign w:val="bottom"/>
          </w:tcPr>
          <w:p w14:paraId="212E3773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104.86 (95.22 - 115.48)</w:t>
            </w:r>
          </w:p>
        </w:tc>
      </w:tr>
      <w:tr w:rsidR="00BA660E" w:rsidRPr="00BA660E" w14:paraId="3E09C011" w14:textId="77777777" w:rsidTr="00E5693D">
        <w:trPr>
          <w:jc w:val="center"/>
        </w:trPr>
        <w:tc>
          <w:tcPr>
            <w:tcW w:w="1696" w:type="dxa"/>
            <w:vAlign w:val="bottom"/>
          </w:tcPr>
          <w:p w14:paraId="1DBE957C" w14:textId="77777777" w:rsidR="00BA660E" w:rsidRPr="00BA660E" w:rsidRDefault="00BA660E" w:rsidP="0048145F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>T</w:t>
            </w:r>
            <w:r w:rsidRPr="00BA660E">
              <w:rPr>
                <w:rFonts w:cstheme="minorHAnsi"/>
                <w:b/>
                <w:sz w:val="20"/>
                <w:szCs w:val="20"/>
                <w:vertAlign w:val="subscript"/>
              </w:rPr>
              <w:t xml:space="preserve">max </w:t>
            </w:r>
            <w:r w:rsidRPr="00E5693D">
              <w:rPr>
                <w:rFonts w:cstheme="minorHAnsi"/>
                <w:sz w:val="18"/>
                <w:szCs w:val="20"/>
              </w:rPr>
              <w:t>(h)</w:t>
            </w:r>
            <w:r w:rsidRPr="00BA660E">
              <w:rPr>
                <w:rFonts w:cstheme="minorHAnsi"/>
                <w:sz w:val="20"/>
                <w:szCs w:val="20"/>
              </w:rPr>
              <w:t>*</w:t>
            </w:r>
          </w:p>
        </w:tc>
        <w:tc>
          <w:tcPr>
            <w:tcW w:w="1985" w:type="dxa"/>
            <w:vAlign w:val="bottom"/>
          </w:tcPr>
          <w:p w14:paraId="33796567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1.01 (0.32 – 4.00)</w:t>
            </w:r>
          </w:p>
        </w:tc>
        <w:tc>
          <w:tcPr>
            <w:tcW w:w="1843" w:type="dxa"/>
            <w:vAlign w:val="bottom"/>
          </w:tcPr>
          <w:p w14:paraId="5333F277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 xml:space="preserve">1.00 </w:t>
            </w:r>
            <w:r w:rsidR="00E5693D">
              <w:rPr>
                <w:rFonts w:cstheme="minorHAnsi"/>
                <w:sz w:val="20"/>
                <w:szCs w:val="20"/>
              </w:rPr>
              <w:t>(</w:t>
            </w:r>
            <w:r w:rsidRPr="00BA660E">
              <w:rPr>
                <w:rFonts w:cstheme="minorHAnsi"/>
                <w:sz w:val="20"/>
                <w:szCs w:val="20"/>
              </w:rPr>
              <w:t>0.50 – 4.00)</w:t>
            </w:r>
          </w:p>
        </w:tc>
        <w:tc>
          <w:tcPr>
            <w:tcW w:w="4330" w:type="dxa"/>
            <w:vAlign w:val="bottom"/>
          </w:tcPr>
          <w:p w14:paraId="0AE9951A" w14:textId="77777777" w:rsidR="00BA660E" w:rsidRPr="00BA660E" w:rsidRDefault="00BA660E" w:rsidP="004814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171A19CE" w14:textId="77777777" w:rsidR="005049A1" w:rsidRPr="00BA660E" w:rsidRDefault="00502C92" w:rsidP="00502C92">
      <w:pPr>
        <w:spacing w:after="0" w:line="240" w:lineRule="auto"/>
        <w:rPr>
          <w:rFonts w:cs="Arial"/>
          <w:i/>
          <w:sz w:val="16"/>
          <w:szCs w:val="20"/>
        </w:rPr>
      </w:pPr>
      <w:r w:rsidRPr="00BA660E">
        <w:rPr>
          <w:rFonts w:cs="Arial"/>
          <w:i/>
          <w:sz w:val="18"/>
        </w:rPr>
        <w:t>*</w:t>
      </w:r>
      <w:r w:rsidRPr="00BA660E">
        <w:rPr>
          <w:rFonts w:cs="Arial"/>
          <w:i/>
          <w:sz w:val="16"/>
          <w:szCs w:val="20"/>
        </w:rPr>
        <w:t>Mediana e range</w:t>
      </w:r>
    </w:p>
    <w:p w14:paraId="5F5CAE34" w14:textId="77777777" w:rsidR="00502C92" w:rsidRPr="00502C92" w:rsidRDefault="00502C92" w:rsidP="00502C92">
      <w:pPr>
        <w:spacing w:after="0" w:line="240" w:lineRule="auto"/>
        <w:rPr>
          <w:rFonts w:cs="Arial"/>
          <w:i/>
          <w:sz w:val="18"/>
          <w:highlight w:val="yellow"/>
        </w:rPr>
      </w:pPr>
    </w:p>
    <w:p w14:paraId="0193EDD7" w14:textId="77777777" w:rsidR="005049A1" w:rsidRPr="00E5693D" w:rsidRDefault="005049A1" w:rsidP="005049A1">
      <w:pPr>
        <w:spacing w:after="0" w:line="240" w:lineRule="auto"/>
        <w:rPr>
          <w:rFonts w:cs="Arial"/>
        </w:rPr>
      </w:pPr>
      <w:r w:rsidRPr="00E5693D">
        <w:rPr>
          <w:rFonts w:cs="Arial"/>
          <w:i/>
        </w:rPr>
        <w:t>Conclusioni sulla bioequivalenza</w:t>
      </w:r>
      <w:r w:rsidRPr="00E5693D">
        <w:rPr>
          <w:rFonts w:cs="Arial"/>
        </w:rPr>
        <w:t>.</w:t>
      </w:r>
    </w:p>
    <w:p w14:paraId="231808A1" w14:textId="77777777"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  <w:r w:rsidRPr="00E5693D">
        <w:rPr>
          <w:rFonts w:cs="Arial"/>
        </w:rPr>
        <w:t>I risultati degli studi di bioequivalenza mostrano che gli intervalli di confidenza dei parametri farmacocinetici studiati cadono nel range di accettabilità in accordo con le linee guida correnti.</w:t>
      </w:r>
    </w:p>
    <w:p w14:paraId="6C0FD2D1" w14:textId="77777777"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</w:p>
    <w:p w14:paraId="36178876" w14:textId="77777777"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14:paraId="3FDAE1B9" w14:textId="77777777" w:rsidR="005049A1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C778B9">
        <w:rPr>
          <w:rFonts w:eastAsia="Calibri" w:cs="Calibri"/>
          <w:color w:val="000000"/>
          <w:lang w:eastAsia="it-IT"/>
        </w:rPr>
        <w:t>FIBUS</w:t>
      </w:r>
      <w:r w:rsidRPr="009F5FC7">
        <w:rPr>
          <w:rFonts w:cs="Arial"/>
        </w:rPr>
        <w:t xml:space="preserve"> è ben conosciuto.</w:t>
      </w:r>
      <w:r>
        <w:rPr>
          <w:rFonts w:cs="Arial"/>
        </w:rPr>
        <w:t xml:space="preserve"> </w:t>
      </w:r>
    </w:p>
    <w:bookmarkEnd w:id="4"/>
    <w:p w14:paraId="4B123B4A" w14:textId="77777777"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14:paraId="157971DB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14:paraId="6F11AE94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C778B9">
        <w:rPr>
          <w:rFonts w:eastAsia="Calibri" w:cs="Calibri"/>
          <w:color w:val="000000"/>
          <w:lang w:eastAsia="it-IT"/>
        </w:rPr>
        <w:t>FIBUS</w:t>
      </w:r>
      <w:r w:rsidRPr="00EF6711">
        <w:t>.</w:t>
      </w:r>
    </w:p>
    <w:p w14:paraId="146363AC" w14:textId="77777777"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14:paraId="43F3735C" w14:textId="77777777"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1810E1" w14:paraId="35E3D22F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6D9D5AE6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</w:p>
        </w:tc>
        <w:tc>
          <w:tcPr>
            <w:tcW w:w="3440" w:type="pct"/>
            <w:shd w:val="clear" w:color="auto" w:fill="auto"/>
          </w:tcPr>
          <w:p w14:paraId="48B51886" w14:textId="77777777" w:rsidR="0048145F" w:rsidRPr="0048145F" w:rsidRDefault="0048145F" w:rsidP="0048145F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sz w:val="20"/>
              </w:rPr>
            </w:pPr>
            <w:r w:rsidRPr="0048145F">
              <w:rPr>
                <w:sz w:val="20"/>
              </w:rPr>
              <w:t xml:space="preserve"> Ipersensibilità/reazioni allergiche</w:t>
            </w:r>
          </w:p>
          <w:p w14:paraId="667AA6F7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</w:p>
          <w:p w14:paraId="0A644D37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  <w:r w:rsidRPr="0048145F">
              <w:rPr>
                <w:sz w:val="20"/>
              </w:rPr>
              <w:t>·         Uso durante il terzo trimestre di gravidanza  (Chiusura prematura del dotto arterioso)</w:t>
            </w:r>
          </w:p>
          <w:p w14:paraId="44F2F7A5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</w:p>
          <w:p w14:paraId="3813456A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  <w:r w:rsidRPr="0048145F">
              <w:rPr>
                <w:sz w:val="20"/>
              </w:rPr>
              <w:t>·         Emorragia gastrointestinale, Ulcerazione e Perforazione</w:t>
            </w:r>
          </w:p>
          <w:p w14:paraId="565AD07E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</w:p>
          <w:p w14:paraId="74FD5B92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  <w:r w:rsidRPr="0048145F">
              <w:rPr>
                <w:sz w:val="20"/>
              </w:rPr>
              <w:t>·         Eventi/disordini cardiovascolari</w:t>
            </w:r>
          </w:p>
          <w:p w14:paraId="36AEDC29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</w:p>
          <w:p w14:paraId="6D40EEED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  <w:r w:rsidRPr="0048145F">
              <w:rPr>
                <w:sz w:val="20"/>
              </w:rPr>
              <w:t>·         Accidente cerebrovascolare</w:t>
            </w:r>
          </w:p>
          <w:p w14:paraId="6F1AF8B9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</w:p>
          <w:p w14:paraId="78C4D082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  <w:r w:rsidRPr="0048145F">
              <w:rPr>
                <w:sz w:val="20"/>
              </w:rPr>
              <w:lastRenderedPageBreak/>
              <w:t>·         Ipersensibilità ad altri FANS o a basse dosi di acido acetilsalicilico (aumento del sanguinamento gastrointestinale e/o ulcerazione a seguito di somministrazione concomitante)</w:t>
            </w:r>
          </w:p>
          <w:p w14:paraId="317FFC72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</w:p>
          <w:p w14:paraId="16046693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  <w:r w:rsidRPr="0048145F">
              <w:rPr>
                <w:sz w:val="20"/>
              </w:rPr>
              <w:t>·         Disturbi ematologici</w:t>
            </w:r>
          </w:p>
          <w:p w14:paraId="41DFE1FB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</w:p>
          <w:p w14:paraId="44ED2616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  <w:r w:rsidRPr="0048145F">
              <w:rPr>
                <w:sz w:val="20"/>
              </w:rPr>
              <w:t>·         Reazioni cutanee gravi incluse Sindrome di Stevens-Johnson, Necrolisi epidermica tossica, Dermatite esfoliativa</w:t>
            </w:r>
          </w:p>
          <w:p w14:paraId="58DAF3E8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</w:p>
          <w:p w14:paraId="62CBE3EB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  <w:r w:rsidRPr="0048145F">
              <w:rPr>
                <w:sz w:val="20"/>
              </w:rPr>
              <w:t>·         Tossicità renale</w:t>
            </w:r>
          </w:p>
          <w:p w14:paraId="42F3AA01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</w:p>
          <w:p w14:paraId="18CDB6F7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  <w:r w:rsidRPr="0048145F">
              <w:rPr>
                <w:sz w:val="20"/>
              </w:rPr>
              <w:t>·         Compromissione epatica</w:t>
            </w:r>
          </w:p>
          <w:p w14:paraId="26F0E9F7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</w:p>
          <w:p w14:paraId="034C601B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  <w:r w:rsidRPr="0048145F">
              <w:rPr>
                <w:sz w:val="20"/>
              </w:rPr>
              <w:t>·         Broncospasmo in pazienti con asma o malattia allergica</w:t>
            </w:r>
          </w:p>
          <w:p w14:paraId="240FA834" w14:textId="77777777" w:rsidR="0048145F" w:rsidRPr="0048145F" w:rsidRDefault="0048145F" w:rsidP="0048145F">
            <w:pPr>
              <w:spacing w:after="0" w:line="240" w:lineRule="auto"/>
              <w:rPr>
                <w:sz w:val="20"/>
              </w:rPr>
            </w:pPr>
          </w:p>
          <w:p w14:paraId="07B495CF" w14:textId="77777777" w:rsidR="00265B61" w:rsidRPr="00BE7CDB" w:rsidRDefault="0048145F" w:rsidP="0048145F">
            <w:pPr>
              <w:spacing w:after="0" w:line="240" w:lineRule="auto"/>
              <w:rPr>
                <w:sz w:val="20"/>
              </w:rPr>
            </w:pPr>
            <w:r w:rsidRPr="0048145F">
              <w:rPr>
                <w:sz w:val="20"/>
              </w:rPr>
              <w:t>·         Meningite asettica (in pazienti con LES e Malattia del tessuto connettivo mista)</w:t>
            </w:r>
          </w:p>
        </w:tc>
      </w:tr>
      <w:tr w:rsidR="00265B61" w:rsidRPr="001810E1" w14:paraId="59972739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032075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lastRenderedPageBreak/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00D1A5" w14:textId="77777777" w:rsidR="00400FCE" w:rsidRPr="00400FCE" w:rsidRDefault="00400FCE" w:rsidP="00400FCE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400FCE">
              <w:rPr>
                <w:sz w:val="20"/>
                <w:szCs w:val="20"/>
                <w:lang w:eastAsia="en-GB"/>
              </w:rPr>
              <w:t>·         Fertilità femminile ridotta</w:t>
            </w:r>
          </w:p>
          <w:p w14:paraId="21774FB5" w14:textId="77777777" w:rsidR="00400FCE" w:rsidRPr="00400FCE" w:rsidRDefault="00400FCE" w:rsidP="00400FCE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</w:p>
          <w:p w14:paraId="79398CDC" w14:textId="77777777" w:rsidR="00400FCE" w:rsidRPr="00400FCE" w:rsidRDefault="00400FCE" w:rsidP="00400FCE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400FCE">
              <w:rPr>
                <w:sz w:val="20"/>
                <w:szCs w:val="20"/>
                <w:lang w:eastAsia="en-GB"/>
              </w:rPr>
              <w:t>·         Influenza dei FANS sul peggioramento del decorso delle infezioni</w:t>
            </w:r>
          </w:p>
          <w:p w14:paraId="2FDDBBA9" w14:textId="77777777" w:rsidR="00400FCE" w:rsidRPr="00400FCE" w:rsidRDefault="00400FCE" w:rsidP="00400FCE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</w:p>
          <w:p w14:paraId="68751BA2" w14:textId="77777777" w:rsidR="00400FCE" w:rsidRPr="00400FCE" w:rsidRDefault="00400FCE" w:rsidP="00400FCE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400FCE">
              <w:rPr>
                <w:sz w:val="20"/>
                <w:szCs w:val="20"/>
                <w:lang w:eastAsia="en-GB"/>
              </w:rPr>
              <w:t>·         Utilizzo durante le fasi precoci della gravidanza (malformazioni cardiache fetali, gastroschisi ed aborto spontaneo)</w:t>
            </w:r>
          </w:p>
          <w:p w14:paraId="6FB1FC80" w14:textId="77777777" w:rsidR="00400FCE" w:rsidRPr="00400FCE" w:rsidRDefault="00400FCE" w:rsidP="00400FCE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</w:p>
          <w:p w14:paraId="1A30B4DC" w14:textId="77777777" w:rsidR="00265B61" w:rsidRPr="00BE7CDB" w:rsidRDefault="00400FCE" w:rsidP="00400FCE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400FCE">
              <w:rPr>
                <w:sz w:val="20"/>
                <w:szCs w:val="20"/>
                <w:lang w:eastAsia="en-GB"/>
              </w:rPr>
              <w:t>·         Misuso (ad esempio uso in bambini di età inferiore ai 12 anni di età)</w:t>
            </w:r>
          </w:p>
        </w:tc>
      </w:tr>
      <w:tr w:rsidR="00265B61" w:rsidRPr="00474E7B" w14:paraId="2C05D913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C8A49B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F7B31" w14:textId="77777777" w:rsidR="00265B61" w:rsidRPr="00BE7CDB" w:rsidRDefault="00923DB7" w:rsidP="00BE7C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Nessuna</w:t>
            </w:r>
          </w:p>
        </w:tc>
      </w:tr>
    </w:tbl>
    <w:p w14:paraId="7765724F" w14:textId="77777777"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09DF3AB0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53DB1A53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14:paraId="178DB853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32E4F749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14EF68AA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C778B9">
        <w:rPr>
          <w:rFonts w:eastAsia="Calibri" w:cs="Calibri"/>
          <w:color w:val="000000"/>
          <w:lang w:eastAsia="it-IT"/>
        </w:rPr>
        <w:t>FIBUS</w:t>
      </w:r>
      <w:r w:rsidR="00C078FC">
        <w:rPr>
          <w:rFonts w:eastAsia="Calibri" w:cs="Calibri"/>
          <w:color w:val="000000"/>
          <w:lang w:eastAsia="it-IT"/>
        </w:rPr>
        <w:t xml:space="preserve"> 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3F8EFDA0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C778B9">
        <w:rPr>
          <w:rFonts w:eastAsia="Calibri" w:cs="Calibri"/>
          <w:color w:val="000000"/>
          <w:lang w:eastAsia="it-IT"/>
        </w:rPr>
        <w:t>FIBUS</w:t>
      </w:r>
      <w:r w:rsidR="00C078FC">
        <w:rPr>
          <w:rFonts w:eastAsia="Calibri" w:cs="Calibri"/>
          <w:color w:val="000000"/>
          <w:lang w:eastAsia="it-IT"/>
        </w:rPr>
        <w:t xml:space="preserve"> 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6BA4C1FB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2AB2B8BD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2565FC8F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5496C1E1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14:paraId="3698BCF7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1C961C9C" w14:textId="77777777" w:rsidR="004E5A39" w:rsidRPr="00EF6711" w:rsidRDefault="004E5A39" w:rsidP="00EF6711">
      <w:pPr>
        <w:spacing w:after="0" w:line="240" w:lineRule="auto"/>
        <w:jc w:val="both"/>
      </w:pPr>
    </w:p>
    <w:p w14:paraId="45D44E16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7CC46B6B" w14:textId="77777777" w:rsidR="004E5A39" w:rsidRPr="00260FFF" w:rsidRDefault="004E5A39" w:rsidP="00EF6711">
      <w:pPr>
        <w:spacing w:after="0" w:line="240" w:lineRule="auto"/>
        <w:jc w:val="both"/>
      </w:pPr>
      <w:r w:rsidRPr="002136D5">
        <w:t xml:space="preserve">La qualità di </w:t>
      </w:r>
      <w:r w:rsidR="00C778B9" w:rsidRPr="002136D5">
        <w:rPr>
          <w:rFonts w:eastAsia="Calibri" w:cs="Calibri"/>
          <w:color w:val="000000"/>
          <w:lang w:eastAsia="it-IT"/>
        </w:rPr>
        <w:t>FIBUS</w:t>
      </w:r>
      <w:r w:rsidR="00C078FC" w:rsidRPr="002136D5">
        <w:rPr>
          <w:rFonts w:eastAsia="Calibri" w:cs="Calibri"/>
          <w:color w:val="000000"/>
          <w:lang w:eastAsia="it-IT"/>
        </w:rPr>
        <w:t xml:space="preserve"> </w:t>
      </w:r>
      <w:r w:rsidR="00BE7CDB" w:rsidRPr="002136D5">
        <w:rPr>
          <w:rFonts w:eastAsia="Calibri" w:cs="Calibri"/>
          <w:color w:val="000000"/>
          <w:lang w:eastAsia="it-IT"/>
        </w:rPr>
        <w:t xml:space="preserve"> </w:t>
      </w:r>
      <w:r w:rsidRPr="002136D5">
        <w:t xml:space="preserve">è </w:t>
      </w:r>
      <w:r w:rsidRPr="00260FFF">
        <w:t>accettabile e non sono state rilevate criticità da un punto di vista non clinico e clinico.</w:t>
      </w:r>
    </w:p>
    <w:p w14:paraId="1659E860" w14:textId="77777777" w:rsidR="00BE7CDB" w:rsidRDefault="00BE7CDB" w:rsidP="00BE7CDB">
      <w:pPr>
        <w:spacing w:after="0" w:line="240" w:lineRule="auto"/>
        <w:jc w:val="both"/>
      </w:pPr>
      <w:bookmarkStart w:id="5" w:name="_Hlk122444315"/>
      <w:r w:rsidRPr="00260FFF">
        <w:t xml:space="preserve">Lo studio di bioequivalenza e le sue conclusioni confermano che </w:t>
      </w:r>
      <w:r w:rsidR="002136D5" w:rsidRPr="00260FFF">
        <w:rPr>
          <w:rFonts w:eastAsia="Calibri" w:cs="Calibri"/>
          <w:color w:val="000000"/>
          <w:lang w:eastAsia="it-IT"/>
        </w:rPr>
        <w:t xml:space="preserve">FIBUS </w:t>
      </w:r>
      <w:r w:rsidRPr="00260FFF">
        <w:t xml:space="preserve">e il medicinale di riferimento </w:t>
      </w:r>
      <w:r w:rsidR="002136D5" w:rsidRPr="00260FFF">
        <w:t>Moment</w:t>
      </w:r>
      <w:r w:rsidRPr="00260FFF">
        <w:t xml:space="preserve"> sono bioequivalenti.</w:t>
      </w:r>
    </w:p>
    <w:bookmarkEnd w:id="5"/>
    <w:p w14:paraId="12347223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14:paraId="010B523B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2A5E46AD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B2CCD"/>
    <w:multiLevelType w:val="hybridMultilevel"/>
    <w:tmpl w:val="07D01D72"/>
    <w:lvl w:ilvl="0" w:tplc="AC20E93A">
      <w:numFmt w:val="bullet"/>
      <w:lvlText w:val="-"/>
      <w:lvlJc w:val="left"/>
      <w:pPr>
        <w:ind w:left="672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CC37B6"/>
    <w:multiLevelType w:val="hybridMultilevel"/>
    <w:tmpl w:val="0400DB4E"/>
    <w:lvl w:ilvl="0" w:tplc="67D017D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743"/>
    <w:rsid w:val="00022511"/>
    <w:rsid w:val="00023CEA"/>
    <w:rsid w:val="00062636"/>
    <w:rsid w:val="000808A3"/>
    <w:rsid w:val="000A4BA1"/>
    <w:rsid w:val="000B7AC8"/>
    <w:rsid w:val="000C0626"/>
    <w:rsid w:val="000E1F86"/>
    <w:rsid w:val="000E4494"/>
    <w:rsid w:val="000F658F"/>
    <w:rsid w:val="000F7204"/>
    <w:rsid w:val="00111E9E"/>
    <w:rsid w:val="001460CA"/>
    <w:rsid w:val="001C15DF"/>
    <w:rsid w:val="001E56D1"/>
    <w:rsid w:val="00204F5D"/>
    <w:rsid w:val="0021122E"/>
    <w:rsid w:val="002136D5"/>
    <w:rsid w:val="002177C3"/>
    <w:rsid w:val="00260FFF"/>
    <w:rsid w:val="00265B61"/>
    <w:rsid w:val="00277A0E"/>
    <w:rsid w:val="002E4910"/>
    <w:rsid w:val="002F2543"/>
    <w:rsid w:val="002F4000"/>
    <w:rsid w:val="00300BEA"/>
    <w:rsid w:val="003061E0"/>
    <w:rsid w:val="00335646"/>
    <w:rsid w:val="00367CE0"/>
    <w:rsid w:val="003B5233"/>
    <w:rsid w:val="003B6645"/>
    <w:rsid w:val="003C11FD"/>
    <w:rsid w:val="003F70E4"/>
    <w:rsid w:val="00400FCE"/>
    <w:rsid w:val="0042214D"/>
    <w:rsid w:val="00423A97"/>
    <w:rsid w:val="004241AC"/>
    <w:rsid w:val="004609F8"/>
    <w:rsid w:val="0048145F"/>
    <w:rsid w:val="004B20A8"/>
    <w:rsid w:val="004E5A39"/>
    <w:rsid w:val="00500ACA"/>
    <w:rsid w:val="00502C92"/>
    <w:rsid w:val="005049A1"/>
    <w:rsid w:val="00504FC1"/>
    <w:rsid w:val="00544A00"/>
    <w:rsid w:val="0056372C"/>
    <w:rsid w:val="00567615"/>
    <w:rsid w:val="0057296B"/>
    <w:rsid w:val="005950D6"/>
    <w:rsid w:val="005A1FFF"/>
    <w:rsid w:val="005E5CE5"/>
    <w:rsid w:val="00621AE2"/>
    <w:rsid w:val="00642815"/>
    <w:rsid w:val="00642D6A"/>
    <w:rsid w:val="0064646C"/>
    <w:rsid w:val="00647FBB"/>
    <w:rsid w:val="00654D9E"/>
    <w:rsid w:val="00663CA5"/>
    <w:rsid w:val="00664931"/>
    <w:rsid w:val="006727BD"/>
    <w:rsid w:val="006A614D"/>
    <w:rsid w:val="006B311C"/>
    <w:rsid w:val="006B3E12"/>
    <w:rsid w:val="006C17DA"/>
    <w:rsid w:val="006D7B8C"/>
    <w:rsid w:val="006E4F43"/>
    <w:rsid w:val="00716DF5"/>
    <w:rsid w:val="007170D7"/>
    <w:rsid w:val="007221B6"/>
    <w:rsid w:val="00766E26"/>
    <w:rsid w:val="00797416"/>
    <w:rsid w:val="00801B2D"/>
    <w:rsid w:val="008027F9"/>
    <w:rsid w:val="00823F4C"/>
    <w:rsid w:val="008547B3"/>
    <w:rsid w:val="008559A7"/>
    <w:rsid w:val="008819D4"/>
    <w:rsid w:val="0088216F"/>
    <w:rsid w:val="008A6FEC"/>
    <w:rsid w:val="008B60D7"/>
    <w:rsid w:val="008C3D30"/>
    <w:rsid w:val="008C72BC"/>
    <w:rsid w:val="008D1529"/>
    <w:rsid w:val="008F6FC2"/>
    <w:rsid w:val="00923DB7"/>
    <w:rsid w:val="00943785"/>
    <w:rsid w:val="009510BB"/>
    <w:rsid w:val="00957832"/>
    <w:rsid w:val="00976E52"/>
    <w:rsid w:val="00994CB3"/>
    <w:rsid w:val="00995AD9"/>
    <w:rsid w:val="009A23DE"/>
    <w:rsid w:val="009A260F"/>
    <w:rsid w:val="009B03DB"/>
    <w:rsid w:val="009D3446"/>
    <w:rsid w:val="009E0140"/>
    <w:rsid w:val="009E2BC0"/>
    <w:rsid w:val="009F3867"/>
    <w:rsid w:val="00A01AB1"/>
    <w:rsid w:val="00A40FF3"/>
    <w:rsid w:val="00A56544"/>
    <w:rsid w:val="00A60FC3"/>
    <w:rsid w:val="00A62D55"/>
    <w:rsid w:val="00A908B9"/>
    <w:rsid w:val="00A966D1"/>
    <w:rsid w:val="00B023E9"/>
    <w:rsid w:val="00B1186F"/>
    <w:rsid w:val="00B30431"/>
    <w:rsid w:val="00B854CF"/>
    <w:rsid w:val="00B94E5B"/>
    <w:rsid w:val="00BA0ACD"/>
    <w:rsid w:val="00BA660E"/>
    <w:rsid w:val="00BB2AF8"/>
    <w:rsid w:val="00BB7B54"/>
    <w:rsid w:val="00BC74C2"/>
    <w:rsid w:val="00BE7CDB"/>
    <w:rsid w:val="00BF55B9"/>
    <w:rsid w:val="00BF7A42"/>
    <w:rsid w:val="00BF7F42"/>
    <w:rsid w:val="00C03855"/>
    <w:rsid w:val="00C078FC"/>
    <w:rsid w:val="00C2565A"/>
    <w:rsid w:val="00C42AAC"/>
    <w:rsid w:val="00C66597"/>
    <w:rsid w:val="00C778B9"/>
    <w:rsid w:val="00CC52A3"/>
    <w:rsid w:val="00CC7AFF"/>
    <w:rsid w:val="00CE62A1"/>
    <w:rsid w:val="00D20170"/>
    <w:rsid w:val="00D212AA"/>
    <w:rsid w:val="00D25321"/>
    <w:rsid w:val="00D60362"/>
    <w:rsid w:val="00D60600"/>
    <w:rsid w:val="00DB359A"/>
    <w:rsid w:val="00E10D6C"/>
    <w:rsid w:val="00E43089"/>
    <w:rsid w:val="00E5693D"/>
    <w:rsid w:val="00E83F8D"/>
    <w:rsid w:val="00E84F36"/>
    <w:rsid w:val="00E86A5C"/>
    <w:rsid w:val="00EC3589"/>
    <w:rsid w:val="00EF062E"/>
    <w:rsid w:val="00EF6711"/>
    <w:rsid w:val="00F15B80"/>
    <w:rsid w:val="00F66767"/>
    <w:rsid w:val="00F702F4"/>
    <w:rsid w:val="00F85989"/>
    <w:rsid w:val="00F96473"/>
    <w:rsid w:val="00FA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0A11A"/>
  <w15:docId w15:val="{678BF2FA-F12A-4A07-83F4-24E5F4D6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3B52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2888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galattil</cp:lastModifiedBy>
  <cp:revision>2</cp:revision>
  <dcterms:created xsi:type="dcterms:W3CDTF">2022-12-21T16:42:00Z</dcterms:created>
  <dcterms:modified xsi:type="dcterms:W3CDTF">2022-12-21T16:42:00Z</dcterms:modified>
</cp:coreProperties>
</file>