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B5A04" w14:textId="77777777" w:rsidR="004241AC" w:rsidRPr="002A3F14" w:rsidRDefault="00340DC4" w:rsidP="004241AC">
      <w:pPr>
        <w:spacing w:after="0" w:line="240" w:lineRule="auto"/>
        <w:jc w:val="center"/>
        <w:rPr>
          <w:lang w:val="en-US"/>
        </w:rPr>
      </w:pPr>
      <w:r>
        <w:rPr>
          <w:noProof/>
          <w:lang w:eastAsia="it-IT"/>
        </w:rPr>
        <w:drawing>
          <wp:inline distT="0" distB="0" distL="0" distR="0" wp14:anchorId="6F911093" wp14:editId="2B35D2E3">
            <wp:extent cx="2143125" cy="847725"/>
            <wp:effectExtent l="19050" t="0" r="9525" b="0"/>
            <wp:docPr id="1" name="Immagin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magine 1"/>
                    <pic:cNvPicPr>
                      <a:picLocks/>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148419" cy="849819"/>
                    </a:xfrm>
                    <a:prstGeom prst="rect">
                      <a:avLst/>
                    </a:prstGeom>
                    <a:noFill/>
                    <a:ln>
                      <a:noFill/>
                    </a:ln>
                  </pic:spPr>
                </pic:pic>
              </a:graphicData>
            </a:graphic>
          </wp:inline>
        </w:drawing>
      </w:r>
    </w:p>
    <w:p w14:paraId="33092332" w14:textId="77777777" w:rsidR="004241AC" w:rsidRDefault="004241AC" w:rsidP="004241AC">
      <w:pPr>
        <w:spacing w:after="0" w:line="240" w:lineRule="auto"/>
        <w:jc w:val="center"/>
        <w:rPr>
          <w:b/>
        </w:rPr>
      </w:pPr>
    </w:p>
    <w:bookmarkStart w:id="0" w:name="Text15"/>
    <w:p w14:paraId="0098038B" w14:textId="77777777" w:rsidR="00823F4C" w:rsidRDefault="008F117D" w:rsidP="00823F4C">
      <w:pPr>
        <w:spacing w:after="0" w:line="240" w:lineRule="auto"/>
        <w:jc w:val="center"/>
        <w:rPr>
          <w:b/>
          <w:sz w:val="28"/>
        </w:rPr>
      </w:pPr>
      <w:r>
        <w:rPr>
          <w:rFonts w:eastAsia="Calibri" w:cs="Calibri"/>
          <w:noProof/>
          <w:color w:val="000000"/>
          <w:lang w:eastAsia="it-IT"/>
        </w:rPr>
        <mc:AlternateContent>
          <mc:Choice Requires="wps">
            <w:drawing>
              <wp:anchor distT="0" distB="0" distL="114300" distR="114300" simplePos="0" relativeHeight="251658240" behindDoc="0" locked="0" layoutInCell="1" allowOverlap="1" wp14:anchorId="4CF5762C" wp14:editId="7FC3634D">
                <wp:simplePos x="0" y="0"/>
                <wp:positionH relativeFrom="column">
                  <wp:posOffset>-458470</wp:posOffset>
                </wp:positionH>
                <wp:positionV relativeFrom="paragraph">
                  <wp:posOffset>256540</wp:posOffset>
                </wp:positionV>
                <wp:extent cx="342900" cy="7121525"/>
                <wp:effectExtent l="0" t="0" r="0" b="317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7121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1DDAAA" w14:textId="77777777" w:rsidR="008F117D" w:rsidRPr="00DB4923" w:rsidRDefault="008F117D" w:rsidP="008F117D">
                            <w:pPr>
                              <w:ind w:left="708" w:firstLine="708"/>
                              <w:rPr>
                                <w:rFonts w:ascii="Calibri" w:hAnsi="Calibri" w:cs="Calibri"/>
                                <w:color w:val="A6A6A6"/>
                                <w:sz w:val="18"/>
                                <w:szCs w:val="18"/>
                              </w:rPr>
                            </w:pPr>
                            <w:r w:rsidRPr="00DB4923">
                              <w:rPr>
                                <w:rFonts w:ascii="Calibri" w:hAnsi="Calibri" w:cs="Calibri"/>
                                <w:color w:val="A6A6A6"/>
                                <w:sz w:val="18"/>
                                <w:szCs w:val="18"/>
                              </w:rPr>
                              <w:t>Mod. 31</w:t>
                            </w:r>
                            <w:r>
                              <w:rPr>
                                <w:rFonts w:ascii="Calibri" w:hAnsi="Calibri" w:cs="Calibri"/>
                                <w:color w:val="A6A6A6"/>
                                <w:sz w:val="18"/>
                                <w:szCs w:val="18"/>
                              </w:rPr>
                              <w:t>6/13</w:t>
                            </w:r>
                            <w:r>
                              <w:rPr>
                                <w:rFonts w:ascii="Calibri" w:hAnsi="Calibri" w:cs="Calibri"/>
                                <w:color w:val="A6A6A6"/>
                                <w:sz w:val="18"/>
                                <w:szCs w:val="18"/>
                              </w:rPr>
                              <w:tab/>
                            </w:r>
                            <w:r w:rsidRPr="008F117D">
                              <w:rPr>
                                <w:rFonts w:ascii="Calibri" w:hAnsi="Calibri" w:cs="Calibri"/>
                                <w:color w:val="A6A6A6"/>
                                <w:sz w:val="18"/>
                                <w:szCs w:val="18"/>
                              </w:rPr>
                              <w:t>Relazione Pubblica di Valutazione</w:t>
                            </w:r>
                            <w:r>
                              <w:rPr>
                                <w:rFonts w:ascii="Calibri" w:hAnsi="Calibri" w:cs="Calibri"/>
                                <w:color w:val="A6A6A6"/>
                                <w:sz w:val="18"/>
                                <w:szCs w:val="18"/>
                              </w:rPr>
                              <w:t xml:space="preserve">        </w:t>
                            </w:r>
                            <w:r>
                              <w:rPr>
                                <w:rFonts w:ascii="Calibri" w:hAnsi="Calibri" w:cs="Calibri"/>
                                <w:color w:val="A6A6A6"/>
                                <w:sz w:val="18"/>
                                <w:szCs w:val="18"/>
                              </w:rPr>
                              <w:tab/>
                              <w:t xml:space="preserve">    Rev. 4</w:t>
                            </w:r>
                            <w:r>
                              <w:rPr>
                                <w:rFonts w:ascii="Calibri" w:hAnsi="Calibri" w:cs="Calibri"/>
                                <w:color w:val="A6A6A6"/>
                                <w:sz w:val="18"/>
                                <w:szCs w:val="18"/>
                              </w:rPr>
                              <w:tab/>
                            </w:r>
                            <w:r>
                              <w:rPr>
                                <w:rFonts w:ascii="Calibri" w:hAnsi="Calibri" w:cs="Calibri"/>
                                <w:color w:val="A6A6A6"/>
                                <w:sz w:val="18"/>
                                <w:szCs w:val="18"/>
                              </w:rPr>
                              <w:tab/>
                              <w:t xml:space="preserve">     </w:t>
                            </w:r>
                            <w:r w:rsidRPr="00DB4923">
                              <w:rPr>
                                <w:rFonts w:ascii="Calibri" w:hAnsi="Calibri" w:cs="Calibri"/>
                                <w:color w:val="A6A6A6"/>
                                <w:sz w:val="18"/>
                                <w:szCs w:val="18"/>
                              </w:rPr>
                              <w:t xml:space="preserve">Data :  </w:t>
                            </w:r>
                            <w:r w:rsidR="007B2CF1">
                              <w:rPr>
                                <w:rFonts w:ascii="Calibri" w:hAnsi="Calibri" w:cs="Calibri"/>
                                <w:color w:val="A6A6A6"/>
                                <w:sz w:val="18"/>
                                <w:szCs w:val="18"/>
                              </w:rPr>
                              <w:t>16/01/2023</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F5762C" id="_x0000_t202" coordsize="21600,21600" o:spt="202" path="m,l,21600r21600,l21600,xe">
                <v:stroke joinstyle="miter"/>
                <v:path gradientshapeok="t" o:connecttype="rect"/>
              </v:shapetype>
              <v:shape id="Casella di testo 3" o:spid="_x0000_s1026" type="#_x0000_t202" style="position:absolute;left:0;text-align:left;margin-left:-36.1pt;margin-top:20.2pt;width:27pt;height:56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" stroked="f">
                <v:textbox style="layout-flow:vertical;mso-layout-flow-alt:bottom-to-top">
                  <w:txbxContent>
                    <w:p w14:paraId="341DDAAA" w14:textId="77777777" w:rsidR="008F117D" w:rsidRPr="00DB4923" w:rsidRDefault="008F117D" w:rsidP="008F117D">
                      <w:pPr>
                        <w:ind w:left="708" w:firstLine="708"/>
                        <w:rPr>
                          <w:rFonts w:ascii="Calibri" w:hAnsi="Calibri" w:cs="Calibri"/>
                          <w:color w:val="A6A6A6"/>
                          <w:sz w:val="18"/>
                          <w:szCs w:val="18"/>
                        </w:rPr>
                      </w:pPr>
                      <w:proofErr w:type="spellStart"/>
                      <w:r w:rsidRPr="00DB4923">
                        <w:rPr>
                          <w:rFonts w:ascii="Calibri" w:hAnsi="Calibri" w:cs="Calibri"/>
                          <w:color w:val="A6A6A6"/>
                          <w:sz w:val="18"/>
                          <w:szCs w:val="18"/>
                        </w:rPr>
                        <w:t>Mod</w:t>
                      </w:r>
                      <w:proofErr w:type="spellEnd"/>
                      <w:r w:rsidRPr="00DB4923">
                        <w:rPr>
                          <w:rFonts w:ascii="Calibri" w:hAnsi="Calibri" w:cs="Calibri"/>
                          <w:color w:val="A6A6A6"/>
                          <w:sz w:val="18"/>
                          <w:szCs w:val="18"/>
                        </w:rPr>
                        <w:t>. 31</w:t>
                      </w:r>
                      <w:r>
                        <w:rPr>
                          <w:rFonts w:ascii="Calibri" w:hAnsi="Calibri" w:cs="Calibri"/>
                          <w:color w:val="A6A6A6"/>
                          <w:sz w:val="18"/>
                          <w:szCs w:val="18"/>
                        </w:rPr>
                        <w:t>6/13</w:t>
                      </w:r>
                      <w:r>
                        <w:rPr>
                          <w:rFonts w:ascii="Calibri" w:hAnsi="Calibri" w:cs="Calibri"/>
                          <w:color w:val="A6A6A6"/>
                          <w:sz w:val="18"/>
                          <w:szCs w:val="18"/>
                        </w:rPr>
                        <w:tab/>
                      </w:r>
                      <w:r w:rsidRPr="008F117D">
                        <w:rPr>
                          <w:rFonts w:ascii="Calibri" w:hAnsi="Calibri" w:cs="Calibri"/>
                          <w:color w:val="A6A6A6"/>
                          <w:sz w:val="18"/>
                          <w:szCs w:val="18"/>
                        </w:rPr>
                        <w:t>Relazione Pubblica di Valutazione</w:t>
                      </w:r>
                      <w:r>
                        <w:rPr>
                          <w:rFonts w:ascii="Calibri" w:hAnsi="Calibri" w:cs="Calibri"/>
                          <w:color w:val="A6A6A6"/>
                          <w:sz w:val="18"/>
                          <w:szCs w:val="18"/>
                        </w:rPr>
                        <w:t xml:space="preserve">        </w:t>
                      </w:r>
                      <w:r>
                        <w:rPr>
                          <w:rFonts w:ascii="Calibri" w:hAnsi="Calibri" w:cs="Calibri"/>
                          <w:color w:val="A6A6A6"/>
                          <w:sz w:val="18"/>
                          <w:szCs w:val="18"/>
                        </w:rPr>
                        <w:tab/>
                        <w:t xml:space="preserve">    Rev. 4</w:t>
                      </w:r>
                      <w:r>
                        <w:rPr>
                          <w:rFonts w:ascii="Calibri" w:hAnsi="Calibri" w:cs="Calibri"/>
                          <w:color w:val="A6A6A6"/>
                          <w:sz w:val="18"/>
                          <w:szCs w:val="18"/>
                        </w:rPr>
                        <w:tab/>
                      </w:r>
                      <w:r>
                        <w:rPr>
                          <w:rFonts w:ascii="Calibri" w:hAnsi="Calibri" w:cs="Calibri"/>
                          <w:color w:val="A6A6A6"/>
                          <w:sz w:val="18"/>
                          <w:szCs w:val="18"/>
                        </w:rPr>
                        <w:tab/>
                        <w:t xml:space="preserve">     </w:t>
                      </w:r>
                      <w:proofErr w:type="gramStart"/>
                      <w:r w:rsidRPr="00DB4923">
                        <w:rPr>
                          <w:rFonts w:ascii="Calibri" w:hAnsi="Calibri" w:cs="Calibri"/>
                          <w:color w:val="A6A6A6"/>
                          <w:sz w:val="18"/>
                          <w:szCs w:val="18"/>
                        </w:rPr>
                        <w:t>Data :</w:t>
                      </w:r>
                      <w:proofErr w:type="gramEnd"/>
                      <w:r w:rsidRPr="00DB4923">
                        <w:rPr>
                          <w:rFonts w:ascii="Calibri" w:hAnsi="Calibri" w:cs="Calibri"/>
                          <w:color w:val="A6A6A6"/>
                          <w:sz w:val="18"/>
                          <w:szCs w:val="18"/>
                        </w:rPr>
                        <w:t xml:space="preserve">  </w:t>
                      </w:r>
                      <w:r w:rsidR="007B2CF1">
                        <w:rPr>
                          <w:rFonts w:ascii="Calibri" w:hAnsi="Calibri" w:cs="Calibri"/>
                          <w:color w:val="A6A6A6"/>
                          <w:sz w:val="18"/>
                          <w:szCs w:val="18"/>
                        </w:rPr>
                        <w:t>16/01/2023</w:t>
                      </w:r>
                    </w:p>
                  </w:txbxContent>
                </v:textbox>
              </v:shape>
            </w:pict>
          </mc:Fallback>
        </mc:AlternateContent>
      </w:r>
      <w:r w:rsidR="00823F4C">
        <w:rPr>
          <w:b/>
          <w:sz w:val="28"/>
        </w:rPr>
        <w:t>Relazione Pubblica di Valutazione</w:t>
      </w:r>
    </w:p>
    <w:p w14:paraId="62CC9ED2" w14:textId="77777777" w:rsidR="004241AC" w:rsidRDefault="004241AC" w:rsidP="004241AC">
      <w:pPr>
        <w:autoSpaceDE w:val="0"/>
        <w:autoSpaceDN w:val="0"/>
        <w:adjustRightInd w:val="0"/>
        <w:spacing w:after="0" w:line="240" w:lineRule="auto"/>
        <w:jc w:val="center"/>
        <w:rPr>
          <w:b/>
          <w:highlight w:val="yellow"/>
        </w:rPr>
      </w:pPr>
    </w:p>
    <w:p w14:paraId="5EF5C863" w14:textId="77777777" w:rsidR="00B93603" w:rsidRDefault="00B93603" w:rsidP="00B93603">
      <w:pPr>
        <w:autoSpaceDE w:val="0"/>
        <w:autoSpaceDN w:val="0"/>
        <w:adjustRightInd w:val="0"/>
        <w:spacing w:after="0" w:line="240" w:lineRule="auto"/>
        <w:rPr>
          <w:b/>
          <w:highlight w:val="yellow"/>
        </w:rPr>
      </w:pPr>
    </w:p>
    <w:p w14:paraId="16156B10" w14:textId="77777777" w:rsidR="00B93603" w:rsidRDefault="00B93603" w:rsidP="00B93603">
      <w:pPr>
        <w:autoSpaceDE w:val="0"/>
        <w:autoSpaceDN w:val="0"/>
        <w:adjustRightInd w:val="0"/>
        <w:spacing w:after="0" w:line="240" w:lineRule="auto"/>
        <w:jc w:val="center"/>
        <w:rPr>
          <w:b/>
          <w:highlight w:val="yellow"/>
        </w:rPr>
      </w:pPr>
    </w:p>
    <w:p w14:paraId="4EB90A45" w14:textId="77777777" w:rsidR="00B93603" w:rsidRDefault="00B93603" w:rsidP="00B93603">
      <w:pPr>
        <w:widowControl w:val="0"/>
        <w:spacing w:after="0" w:line="240" w:lineRule="auto"/>
        <w:jc w:val="center"/>
        <w:rPr>
          <w:snapToGrid w:val="0"/>
        </w:rPr>
      </w:pPr>
      <w:r>
        <w:rPr>
          <w:b/>
          <w:sz w:val="32"/>
        </w:rPr>
        <w:t>BIDEF</w:t>
      </w:r>
    </w:p>
    <w:p w14:paraId="2BCBE185" w14:textId="77777777" w:rsidR="00B93603" w:rsidRPr="00A966D1" w:rsidRDefault="00B93603" w:rsidP="00B93603">
      <w:pPr>
        <w:widowControl w:val="0"/>
        <w:spacing w:after="0" w:line="240" w:lineRule="auto"/>
        <w:jc w:val="center"/>
        <w:rPr>
          <w:snapToGrid w:val="0"/>
        </w:rPr>
      </w:pPr>
      <w:r w:rsidRPr="00A966D1">
        <w:rPr>
          <w:snapToGrid w:val="0"/>
        </w:rPr>
        <w:t xml:space="preserve"> </w:t>
      </w:r>
      <w:r w:rsidRPr="00942301">
        <w:rPr>
          <w:snapToGrid w:val="0"/>
        </w:rPr>
        <w:t>(sildenafil citrato, compresse rivestite con film, 50 mg - 100 mg)</w:t>
      </w:r>
    </w:p>
    <w:p w14:paraId="479766BC" w14:textId="77777777" w:rsidR="00B93603" w:rsidRDefault="00B93603" w:rsidP="00B93603">
      <w:pPr>
        <w:autoSpaceDE w:val="0"/>
        <w:autoSpaceDN w:val="0"/>
        <w:adjustRightInd w:val="0"/>
        <w:spacing w:after="0" w:line="240" w:lineRule="auto"/>
        <w:jc w:val="center"/>
        <w:rPr>
          <w:b/>
        </w:rPr>
      </w:pPr>
    </w:p>
    <w:p w14:paraId="164D15B6" w14:textId="77777777" w:rsidR="00B93603" w:rsidRPr="00A966D1" w:rsidRDefault="00B93603" w:rsidP="00B93603">
      <w:pPr>
        <w:autoSpaceDE w:val="0"/>
        <w:autoSpaceDN w:val="0"/>
        <w:adjustRightInd w:val="0"/>
        <w:spacing w:after="0" w:line="240" w:lineRule="auto"/>
        <w:jc w:val="center"/>
        <w:rPr>
          <w:b/>
        </w:rPr>
      </w:pPr>
    </w:p>
    <w:p w14:paraId="2646B1AC" w14:textId="77777777" w:rsidR="00B93603" w:rsidRDefault="00B93603" w:rsidP="00B93603">
      <w:pPr>
        <w:spacing w:after="0" w:line="240" w:lineRule="auto"/>
        <w:jc w:val="center"/>
        <w:rPr>
          <w:b/>
        </w:rPr>
      </w:pPr>
      <w:r w:rsidRPr="00F85897">
        <w:rPr>
          <w:b/>
        </w:rPr>
        <w:t xml:space="preserve">ALFRAPHARMA S.r.l. </w:t>
      </w:r>
      <w:r w:rsidRPr="00BF7A42">
        <w:rPr>
          <w:b/>
        </w:rPr>
        <w:t xml:space="preserve"> </w:t>
      </w:r>
    </w:p>
    <w:p w14:paraId="011AE310" w14:textId="77777777" w:rsidR="00B93603" w:rsidRDefault="00B93603" w:rsidP="00B93603">
      <w:pPr>
        <w:spacing w:after="0" w:line="240" w:lineRule="auto"/>
        <w:jc w:val="center"/>
        <w:rPr>
          <w:b/>
        </w:rPr>
      </w:pPr>
    </w:p>
    <w:p w14:paraId="7F858C8A" w14:textId="77777777" w:rsidR="00B93603" w:rsidRDefault="00B93603" w:rsidP="00B93603">
      <w:pPr>
        <w:spacing w:after="0" w:line="240" w:lineRule="auto"/>
        <w:jc w:val="center"/>
        <w:rPr>
          <w:rFonts w:cs="Helvetica"/>
          <w:b/>
        </w:rPr>
      </w:pPr>
      <w:r w:rsidRPr="00062636">
        <w:rPr>
          <w:b/>
        </w:rPr>
        <w:t xml:space="preserve">Numero di AIC: </w:t>
      </w:r>
      <w:r w:rsidRPr="005519C4">
        <w:rPr>
          <w:rFonts w:cs="Helvetica"/>
          <w:b/>
        </w:rPr>
        <w:t>049</w:t>
      </w:r>
      <w:r>
        <w:rPr>
          <w:rFonts w:cs="Helvetica"/>
          <w:b/>
        </w:rPr>
        <w:t>472</w:t>
      </w:r>
    </w:p>
    <w:p w14:paraId="416D7F06" w14:textId="77777777" w:rsidR="00B93603" w:rsidRPr="00062636" w:rsidRDefault="00B93603" w:rsidP="00B93603">
      <w:pPr>
        <w:spacing w:after="0" w:line="240" w:lineRule="auto"/>
        <w:jc w:val="center"/>
        <w:rPr>
          <w:b/>
        </w:rPr>
      </w:pPr>
    </w:p>
    <w:p w14:paraId="20AED5FC" w14:textId="77777777" w:rsidR="00B93603" w:rsidRDefault="00B93603" w:rsidP="00B93603">
      <w:pPr>
        <w:spacing w:after="0" w:line="240" w:lineRule="auto"/>
        <w:jc w:val="center"/>
        <w:rPr>
          <w:b/>
        </w:rPr>
      </w:pPr>
    </w:p>
    <w:p w14:paraId="6E53DEFD" w14:textId="77777777" w:rsidR="00B93603" w:rsidRPr="00062636" w:rsidRDefault="00B93603" w:rsidP="00B93603">
      <w:pPr>
        <w:spacing w:after="0" w:line="240" w:lineRule="auto"/>
        <w:jc w:val="center"/>
        <w:rPr>
          <w:b/>
        </w:rPr>
      </w:pPr>
    </w:p>
    <w:p w14:paraId="229E83D4" w14:textId="77777777" w:rsidR="00B93603" w:rsidRPr="0033523E" w:rsidRDefault="00B93603" w:rsidP="00B93603">
      <w:pPr>
        <w:autoSpaceDE w:val="0"/>
        <w:autoSpaceDN w:val="0"/>
        <w:adjustRightInd w:val="0"/>
        <w:spacing w:after="0" w:line="240" w:lineRule="auto"/>
        <w:jc w:val="center"/>
        <w:rPr>
          <w:rFonts w:eastAsia="Calibri" w:cs="Calibri"/>
          <w:b/>
          <w:color w:val="000000"/>
          <w:lang w:eastAsia="it-IT"/>
        </w:rPr>
      </w:pPr>
      <w:r w:rsidRPr="0033523E">
        <w:rPr>
          <w:rFonts w:eastAsia="Calibri" w:cs="Calibri"/>
          <w:b/>
          <w:color w:val="000000"/>
          <w:lang w:eastAsia="it-IT"/>
        </w:rPr>
        <w:t>RIASSUNTO DELLA RELAZIONE PUBBLICA DI VALUTAZIONE</w:t>
      </w:r>
    </w:p>
    <w:p w14:paraId="36340F7E" w14:textId="77777777" w:rsidR="00B93603" w:rsidRDefault="00B93603" w:rsidP="00B93603">
      <w:pPr>
        <w:autoSpaceDE w:val="0"/>
        <w:autoSpaceDN w:val="0"/>
        <w:adjustRightInd w:val="0"/>
        <w:spacing w:after="0" w:line="240" w:lineRule="auto"/>
        <w:jc w:val="both"/>
        <w:rPr>
          <w:rFonts w:eastAsia="Calibri" w:cs="Calibri"/>
          <w:color w:val="000000"/>
          <w:lang w:eastAsia="it-IT"/>
        </w:rPr>
      </w:pPr>
    </w:p>
    <w:p w14:paraId="06432673" w14:textId="77777777" w:rsidR="00B93603" w:rsidRPr="009F1B70" w:rsidRDefault="00B93603" w:rsidP="00B93603">
      <w:pPr>
        <w:autoSpaceDE w:val="0"/>
        <w:autoSpaceDN w:val="0"/>
        <w:adjustRightInd w:val="0"/>
        <w:spacing w:after="0" w:line="240" w:lineRule="auto"/>
        <w:jc w:val="both"/>
        <w:rPr>
          <w:rFonts w:eastAsia="Calibri" w:cs="Calibri"/>
          <w:bCs/>
          <w:color w:val="000000"/>
          <w:lang w:eastAsia="it-IT"/>
        </w:rPr>
      </w:pPr>
      <w:r w:rsidRPr="009F1B70">
        <w:rPr>
          <w:rFonts w:eastAsia="Calibri" w:cs="Calibri"/>
          <w:color w:val="000000"/>
          <w:lang w:eastAsia="it-IT"/>
        </w:rPr>
        <w:t xml:space="preserve">Questa è la sintesi del </w:t>
      </w:r>
      <w:r w:rsidRPr="009B03DB">
        <w:rPr>
          <w:rFonts w:eastAsia="Calibri" w:cs="Calibri"/>
          <w:i/>
          <w:color w:val="000000"/>
          <w:lang w:eastAsia="it-IT"/>
        </w:rPr>
        <w:t xml:space="preserve">Public </w:t>
      </w:r>
      <w:proofErr w:type="spellStart"/>
      <w:r w:rsidRPr="009B03DB">
        <w:rPr>
          <w:rFonts w:eastAsia="Calibri" w:cs="Calibri"/>
          <w:i/>
          <w:color w:val="000000"/>
          <w:lang w:eastAsia="it-IT"/>
        </w:rPr>
        <w:t>Assessment</w:t>
      </w:r>
      <w:proofErr w:type="spellEnd"/>
      <w:r w:rsidRPr="009B03DB">
        <w:rPr>
          <w:rFonts w:eastAsia="Calibri" w:cs="Calibri"/>
          <w:i/>
          <w:color w:val="000000"/>
          <w:lang w:eastAsia="it-IT"/>
        </w:rPr>
        <w:t xml:space="preserve"> Report</w:t>
      </w:r>
      <w:r w:rsidRPr="009F1B70">
        <w:rPr>
          <w:rFonts w:eastAsia="Calibri" w:cs="Calibri"/>
          <w:color w:val="000000"/>
          <w:lang w:eastAsia="it-IT"/>
        </w:rPr>
        <w:t xml:space="preserve"> (PAR) per </w:t>
      </w:r>
      <w:r>
        <w:rPr>
          <w:rFonts w:eastAsia="Calibri" w:cs="Calibri"/>
          <w:color w:val="000000"/>
          <w:lang w:eastAsia="it-IT"/>
        </w:rPr>
        <w:t>BIDEF</w:t>
      </w:r>
      <w:r w:rsidRPr="009F1B70">
        <w:rPr>
          <w:rFonts w:eastAsia="Calibri" w:cs="Calibri"/>
          <w:color w:val="000000"/>
          <w:lang w:eastAsia="it-IT"/>
        </w:rPr>
        <w:t>.</w:t>
      </w:r>
      <w:r w:rsidRPr="009F1B70">
        <w:rPr>
          <w:rFonts w:eastAsia="Calibri" w:cs="Calibri"/>
          <w:bCs/>
          <w:color w:val="000000"/>
          <w:lang w:eastAsia="it-IT"/>
        </w:rPr>
        <w:t xml:space="preserve"> </w:t>
      </w:r>
      <w:r w:rsidRPr="009F1B70">
        <w:rPr>
          <w:rFonts w:eastAsia="Calibri" w:cs="Calibri"/>
          <w:color w:val="000000"/>
          <w:lang w:eastAsia="it-IT"/>
        </w:rPr>
        <w:t xml:space="preserve">Esso spiega come </w:t>
      </w:r>
      <w:r>
        <w:rPr>
          <w:rFonts w:eastAsia="Calibri" w:cs="Calibri"/>
          <w:color w:val="000000"/>
          <w:lang w:eastAsia="it-IT"/>
        </w:rPr>
        <w:t>BIDEF</w:t>
      </w:r>
      <w:r w:rsidRPr="009F1B70">
        <w:rPr>
          <w:rFonts w:eastAsia="Calibri" w:cs="Calibri"/>
          <w:color w:val="000000"/>
          <w:lang w:eastAsia="it-IT"/>
        </w:rPr>
        <w:t xml:space="preserve"> è stato valutato dalla Commissione </w:t>
      </w:r>
      <w:r>
        <w:rPr>
          <w:rFonts w:eastAsia="Calibri" w:cs="Calibri"/>
          <w:color w:val="000000"/>
          <w:lang w:eastAsia="it-IT"/>
        </w:rPr>
        <w:t>Tecnico-Scientifica (CTS)</w:t>
      </w:r>
      <w:r w:rsidRPr="009F1B70">
        <w:rPr>
          <w:rFonts w:eastAsia="Calibri" w:cs="Calibri"/>
          <w:color w:val="000000"/>
          <w:lang w:eastAsia="it-IT"/>
        </w:rPr>
        <w:t xml:space="preserve"> </w:t>
      </w:r>
      <w:r>
        <w:rPr>
          <w:rFonts w:eastAsia="Calibri" w:cs="Calibri"/>
          <w:color w:val="000000"/>
          <w:lang w:eastAsia="it-IT"/>
        </w:rPr>
        <w:t>e le sue condizioni di impiego</w:t>
      </w:r>
      <w:r w:rsidRPr="009F1B70">
        <w:rPr>
          <w:rFonts w:eastAsia="Calibri" w:cs="Calibri"/>
          <w:color w:val="000000"/>
          <w:lang w:eastAsia="it-IT"/>
        </w:rPr>
        <w:t xml:space="preserve">. Non intende fornire consigli pratici su come utilizzare </w:t>
      </w:r>
      <w:r>
        <w:rPr>
          <w:rFonts w:eastAsia="Calibri" w:cs="Calibri"/>
          <w:color w:val="000000"/>
          <w:lang w:eastAsia="it-IT"/>
        </w:rPr>
        <w:t>BIDEF</w:t>
      </w:r>
      <w:r w:rsidRPr="009F1B70">
        <w:rPr>
          <w:rFonts w:eastAsia="Calibri" w:cs="Calibri"/>
          <w:bCs/>
          <w:color w:val="000000"/>
          <w:lang w:eastAsia="it-IT"/>
        </w:rPr>
        <w:t>.</w:t>
      </w:r>
    </w:p>
    <w:p w14:paraId="5926BCCD" w14:textId="77777777" w:rsidR="00B93603" w:rsidRPr="009F1B70" w:rsidRDefault="00B93603" w:rsidP="00B93603">
      <w:pPr>
        <w:autoSpaceDE w:val="0"/>
        <w:autoSpaceDN w:val="0"/>
        <w:adjustRightInd w:val="0"/>
        <w:spacing w:after="0" w:line="240" w:lineRule="auto"/>
        <w:jc w:val="both"/>
        <w:rPr>
          <w:rFonts w:eastAsia="Calibri" w:cs="Calibri"/>
          <w:color w:val="000000"/>
          <w:lang w:eastAsia="it-IT"/>
        </w:rPr>
      </w:pPr>
      <w:r w:rsidRPr="00BD5925">
        <w:rPr>
          <w:rFonts w:eastAsia="Calibri" w:cs="Calibri"/>
          <w:color w:val="000000"/>
          <w:lang w:eastAsia="it-IT"/>
        </w:rPr>
        <w:t>Per informazioni pratiche sull'utilizzo di</w:t>
      </w:r>
      <w:r w:rsidRPr="00BD5925">
        <w:rPr>
          <w:rFonts w:eastAsia="Calibri" w:cs="Calibri"/>
          <w:bCs/>
          <w:color w:val="000000"/>
          <w:lang w:eastAsia="it-IT"/>
        </w:rPr>
        <w:t xml:space="preserve"> </w:t>
      </w:r>
      <w:r>
        <w:rPr>
          <w:rFonts w:eastAsia="Calibri" w:cs="Calibri"/>
          <w:color w:val="000000"/>
          <w:lang w:eastAsia="it-IT"/>
        </w:rPr>
        <w:t xml:space="preserve">BIDEF </w:t>
      </w:r>
      <w:r w:rsidRPr="00BD5925">
        <w:rPr>
          <w:rFonts w:eastAsia="Calibri" w:cs="Calibri"/>
          <w:color w:val="000000"/>
          <w:lang w:eastAsia="it-IT"/>
        </w:rPr>
        <w:t>i pazienti devono consultare il foglio illustrativo o contattare il loro medico</w:t>
      </w:r>
      <w:r>
        <w:rPr>
          <w:rFonts w:eastAsia="Calibri" w:cs="Calibri"/>
          <w:color w:val="000000"/>
          <w:lang w:eastAsia="it-IT"/>
        </w:rPr>
        <w:t xml:space="preserve"> o il farmacista</w:t>
      </w:r>
      <w:r w:rsidRPr="00BD5925">
        <w:rPr>
          <w:rFonts w:eastAsia="Calibri" w:cs="Calibri"/>
          <w:color w:val="000000"/>
          <w:lang w:eastAsia="it-IT"/>
        </w:rPr>
        <w:t>.</w:t>
      </w:r>
      <w:r w:rsidRPr="009F1B70">
        <w:rPr>
          <w:rFonts w:eastAsia="Calibri" w:cs="Calibri"/>
          <w:color w:val="000000"/>
          <w:lang w:eastAsia="it-IT"/>
        </w:rPr>
        <w:t xml:space="preserve"> </w:t>
      </w:r>
    </w:p>
    <w:p w14:paraId="3E25F910" w14:textId="77777777" w:rsidR="00B93603" w:rsidRPr="009F1B70" w:rsidRDefault="00B93603" w:rsidP="00B93603">
      <w:pPr>
        <w:autoSpaceDE w:val="0"/>
        <w:autoSpaceDN w:val="0"/>
        <w:adjustRightInd w:val="0"/>
        <w:spacing w:after="0" w:line="240" w:lineRule="auto"/>
        <w:jc w:val="both"/>
        <w:rPr>
          <w:rFonts w:eastAsia="Calibri" w:cs="Calibri"/>
          <w:color w:val="000000"/>
          <w:lang w:eastAsia="it-IT"/>
        </w:rPr>
      </w:pPr>
    </w:p>
    <w:p w14:paraId="51D0A690" w14:textId="77777777" w:rsidR="00B93603" w:rsidRPr="000E0632" w:rsidRDefault="00B93603" w:rsidP="00B93603">
      <w:pPr>
        <w:autoSpaceDE w:val="0"/>
        <w:autoSpaceDN w:val="0"/>
        <w:adjustRightInd w:val="0"/>
        <w:spacing w:after="0" w:line="240" w:lineRule="auto"/>
        <w:jc w:val="both"/>
        <w:rPr>
          <w:rFonts w:eastAsia="Calibri" w:cs="Calibri"/>
          <w:color w:val="000000"/>
          <w:lang w:eastAsia="it-IT"/>
        </w:rPr>
      </w:pPr>
    </w:p>
    <w:p w14:paraId="4C92D4A7" w14:textId="77777777" w:rsidR="00B93603" w:rsidRPr="00797416" w:rsidRDefault="00B93603" w:rsidP="00B93603">
      <w:pPr>
        <w:autoSpaceDE w:val="0"/>
        <w:autoSpaceDN w:val="0"/>
        <w:adjustRightInd w:val="0"/>
        <w:spacing w:after="0" w:line="240" w:lineRule="auto"/>
        <w:jc w:val="both"/>
        <w:rPr>
          <w:rFonts w:eastAsia="Calibri" w:cs="Calibri"/>
          <w:b/>
          <w:color w:val="000000"/>
          <w:lang w:eastAsia="it-IT"/>
        </w:rPr>
      </w:pPr>
      <w:r w:rsidRPr="00797416">
        <w:rPr>
          <w:rFonts w:eastAsia="Calibri" w:cs="Calibri"/>
          <w:b/>
          <w:bCs/>
          <w:color w:val="000000"/>
          <w:lang w:eastAsia="it-IT"/>
        </w:rPr>
        <w:t xml:space="preserve">1) CHE COS’È </w:t>
      </w:r>
      <w:r>
        <w:rPr>
          <w:rFonts w:eastAsia="Calibri" w:cs="Calibri"/>
          <w:b/>
          <w:color w:val="000000"/>
          <w:lang w:eastAsia="it-IT"/>
        </w:rPr>
        <w:t xml:space="preserve">BIDEF </w:t>
      </w:r>
      <w:r w:rsidRPr="00797416">
        <w:rPr>
          <w:rFonts w:eastAsia="Calibri" w:cs="Calibri"/>
          <w:b/>
          <w:bCs/>
          <w:color w:val="000000"/>
          <w:lang w:eastAsia="it-IT"/>
        </w:rPr>
        <w:t xml:space="preserve">E A COSA SERVE? </w:t>
      </w:r>
    </w:p>
    <w:p w14:paraId="37F4EB8D" w14:textId="77777777" w:rsidR="00B93603" w:rsidRDefault="00B93603" w:rsidP="00B93603">
      <w:pPr>
        <w:widowControl w:val="0"/>
        <w:spacing w:after="0" w:line="240" w:lineRule="auto"/>
        <w:jc w:val="both"/>
        <w:rPr>
          <w:rFonts w:eastAsia="Calibri" w:cs="Calibri"/>
          <w:color w:val="000000"/>
          <w:lang w:eastAsia="it-IT"/>
        </w:rPr>
      </w:pPr>
      <w:r>
        <w:rPr>
          <w:rFonts w:eastAsia="Calibri" w:cs="Calibri"/>
          <w:color w:val="000000"/>
          <w:lang w:eastAsia="it-IT"/>
        </w:rPr>
        <w:t xml:space="preserve">BIDEF </w:t>
      </w:r>
      <w:r w:rsidRPr="000E0632">
        <w:rPr>
          <w:rFonts w:eastAsia="Calibri" w:cs="Calibri"/>
          <w:color w:val="000000"/>
          <w:lang w:eastAsia="it-IT"/>
        </w:rPr>
        <w:t>è un medicinale contenente i</w:t>
      </w:r>
      <w:r>
        <w:rPr>
          <w:rFonts w:eastAsia="Calibri" w:cs="Calibri"/>
          <w:color w:val="000000"/>
          <w:lang w:eastAsia="it-IT"/>
        </w:rPr>
        <w:t>l</w:t>
      </w:r>
      <w:r w:rsidRPr="000E0632">
        <w:rPr>
          <w:rFonts w:eastAsia="Calibri" w:cs="Calibri"/>
          <w:color w:val="000000"/>
          <w:lang w:eastAsia="it-IT"/>
        </w:rPr>
        <w:t xml:space="preserve"> principi</w:t>
      </w:r>
      <w:r>
        <w:rPr>
          <w:rFonts w:eastAsia="Calibri" w:cs="Calibri"/>
          <w:color w:val="000000"/>
          <w:lang w:eastAsia="it-IT"/>
        </w:rPr>
        <w:t>o</w:t>
      </w:r>
      <w:r w:rsidRPr="000E0632">
        <w:rPr>
          <w:rFonts w:eastAsia="Calibri" w:cs="Calibri"/>
          <w:color w:val="000000"/>
          <w:lang w:eastAsia="it-IT"/>
        </w:rPr>
        <w:t xml:space="preserve"> attiv</w:t>
      </w:r>
      <w:r>
        <w:rPr>
          <w:rFonts w:eastAsia="Calibri" w:cs="Calibri"/>
          <w:color w:val="000000"/>
          <w:lang w:eastAsia="it-IT"/>
        </w:rPr>
        <w:t>o</w:t>
      </w:r>
      <w:r w:rsidRPr="000E0632">
        <w:rPr>
          <w:rFonts w:eastAsia="Calibri" w:cs="Calibri"/>
          <w:color w:val="000000"/>
          <w:lang w:eastAsia="it-IT"/>
        </w:rPr>
        <w:t xml:space="preserve"> </w:t>
      </w:r>
      <w:r>
        <w:rPr>
          <w:rFonts w:eastAsia="Calibri" w:cs="Calibri"/>
          <w:color w:val="000000"/>
          <w:lang w:eastAsia="it-IT"/>
        </w:rPr>
        <w:t>sildenafil ed è disponibile come:</w:t>
      </w:r>
    </w:p>
    <w:p w14:paraId="49FD54BE" w14:textId="77777777" w:rsidR="00B93603" w:rsidRPr="00942301" w:rsidRDefault="00B93603" w:rsidP="00B93603">
      <w:pPr>
        <w:widowControl w:val="0"/>
        <w:spacing w:after="0" w:line="240" w:lineRule="auto"/>
        <w:jc w:val="both"/>
        <w:rPr>
          <w:rFonts w:eastAsia="Calibri" w:cs="Calibri"/>
          <w:color w:val="000000"/>
          <w:lang w:eastAsia="it-IT"/>
        </w:rPr>
      </w:pPr>
      <w:r w:rsidRPr="00942301">
        <w:rPr>
          <w:rFonts w:eastAsia="Calibri" w:cs="Calibri"/>
          <w:color w:val="000000"/>
          <w:lang w:eastAsia="it-IT"/>
        </w:rPr>
        <w:t>compresse rivestite con film contenenti 50 mg e 100 mg di principio attivo.</w:t>
      </w:r>
    </w:p>
    <w:p w14:paraId="16A8D2AB" w14:textId="77777777" w:rsidR="00B93603" w:rsidRPr="00942301" w:rsidRDefault="00B93603" w:rsidP="00B93603">
      <w:pPr>
        <w:widowControl w:val="0"/>
        <w:spacing w:after="0" w:line="240" w:lineRule="auto"/>
        <w:jc w:val="both"/>
        <w:rPr>
          <w:rFonts w:eastAsia="Calibri" w:cs="Calibri"/>
          <w:color w:val="000000"/>
          <w:lang w:eastAsia="it-IT"/>
        </w:rPr>
      </w:pPr>
    </w:p>
    <w:p w14:paraId="65A6B533" w14:textId="77777777" w:rsidR="00B93603" w:rsidRPr="00942301" w:rsidRDefault="00B93603" w:rsidP="00B93603">
      <w:pPr>
        <w:widowControl w:val="0"/>
        <w:spacing w:after="0" w:line="240" w:lineRule="auto"/>
        <w:jc w:val="both"/>
        <w:rPr>
          <w:rFonts w:eastAsia="Calibri" w:cs="Calibri"/>
          <w:color w:val="000000"/>
          <w:lang w:eastAsia="it-IT"/>
        </w:rPr>
      </w:pPr>
      <w:r w:rsidRPr="00942301">
        <w:rPr>
          <w:rFonts w:eastAsia="Calibri" w:cs="Calibri"/>
          <w:color w:val="000000"/>
          <w:lang w:eastAsia="it-IT"/>
        </w:rPr>
        <w:t xml:space="preserve">BIDEF è un “medicinale generico”, cioè è analogo ad un “medicinale di riferimento”, VIAGRA </w:t>
      </w:r>
      <w:r w:rsidR="00150BF6" w:rsidRPr="00942301">
        <w:rPr>
          <w:rFonts w:eastAsia="Calibri" w:cs="Calibri"/>
          <w:color w:val="000000"/>
          <w:lang w:eastAsia="it-IT"/>
        </w:rPr>
        <w:t xml:space="preserve">autorizzato </w:t>
      </w:r>
      <w:bookmarkStart w:id="1" w:name="_Hlk151730638"/>
      <w:r w:rsidR="00150BF6" w:rsidRPr="00942301">
        <w:rPr>
          <w:rFonts w:eastAsia="Calibri" w:cs="Calibri"/>
          <w:color w:val="000000"/>
          <w:lang w:eastAsia="it-IT"/>
        </w:rPr>
        <w:t xml:space="preserve">da almeno 8 anni </w:t>
      </w:r>
      <w:r w:rsidRPr="00942301">
        <w:rPr>
          <w:rFonts w:eastAsia="Calibri" w:cs="Calibri"/>
          <w:color w:val="000000"/>
          <w:lang w:eastAsia="it-IT"/>
        </w:rPr>
        <w:t xml:space="preserve">in Italia </w:t>
      </w:r>
      <w:bookmarkEnd w:id="1"/>
      <w:r w:rsidRPr="00942301">
        <w:rPr>
          <w:rFonts w:eastAsia="Calibri" w:cs="Calibri"/>
          <w:color w:val="000000"/>
          <w:lang w:eastAsia="it-IT"/>
        </w:rPr>
        <w:t>con procedura centralizzata. L’</w:t>
      </w:r>
      <w:proofErr w:type="spellStart"/>
      <w:r w:rsidRPr="00942301">
        <w:rPr>
          <w:rFonts w:eastAsia="Calibri" w:cs="Calibri"/>
          <w:i/>
          <w:color w:val="000000"/>
          <w:lang w:eastAsia="it-IT"/>
        </w:rPr>
        <w:t>European</w:t>
      </w:r>
      <w:proofErr w:type="spellEnd"/>
      <w:r w:rsidRPr="00942301">
        <w:rPr>
          <w:rFonts w:eastAsia="Calibri" w:cs="Calibri"/>
          <w:color w:val="000000"/>
          <w:lang w:eastAsia="it-IT"/>
        </w:rPr>
        <w:t xml:space="preserve"> </w:t>
      </w:r>
      <w:r w:rsidRPr="00942301">
        <w:rPr>
          <w:rFonts w:eastAsia="Calibri" w:cs="Calibri"/>
          <w:i/>
          <w:color w:val="000000"/>
          <w:lang w:eastAsia="it-IT"/>
        </w:rPr>
        <w:t xml:space="preserve">Public </w:t>
      </w:r>
      <w:proofErr w:type="spellStart"/>
      <w:r w:rsidRPr="00942301">
        <w:rPr>
          <w:rFonts w:eastAsia="Calibri" w:cs="Calibri"/>
          <w:i/>
          <w:color w:val="000000"/>
          <w:lang w:eastAsia="it-IT"/>
        </w:rPr>
        <w:t>Assessment</w:t>
      </w:r>
      <w:proofErr w:type="spellEnd"/>
      <w:r w:rsidRPr="00942301">
        <w:rPr>
          <w:rFonts w:eastAsia="Calibri" w:cs="Calibri"/>
          <w:i/>
          <w:color w:val="000000"/>
          <w:lang w:eastAsia="it-IT"/>
        </w:rPr>
        <w:t xml:space="preserve"> Report</w:t>
      </w:r>
      <w:r w:rsidRPr="00942301">
        <w:rPr>
          <w:rFonts w:eastAsia="Calibri" w:cs="Calibri"/>
          <w:color w:val="000000"/>
          <w:lang w:eastAsia="it-IT"/>
        </w:rPr>
        <w:t xml:space="preserve"> (EPAR) di VIAGRA può essere consultato sul sito dell’Agenzia Europea dei medicinali (</w:t>
      </w:r>
      <w:proofErr w:type="spellStart"/>
      <w:r w:rsidRPr="00942301">
        <w:rPr>
          <w:rFonts w:eastAsia="Calibri" w:cs="Calibri"/>
          <w:i/>
          <w:color w:val="000000"/>
          <w:lang w:eastAsia="it-IT"/>
        </w:rPr>
        <w:t>European</w:t>
      </w:r>
      <w:proofErr w:type="spellEnd"/>
      <w:r w:rsidRPr="00942301">
        <w:rPr>
          <w:rFonts w:eastAsia="Calibri" w:cs="Calibri"/>
          <w:i/>
          <w:color w:val="000000"/>
          <w:lang w:eastAsia="it-IT"/>
        </w:rPr>
        <w:t xml:space="preserve"> </w:t>
      </w:r>
      <w:proofErr w:type="spellStart"/>
      <w:r w:rsidRPr="00942301">
        <w:rPr>
          <w:rFonts w:eastAsia="Calibri" w:cs="Calibri"/>
          <w:i/>
          <w:color w:val="000000"/>
          <w:lang w:eastAsia="it-IT"/>
        </w:rPr>
        <w:t>Medicinal</w:t>
      </w:r>
      <w:proofErr w:type="spellEnd"/>
      <w:r w:rsidRPr="00942301">
        <w:rPr>
          <w:rFonts w:eastAsia="Calibri" w:cs="Calibri"/>
          <w:i/>
          <w:color w:val="000000"/>
          <w:lang w:eastAsia="it-IT"/>
        </w:rPr>
        <w:t xml:space="preserve"> Agency</w:t>
      </w:r>
      <w:r w:rsidRPr="00942301">
        <w:rPr>
          <w:rFonts w:eastAsia="Calibri" w:cs="Calibri"/>
          <w:color w:val="000000"/>
          <w:lang w:eastAsia="it-IT"/>
        </w:rPr>
        <w:t xml:space="preserve"> – EMA) </w:t>
      </w:r>
    </w:p>
    <w:p w14:paraId="47823F84" w14:textId="77777777" w:rsidR="005951BB" w:rsidRPr="00942301" w:rsidRDefault="00B93603" w:rsidP="00B93603">
      <w:pPr>
        <w:widowControl w:val="0"/>
        <w:spacing w:after="0" w:line="240" w:lineRule="auto"/>
        <w:jc w:val="both"/>
      </w:pPr>
      <w:r w:rsidRPr="00942301">
        <w:rPr>
          <w:rFonts w:eastAsia="Calibri" w:cs="Calibri"/>
          <w:color w:val="000000"/>
          <w:lang w:eastAsia="it-IT"/>
        </w:rPr>
        <w:t>(</w:t>
      </w:r>
      <w:hyperlink r:id="rId9" w:history="1">
        <w:r w:rsidRPr="00942301">
          <w:rPr>
            <w:rStyle w:val="Collegamentoipertestuale"/>
            <w:rFonts w:eastAsia="Calibri" w:cs="Calibri"/>
            <w:bCs/>
            <w:lang w:eastAsia="it-IT"/>
          </w:rPr>
          <w:t>http://www.ema.europa.eu/ema/index.jsp?curl=pages/medicines/landing/epar_search.jsp&amp;mid</w:t>
        </w:r>
      </w:hyperlink>
      <w:r w:rsidRPr="00942301">
        <w:rPr>
          <w:rFonts w:eastAsia="Calibri" w:cs="Calibri"/>
          <w:bCs/>
          <w:color w:val="000000"/>
          <w:lang w:eastAsia="it-IT"/>
        </w:rPr>
        <w:t>).</w:t>
      </w:r>
      <w:r w:rsidR="00FA3C1A" w:rsidRPr="00942301">
        <w:t xml:space="preserve"> </w:t>
      </w:r>
    </w:p>
    <w:p w14:paraId="6ACB8A8F" w14:textId="77777777" w:rsidR="00B93603" w:rsidRPr="00942301" w:rsidRDefault="00FA3C1A" w:rsidP="00B93603">
      <w:pPr>
        <w:widowControl w:val="0"/>
        <w:spacing w:after="0" w:line="240" w:lineRule="auto"/>
        <w:jc w:val="both"/>
        <w:rPr>
          <w:rFonts w:eastAsia="Calibri" w:cs="Calibri"/>
          <w:color w:val="000000"/>
          <w:lang w:eastAsia="it-IT"/>
        </w:rPr>
      </w:pPr>
      <w:bookmarkStart w:id="2" w:name="_Hlk151730664"/>
      <w:r w:rsidRPr="00942301">
        <w:t xml:space="preserve">BIDEF </w:t>
      </w:r>
      <w:r w:rsidRPr="00942301">
        <w:rPr>
          <w:rFonts w:eastAsia="Calibri" w:cs="Calibri"/>
          <w:bCs/>
          <w:color w:val="000000"/>
          <w:lang w:eastAsia="it-IT"/>
        </w:rPr>
        <w:t xml:space="preserve">può essere immesso in commercio solo dopo che sono trascorsi 10 anni dall'autorizzazione iniziale del medicinale di riferimento.  </w:t>
      </w:r>
    </w:p>
    <w:bookmarkEnd w:id="2"/>
    <w:p w14:paraId="1D8F8776" w14:textId="77777777" w:rsidR="00B93603" w:rsidRPr="00942301" w:rsidRDefault="00B93603" w:rsidP="00B93603">
      <w:pPr>
        <w:autoSpaceDE w:val="0"/>
        <w:autoSpaceDN w:val="0"/>
        <w:adjustRightInd w:val="0"/>
        <w:spacing w:after="0" w:line="240" w:lineRule="auto"/>
        <w:jc w:val="both"/>
        <w:rPr>
          <w:rFonts w:eastAsia="Calibri" w:cs="Calibri"/>
          <w:color w:val="000000"/>
          <w:lang w:eastAsia="it-IT"/>
        </w:rPr>
      </w:pPr>
    </w:p>
    <w:p w14:paraId="264C88EB" w14:textId="77777777" w:rsidR="00B93603" w:rsidRDefault="00B93603" w:rsidP="00B93603">
      <w:pPr>
        <w:autoSpaceDE w:val="0"/>
        <w:autoSpaceDN w:val="0"/>
        <w:adjustRightInd w:val="0"/>
        <w:spacing w:after="0" w:line="240" w:lineRule="auto"/>
        <w:jc w:val="both"/>
      </w:pPr>
      <w:r w:rsidRPr="00942301">
        <w:rPr>
          <w:rFonts w:eastAsia="Calibri" w:cs="Calibri"/>
          <w:color w:val="000000"/>
          <w:lang w:eastAsia="it-IT"/>
        </w:rPr>
        <w:t xml:space="preserve">BIDEF </w:t>
      </w:r>
      <w:r w:rsidRPr="00942301">
        <w:rPr>
          <w:rFonts w:eastAsia="Calibri" w:cs="Calibri"/>
          <w:lang w:eastAsia="it-IT"/>
        </w:rPr>
        <w:t xml:space="preserve">si usa </w:t>
      </w:r>
      <w:r w:rsidRPr="00942301">
        <w:rPr>
          <w:rFonts w:eastAsia="Calibri" w:cs="Calibri"/>
          <w:bCs/>
          <w:color w:val="000000"/>
          <w:szCs w:val="24"/>
          <w:lang w:eastAsia="it-IT"/>
        </w:rPr>
        <w:t>per il trattamento negli uomini</w:t>
      </w:r>
      <w:r w:rsidRPr="001E101C">
        <w:rPr>
          <w:rFonts w:eastAsia="Calibri" w:cs="Calibri"/>
          <w:bCs/>
          <w:color w:val="000000"/>
          <w:szCs w:val="24"/>
          <w:lang w:eastAsia="it-IT"/>
        </w:rPr>
        <w:t xml:space="preserve"> adulti che presentano la disfunzione erettile, talvolta chiamata impotenza. Questa condizione si verifica quando un uomo non riesce a raggiungere o a mantenere un’erezione idonea per un rapporto sessuale</w:t>
      </w:r>
      <w:r w:rsidRPr="001E101C">
        <w:rPr>
          <w:rFonts w:eastAsia="Calibri" w:cs="Calibri"/>
          <w:b/>
          <w:bCs/>
          <w:color w:val="000000"/>
          <w:szCs w:val="24"/>
          <w:lang w:eastAsia="it-IT"/>
        </w:rPr>
        <w:t>.</w:t>
      </w:r>
      <w:r w:rsidRPr="001E101C">
        <w:t xml:space="preserve"> </w:t>
      </w:r>
    </w:p>
    <w:p w14:paraId="612D6B0C" w14:textId="77777777" w:rsidR="00B93603" w:rsidRPr="003F739B" w:rsidRDefault="00B93603" w:rsidP="00B93603">
      <w:pPr>
        <w:autoSpaceDE w:val="0"/>
        <w:autoSpaceDN w:val="0"/>
        <w:adjustRightInd w:val="0"/>
        <w:spacing w:after="0" w:line="240" w:lineRule="auto"/>
        <w:jc w:val="both"/>
        <w:rPr>
          <w:rFonts w:eastAsia="Calibri" w:cs="Calibri"/>
          <w:b/>
          <w:bCs/>
          <w:color w:val="000000"/>
          <w:lang w:eastAsia="it-IT"/>
        </w:rPr>
      </w:pPr>
    </w:p>
    <w:p w14:paraId="267096BC" w14:textId="77777777" w:rsidR="00B93603" w:rsidRPr="003F739B" w:rsidRDefault="00B93603" w:rsidP="00B93603">
      <w:pPr>
        <w:autoSpaceDE w:val="0"/>
        <w:autoSpaceDN w:val="0"/>
        <w:adjustRightInd w:val="0"/>
        <w:spacing w:after="0" w:line="240" w:lineRule="auto"/>
        <w:jc w:val="both"/>
        <w:rPr>
          <w:rFonts w:eastAsia="Calibri" w:cs="Calibri"/>
          <w:color w:val="000000"/>
          <w:lang w:eastAsia="it-IT"/>
        </w:rPr>
      </w:pPr>
      <w:r w:rsidRPr="003F739B">
        <w:rPr>
          <w:rFonts w:eastAsia="Calibri" w:cs="Calibri"/>
          <w:b/>
          <w:bCs/>
          <w:color w:val="000000"/>
          <w:lang w:eastAsia="it-IT"/>
        </w:rPr>
        <w:t xml:space="preserve">2) COME </w:t>
      </w:r>
      <w:proofErr w:type="gramStart"/>
      <w:r w:rsidRPr="003F739B">
        <w:rPr>
          <w:rFonts w:eastAsia="Calibri" w:cs="Calibri"/>
          <w:b/>
          <w:bCs/>
          <w:color w:val="000000"/>
          <w:lang w:eastAsia="it-IT"/>
        </w:rPr>
        <w:t>E’</w:t>
      </w:r>
      <w:proofErr w:type="gramEnd"/>
      <w:r w:rsidRPr="003F739B">
        <w:rPr>
          <w:rFonts w:eastAsia="Calibri" w:cs="Calibri"/>
          <w:b/>
          <w:bCs/>
          <w:color w:val="000000"/>
          <w:lang w:eastAsia="it-IT"/>
        </w:rPr>
        <w:t xml:space="preserve"> PRESCRITTO/USATO </w:t>
      </w:r>
      <w:r>
        <w:rPr>
          <w:rFonts w:eastAsia="Calibri" w:cs="Calibri"/>
          <w:b/>
          <w:color w:val="000000"/>
          <w:lang w:eastAsia="it-IT"/>
        </w:rPr>
        <w:t>BIDEF</w:t>
      </w:r>
      <w:r w:rsidRPr="003F739B">
        <w:rPr>
          <w:rFonts w:eastAsia="Calibri" w:cs="Calibri"/>
          <w:b/>
          <w:bCs/>
          <w:color w:val="000000"/>
          <w:lang w:eastAsia="it-IT"/>
        </w:rPr>
        <w:t>?</w:t>
      </w:r>
    </w:p>
    <w:p w14:paraId="485368F0" w14:textId="77777777" w:rsidR="00B93603" w:rsidRDefault="00B93603" w:rsidP="00B93603">
      <w:pPr>
        <w:pStyle w:val="PreformattatoHTML"/>
        <w:jc w:val="both"/>
        <w:rPr>
          <w:rFonts w:asciiTheme="minorHAnsi" w:eastAsia="Calibri" w:hAnsiTheme="minorHAnsi" w:cs="Calibri"/>
          <w:color w:val="000000"/>
          <w:sz w:val="22"/>
          <w:szCs w:val="22"/>
        </w:rPr>
      </w:pPr>
      <w:r>
        <w:rPr>
          <w:rFonts w:asciiTheme="minorHAnsi" w:eastAsia="Calibri" w:hAnsiTheme="minorHAnsi" w:cs="Calibri"/>
          <w:color w:val="000000"/>
          <w:sz w:val="22"/>
          <w:szCs w:val="22"/>
        </w:rPr>
        <w:t>BIDEF</w:t>
      </w:r>
      <w:r w:rsidRPr="001C15DF">
        <w:rPr>
          <w:rFonts w:asciiTheme="minorHAnsi" w:eastAsia="Calibri" w:hAnsiTheme="minorHAnsi" w:cs="Calibri"/>
          <w:color w:val="000000"/>
          <w:sz w:val="22"/>
          <w:szCs w:val="22"/>
        </w:rPr>
        <w:t xml:space="preserve"> può essere ottenuto solo su prescrizione da parte del medico (ricetta ripetibile)</w:t>
      </w:r>
      <w:r>
        <w:rPr>
          <w:rFonts w:asciiTheme="minorHAnsi" w:eastAsia="Calibri" w:hAnsiTheme="minorHAnsi" w:cs="Calibri"/>
          <w:color w:val="000000"/>
          <w:sz w:val="22"/>
          <w:szCs w:val="22"/>
        </w:rPr>
        <w:t>.</w:t>
      </w:r>
    </w:p>
    <w:p w14:paraId="42ED9355" w14:textId="77777777" w:rsidR="00B93603" w:rsidRDefault="00B93603" w:rsidP="00B93603">
      <w:pPr>
        <w:tabs>
          <w:tab w:val="left" w:pos="0"/>
        </w:tabs>
        <w:spacing w:after="0" w:line="240" w:lineRule="auto"/>
        <w:jc w:val="both"/>
      </w:pPr>
    </w:p>
    <w:p w14:paraId="2F39FD0C" w14:textId="77777777" w:rsidR="00B93603" w:rsidRDefault="00B93603" w:rsidP="00B93603">
      <w:pPr>
        <w:tabs>
          <w:tab w:val="left" w:pos="0"/>
        </w:tabs>
        <w:spacing w:after="0" w:line="240" w:lineRule="auto"/>
        <w:jc w:val="both"/>
      </w:pPr>
      <w:r w:rsidRPr="00B7597D">
        <w:t>La dose raccomandata</w:t>
      </w:r>
      <w:r>
        <w:t xml:space="preserve"> giornaliera</w:t>
      </w:r>
      <w:r w:rsidRPr="00B7597D">
        <w:t xml:space="preserve"> </w:t>
      </w:r>
      <w:r>
        <w:t xml:space="preserve">negli adulti </w:t>
      </w:r>
      <w:r w:rsidRPr="00E158F5">
        <w:t>è di 50 mg da as</w:t>
      </w:r>
      <w:r>
        <w:t xml:space="preserve">sumere circa un’ora prima dell’attività sessuale. La dose massima raccomandata è di 100 mg. </w:t>
      </w:r>
    </w:p>
    <w:p w14:paraId="5EAD6EAE" w14:textId="77777777" w:rsidR="00B93603" w:rsidRPr="00B7597D" w:rsidRDefault="00B93603" w:rsidP="00B93603">
      <w:pPr>
        <w:tabs>
          <w:tab w:val="left" w:pos="0"/>
        </w:tabs>
        <w:spacing w:after="0" w:line="240" w:lineRule="auto"/>
        <w:jc w:val="both"/>
      </w:pPr>
      <w:r>
        <w:t xml:space="preserve">Il prodotto non deve essere somministrato più di una volta al giorno. </w:t>
      </w:r>
    </w:p>
    <w:p w14:paraId="3E7BE154" w14:textId="77777777" w:rsidR="00B93603" w:rsidRDefault="00B93603" w:rsidP="00B93603">
      <w:pPr>
        <w:autoSpaceDE w:val="0"/>
        <w:autoSpaceDN w:val="0"/>
        <w:adjustRightInd w:val="0"/>
        <w:spacing w:after="0" w:line="240" w:lineRule="auto"/>
        <w:jc w:val="both"/>
        <w:rPr>
          <w:b/>
          <w:i/>
          <w:sz w:val="20"/>
          <w:highlight w:val="green"/>
        </w:rPr>
      </w:pPr>
    </w:p>
    <w:p w14:paraId="31801E5F" w14:textId="77777777" w:rsidR="00B93603" w:rsidRDefault="00B93603" w:rsidP="00B93603">
      <w:pPr>
        <w:tabs>
          <w:tab w:val="left" w:pos="0"/>
        </w:tabs>
        <w:spacing w:after="0" w:line="240" w:lineRule="auto"/>
        <w:jc w:val="both"/>
        <w:rPr>
          <w:b/>
          <w:i/>
          <w:sz w:val="20"/>
          <w:highlight w:val="green"/>
        </w:rPr>
      </w:pPr>
    </w:p>
    <w:p w14:paraId="1B19E799" w14:textId="77777777" w:rsidR="00B93603" w:rsidRDefault="00B93603" w:rsidP="00B93603">
      <w:pPr>
        <w:tabs>
          <w:tab w:val="left" w:pos="0"/>
        </w:tabs>
        <w:spacing w:after="0" w:line="240" w:lineRule="auto"/>
        <w:jc w:val="both"/>
      </w:pPr>
      <w:r w:rsidRPr="00B7597D">
        <w:t>Nei pazienti con problemi</w:t>
      </w:r>
      <w:r>
        <w:t xml:space="preserve"> </w:t>
      </w:r>
      <w:r w:rsidRPr="00B7597D">
        <w:t>al rene</w:t>
      </w:r>
      <w:r>
        <w:t xml:space="preserve"> e al fegato, </w:t>
      </w:r>
      <w:r w:rsidRPr="00B7597D">
        <w:t>il dosaggio può essere più basso.</w:t>
      </w:r>
    </w:p>
    <w:p w14:paraId="4BD69E31" w14:textId="77777777" w:rsidR="00B93603" w:rsidRDefault="00B93603" w:rsidP="00B93603">
      <w:pPr>
        <w:autoSpaceDE w:val="0"/>
        <w:autoSpaceDN w:val="0"/>
        <w:adjustRightInd w:val="0"/>
        <w:spacing w:after="0" w:line="240" w:lineRule="auto"/>
        <w:jc w:val="both"/>
      </w:pPr>
    </w:p>
    <w:p w14:paraId="037F8DD4" w14:textId="77777777" w:rsidR="00B93603" w:rsidRDefault="00B93603" w:rsidP="00B93603">
      <w:pPr>
        <w:autoSpaceDE w:val="0"/>
        <w:autoSpaceDN w:val="0"/>
        <w:adjustRightInd w:val="0"/>
        <w:spacing w:after="0" w:line="240" w:lineRule="auto"/>
        <w:jc w:val="both"/>
        <w:rPr>
          <w:iCs/>
        </w:rPr>
      </w:pPr>
      <w:r>
        <w:rPr>
          <w:rFonts w:ascii="Calibri" w:eastAsia="Calibri" w:hAnsi="Calibri" w:cs="Times New Roman"/>
          <w:iCs/>
        </w:rPr>
        <w:t xml:space="preserve">Questo medicinale </w:t>
      </w:r>
      <w:r w:rsidRPr="001C5D8A">
        <w:rPr>
          <w:rFonts w:ascii="Calibri" w:eastAsia="Calibri" w:hAnsi="Calibri" w:cs="Times New Roman"/>
          <w:iCs/>
        </w:rPr>
        <w:t>non è indicato nei soggetti di età inferiore a 18 anni</w:t>
      </w:r>
      <w:r>
        <w:rPr>
          <w:rFonts w:ascii="Calibri" w:eastAsia="Calibri" w:hAnsi="Calibri" w:cs="Times New Roman"/>
          <w:iCs/>
        </w:rPr>
        <w:t>.</w:t>
      </w:r>
    </w:p>
    <w:p w14:paraId="4F70B131" w14:textId="77777777" w:rsidR="00B93603" w:rsidRDefault="00B93603" w:rsidP="00B93603">
      <w:pPr>
        <w:autoSpaceDE w:val="0"/>
        <w:autoSpaceDN w:val="0"/>
        <w:adjustRightInd w:val="0"/>
        <w:spacing w:after="0" w:line="240" w:lineRule="auto"/>
        <w:jc w:val="both"/>
      </w:pPr>
    </w:p>
    <w:p w14:paraId="314A80F7" w14:textId="77777777" w:rsidR="00B93603" w:rsidRPr="00FB09E1" w:rsidRDefault="00B93603" w:rsidP="00B93603">
      <w:pPr>
        <w:tabs>
          <w:tab w:val="left" w:pos="284"/>
        </w:tabs>
        <w:spacing w:after="0" w:line="240" w:lineRule="auto"/>
        <w:jc w:val="both"/>
        <w:rPr>
          <w:rFonts w:eastAsia="Calibri" w:cs="Verdana"/>
          <w:color w:val="000000"/>
          <w:lang w:eastAsia="it-IT"/>
        </w:rPr>
      </w:pPr>
      <w:r>
        <w:t>L</w:t>
      </w:r>
      <w:r w:rsidRPr="00D95D44">
        <w:t xml:space="preserve">e compresse </w:t>
      </w:r>
      <w:r>
        <w:t>devono essere assunte intere (non frantumate o masticate) con un po’</w:t>
      </w:r>
      <w:r w:rsidRPr="00D95D44">
        <w:t xml:space="preserve"> d’</w:t>
      </w:r>
      <w:r>
        <w:t>acqua, indipendentemente dai pasti. Tuttavia, l</w:t>
      </w:r>
      <w:r w:rsidRPr="00FB09E1">
        <w:t xml:space="preserve">’insorgenza dell’effetto di </w:t>
      </w:r>
      <w:r>
        <w:t>BIDEF</w:t>
      </w:r>
      <w:r w:rsidRPr="00FB09E1">
        <w:t xml:space="preserve"> può essere più lenta se assu</w:t>
      </w:r>
      <w:r>
        <w:t>nto</w:t>
      </w:r>
      <w:r w:rsidRPr="00FB09E1">
        <w:t xml:space="preserve"> dopo avere consumato un pasto sostanzioso.</w:t>
      </w:r>
    </w:p>
    <w:p w14:paraId="1242473E" w14:textId="77777777" w:rsidR="00B93603" w:rsidRPr="004B4170" w:rsidRDefault="00B93603" w:rsidP="00B93603">
      <w:pPr>
        <w:autoSpaceDE w:val="0"/>
        <w:autoSpaceDN w:val="0"/>
        <w:adjustRightInd w:val="0"/>
        <w:spacing w:after="0" w:line="240" w:lineRule="auto"/>
        <w:jc w:val="both"/>
        <w:rPr>
          <w:rFonts w:eastAsia="Calibri" w:cs="Verdana"/>
          <w:color w:val="000000"/>
          <w:lang w:eastAsia="it-IT"/>
        </w:rPr>
      </w:pPr>
    </w:p>
    <w:p w14:paraId="13B3E241" w14:textId="77777777" w:rsidR="00B93603" w:rsidRPr="004B4170" w:rsidRDefault="00B93603" w:rsidP="00B93603">
      <w:pPr>
        <w:autoSpaceDE w:val="0"/>
        <w:autoSpaceDN w:val="0"/>
        <w:adjustRightInd w:val="0"/>
        <w:spacing w:after="0" w:line="240" w:lineRule="auto"/>
        <w:jc w:val="both"/>
        <w:rPr>
          <w:rFonts w:eastAsia="Calibri" w:cs="Calibri"/>
          <w:color w:val="000000"/>
          <w:lang w:eastAsia="it-IT"/>
        </w:rPr>
      </w:pPr>
      <w:r w:rsidRPr="004B4170">
        <w:rPr>
          <w:rFonts w:eastAsia="Calibri" w:cs="Calibri"/>
          <w:b/>
          <w:bCs/>
          <w:color w:val="000000"/>
          <w:lang w:eastAsia="it-IT"/>
        </w:rPr>
        <w:t xml:space="preserve">3) COME FUNZIONA </w:t>
      </w:r>
      <w:r>
        <w:rPr>
          <w:rFonts w:eastAsia="Calibri" w:cs="Calibri"/>
          <w:b/>
          <w:color w:val="000000"/>
          <w:lang w:eastAsia="it-IT"/>
        </w:rPr>
        <w:t>BIDEF</w:t>
      </w:r>
      <w:r w:rsidRPr="004B4170">
        <w:rPr>
          <w:rFonts w:eastAsia="Calibri" w:cs="Calibri"/>
          <w:b/>
          <w:bCs/>
          <w:color w:val="000000"/>
          <w:lang w:eastAsia="it-IT"/>
        </w:rPr>
        <w:t xml:space="preserve">? </w:t>
      </w:r>
    </w:p>
    <w:p w14:paraId="76FB8B16" w14:textId="77777777" w:rsidR="00B93603" w:rsidRPr="00EA7679" w:rsidRDefault="00B93603" w:rsidP="00B93603">
      <w:pPr>
        <w:rPr>
          <w:rFonts w:eastAsia="Calibri" w:cs="Calibri"/>
          <w:color w:val="000000"/>
          <w:lang w:eastAsia="it-IT"/>
        </w:rPr>
      </w:pPr>
      <w:r>
        <w:rPr>
          <w:rFonts w:eastAsia="Calibri" w:cs="Calibri"/>
          <w:color w:val="000000"/>
          <w:lang w:eastAsia="it-IT"/>
        </w:rPr>
        <w:t>BIDEF</w:t>
      </w:r>
      <w:r w:rsidRPr="00F96473">
        <w:rPr>
          <w:rFonts w:eastAsia="Calibri" w:cs="Calibri"/>
          <w:bCs/>
          <w:color w:val="000000"/>
          <w:lang w:eastAsia="it-IT"/>
        </w:rPr>
        <w:t>,</w:t>
      </w:r>
      <w:r w:rsidRPr="00EF6711">
        <w:rPr>
          <w:rFonts w:eastAsia="Calibri" w:cs="Calibri"/>
          <w:bCs/>
          <w:color w:val="000000"/>
          <w:lang w:eastAsia="it-IT"/>
        </w:rPr>
        <w:t xml:space="preserve"> il cui codice ATC è </w:t>
      </w:r>
      <w:r w:rsidRPr="0017409D">
        <w:t>G04B E03</w:t>
      </w:r>
      <w:r>
        <w:t>,</w:t>
      </w:r>
      <w:r w:rsidRPr="00EF6711">
        <w:rPr>
          <w:rFonts w:eastAsia="DejaVuSans" w:cs="DejaVuSans"/>
        </w:rPr>
        <w:t xml:space="preserve"> </w:t>
      </w:r>
      <w:r w:rsidRPr="00EF6711">
        <w:rPr>
          <w:rFonts w:eastAsia="Calibri" w:cs="Calibri"/>
          <w:color w:val="000000"/>
          <w:lang w:eastAsia="it-IT"/>
        </w:rPr>
        <w:t xml:space="preserve">contiene il principio attivo </w:t>
      </w:r>
      <w:r>
        <w:rPr>
          <w:rFonts w:eastAsia="Calibri" w:cs="Calibri"/>
          <w:color w:val="000000"/>
          <w:lang w:eastAsia="it-IT"/>
        </w:rPr>
        <w:t xml:space="preserve">sildenafil </w:t>
      </w:r>
      <w:r w:rsidRPr="00EF6711">
        <w:rPr>
          <w:rFonts w:eastAsia="DejaVuSans" w:cs="DejaVuSans"/>
        </w:rPr>
        <w:t xml:space="preserve">che </w:t>
      </w:r>
      <w:r w:rsidRPr="00EF6711">
        <w:t xml:space="preserve">appartiene alla classe dei </w:t>
      </w:r>
      <w:r>
        <w:t>medicinali</w:t>
      </w:r>
      <w:r w:rsidRPr="0017409D">
        <w:t xml:space="preserve"> denominati inibitori della fosfodiesterasi di tipo 5 (PDE5). </w:t>
      </w:r>
      <w:r>
        <w:t>BIDEF a</w:t>
      </w:r>
      <w:r w:rsidRPr="0017409D">
        <w:t>iuta a rilassare i vasi sanguigni nel pene</w:t>
      </w:r>
      <w:r>
        <w:t>,</w:t>
      </w:r>
      <w:r w:rsidRPr="0017409D">
        <w:t xml:space="preserve"> consentendo l’afflusso di sangue al pene</w:t>
      </w:r>
      <w:r>
        <w:t>,</w:t>
      </w:r>
      <w:r w:rsidRPr="0017409D">
        <w:t xml:space="preserve"> e permette quindi di avere un’erezione </w:t>
      </w:r>
      <w:r w:rsidRPr="00CC1FBA">
        <w:rPr>
          <w:rFonts w:eastAsia="Calibri" w:cs="Calibri"/>
          <w:color w:val="000000"/>
          <w:lang w:eastAsia="it-IT"/>
        </w:rPr>
        <w:t>in presenza di una stimolazione sessuale</w:t>
      </w:r>
      <w:r>
        <w:t>.</w:t>
      </w:r>
    </w:p>
    <w:p w14:paraId="2B13C307" w14:textId="77777777" w:rsidR="00B93603" w:rsidRPr="004B4170" w:rsidRDefault="00B93603" w:rsidP="00B93603">
      <w:pPr>
        <w:autoSpaceDE w:val="0"/>
        <w:autoSpaceDN w:val="0"/>
        <w:adjustRightInd w:val="0"/>
        <w:spacing w:after="0" w:line="240" w:lineRule="auto"/>
        <w:jc w:val="both"/>
        <w:rPr>
          <w:rFonts w:eastAsia="Calibri" w:cs="Calibri"/>
          <w:lang w:eastAsia="it-IT"/>
        </w:rPr>
      </w:pPr>
      <w:r w:rsidRPr="004B4170">
        <w:rPr>
          <w:rFonts w:eastAsia="Calibri" w:cs="Calibri"/>
          <w:b/>
          <w:bCs/>
          <w:lang w:eastAsia="it-IT"/>
        </w:rPr>
        <w:t xml:space="preserve">4) COME È STATO STUDIATO </w:t>
      </w:r>
      <w:r>
        <w:rPr>
          <w:rFonts w:eastAsia="Calibri" w:cs="Calibri"/>
          <w:b/>
          <w:color w:val="000000"/>
          <w:lang w:eastAsia="it-IT"/>
        </w:rPr>
        <w:t>BIDEF</w:t>
      </w:r>
      <w:r w:rsidRPr="004B4170">
        <w:rPr>
          <w:rFonts w:eastAsia="Calibri" w:cs="Calibri"/>
          <w:b/>
          <w:bCs/>
          <w:lang w:eastAsia="it-IT"/>
        </w:rPr>
        <w:t xml:space="preserve">? </w:t>
      </w:r>
    </w:p>
    <w:p w14:paraId="302DBD15" w14:textId="1FDA33F0" w:rsidR="00B93603" w:rsidRDefault="00FA3C1A" w:rsidP="00B93603">
      <w:pPr>
        <w:spacing w:after="0" w:line="240" w:lineRule="auto"/>
        <w:jc w:val="both"/>
        <w:rPr>
          <w:rFonts w:ascii="Calibri" w:hAnsi="Calibri" w:cs="Arial"/>
        </w:rPr>
      </w:pPr>
      <w:bookmarkStart w:id="3" w:name="_Hlk151720867"/>
      <w:r w:rsidRPr="00942301">
        <w:rPr>
          <w:rFonts w:eastAsia="Calibri" w:cs="Calibri"/>
          <w:color w:val="000000"/>
          <w:lang w:eastAsia="it-IT"/>
        </w:rPr>
        <w:t xml:space="preserve">BIDEF </w:t>
      </w:r>
      <w:r w:rsidRPr="00942301">
        <w:rPr>
          <w:rFonts w:cs="Arial"/>
        </w:rPr>
        <w:t xml:space="preserve">è un medicinale generico. Poiché il profilo di sicurezza e l’efficacia del principio attivo di </w:t>
      </w:r>
      <w:r w:rsidRPr="00942301">
        <w:rPr>
          <w:rFonts w:eastAsia="Calibri" w:cs="Calibri"/>
          <w:color w:val="000000"/>
          <w:lang w:eastAsia="it-IT"/>
        </w:rPr>
        <w:t xml:space="preserve">BIDEF </w:t>
      </w:r>
      <w:r w:rsidRPr="00942301">
        <w:rPr>
          <w:rFonts w:cs="Arial"/>
        </w:rPr>
        <w:t xml:space="preserve">è ben conosciuto in quanto il medicinale di riferimento è autorizzato o è stato autorizzato da almeno 8 anni nell’Unione europea, a supporto dell’efficacia e della sicurezza di </w:t>
      </w:r>
      <w:r w:rsidRPr="00942301">
        <w:rPr>
          <w:rFonts w:eastAsia="Calibri" w:cs="Calibri"/>
          <w:color w:val="000000"/>
          <w:lang w:eastAsia="it-IT"/>
        </w:rPr>
        <w:t xml:space="preserve">BIDEF </w:t>
      </w:r>
      <w:r w:rsidRPr="00942301">
        <w:rPr>
          <w:rFonts w:cs="Arial"/>
        </w:rPr>
        <w:t xml:space="preserve">sono state effettuate prove cliniche </w:t>
      </w:r>
      <w:r w:rsidRPr="00942301">
        <w:rPr>
          <w:rFonts w:ascii="Calibri" w:hAnsi="Calibri" w:cs="Arial"/>
        </w:rPr>
        <w:t>di confronto con il medicinale di riferimento</w:t>
      </w:r>
      <w:r w:rsidRPr="00942301">
        <w:rPr>
          <w:rFonts w:cs="Arial"/>
        </w:rPr>
        <w:t xml:space="preserve"> per determinare</w:t>
      </w:r>
      <w:r w:rsidRPr="00942301">
        <w:rPr>
          <w:rFonts w:cs="Arial"/>
          <w:b/>
        </w:rPr>
        <w:t xml:space="preserve"> </w:t>
      </w:r>
      <w:r w:rsidRPr="00942301">
        <w:rPr>
          <w:rFonts w:cs="Arial"/>
        </w:rPr>
        <w:t xml:space="preserve">la </w:t>
      </w:r>
      <w:proofErr w:type="spellStart"/>
      <w:r w:rsidRPr="00942301">
        <w:rPr>
          <w:rFonts w:cs="Arial"/>
        </w:rPr>
        <w:t>bioequivalenza</w:t>
      </w:r>
      <w:proofErr w:type="spellEnd"/>
      <w:r w:rsidRPr="00942301">
        <w:rPr>
          <w:rFonts w:cs="Arial"/>
        </w:rPr>
        <w:t xml:space="preserve"> rispetto al medicinale di riferimento VIAGRA. </w:t>
      </w:r>
      <w:bookmarkEnd w:id="3"/>
      <w:r w:rsidRPr="00942301">
        <w:rPr>
          <w:rFonts w:cs="Arial"/>
        </w:rPr>
        <w:t>Due medicinali sono</w:t>
      </w:r>
      <w:r w:rsidRPr="00942301">
        <w:rPr>
          <w:rFonts w:ascii="Calibri" w:hAnsi="Calibri" w:cs="Arial"/>
        </w:rPr>
        <w:t xml:space="preserve"> </w:t>
      </w:r>
      <w:proofErr w:type="spellStart"/>
      <w:r w:rsidRPr="00942301">
        <w:rPr>
          <w:rFonts w:ascii="Calibri" w:hAnsi="Calibri" w:cs="Arial"/>
        </w:rPr>
        <w:t>bioequivalenti</w:t>
      </w:r>
      <w:proofErr w:type="spellEnd"/>
      <w:r w:rsidRPr="00942301">
        <w:rPr>
          <w:rFonts w:ascii="Calibri" w:hAnsi="Calibri" w:cs="Arial"/>
        </w:rPr>
        <w:t xml:space="preserve"> quando producono gli stessi livelli di principio attivo nell’organismo</w:t>
      </w:r>
      <w:r w:rsidRPr="00942301">
        <w:rPr>
          <w:rFonts w:cs="Arial"/>
        </w:rPr>
        <w:t>.</w:t>
      </w:r>
    </w:p>
    <w:p w14:paraId="65BBAACA" w14:textId="77777777" w:rsidR="00B93603" w:rsidRPr="00666CCE" w:rsidRDefault="00B93603" w:rsidP="00B93603">
      <w:pPr>
        <w:autoSpaceDE w:val="0"/>
        <w:autoSpaceDN w:val="0"/>
        <w:adjustRightInd w:val="0"/>
        <w:spacing w:after="0" w:line="240" w:lineRule="auto"/>
        <w:jc w:val="both"/>
        <w:rPr>
          <w:rFonts w:eastAsia="Calibri" w:cs="Calibri"/>
          <w:lang w:eastAsia="it-IT"/>
        </w:rPr>
      </w:pPr>
    </w:p>
    <w:p w14:paraId="6B93F141" w14:textId="77777777" w:rsidR="00B93603" w:rsidRPr="002A3F14" w:rsidRDefault="00B93603" w:rsidP="00B93603">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5) QUAL È IL RAPPORTO BENEFICIO/RISCHIO DI </w:t>
      </w:r>
      <w:r>
        <w:rPr>
          <w:rFonts w:eastAsia="Calibri" w:cs="Calibri"/>
          <w:b/>
          <w:color w:val="000000"/>
          <w:lang w:eastAsia="it-IT"/>
        </w:rPr>
        <w:t>BIDEF</w:t>
      </w:r>
      <w:r w:rsidRPr="009B03DB">
        <w:rPr>
          <w:rFonts w:eastAsia="Calibri" w:cs="Calibri"/>
          <w:b/>
          <w:lang w:eastAsia="it-IT"/>
        </w:rPr>
        <w:t>?</w:t>
      </w:r>
      <w:r w:rsidRPr="002A3F14">
        <w:rPr>
          <w:rFonts w:eastAsia="Calibri" w:cs="Calibri"/>
          <w:lang w:eastAsia="it-IT"/>
        </w:rPr>
        <w:t xml:space="preserve"> </w:t>
      </w:r>
    </w:p>
    <w:p w14:paraId="259B3DB4" w14:textId="77777777" w:rsidR="00B93603" w:rsidRPr="002A3F14" w:rsidRDefault="00B93603" w:rsidP="00B93603">
      <w:pPr>
        <w:autoSpaceDE w:val="0"/>
        <w:autoSpaceDN w:val="0"/>
        <w:adjustRightInd w:val="0"/>
        <w:spacing w:after="0" w:line="240" w:lineRule="auto"/>
        <w:jc w:val="both"/>
        <w:rPr>
          <w:rFonts w:eastAsia="Calibri" w:cs="Calibri"/>
          <w:lang w:eastAsia="it-IT"/>
        </w:rPr>
      </w:pPr>
      <w:r>
        <w:rPr>
          <w:rFonts w:eastAsia="Calibri" w:cs="Calibri"/>
          <w:color w:val="000000"/>
          <w:lang w:eastAsia="it-IT"/>
        </w:rPr>
        <w:t>BIDEF</w:t>
      </w:r>
      <w:r>
        <w:rPr>
          <w:rFonts w:ascii="Calibri" w:hAnsi="Calibri" w:cs="Arial"/>
        </w:rPr>
        <w:t xml:space="preserve"> </w:t>
      </w:r>
      <w:r w:rsidRPr="004241AC">
        <w:rPr>
          <w:rFonts w:eastAsia="Calibri" w:cs="Calibri"/>
          <w:lang w:eastAsia="it-IT"/>
        </w:rPr>
        <w:t xml:space="preserve">è un medicinale </w:t>
      </w:r>
      <w:r>
        <w:rPr>
          <w:rFonts w:eastAsia="Calibri" w:cs="Calibri"/>
          <w:lang w:eastAsia="it-IT"/>
        </w:rPr>
        <w:t xml:space="preserve">generico ed è </w:t>
      </w:r>
      <w:proofErr w:type="spellStart"/>
      <w:r>
        <w:rPr>
          <w:rFonts w:eastAsia="Calibri" w:cs="Calibri"/>
          <w:lang w:eastAsia="it-IT"/>
        </w:rPr>
        <w:t>bioequivalente</w:t>
      </w:r>
      <w:proofErr w:type="spellEnd"/>
      <w:r>
        <w:rPr>
          <w:rFonts w:eastAsia="Calibri" w:cs="Calibri"/>
          <w:lang w:eastAsia="it-IT"/>
        </w:rPr>
        <w:t xml:space="preserve"> al medicinale di riferimento; pertanto,</w:t>
      </w:r>
      <w:r w:rsidRPr="002A3F14">
        <w:rPr>
          <w:rFonts w:eastAsia="Calibri" w:cs="Calibri"/>
          <w:lang w:eastAsia="it-IT"/>
        </w:rPr>
        <w:t xml:space="preserve"> </w:t>
      </w:r>
      <w:r>
        <w:rPr>
          <w:rFonts w:eastAsia="Calibri" w:cs="Calibri"/>
          <w:lang w:eastAsia="it-IT"/>
        </w:rPr>
        <w:t>i suoi</w:t>
      </w:r>
      <w:r w:rsidRPr="002A3F14">
        <w:rPr>
          <w:rFonts w:eastAsia="Calibri" w:cs="Calibri"/>
          <w:lang w:eastAsia="it-IT"/>
        </w:rPr>
        <w:t xml:space="preserve"> benefici e rischi sono sovrapponibili a quelli de</w:t>
      </w:r>
      <w:r>
        <w:rPr>
          <w:rFonts w:eastAsia="Calibri" w:cs="Calibri"/>
          <w:lang w:eastAsia="it-IT"/>
        </w:rPr>
        <w:t>l</w:t>
      </w:r>
      <w:r w:rsidRPr="002A3F14">
        <w:rPr>
          <w:rFonts w:eastAsia="Calibri" w:cs="Calibri"/>
          <w:lang w:eastAsia="it-IT"/>
        </w:rPr>
        <w:t xml:space="preserve"> </w:t>
      </w:r>
      <w:r>
        <w:rPr>
          <w:rFonts w:eastAsia="Calibri" w:cs="Calibri"/>
          <w:lang w:eastAsia="it-IT"/>
        </w:rPr>
        <w:t>medicinale</w:t>
      </w:r>
      <w:r w:rsidRPr="002A3F14">
        <w:rPr>
          <w:rFonts w:eastAsia="Calibri" w:cs="Calibri"/>
          <w:lang w:eastAsia="it-IT"/>
        </w:rPr>
        <w:t xml:space="preserve"> di riferimento. </w:t>
      </w:r>
    </w:p>
    <w:p w14:paraId="4F9AFC3B" w14:textId="77777777" w:rsidR="00B93603" w:rsidRPr="00666CCE" w:rsidRDefault="00B93603" w:rsidP="00B93603">
      <w:pPr>
        <w:autoSpaceDE w:val="0"/>
        <w:autoSpaceDN w:val="0"/>
        <w:adjustRightInd w:val="0"/>
        <w:spacing w:after="0" w:line="240" w:lineRule="auto"/>
        <w:jc w:val="both"/>
        <w:rPr>
          <w:rFonts w:eastAsia="Calibri" w:cs="Calibri"/>
          <w:lang w:eastAsia="it-IT"/>
        </w:rPr>
      </w:pPr>
    </w:p>
    <w:p w14:paraId="07CB351C" w14:textId="77777777" w:rsidR="00B93603" w:rsidRPr="00666CCE" w:rsidRDefault="00B93603" w:rsidP="00B93603">
      <w:pPr>
        <w:autoSpaceDE w:val="0"/>
        <w:autoSpaceDN w:val="0"/>
        <w:adjustRightInd w:val="0"/>
        <w:spacing w:after="0" w:line="240" w:lineRule="auto"/>
        <w:jc w:val="both"/>
        <w:rPr>
          <w:rFonts w:eastAsia="Calibri" w:cs="Calibri"/>
          <w:lang w:eastAsia="it-IT"/>
        </w:rPr>
      </w:pPr>
      <w:r w:rsidRPr="00666CCE">
        <w:rPr>
          <w:rFonts w:eastAsia="Calibri" w:cs="Calibri"/>
          <w:b/>
          <w:bCs/>
          <w:lang w:eastAsia="it-IT"/>
        </w:rPr>
        <w:t xml:space="preserve">6) PERCHE’ </w:t>
      </w:r>
      <w:r>
        <w:rPr>
          <w:rFonts w:eastAsia="Calibri" w:cs="Calibri"/>
          <w:b/>
          <w:color w:val="000000"/>
          <w:lang w:eastAsia="it-IT"/>
        </w:rPr>
        <w:t xml:space="preserve">BIDEF </w:t>
      </w:r>
      <w:proofErr w:type="gramStart"/>
      <w:r w:rsidRPr="00666CCE">
        <w:rPr>
          <w:rFonts w:eastAsia="Calibri" w:cs="Calibri"/>
          <w:b/>
          <w:bCs/>
          <w:lang w:eastAsia="it-IT"/>
        </w:rPr>
        <w:t>E’</w:t>
      </w:r>
      <w:proofErr w:type="gramEnd"/>
      <w:r w:rsidRPr="00666CCE">
        <w:rPr>
          <w:rFonts w:eastAsia="Calibri" w:cs="Calibri"/>
          <w:b/>
          <w:bCs/>
          <w:lang w:eastAsia="it-IT"/>
        </w:rPr>
        <w:t xml:space="preserve"> STATO APPROVATO? </w:t>
      </w:r>
    </w:p>
    <w:p w14:paraId="19C12633" w14:textId="77777777" w:rsidR="00B93603" w:rsidRPr="00CB3303" w:rsidRDefault="00B93603" w:rsidP="00B93603">
      <w:pPr>
        <w:autoSpaceDE w:val="0"/>
        <w:autoSpaceDN w:val="0"/>
        <w:adjustRightInd w:val="0"/>
        <w:spacing w:after="0" w:line="240" w:lineRule="auto"/>
        <w:jc w:val="both"/>
        <w:rPr>
          <w:rFonts w:eastAsia="Calibri" w:cs="Calibri"/>
          <w:lang w:eastAsia="it-IT"/>
        </w:rPr>
      </w:pPr>
      <w:r w:rsidRPr="00666CCE">
        <w:rPr>
          <w:rFonts w:eastAsia="Calibri" w:cs="Calibri"/>
          <w:lang w:eastAsia="it-IT"/>
        </w:rPr>
        <w:t xml:space="preserve">La </w:t>
      </w:r>
      <w:r w:rsidRPr="009F1B70">
        <w:rPr>
          <w:rFonts w:eastAsia="Calibri" w:cs="Calibri"/>
          <w:color w:val="000000"/>
          <w:lang w:eastAsia="it-IT"/>
        </w:rPr>
        <w:t xml:space="preserve">Commissione </w:t>
      </w:r>
      <w:r>
        <w:rPr>
          <w:rFonts w:eastAsia="Calibri" w:cs="Calibri"/>
          <w:color w:val="000000"/>
          <w:lang w:eastAsia="it-IT"/>
        </w:rPr>
        <w:t>Tecnico-Scientifica (CTS)</w:t>
      </w:r>
      <w:r w:rsidRPr="00666CCE">
        <w:rPr>
          <w:rFonts w:eastAsia="Calibri" w:cs="Calibri"/>
          <w:lang w:eastAsia="it-IT"/>
        </w:rPr>
        <w:t>,</w:t>
      </w:r>
      <w:r>
        <w:rPr>
          <w:rFonts w:eastAsia="Calibri" w:cs="Calibri"/>
          <w:lang w:eastAsia="it-IT"/>
        </w:rPr>
        <w:t xml:space="preserve"> nella riunione del </w:t>
      </w:r>
      <w:r>
        <w:rPr>
          <w:rFonts w:eastAsia="Calibri" w:cs="Calibri"/>
          <w:bCs/>
          <w:iCs/>
          <w:lang w:eastAsia="it-IT"/>
        </w:rPr>
        <w:t>5, 6, 15 dicembre 2022</w:t>
      </w:r>
      <w:r>
        <w:rPr>
          <w:rFonts w:eastAsia="Calibri" w:cs="Calibri"/>
          <w:lang w:eastAsia="it-IT"/>
        </w:rPr>
        <w:t>,</w:t>
      </w:r>
      <w:r w:rsidRPr="00666CCE">
        <w:rPr>
          <w:rFonts w:eastAsia="Calibri" w:cs="Calibri"/>
          <w:lang w:eastAsia="it-IT"/>
        </w:rPr>
        <w:t xml:space="preserve"> ha concluso che, conformemente ai requisiti della normativa vigente, </w:t>
      </w:r>
      <w:r>
        <w:rPr>
          <w:rFonts w:eastAsia="Calibri" w:cs="Calibri"/>
          <w:lang w:eastAsia="it-IT"/>
        </w:rPr>
        <w:t xml:space="preserve">come nel caso del medicinale di riferimento VIAGRA, </w:t>
      </w:r>
      <w:r w:rsidRPr="00666CCE">
        <w:rPr>
          <w:rFonts w:eastAsia="Calibri" w:cs="Calibri"/>
          <w:lang w:eastAsia="it-IT"/>
        </w:rPr>
        <w:t xml:space="preserve">i benefici di </w:t>
      </w:r>
      <w:r>
        <w:rPr>
          <w:rFonts w:eastAsia="Calibri" w:cs="Calibri"/>
          <w:color w:val="000000"/>
          <w:lang w:eastAsia="it-IT"/>
        </w:rPr>
        <w:t>BIDEF</w:t>
      </w:r>
      <w:r>
        <w:rPr>
          <w:rFonts w:ascii="Calibri" w:hAnsi="Calibri" w:cs="Arial"/>
        </w:rPr>
        <w:t xml:space="preserve"> </w:t>
      </w:r>
      <w:r w:rsidRPr="00666CCE">
        <w:rPr>
          <w:rFonts w:eastAsia="Calibri" w:cs="Calibri"/>
          <w:lang w:eastAsia="it-IT"/>
        </w:rPr>
        <w:t xml:space="preserve">sono superiori ai rischi individuati. La </w:t>
      </w:r>
      <w:r>
        <w:rPr>
          <w:rFonts w:eastAsia="Calibri" w:cs="Calibri"/>
          <w:lang w:eastAsia="it-IT"/>
        </w:rPr>
        <w:t>CTS</w:t>
      </w:r>
      <w:r w:rsidRPr="00666CCE">
        <w:rPr>
          <w:rFonts w:eastAsia="Calibri" w:cs="Calibri"/>
          <w:lang w:eastAsia="it-IT"/>
        </w:rPr>
        <w:t xml:space="preserve"> ha, inoltre, definito le modalità d</w:t>
      </w:r>
      <w:r>
        <w:rPr>
          <w:rFonts w:eastAsia="Calibri" w:cs="Calibri"/>
          <w:lang w:eastAsia="it-IT"/>
        </w:rPr>
        <w:t xml:space="preserve">i prescrizione di cui al punto </w:t>
      </w:r>
      <w:r w:rsidRPr="00666CCE">
        <w:rPr>
          <w:rFonts w:eastAsia="Calibri" w:cs="Calibri"/>
          <w:lang w:eastAsia="it-IT"/>
        </w:rPr>
        <w:t>2) di questo Riassunto e la</w:t>
      </w:r>
      <w:r w:rsidRPr="00CB3303">
        <w:rPr>
          <w:rFonts w:eastAsia="Calibri" w:cs="Calibri"/>
          <w:lang w:eastAsia="it-IT"/>
        </w:rPr>
        <w:t xml:space="preserve"> classe di rimborsabilità del medicinale</w:t>
      </w:r>
      <w:r>
        <w:rPr>
          <w:rFonts w:eastAsia="Calibri" w:cs="Calibri"/>
          <w:lang w:eastAsia="it-IT"/>
        </w:rPr>
        <w:t xml:space="preserve"> C.</w:t>
      </w:r>
    </w:p>
    <w:p w14:paraId="21E340C1" w14:textId="77777777" w:rsidR="00B93603" w:rsidRDefault="00B93603" w:rsidP="00B93603">
      <w:pPr>
        <w:autoSpaceDE w:val="0"/>
        <w:autoSpaceDN w:val="0"/>
        <w:adjustRightInd w:val="0"/>
        <w:spacing w:after="0" w:line="240" w:lineRule="auto"/>
        <w:jc w:val="both"/>
        <w:rPr>
          <w:rFonts w:eastAsia="Calibri" w:cs="Calibri"/>
          <w:b/>
          <w:bCs/>
          <w:lang w:eastAsia="it-IT"/>
        </w:rPr>
      </w:pPr>
    </w:p>
    <w:p w14:paraId="2637F7DE" w14:textId="77777777" w:rsidR="00B93603" w:rsidRPr="002A3F14" w:rsidRDefault="00B93603" w:rsidP="00B93603">
      <w:pPr>
        <w:autoSpaceDE w:val="0"/>
        <w:autoSpaceDN w:val="0"/>
        <w:adjustRightInd w:val="0"/>
        <w:spacing w:after="0" w:line="240" w:lineRule="auto"/>
        <w:jc w:val="both"/>
        <w:rPr>
          <w:rFonts w:eastAsia="Calibri" w:cs="Calibri"/>
          <w:b/>
          <w:bCs/>
          <w:lang w:eastAsia="it-IT"/>
        </w:rPr>
      </w:pPr>
    </w:p>
    <w:p w14:paraId="4C2CCBA0" w14:textId="77777777" w:rsidR="00B93603" w:rsidRPr="002A3F14" w:rsidRDefault="00B93603" w:rsidP="00B93603">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7) QUALI MISURE SONO STATE PRESE PER ASSICURARE LA SICUREZZA E L’EFFICACIA NELL’USO DI </w:t>
      </w:r>
      <w:r>
        <w:rPr>
          <w:rFonts w:eastAsia="Calibri" w:cs="Calibri"/>
          <w:b/>
          <w:color w:val="000000"/>
          <w:lang w:eastAsia="it-IT"/>
        </w:rPr>
        <w:t>BIDEF</w:t>
      </w:r>
      <w:r w:rsidRPr="002A3F14">
        <w:rPr>
          <w:rFonts w:eastAsia="Calibri" w:cs="Calibri"/>
          <w:b/>
          <w:bCs/>
          <w:color w:val="000000"/>
          <w:lang w:eastAsia="it-IT"/>
        </w:rPr>
        <w:t>?</w:t>
      </w:r>
    </w:p>
    <w:p w14:paraId="6D8C9A01" w14:textId="77777777" w:rsidR="00B93603" w:rsidRPr="002A3F14" w:rsidRDefault="00B93603" w:rsidP="00B93603">
      <w:pPr>
        <w:autoSpaceDE w:val="0"/>
        <w:autoSpaceDN w:val="0"/>
        <w:adjustRightInd w:val="0"/>
        <w:spacing w:after="0" w:line="240" w:lineRule="auto"/>
        <w:jc w:val="both"/>
        <w:rPr>
          <w:rFonts w:eastAsia="Calibri" w:cs="Calibri"/>
          <w:lang w:eastAsia="it-IT"/>
        </w:rPr>
      </w:pPr>
      <w:r w:rsidRPr="002A3F14">
        <w:rPr>
          <w:rFonts w:eastAsia="Calibri" w:cs="Calibri"/>
          <w:lang w:eastAsia="it-IT"/>
        </w:rPr>
        <w:t xml:space="preserve">Il </w:t>
      </w:r>
      <w:r>
        <w:rPr>
          <w:rFonts w:eastAsia="Calibri" w:cs="Calibri"/>
          <w:lang w:eastAsia="it-IT"/>
        </w:rPr>
        <w:t>titolare</w:t>
      </w:r>
      <w:r w:rsidRPr="002A3F14">
        <w:rPr>
          <w:rFonts w:eastAsia="Calibri" w:cs="Calibri"/>
          <w:lang w:eastAsia="it-IT"/>
        </w:rPr>
        <w:t xml:space="preserve"> dell’autorizzazione all’immissione in commercio (AIC) ha presentato u</w:t>
      </w:r>
      <w:r>
        <w:rPr>
          <w:rFonts w:eastAsia="Calibri" w:cs="Calibri"/>
          <w:lang w:eastAsia="it-IT"/>
        </w:rPr>
        <w:t>n Piano di Gestione del Rischio</w:t>
      </w:r>
      <w:r w:rsidRPr="002A3F14">
        <w:rPr>
          <w:rFonts w:eastAsia="Calibri" w:cs="Calibri"/>
          <w:lang w:eastAsia="it-IT"/>
        </w:rPr>
        <w:t xml:space="preserve">, in accordo con quanto richiesto dalla Direttiva 2001/83/CE e successivi emendamenti, descrivendo le attività di Farmacovigilanza e gli interventi finalizzati ad identificare, caratterizzare, prevenire o minimizzare i rischi correlati a </w:t>
      </w:r>
      <w:r>
        <w:rPr>
          <w:rFonts w:eastAsia="Calibri" w:cs="Calibri"/>
          <w:color w:val="000000"/>
          <w:lang w:eastAsia="it-IT"/>
        </w:rPr>
        <w:t>BIDEF</w:t>
      </w:r>
      <w:r w:rsidRPr="007170D7">
        <w:rPr>
          <w:rFonts w:eastAsia="Calibri" w:cs="Calibri"/>
          <w:lang w:eastAsia="it-IT"/>
        </w:rPr>
        <w:t>.</w:t>
      </w:r>
    </w:p>
    <w:p w14:paraId="45FD133F" w14:textId="77777777" w:rsidR="00B93603" w:rsidRDefault="00B93603" w:rsidP="00B93603">
      <w:pPr>
        <w:autoSpaceDE w:val="0"/>
        <w:autoSpaceDN w:val="0"/>
        <w:adjustRightInd w:val="0"/>
        <w:spacing w:after="0" w:line="240" w:lineRule="auto"/>
        <w:jc w:val="both"/>
        <w:rPr>
          <w:rFonts w:eastAsia="Calibri" w:cs="Calibri"/>
          <w:lang w:eastAsia="it-IT"/>
        </w:rPr>
      </w:pPr>
    </w:p>
    <w:p w14:paraId="18D82D88" w14:textId="77777777" w:rsidR="00B93603" w:rsidRPr="002A3F14" w:rsidRDefault="00B93603" w:rsidP="00B93603">
      <w:pPr>
        <w:autoSpaceDE w:val="0"/>
        <w:autoSpaceDN w:val="0"/>
        <w:adjustRightInd w:val="0"/>
        <w:spacing w:after="0" w:line="240" w:lineRule="auto"/>
        <w:jc w:val="both"/>
        <w:rPr>
          <w:rFonts w:eastAsia="Calibri" w:cs="Calibri"/>
          <w:lang w:eastAsia="it-IT"/>
        </w:rPr>
      </w:pPr>
    </w:p>
    <w:p w14:paraId="3857857C" w14:textId="77777777" w:rsidR="00B93603" w:rsidRPr="002A3F14" w:rsidRDefault="00B93603" w:rsidP="00B93603">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8) ALTRE INFORMAZIONI RELATIVE A </w:t>
      </w:r>
      <w:r>
        <w:rPr>
          <w:rFonts w:eastAsia="Calibri" w:cs="Calibri"/>
          <w:b/>
          <w:color w:val="000000"/>
          <w:lang w:eastAsia="it-IT"/>
        </w:rPr>
        <w:t>BIDEF</w:t>
      </w:r>
    </w:p>
    <w:p w14:paraId="10A8C00A" w14:textId="77777777" w:rsidR="00B93603" w:rsidRPr="00CA3A1E" w:rsidRDefault="00B93603" w:rsidP="00B93603">
      <w:pPr>
        <w:autoSpaceDE w:val="0"/>
        <w:autoSpaceDN w:val="0"/>
        <w:adjustRightInd w:val="0"/>
        <w:spacing w:after="0" w:line="240" w:lineRule="auto"/>
        <w:jc w:val="both"/>
        <w:rPr>
          <w:rFonts w:eastAsia="Calibri" w:cs="Calibri"/>
          <w:bCs/>
          <w:lang w:eastAsia="it-IT"/>
        </w:rPr>
      </w:pPr>
      <w:r w:rsidRPr="00BB2AF8">
        <w:rPr>
          <w:rFonts w:eastAsia="Calibri" w:cs="Calibri"/>
          <w:bCs/>
          <w:iCs/>
          <w:lang w:eastAsia="it-IT"/>
        </w:rPr>
        <w:t xml:space="preserve">Il </w:t>
      </w:r>
      <w:r>
        <w:rPr>
          <w:rFonts w:eastAsia="Calibri" w:cs="Calibri"/>
          <w:bCs/>
          <w:iCs/>
          <w:lang w:eastAsia="it-IT"/>
        </w:rPr>
        <w:t xml:space="preserve">10/02/2023 </w:t>
      </w:r>
      <w:r w:rsidRPr="00EA7679">
        <w:rPr>
          <w:rFonts w:eastAsia="Calibri" w:cs="Calibri"/>
          <w:bCs/>
          <w:iCs/>
          <w:lang w:eastAsia="it-IT"/>
        </w:rPr>
        <w:t>(GU Serie Generale n.3</w:t>
      </w:r>
      <w:r>
        <w:rPr>
          <w:rFonts w:eastAsia="Calibri" w:cs="Calibri"/>
          <w:bCs/>
          <w:iCs/>
          <w:lang w:eastAsia="it-IT"/>
        </w:rPr>
        <w:t>4</w:t>
      </w:r>
      <w:r w:rsidRPr="00EA7679">
        <w:rPr>
          <w:rFonts w:eastAsia="Calibri" w:cs="Calibri"/>
          <w:bCs/>
          <w:iCs/>
          <w:lang w:eastAsia="it-IT"/>
        </w:rPr>
        <w:t xml:space="preserve"> del 1</w:t>
      </w:r>
      <w:r>
        <w:rPr>
          <w:rFonts w:eastAsia="Calibri" w:cs="Calibri"/>
          <w:bCs/>
          <w:iCs/>
          <w:lang w:eastAsia="it-IT"/>
        </w:rPr>
        <w:t>0</w:t>
      </w:r>
      <w:r w:rsidRPr="00EA7679">
        <w:rPr>
          <w:rFonts w:eastAsia="Calibri" w:cs="Calibri"/>
          <w:bCs/>
          <w:iCs/>
          <w:lang w:eastAsia="it-IT"/>
        </w:rPr>
        <w:t>-02-2023)</w:t>
      </w:r>
      <w:r>
        <w:rPr>
          <w:rFonts w:eastAsia="Calibri" w:cs="Calibri"/>
          <w:bCs/>
          <w:iCs/>
          <w:lang w:eastAsia="it-IT"/>
        </w:rPr>
        <w:t xml:space="preserve"> </w:t>
      </w:r>
      <w:r w:rsidRPr="00BB2AF8">
        <w:rPr>
          <w:rFonts w:eastAsia="Calibri" w:cs="Calibri"/>
          <w:bCs/>
          <w:iCs/>
          <w:lang w:eastAsia="it-IT"/>
        </w:rPr>
        <w:t xml:space="preserve">l’AIFA ha rilasciato l’autorizzazione all’immissione in commercio di </w:t>
      </w:r>
      <w:r>
        <w:rPr>
          <w:rFonts w:eastAsia="Calibri" w:cs="Calibri"/>
          <w:color w:val="000000"/>
          <w:lang w:eastAsia="it-IT"/>
        </w:rPr>
        <w:t>BIDEF</w:t>
      </w:r>
      <w:r w:rsidRPr="007170D7">
        <w:rPr>
          <w:rFonts w:eastAsia="Calibri" w:cs="Calibri"/>
          <w:bCs/>
          <w:lang w:eastAsia="it-IT"/>
        </w:rPr>
        <w:t>.</w:t>
      </w:r>
      <w:r w:rsidRPr="00CA3A1E">
        <w:rPr>
          <w:rFonts w:eastAsia="Calibri" w:cs="Calibri"/>
          <w:bCs/>
          <w:lang w:eastAsia="it-IT"/>
        </w:rPr>
        <w:t xml:space="preserve"> </w:t>
      </w:r>
    </w:p>
    <w:p w14:paraId="34DBF8E1" w14:textId="77777777" w:rsidR="00B93603" w:rsidRDefault="00B93603" w:rsidP="00B93603">
      <w:pPr>
        <w:autoSpaceDE w:val="0"/>
        <w:autoSpaceDN w:val="0"/>
        <w:adjustRightInd w:val="0"/>
        <w:spacing w:after="0" w:line="240" w:lineRule="auto"/>
        <w:jc w:val="both"/>
        <w:rPr>
          <w:rFonts w:eastAsia="Calibri" w:cs="Calibri"/>
          <w:lang w:eastAsia="it-IT"/>
        </w:rPr>
      </w:pPr>
    </w:p>
    <w:p w14:paraId="75E7A0E2" w14:textId="77777777" w:rsidR="00B93603" w:rsidRDefault="00B93603" w:rsidP="00B93603">
      <w:pPr>
        <w:autoSpaceDE w:val="0"/>
        <w:autoSpaceDN w:val="0"/>
        <w:adjustRightInd w:val="0"/>
        <w:spacing w:after="0" w:line="240" w:lineRule="auto"/>
        <w:jc w:val="both"/>
        <w:rPr>
          <w:rFonts w:eastAsia="Calibri" w:cs="Calibri"/>
          <w:lang w:eastAsia="it-IT"/>
        </w:rPr>
      </w:pPr>
      <w:r>
        <w:rPr>
          <w:rFonts w:eastAsia="Calibri" w:cs="Calibri"/>
          <w:lang w:eastAsia="it-IT"/>
        </w:rPr>
        <w:t xml:space="preserve">La Relazione Pubblica di Valutazione completa segue questo Riassunto. </w:t>
      </w:r>
    </w:p>
    <w:p w14:paraId="5213F370" w14:textId="77777777" w:rsidR="00B93603" w:rsidRPr="002A3F14" w:rsidRDefault="00B93603" w:rsidP="00B93603">
      <w:pPr>
        <w:autoSpaceDE w:val="0"/>
        <w:autoSpaceDN w:val="0"/>
        <w:adjustRightInd w:val="0"/>
        <w:spacing w:after="0" w:line="240" w:lineRule="auto"/>
        <w:jc w:val="both"/>
        <w:rPr>
          <w:rFonts w:eastAsia="Calibri" w:cs="Calibri"/>
          <w:lang w:eastAsia="it-IT"/>
        </w:rPr>
      </w:pPr>
      <w:r w:rsidRPr="002A3F14">
        <w:rPr>
          <w:rFonts w:eastAsia="Calibri" w:cs="Calibri"/>
          <w:lang w:eastAsia="it-IT"/>
        </w:rPr>
        <w:t xml:space="preserve">Per maggiori informazioni riguardo il trattamento </w:t>
      </w:r>
      <w:r w:rsidRPr="00CA3A1E">
        <w:rPr>
          <w:rFonts w:eastAsia="Calibri" w:cs="Calibri"/>
          <w:lang w:eastAsia="it-IT"/>
        </w:rPr>
        <w:t xml:space="preserve">con </w:t>
      </w:r>
      <w:r>
        <w:rPr>
          <w:rFonts w:eastAsia="Calibri" w:cs="Calibri"/>
          <w:color w:val="000000"/>
          <w:lang w:eastAsia="it-IT"/>
        </w:rPr>
        <w:t xml:space="preserve">BIDEF </w:t>
      </w:r>
      <w:r w:rsidRPr="00CA3A1E">
        <w:rPr>
          <w:rFonts w:eastAsia="Calibri" w:cs="Calibri"/>
          <w:lang w:eastAsia="it-IT"/>
        </w:rPr>
        <w:t>si</w:t>
      </w:r>
      <w:r w:rsidRPr="002A3F14">
        <w:rPr>
          <w:rFonts w:eastAsia="Calibri" w:cs="Calibri"/>
          <w:lang w:eastAsia="it-IT"/>
        </w:rPr>
        <w:t xml:space="preserve"> può leggere il </w:t>
      </w:r>
      <w:r>
        <w:rPr>
          <w:rFonts w:eastAsia="Calibri" w:cs="Calibri"/>
          <w:lang w:eastAsia="it-IT"/>
        </w:rPr>
        <w:t>f</w:t>
      </w:r>
      <w:r w:rsidRPr="002A3F14">
        <w:rPr>
          <w:rFonts w:eastAsia="Calibri" w:cs="Calibri"/>
          <w:lang w:eastAsia="it-IT"/>
        </w:rPr>
        <w:t xml:space="preserve">oglio </w:t>
      </w:r>
      <w:r>
        <w:rPr>
          <w:rFonts w:eastAsia="Calibri" w:cs="Calibri"/>
          <w:lang w:eastAsia="it-IT"/>
        </w:rPr>
        <w:t>i</w:t>
      </w:r>
      <w:r w:rsidRPr="002A3F14">
        <w:rPr>
          <w:rFonts w:eastAsia="Calibri" w:cs="Calibri"/>
          <w:lang w:eastAsia="it-IT"/>
        </w:rPr>
        <w:t>llustrativo</w:t>
      </w:r>
      <w:r>
        <w:rPr>
          <w:rFonts w:eastAsia="Calibri" w:cs="Calibri"/>
          <w:lang w:eastAsia="it-IT"/>
        </w:rPr>
        <w:t xml:space="preserve"> (</w:t>
      </w:r>
      <w:hyperlink r:id="rId10" w:history="1">
        <w:r>
          <w:rPr>
            <w:rStyle w:val="Collegamentoipertestuale"/>
            <w:rFonts w:eastAsia="Calibri" w:cs="Calibri"/>
            <w:lang w:eastAsia="it-IT"/>
          </w:rPr>
          <w:t>https://farmaci.agenziafarmaco.gov.it/bancadatifarmaci</w:t>
        </w:r>
      </w:hyperlink>
      <w:r>
        <w:rPr>
          <w:rFonts w:eastAsia="Calibri" w:cs="Calibri"/>
          <w:lang w:eastAsia="it-IT"/>
        </w:rPr>
        <w:t xml:space="preserve">) </w:t>
      </w:r>
      <w:r w:rsidRPr="002A3F14">
        <w:rPr>
          <w:rFonts w:eastAsia="Calibri" w:cs="Calibri"/>
          <w:lang w:eastAsia="it-IT"/>
        </w:rPr>
        <w:t xml:space="preserve">o contattare il medico o </w:t>
      </w:r>
      <w:r>
        <w:rPr>
          <w:rFonts w:eastAsia="Calibri" w:cs="Calibri"/>
          <w:lang w:eastAsia="it-IT"/>
        </w:rPr>
        <w:t xml:space="preserve">il </w:t>
      </w:r>
      <w:r w:rsidRPr="002A3F14">
        <w:rPr>
          <w:rFonts w:eastAsia="Calibri" w:cs="Calibri"/>
          <w:lang w:eastAsia="it-IT"/>
        </w:rPr>
        <w:t xml:space="preserve">farmacista. </w:t>
      </w:r>
    </w:p>
    <w:p w14:paraId="626EFAE8" w14:textId="77777777" w:rsidR="00B93603" w:rsidRDefault="00B93603" w:rsidP="00B93603">
      <w:pPr>
        <w:spacing w:after="0" w:line="240" w:lineRule="auto"/>
        <w:jc w:val="both"/>
        <w:rPr>
          <w:rFonts w:eastAsia="Calibri" w:cs="Calibri"/>
          <w:lang w:eastAsia="it-IT"/>
        </w:rPr>
      </w:pPr>
    </w:p>
    <w:p w14:paraId="569C93B6" w14:textId="77777777" w:rsidR="00B93603" w:rsidRDefault="00B93603" w:rsidP="00B93603">
      <w:pPr>
        <w:spacing w:after="0" w:line="240" w:lineRule="auto"/>
        <w:jc w:val="both"/>
        <w:rPr>
          <w:rFonts w:eastAsia="Calibri" w:cs="Calibri"/>
          <w:lang w:eastAsia="it-IT"/>
        </w:rPr>
      </w:pPr>
    </w:p>
    <w:p w14:paraId="4FDB8981" w14:textId="6B591579" w:rsidR="00B93603" w:rsidRPr="002A3F14" w:rsidRDefault="00B93603" w:rsidP="00B93603">
      <w:pPr>
        <w:spacing w:after="0" w:line="240" w:lineRule="auto"/>
        <w:jc w:val="both"/>
        <w:rPr>
          <w:rFonts w:eastAsia="Calibri" w:cs="Calibri"/>
          <w:lang w:eastAsia="it-IT"/>
        </w:rPr>
      </w:pPr>
      <w:r w:rsidRPr="002A3F14">
        <w:rPr>
          <w:rFonts w:eastAsia="Calibri" w:cs="Calibri"/>
          <w:lang w:eastAsia="it-IT"/>
        </w:rPr>
        <w:t xml:space="preserve">Questo riassunto è stato redatto in </w:t>
      </w:r>
      <w:r>
        <w:rPr>
          <w:rFonts w:eastAsia="Calibri" w:cs="Calibri"/>
          <w:lang w:eastAsia="it-IT"/>
        </w:rPr>
        <w:t>data 2</w:t>
      </w:r>
      <w:r w:rsidR="00942301">
        <w:rPr>
          <w:rFonts w:eastAsia="Calibri" w:cs="Calibri"/>
          <w:lang w:eastAsia="it-IT"/>
        </w:rPr>
        <w:t>7</w:t>
      </w:r>
      <w:r w:rsidRPr="00E369A8">
        <w:rPr>
          <w:rFonts w:eastAsia="Calibri" w:cs="Calibri"/>
          <w:lang w:eastAsia="it-IT"/>
        </w:rPr>
        <w:t>/11/2023.</w:t>
      </w:r>
      <w:r w:rsidRPr="002A3F14">
        <w:rPr>
          <w:rFonts w:eastAsia="Calibri" w:cs="Calibri"/>
          <w:lang w:eastAsia="it-IT"/>
        </w:rPr>
        <w:t xml:space="preserve"> </w:t>
      </w:r>
    </w:p>
    <w:p w14:paraId="3436F248" w14:textId="77777777" w:rsidR="00B93603" w:rsidRDefault="00B93603" w:rsidP="00B93603">
      <w:pPr>
        <w:spacing w:after="0" w:line="240" w:lineRule="auto"/>
        <w:jc w:val="center"/>
        <w:rPr>
          <w:b/>
          <w:sz w:val="28"/>
        </w:rPr>
      </w:pPr>
    </w:p>
    <w:p w14:paraId="3AF97485" w14:textId="77777777" w:rsidR="00B93603" w:rsidRDefault="00B93603" w:rsidP="00B93603">
      <w:pPr>
        <w:spacing w:after="0" w:line="240" w:lineRule="auto"/>
        <w:jc w:val="center"/>
        <w:rPr>
          <w:b/>
          <w:sz w:val="28"/>
        </w:rPr>
      </w:pPr>
    </w:p>
    <w:p w14:paraId="0EF7ED48" w14:textId="77777777" w:rsidR="00B93603" w:rsidRDefault="00B93603" w:rsidP="00B93603">
      <w:pPr>
        <w:spacing w:after="0" w:line="240" w:lineRule="auto"/>
        <w:jc w:val="center"/>
        <w:rPr>
          <w:b/>
          <w:sz w:val="28"/>
        </w:rPr>
      </w:pPr>
    </w:p>
    <w:p w14:paraId="5856AA43" w14:textId="77777777" w:rsidR="00B93603" w:rsidRDefault="00B93603" w:rsidP="00B93603">
      <w:pPr>
        <w:spacing w:after="0" w:line="240" w:lineRule="auto"/>
        <w:rPr>
          <w:b/>
          <w:sz w:val="28"/>
        </w:rPr>
      </w:pPr>
    </w:p>
    <w:p w14:paraId="0FCEB4A5" w14:textId="77777777" w:rsidR="00B93603" w:rsidRDefault="00B93603" w:rsidP="00B93603">
      <w:pPr>
        <w:spacing w:after="0" w:line="240" w:lineRule="auto"/>
        <w:jc w:val="center"/>
        <w:rPr>
          <w:b/>
          <w:sz w:val="28"/>
        </w:rPr>
      </w:pPr>
    </w:p>
    <w:p w14:paraId="07F4CB6D" w14:textId="77777777" w:rsidR="00B93603" w:rsidRDefault="00B93603" w:rsidP="00B93603">
      <w:pPr>
        <w:spacing w:after="0" w:line="240" w:lineRule="auto"/>
        <w:jc w:val="center"/>
        <w:rPr>
          <w:b/>
          <w:sz w:val="28"/>
        </w:rPr>
      </w:pPr>
      <w:r>
        <w:rPr>
          <w:b/>
          <w:sz w:val="28"/>
        </w:rPr>
        <w:t>RELAZIONE PUBBLICA DI VALUTAZIONE</w:t>
      </w:r>
    </w:p>
    <w:p w14:paraId="552CD1E3" w14:textId="77777777" w:rsidR="00B93603" w:rsidRDefault="00B93603" w:rsidP="00B93603">
      <w:pPr>
        <w:spacing w:after="0" w:line="240" w:lineRule="auto"/>
        <w:jc w:val="center"/>
        <w:rPr>
          <w:b/>
        </w:rPr>
      </w:pPr>
    </w:p>
    <w:p w14:paraId="337CE1A2" w14:textId="77777777" w:rsidR="00B93603" w:rsidRDefault="00B93603" w:rsidP="00B93603">
      <w:pPr>
        <w:spacing w:after="0" w:line="240" w:lineRule="auto"/>
        <w:jc w:val="center"/>
        <w:rPr>
          <w:b/>
        </w:rPr>
      </w:pPr>
    </w:p>
    <w:p w14:paraId="58E8DA78" w14:textId="77777777" w:rsidR="00B93603" w:rsidRDefault="00B93603" w:rsidP="00B93603">
      <w:pPr>
        <w:spacing w:after="0" w:line="240" w:lineRule="auto"/>
        <w:jc w:val="center"/>
        <w:rPr>
          <w:b/>
        </w:rPr>
      </w:pPr>
    </w:p>
    <w:p w14:paraId="78120688" w14:textId="77777777" w:rsidR="00B93603" w:rsidRDefault="00B93603" w:rsidP="00B93603">
      <w:pPr>
        <w:spacing w:after="0" w:line="240" w:lineRule="auto"/>
        <w:jc w:val="center"/>
        <w:rPr>
          <w:b/>
        </w:rPr>
      </w:pPr>
    </w:p>
    <w:p w14:paraId="6691808C" w14:textId="77777777" w:rsidR="00B93603" w:rsidRPr="0033523E" w:rsidRDefault="00B93603" w:rsidP="00B93603">
      <w:pPr>
        <w:spacing w:after="0" w:line="240" w:lineRule="auto"/>
        <w:jc w:val="center"/>
        <w:rPr>
          <w:b/>
        </w:rPr>
      </w:pPr>
      <w:r w:rsidRPr="0033523E">
        <w:rPr>
          <w:b/>
        </w:rPr>
        <w:t>INDICE</w:t>
      </w:r>
    </w:p>
    <w:p w14:paraId="76FD5F7C" w14:textId="77777777" w:rsidR="00B93603" w:rsidRDefault="00B93603" w:rsidP="00B93603">
      <w:pPr>
        <w:spacing w:after="0" w:line="240" w:lineRule="auto"/>
        <w:jc w:val="both"/>
      </w:pPr>
    </w:p>
    <w:p w14:paraId="71451613" w14:textId="77777777" w:rsidR="00B93603" w:rsidRDefault="00B93603" w:rsidP="00B93603">
      <w:pPr>
        <w:spacing w:after="0" w:line="240" w:lineRule="auto"/>
        <w:jc w:val="both"/>
      </w:pPr>
    </w:p>
    <w:p w14:paraId="026CC4D4" w14:textId="77777777" w:rsidR="00B93603" w:rsidRDefault="00B93603" w:rsidP="00B93603">
      <w:pPr>
        <w:spacing w:after="0" w:line="240" w:lineRule="auto"/>
        <w:jc w:val="both"/>
      </w:pPr>
    </w:p>
    <w:p w14:paraId="21C7981D" w14:textId="77777777" w:rsidR="00B93603" w:rsidRPr="008206E7" w:rsidRDefault="00B93603" w:rsidP="00B93603">
      <w:pPr>
        <w:pStyle w:val="Paragrafoelenco"/>
        <w:numPr>
          <w:ilvl w:val="0"/>
          <w:numId w:val="1"/>
        </w:numPr>
        <w:spacing w:after="0" w:line="240" w:lineRule="auto"/>
        <w:rPr>
          <w:b/>
        </w:rPr>
      </w:pPr>
      <w:r w:rsidRPr="008206E7">
        <w:rPr>
          <w:b/>
        </w:rPr>
        <w:t>INTRODUZIONE</w:t>
      </w:r>
    </w:p>
    <w:p w14:paraId="012352A1" w14:textId="77777777" w:rsidR="00B93603" w:rsidRPr="002A3F14" w:rsidRDefault="00B93603" w:rsidP="00B93603">
      <w:pPr>
        <w:spacing w:after="0" w:line="240" w:lineRule="auto"/>
        <w:jc w:val="both"/>
      </w:pPr>
    </w:p>
    <w:p w14:paraId="4325968C" w14:textId="77777777" w:rsidR="00B93603" w:rsidRDefault="00B93603" w:rsidP="00B93603">
      <w:pPr>
        <w:pStyle w:val="Paragrafoelenco"/>
        <w:numPr>
          <w:ilvl w:val="0"/>
          <w:numId w:val="1"/>
        </w:numPr>
        <w:spacing w:after="0" w:line="240" w:lineRule="auto"/>
        <w:jc w:val="both"/>
        <w:rPr>
          <w:b/>
        </w:rPr>
      </w:pPr>
      <w:r>
        <w:rPr>
          <w:b/>
        </w:rPr>
        <w:t xml:space="preserve">ASPETTI DI </w:t>
      </w:r>
      <w:r w:rsidRPr="006B2CC3">
        <w:rPr>
          <w:b/>
        </w:rPr>
        <w:t>QUALITA’</w:t>
      </w:r>
    </w:p>
    <w:p w14:paraId="140D4B36" w14:textId="77777777" w:rsidR="00B93603" w:rsidRPr="0033523E" w:rsidRDefault="00B93603" w:rsidP="00B93603">
      <w:pPr>
        <w:pStyle w:val="Paragrafoelenco"/>
        <w:rPr>
          <w:b/>
        </w:rPr>
      </w:pPr>
    </w:p>
    <w:p w14:paraId="5D0B0718" w14:textId="77777777" w:rsidR="00B93603" w:rsidRDefault="00B93603" w:rsidP="00B93603">
      <w:pPr>
        <w:pStyle w:val="Paragrafoelenco"/>
        <w:numPr>
          <w:ilvl w:val="0"/>
          <w:numId w:val="1"/>
        </w:numPr>
        <w:spacing w:after="0" w:line="240" w:lineRule="auto"/>
        <w:jc w:val="both"/>
        <w:rPr>
          <w:b/>
        </w:rPr>
      </w:pPr>
      <w:r w:rsidRPr="00DF7B22">
        <w:rPr>
          <w:b/>
        </w:rPr>
        <w:t>ASPETTI NON CLINICI</w:t>
      </w:r>
    </w:p>
    <w:p w14:paraId="0B1C1191" w14:textId="77777777" w:rsidR="00B93603" w:rsidRPr="0033523E" w:rsidRDefault="00B93603" w:rsidP="00B93603">
      <w:pPr>
        <w:pStyle w:val="Paragrafoelenco"/>
        <w:rPr>
          <w:b/>
        </w:rPr>
      </w:pPr>
    </w:p>
    <w:p w14:paraId="4EDAA617" w14:textId="77777777" w:rsidR="00B93603" w:rsidRDefault="00B93603" w:rsidP="00B93603">
      <w:pPr>
        <w:pStyle w:val="Paragrafoelenco"/>
        <w:numPr>
          <w:ilvl w:val="0"/>
          <w:numId w:val="1"/>
        </w:numPr>
        <w:spacing w:after="0" w:line="240" w:lineRule="auto"/>
        <w:jc w:val="both"/>
        <w:rPr>
          <w:b/>
        </w:rPr>
      </w:pPr>
      <w:r w:rsidRPr="005A38F5">
        <w:rPr>
          <w:b/>
        </w:rPr>
        <w:t>A</w:t>
      </w:r>
      <w:r>
        <w:rPr>
          <w:b/>
        </w:rPr>
        <w:t>S</w:t>
      </w:r>
      <w:r w:rsidRPr="005A38F5">
        <w:rPr>
          <w:b/>
        </w:rPr>
        <w:t>PETTI CLINICI</w:t>
      </w:r>
    </w:p>
    <w:p w14:paraId="3522A5F6" w14:textId="77777777" w:rsidR="00B93603" w:rsidRPr="0033523E" w:rsidRDefault="00B93603" w:rsidP="00B93603">
      <w:pPr>
        <w:pStyle w:val="Paragrafoelenco"/>
        <w:rPr>
          <w:b/>
        </w:rPr>
      </w:pPr>
    </w:p>
    <w:p w14:paraId="0D458D89" w14:textId="77777777" w:rsidR="00B93603" w:rsidRPr="002E4DCB" w:rsidRDefault="00B93603" w:rsidP="00B93603">
      <w:pPr>
        <w:pStyle w:val="Paragrafoelenco"/>
        <w:numPr>
          <w:ilvl w:val="0"/>
          <w:numId w:val="1"/>
        </w:numPr>
        <w:spacing w:after="0" w:line="240" w:lineRule="auto"/>
        <w:jc w:val="both"/>
        <w:rPr>
          <w:b/>
        </w:rPr>
      </w:pPr>
      <w:r w:rsidRPr="002E4DCB">
        <w:rPr>
          <w:b/>
        </w:rPr>
        <w:t xml:space="preserve">CONSULTAZIONE </w:t>
      </w:r>
      <w:r>
        <w:rPr>
          <w:b/>
        </w:rPr>
        <w:t>SUL FOGLIO ILLUSTRATIVO</w:t>
      </w:r>
    </w:p>
    <w:p w14:paraId="405378F7" w14:textId="77777777" w:rsidR="00B93603" w:rsidRDefault="00B93603" w:rsidP="00B93603">
      <w:pPr>
        <w:pStyle w:val="Paragrafoelenco"/>
        <w:spacing w:after="0" w:line="240" w:lineRule="auto"/>
        <w:ind w:left="1080"/>
        <w:jc w:val="both"/>
        <w:rPr>
          <w:b/>
        </w:rPr>
      </w:pPr>
    </w:p>
    <w:p w14:paraId="5D547E69" w14:textId="77777777" w:rsidR="00B93603" w:rsidRPr="00BC23ED" w:rsidRDefault="00B93603" w:rsidP="00B93603">
      <w:pPr>
        <w:pStyle w:val="Paragrafoelenco"/>
        <w:numPr>
          <w:ilvl w:val="0"/>
          <w:numId w:val="1"/>
        </w:numPr>
        <w:spacing w:after="0" w:line="240" w:lineRule="auto"/>
        <w:jc w:val="both"/>
        <w:rPr>
          <w:b/>
        </w:rPr>
      </w:pPr>
      <w:r w:rsidRPr="00BC23ED">
        <w:rPr>
          <w:b/>
        </w:rPr>
        <w:t>CONCLUSIONI, VALUTAZIONE DEL RAPPORTO BENEFICIO/RISCHIO E RACCOMANDAZIONI</w:t>
      </w:r>
    </w:p>
    <w:p w14:paraId="0D826474" w14:textId="77777777" w:rsidR="00B93603" w:rsidRDefault="00B93603" w:rsidP="00B93603"/>
    <w:p w14:paraId="5E54759A" w14:textId="77777777" w:rsidR="00B93603" w:rsidRDefault="00B93603" w:rsidP="00B93603"/>
    <w:p w14:paraId="69308F60" w14:textId="77777777" w:rsidR="00B93603" w:rsidRDefault="00B93603" w:rsidP="00B93603"/>
    <w:p w14:paraId="06F94E70" w14:textId="77777777" w:rsidR="00B93603" w:rsidRDefault="00B93603" w:rsidP="00B93603"/>
    <w:p w14:paraId="2542DC21" w14:textId="77777777" w:rsidR="00B93603" w:rsidRDefault="00B93603" w:rsidP="00B93603"/>
    <w:p w14:paraId="1103B5BC" w14:textId="77777777" w:rsidR="00B93603" w:rsidRDefault="00B93603" w:rsidP="00B93603"/>
    <w:p w14:paraId="565F954F" w14:textId="77777777" w:rsidR="00B93603" w:rsidRDefault="00B93603" w:rsidP="00B93603"/>
    <w:p w14:paraId="2BEFD164" w14:textId="77777777" w:rsidR="00B93603" w:rsidRDefault="00B93603" w:rsidP="00B93603"/>
    <w:p w14:paraId="2A40AD11" w14:textId="77777777" w:rsidR="00B93603" w:rsidRDefault="00B93603" w:rsidP="00B93603"/>
    <w:p w14:paraId="0E3C2073" w14:textId="77777777" w:rsidR="00B93603" w:rsidRDefault="00B93603" w:rsidP="00B93603"/>
    <w:p w14:paraId="33B582E4" w14:textId="77777777" w:rsidR="00B93603" w:rsidRDefault="00B93603" w:rsidP="00B93603"/>
    <w:p w14:paraId="556B379F" w14:textId="77777777" w:rsidR="00B93603" w:rsidRDefault="00B93603" w:rsidP="00B93603"/>
    <w:p w14:paraId="0D41C3F4" w14:textId="77777777" w:rsidR="00B93603" w:rsidRDefault="00B93603" w:rsidP="00B93603"/>
    <w:p w14:paraId="2F071E6A" w14:textId="77777777" w:rsidR="00B93603" w:rsidRDefault="00B93603" w:rsidP="00B93603"/>
    <w:p w14:paraId="3F2699E1" w14:textId="77777777" w:rsidR="00B93603" w:rsidRDefault="00B93603" w:rsidP="00B93603"/>
    <w:p w14:paraId="46EA309E" w14:textId="77777777" w:rsidR="00B93603" w:rsidRDefault="00B93603" w:rsidP="00B93603"/>
    <w:p w14:paraId="2157FC1C" w14:textId="77777777" w:rsidR="00B93603" w:rsidRDefault="00B93603" w:rsidP="00B93603"/>
    <w:p w14:paraId="476F886D" w14:textId="77777777" w:rsidR="00B93603" w:rsidRPr="00EF6711" w:rsidRDefault="00B93603" w:rsidP="00B93603">
      <w:pPr>
        <w:pStyle w:val="Paragrafoelenco"/>
        <w:numPr>
          <w:ilvl w:val="0"/>
          <w:numId w:val="2"/>
        </w:numPr>
        <w:spacing w:after="0" w:line="240" w:lineRule="auto"/>
        <w:rPr>
          <w:b/>
        </w:rPr>
      </w:pPr>
      <w:r w:rsidRPr="00EF6711">
        <w:rPr>
          <w:b/>
        </w:rPr>
        <w:t>INTRODUZIONE</w:t>
      </w:r>
    </w:p>
    <w:p w14:paraId="1CD197AA" w14:textId="77777777" w:rsidR="00B93603" w:rsidRPr="00EF6711" w:rsidRDefault="00B93603" w:rsidP="00B93603">
      <w:pPr>
        <w:autoSpaceDE w:val="0"/>
        <w:autoSpaceDN w:val="0"/>
        <w:adjustRightInd w:val="0"/>
        <w:spacing w:after="0" w:line="240" w:lineRule="auto"/>
        <w:jc w:val="both"/>
      </w:pPr>
      <w:r w:rsidRPr="00EF6711">
        <w:t xml:space="preserve">Sulla base dei dati di qualità, sicurezza ed efficacia, l’AIFA ha rilasciato a </w:t>
      </w:r>
      <w:r w:rsidRPr="003C1629">
        <w:rPr>
          <w:rFonts w:eastAsia="Calibri" w:cs="Calibri"/>
          <w:bCs/>
          <w:iCs/>
          <w:lang w:eastAsia="it-IT"/>
        </w:rPr>
        <w:t>ALFRAPHARMA S.r.l.</w:t>
      </w:r>
      <w:r w:rsidRPr="00EF6711">
        <w:t xml:space="preserve"> l’autorizzazione all’immissione in commercio (AIC) per il medicinale </w:t>
      </w:r>
      <w:r>
        <w:rPr>
          <w:rFonts w:eastAsia="Calibri" w:cs="Calibri"/>
          <w:color w:val="000000"/>
          <w:lang w:eastAsia="it-IT"/>
        </w:rPr>
        <w:t>BIDEF</w:t>
      </w:r>
      <w:r>
        <w:rPr>
          <w:rFonts w:eastAsia="Calibri" w:cs="Calibri"/>
          <w:bCs/>
          <w:iCs/>
          <w:lang w:eastAsia="it-IT"/>
        </w:rPr>
        <w:t xml:space="preserve"> </w:t>
      </w:r>
      <w:r w:rsidRPr="00EF6711">
        <w:rPr>
          <w:rFonts w:eastAsia="Calibri" w:cs="Calibri"/>
          <w:bCs/>
          <w:iCs/>
          <w:lang w:eastAsia="it-IT"/>
        </w:rPr>
        <w:t xml:space="preserve">il </w:t>
      </w:r>
      <w:r>
        <w:rPr>
          <w:rFonts w:eastAsia="Calibri" w:cs="Calibri"/>
          <w:bCs/>
          <w:iCs/>
          <w:lang w:eastAsia="it-IT"/>
        </w:rPr>
        <w:t xml:space="preserve">10/02/2023 </w:t>
      </w:r>
      <w:r w:rsidRPr="00EA7679">
        <w:rPr>
          <w:rFonts w:eastAsia="Calibri" w:cs="Calibri"/>
          <w:bCs/>
          <w:iCs/>
          <w:lang w:eastAsia="it-IT"/>
        </w:rPr>
        <w:t>(GU Serie Generale n.3</w:t>
      </w:r>
      <w:r>
        <w:rPr>
          <w:rFonts w:eastAsia="Calibri" w:cs="Calibri"/>
          <w:bCs/>
          <w:iCs/>
          <w:lang w:eastAsia="it-IT"/>
        </w:rPr>
        <w:t>4</w:t>
      </w:r>
      <w:r w:rsidRPr="00EA7679">
        <w:rPr>
          <w:rFonts w:eastAsia="Calibri" w:cs="Calibri"/>
          <w:bCs/>
          <w:iCs/>
          <w:lang w:eastAsia="it-IT"/>
        </w:rPr>
        <w:t xml:space="preserve"> del 1</w:t>
      </w:r>
      <w:r>
        <w:rPr>
          <w:rFonts w:eastAsia="Calibri" w:cs="Calibri"/>
          <w:bCs/>
          <w:iCs/>
          <w:lang w:eastAsia="it-IT"/>
        </w:rPr>
        <w:t>0</w:t>
      </w:r>
      <w:r w:rsidRPr="00EA7679">
        <w:rPr>
          <w:rFonts w:eastAsia="Calibri" w:cs="Calibri"/>
          <w:bCs/>
          <w:iCs/>
          <w:lang w:eastAsia="it-IT"/>
        </w:rPr>
        <w:t>-02-2023)</w:t>
      </w:r>
      <w:r>
        <w:rPr>
          <w:rFonts w:eastAsia="Calibri" w:cs="Calibri"/>
          <w:bCs/>
          <w:iCs/>
          <w:lang w:eastAsia="it-IT"/>
        </w:rPr>
        <w:t>.</w:t>
      </w:r>
    </w:p>
    <w:p w14:paraId="2FB414F9" w14:textId="77777777" w:rsidR="00B93603" w:rsidRPr="00EF6711" w:rsidRDefault="00B93603" w:rsidP="00B93603">
      <w:pPr>
        <w:spacing w:after="0" w:line="240" w:lineRule="auto"/>
        <w:jc w:val="both"/>
      </w:pPr>
    </w:p>
    <w:p w14:paraId="2A95617C" w14:textId="77777777" w:rsidR="00B93603" w:rsidRDefault="00B93603" w:rsidP="00B93603">
      <w:pPr>
        <w:autoSpaceDE w:val="0"/>
        <w:autoSpaceDN w:val="0"/>
        <w:adjustRightInd w:val="0"/>
        <w:spacing w:after="0" w:line="240" w:lineRule="auto"/>
        <w:jc w:val="both"/>
        <w:rPr>
          <w:rFonts w:eastAsia="Calibri" w:cs="Calibri"/>
          <w:color w:val="000000"/>
          <w:lang w:eastAsia="it-IT"/>
        </w:rPr>
      </w:pPr>
      <w:r>
        <w:rPr>
          <w:rFonts w:eastAsia="Calibri" w:cs="Calibri"/>
          <w:color w:val="000000"/>
          <w:lang w:eastAsia="it-IT"/>
        </w:rPr>
        <w:t>BIDEF</w:t>
      </w:r>
      <w:r>
        <w:rPr>
          <w:rFonts w:eastAsia="Calibri" w:cs="Calibri"/>
          <w:bCs/>
          <w:iCs/>
          <w:lang w:eastAsia="it-IT"/>
        </w:rPr>
        <w:t xml:space="preserve"> </w:t>
      </w:r>
      <w:r w:rsidRPr="00B7597D">
        <w:rPr>
          <w:rFonts w:eastAsia="Calibri" w:cs="Calibri"/>
          <w:color w:val="000000"/>
          <w:lang w:eastAsia="it-IT"/>
        </w:rPr>
        <w:t xml:space="preserve">può essere ottenuto solo su </w:t>
      </w:r>
      <w:r w:rsidRPr="00EA7679">
        <w:rPr>
          <w:rFonts w:eastAsia="Calibri" w:cs="Calibri"/>
          <w:color w:val="000000"/>
          <w:lang w:eastAsia="it-IT"/>
        </w:rPr>
        <w:t>prescrizione da parte del medico (RR)</w:t>
      </w:r>
      <w:r w:rsidRPr="00B7597D">
        <w:rPr>
          <w:rFonts w:eastAsia="Calibri" w:cs="Calibri"/>
          <w:color w:val="000000"/>
          <w:lang w:eastAsia="it-IT"/>
        </w:rPr>
        <w:t>.</w:t>
      </w:r>
    </w:p>
    <w:p w14:paraId="3FC9A165" w14:textId="77777777" w:rsidR="00B93603" w:rsidRPr="00EF6711" w:rsidRDefault="00B93603" w:rsidP="00B93603">
      <w:pPr>
        <w:autoSpaceDE w:val="0"/>
        <w:autoSpaceDN w:val="0"/>
        <w:adjustRightInd w:val="0"/>
        <w:spacing w:after="0" w:line="240" w:lineRule="auto"/>
        <w:jc w:val="both"/>
      </w:pPr>
    </w:p>
    <w:p w14:paraId="3541873E" w14:textId="77777777" w:rsidR="00B93603" w:rsidRPr="00EF6711" w:rsidRDefault="00B93603" w:rsidP="00B93603">
      <w:pPr>
        <w:spacing w:after="0" w:line="240" w:lineRule="auto"/>
        <w:jc w:val="both"/>
      </w:pPr>
      <w:r w:rsidRPr="00EF6711">
        <w:t xml:space="preserve">Questa procedura è stata presentata ai sensi dell’art. </w:t>
      </w:r>
      <w:r>
        <w:t xml:space="preserve">10.1 </w:t>
      </w:r>
      <w:r w:rsidRPr="00CC1FBA">
        <w:t>(</w:t>
      </w:r>
      <w:proofErr w:type="spellStart"/>
      <w:r w:rsidRPr="00CC1FBA">
        <w:t>generic</w:t>
      </w:r>
      <w:proofErr w:type="spellEnd"/>
      <w:r w:rsidRPr="00CC1FBA">
        <w:t xml:space="preserve"> application)</w:t>
      </w:r>
      <w:r w:rsidRPr="00EF6711">
        <w:t xml:space="preserve"> della Direttiva 2001/83/EU </w:t>
      </w:r>
      <w:proofErr w:type="spellStart"/>
      <w:r w:rsidRPr="00EF6711">
        <w:t>s.m.i.</w:t>
      </w:r>
      <w:proofErr w:type="spellEnd"/>
    </w:p>
    <w:p w14:paraId="2DEE306A" w14:textId="77777777" w:rsidR="00B93603" w:rsidRDefault="00B93603" w:rsidP="00B93603">
      <w:pPr>
        <w:widowControl w:val="0"/>
        <w:spacing w:after="0" w:line="240" w:lineRule="auto"/>
        <w:jc w:val="both"/>
        <w:rPr>
          <w:rFonts w:eastAsia="Calibri" w:cs="Calibri"/>
          <w:b/>
          <w:bCs/>
          <w:i/>
          <w:sz w:val="20"/>
          <w:highlight w:val="green"/>
          <w:lang w:eastAsia="it-IT"/>
        </w:rPr>
      </w:pPr>
    </w:p>
    <w:p w14:paraId="25C412A6" w14:textId="77777777" w:rsidR="00B93603" w:rsidRPr="00EF6711" w:rsidRDefault="00B93603" w:rsidP="00B93603">
      <w:pPr>
        <w:widowControl w:val="0"/>
        <w:spacing w:after="0" w:line="240" w:lineRule="auto"/>
        <w:jc w:val="both"/>
        <w:rPr>
          <w:rFonts w:eastAsia="Calibri" w:cs="Calibri"/>
          <w:lang w:eastAsia="it-IT"/>
        </w:rPr>
      </w:pPr>
      <w:r>
        <w:rPr>
          <w:rFonts w:eastAsia="Calibri" w:cs="Calibri"/>
          <w:color w:val="000000"/>
          <w:lang w:eastAsia="it-IT"/>
        </w:rPr>
        <w:t xml:space="preserve">BIDEF </w:t>
      </w:r>
      <w:r w:rsidRPr="00EF6711">
        <w:rPr>
          <w:rFonts w:eastAsia="Calibri" w:cs="Calibri"/>
          <w:lang w:eastAsia="it-IT"/>
        </w:rPr>
        <w:t xml:space="preserve">è un medicinale contenente </w:t>
      </w:r>
      <w:r>
        <w:rPr>
          <w:rFonts w:eastAsia="Calibri" w:cs="Calibri"/>
          <w:lang w:eastAsia="it-IT"/>
        </w:rPr>
        <w:t xml:space="preserve">sildenafil </w:t>
      </w:r>
      <w:r w:rsidRPr="00EF6711">
        <w:rPr>
          <w:rFonts w:eastAsia="Calibri" w:cs="Calibri"/>
          <w:lang w:eastAsia="it-IT"/>
        </w:rPr>
        <w:t>un principio attivo</w:t>
      </w:r>
      <w:bookmarkStart w:id="4" w:name="_Hlk149918467"/>
      <w:r>
        <w:rPr>
          <w:rFonts w:eastAsia="Calibri" w:cs="Calibri"/>
          <w:lang w:eastAsia="it-IT"/>
        </w:rPr>
        <w:t xml:space="preserve"> </w:t>
      </w:r>
      <w:bookmarkEnd w:id="4"/>
      <w:r w:rsidRPr="00EF6711">
        <w:rPr>
          <w:rFonts w:eastAsia="Calibri" w:cs="Calibri"/>
          <w:lang w:eastAsia="it-IT"/>
        </w:rPr>
        <w:t>noto</w:t>
      </w:r>
      <w:r>
        <w:rPr>
          <w:rFonts w:eastAsia="Calibri" w:cs="Calibri"/>
          <w:lang w:eastAsia="it-IT"/>
        </w:rPr>
        <w:t xml:space="preserve"> </w:t>
      </w:r>
      <w:r w:rsidRPr="00EF6711">
        <w:rPr>
          <w:rFonts w:eastAsia="Calibri" w:cs="Calibri"/>
          <w:lang w:eastAsia="it-IT"/>
        </w:rPr>
        <w:t xml:space="preserve">e presente nel medicinale di riferimento </w:t>
      </w:r>
      <w:r w:rsidRPr="00942301">
        <w:rPr>
          <w:rFonts w:eastAsia="Calibri" w:cs="Calibri"/>
          <w:lang w:eastAsia="it-IT"/>
        </w:rPr>
        <w:t xml:space="preserve">VIAGRA autorizzato in Italia da più di </w:t>
      </w:r>
      <w:r w:rsidR="002E3CDC" w:rsidRPr="00942301">
        <w:rPr>
          <w:rFonts w:eastAsia="Calibri" w:cs="Calibri"/>
          <w:lang w:eastAsia="it-IT"/>
        </w:rPr>
        <w:t>8</w:t>
      </w:r>
      <w:r w:rsidRPr="00942301">
        <w:rPr>
          <w:rFonts w:eastAsia="Calibri" w:cs="Calibri"/>
          <w:lang w:eastAsia="it-IT"/>
        </w:rPr>
        <w:t xml:space="preserve"> anni.</w:t>
      </w:r>
    </w:p>
    <w:p w14:paraId="6E0C305C" w14:textId="77777777" w:rsidR="00B93603" w:rsidRPr="00EF6711" w:rsidRDefault="00B93603" w:rsidP="00B93603">
      <w:pPr>
        <w:spacing w:after="0" w:line="240" w:lineRule="auto"/>
        <w:jc w:val="both"/>
        <w:rPr>
          <w:highlight w:val="yellow"/>
        </w:rPr>
      </w:pPr>
    </w:p>
    <w:p w14:paraId="64A83341" w14:textId="77777777" w:rsidR="00B93603" w:rsidRPr="00C1729E" w:rsidRDefault="00B93603" w:rsidP="00B93603">
      <w:pPr>
        <w:tabs>
          <w:tab w:val="left" w:pos="0"/>
        </w:tabs>
        <w:overflowPunct w:val="0"/>
        <w:autoSpaceDE w:val="0"/>
        <w:autoSpaceDN w:val="0"/>
        <w:adjustRightInd w:val="0"/>
        <w:spacing w:after="0" w:line="240" w:lineRule="auto"/>
        <w:jc w:val="both"/>
        <w:textAlignment w:val="baseline"/>
        <w:rPr>
          <w:rFonts w:eastAsia="Calibri" w:cs="Calibri"/>
          <w:bCs/>
          <w:lang w:eastAsia="it-IT"/>
        </w:rPr>
      </w:pPr>
      <w:r>
        <w:rPr>
          <w:rFonts w:eastAsia="Calibri" w:cs="Calibri"/>
          <w:color w:val="000000"/>
          <w:lang w:eastAsia="it-IT"/>
        </w:rPr>
        <w:t>BIDEF</w:t>
      </w:r>
      <w:r w:rsidRPr="00EF6711">
        <w:rPr>
          <w:rFonts w:eastAsia="Calibri" w:cs="Calibri"/>
          <w:bCs/>
          <w:lang w:eastAsia="it-IT"/>
        </w:rPr>
        <w:t xml:space="preserve">, </w:t>
      </w:r>
      <w:r w:rsidRPr="00EF6711">
        <w:t>il cui c</w:t>
      </w:r>
      <w:r w:rsidRPr="00EF6711">
        <w:rPr>
          <w:iCs/>
        </w:rPr>
        <w:t xml:space="preserve">odice ATC è </w:t>
      </w:r>
      <w:r w:rsidRPr="00CC1FBA">
        <w:t>G04B E03</w:t>
      </w:r>
      <w:r w:rsidRPr="00EF6711">
        <w:rPr>
          <w:rFonts w:eastAsia="DejaVuSans" w:cs="DejaVuSans"/>
        </w:rPr>
        <w:t>,</w:t>
      </w:r>
      <w:r w:rsidRPr="00EF6711">
        <w:rPr>
          <w:rFonts w:eastAsia="Calibri" w:cs="Calibri"/>
          <w:bCs/>
          <w:lang w:eastAsia="it-IT"/>
        </w:rPr>
        <w:t xml:space="preserve"> </w:t>
      </w:r>
      <w:r w:rsidRPr="00EF6711">
        <w:rPr>
          <w:rFonts w:eastAsia="Calibri" w:cs="Calibri"/>
          <w:lang w:eastAsia="it-IT"/>
        </w:rPr>
        <w:t xml:space="preserve">contiene il principio attivo </w:t>
      </w:r>
      <w:r>
        <w:rPr>
          <w:rFonts w:eastAsia="Calibri" w:cs="Calibri"/>
          <w:lang w:eastAsia="it-IT"/>
        </w:rPr>
        <w:t>sildenafil</w:t>
      </w:r>
      <w:r w:rsidRPr="00EF6711">
        <w:rPr>
          <w:rFonts w:eastAsia="Calibri" w:cs="Calibri"/>
          <w:bCs/>
          <w:lang w:eastAsia="it-IT"/>
        </w:rPr>
        <w:t xml:space="preserve"> </w:t>
      </w:r>
      <w:r>
        <w:rPr>
          <w:rFonts w:eastAsia="Calibri" w:cs="Calibri"/>
          <w:bCs/>
          <w:lang w:eastAsia="it-IT"/>
        </w:rPr>
        <w:t xml:space="preserve">e </w:t>
      </w:r>
      <w:r w:rsidRPr="00C1729E">
        <w:t xml:space="preserve">rappresenta una terapia orale per la disfunzione erettile. In condizioni normali, ovvero in presenza di una stimolazione sessuale, sildenafil ripristina una funzione erettile compromessa mediante un aumento del flusso sanguigno al pene. </w:t>
      </w:r>
    </w:p>
    <w:p w14:paraId="23C32BF1" w14:textId="77777777" w:rsidR="00B93603" w:rsidRPr="00C1729E" w:rsidRDefault="00B93603" w:rsidP="00B93603">
      <w:pPr>
        <w:tabs>
          <w:tab w:val="left" w:pos="0"/>
        </w:tabs>
        <w:overflowPunct w:val="0"/>
        <w:autoSpaceDE w:val="0"/>
        <w:autoSpaceDN w:val="0"/>
        <w:adjustRightInd w:val="0"/>
        <w:spacing w:after="0" w:line="240" w:lineRule="auto"/>
        <w:jc w:val="both"/>
        <w:textAlignment w:val="baseline"/>
      </w:pPr>
      <w:r w:rsidRPr="00C1729E">
        <w:t xml:space="preserve">Il meccanismo fisiologico responsabile dell’erezione del pene implica il rilascio di ossido di azoto (NO) nel corpo cavernoso durante la stimolazione sessuale. L’ossido di azoto a sua volta attiva l’enzima </w:t>
      </w:r>
      <w:proofErr w:type="spellStart"/>
      <w:r w:rsidRPr="00C1729E">
        <w:t>guanil-ciclasi</w:t>
      </w:r>
      <w:proofErr w:type="spellEnd"/>
      <w:r w:rsidRPr="00C1729E">
        <w:t xml:space="preserve"> che provoca un aumento dei livelli di </w:t>
      </w:r>
      <w:proofErr w:type="spellStart"/>
      <w:r w:rsidRPr="00C1729E">
        <w:t>guanosin</w:t>
      </w:r>
      <w:proofErr w:type="spellEnd"/>
      <w:r w:rsidRPr="00C1729E">
        <w:t xml:space="preserve"> monofosfato ciclico (cGMP), producendo il rilassamento della muscolatura liscia nel corpo cavernoso e consentendo quindi l’afflusso di sangue.</w:t>
      </w:r>
    </w:p>
    <w:p w14:paraId="11798289" w14:textId="77777777" w:rsidR="00B93603" w:rsidRPr="00C1729E" w:rsidRDefault="00B93603" w:rsidP="00B93603">
      <w:pPr>
        <w:tabs>
          <w:tab w:val="left" w:pos="0"/>
        </w:tabs>
        <w:overflowPunct w:val="0"/>
        <w:autoSpaceDE w:val="0"/>
        <w:autoSpaceDN w:val="0"/>
        <w:adjustRightInd w:val="0"/>
        <w:spacing w:after="0" w:line="240" w:lineRule="auto"/>
        <w:jc w:val="both"/>
        <w:textAlignment w:val="baseline"/>
      </w:pPr>
      <w:r w:rsidRPr="00C1729E">
        <w:t>Sildenafil è un potente inibitore selettivo della fosfodiesterasi di tipo 5 cGMP-specifica (PDE5) nel corpo cavernoso, dove la PDE5 è responsabile della degradazione di cGMP. Sildenafil agisce perifericamente sulle erezioni. Sildenafil non ha un effetto rilassante diretto sul corpo cavernoso isolato dall’uomo, ma aumenta in modo efficace l'effetto rilassante dell'ossido di azoto (NO) su questo tessuto. Quando la via NO/cGMP viene attivata, come avviene con la stimolazione sessuale, l’inibizione della PDE5 da parte di sildenafil provoca un aumento dei livelli di cGMP nel corpo cavernoso. Pertanto è necessaria la stimolazione sessuale affinché sildenafil possa produrre i suoi benefici effetti farmacologici previsti.</w:t>
      </w:r>
    </w:p>
    <w:p w14:paraId="7D918E45" w14:textId="77777777" w:rsidR="00B93603" w:rsidRDefault="00B93603" w:rsidP="00B93603">
      <w:pPr>
        <w:tabs>
          <w:tab w:val="left" w:pos="0"/>
        </w:tabs>
        <w:overflowPunct w:val="0"/>
        <w:autoSpaceDE w:val="0"/>
        <w:autoSpaceDN w:val="0"/>
        <w:adjustRightInd w:val="0"/>
        <w:spacing w:after="0" w:line="240" w:lineRule="auto"/>
        <w:jc w:val="both"/>
        <w:textAlignment w:val="baseline"/>
      </w:pPr>
    </w:p>
    <w:p w14:paraId="540BD85D" w14:textId="77777777" w:rsidR="00B93603" w:rsidRDefault="00B93603" w:rsidP="00B93603">
      <w:pPr>
        <w:tabs>
          <w:tab w:val="left" w:pos="0"/>
        </w:tabs>
        <w:overflowPunct w:val="0"/>
        <w:autoSpaceDE w:val="0"/>
        <w:autoSpaceDN w:val="0"/>
        <w:adjustRightInd w:val="0"/>
        <w:spacing w:after="0" w:line="240" w:lineRule="auto"/>
        <w:jc w:val="both"/>
        <w:textAlignment w:val="baseline"/>
      </w:pPr>
      <w:r>
        <w:rPr>
          <w:rFonts w:eastAsia="Calibri" w:cs="Calibri"/>
          <w:color w:val="000000"/>
          <w:lang w:eastAsia="it-IT"/>
        </w:rPr>
        <w:t xml:space="preserve">BIDEF </w:t>
      </w:r>
      <w:r w:rsidRPr="004C6023">
        <w:t>è indicato negli uomini adulti con disfunzione erettile, ovvero con incapacità a raggiungere o a mantenere un’erezione idonea per una attività sessuale soddisfacente. È necessaria la stimolazione sessuale affinché possa essere efficace</w:t>
      </w:r>
      <w:r>
        <w:t>.</w:t>
      </w:r>
    </w:p>
    <w:p w14:paraId="657845D1" w14:textId="77777777" w:rsidR="00B93603" w:rsidRDefault="00B93603" w:rsidP="00B93603">
      <w:pPr>
        <w:tabs>
          <w:tab w:val="left" w:pos="0"/>
        </w:tabs>
        <w:overflowPunct w:val="0"/>
        <w:autoSpaceDE w:val="0"/>
        <w:autoSpaceDN w:val="0"/>
        <w:adjustRightInd w:val="0"/>
        <w:spacing w:after="0" w:line="240" w:lineRule="auto"/>
        <w:jc w:val="both"/>
        <w:textAlignment w:val="baseline"/>
      </w:pPr>
    </w:p>
    <w:p w14:paraId="521B618E" w14:textId="77777777" w:rsidR="00B93603" w:rsidRPr="00900C91" w:rsidRDefault="00B93603" w:rsidP="00B93603">
      <w:pPr>
        <w:spacing w:after="0" w:line="240" w:lineRule="auto"/>
        <w:jc w:val="both"/>
      </w:pPr>
      <w:r w:rsidRPr="007461B9">
        <w:t xml:space="preserve">La richiesta di AIC è supportata da uno studio di </w:t>
      </w:r>
      <w:proofErr w:type="spellStart"/>
      <w:r w:rsidRPr="007461B9">
        <w:t>bioequivalenza</w:t>
      </w:r>
      <w:proofErr w:type="spellEnd"/>
      <w:r w:rsidRPr="007461B9">
        <w:t xml:space="preserve"> che ha confrontato i profili farmacocinetici</w:t>
      </w:r>
      <w:r w:rsidRPr="00900C91">
        <w:t xml:space="preserve"> del medicinale test </w:t>
      </w:r>
      <w:r>
        <w:rPr>
          <w:rFonts w:eastAsia="Calibri" w:cs="Calibri"/>
          <w:color w:val="000000"/>
          <w:lang w:eastAsia="it-IT"/>
        </w:rPr>
        <w:t>BIDEF</w:t>
      </w:r>
      <w:r w:rsidRPr="00900C91">
        <w:t xml:space="preserve"> e quelli del medicinale</w:t>
      </w:r>
      <w:r>
        <w:t xml:space="preserve"> di riferimento</w:t>
      </w:r>
      <w:r w:rsidRPr="00900C91">
        <w:t xml:space="preserve"> </w:t>
      </w:r>
      <w:r>
        <w:t>VIAGRA autorizzato in Italia</w:t>
      </w:r>
      <w:r w:rsidRPr="00900C91">
        <w:t>.</w:t>
      </w:r>
    </w:p>
    <w:p w14:paraId="7F7A5D5F" w14:textId="77777777" w:rsidR="00B93603" w:rsidRDefault="00B93603" w:rsidP="00B93603">
      <w:pPr>
        <w:spacing w:after="0" w:line="240" w:lineRule="auto"/>
        <w:jc w:val="both"/>
      </w:pPr>
      <w:r w:rsidRPr="00900C91">
        <w:t xml:space="preserve">Lo studio di </w:t>
      </w:r>
      <w:proofErr w:type="spellStart"/>
      <w:r w:rsidRPr="00900C91">
        <w:t>bioequivalenza</w:t>
      </w:r>
      <w:proofErr w:type="spellEnd"/>
      <w:r w:rsidRPr="00900C91">
        <w:t xml:space="preserve"> è stato condotto in conformità alle linee guida di Buona Pratica Clinica (</w:t>
      </w:r>
      <w:proofErr w:type="spellStart"/>
      <w:r w:rsidRPr="00900C91">
        <w:rPr>
          <w:i/>
        </w:rPr>
        <w:t>Good</w:t>
      </w:r>
      <w:proofErr w:type="spellEnd"/>
      <w:r w:rsidRPr="00900C91">
        <w:rPr>
          <w:i/>
        </w:rPr>
        <w:t xml:space="preserve"> </w:t>
      </w:r>
      <w:proofErr w:type="spellStart"/>
      <w:r w:rsidRPr="00900C91">
        <w:rPr>
          <w:i/>
        </w:rPr>
        <w:t>Clinical</w:t>
      </w:r>
      <w:proofErr w:type="spellEnd"/>
      <w:r w:rsidRPr="00900C91">
        <w:rPr>
          <w:i/>
        </w:rPr>
        <w:t xml:space="preserve"> Practice</w:t>
      </w:r>
      <w:r w:rsidRPr="00900C91">
        <w:t xml:space="preserve"> - GCP).</w:t>
      </w:r>
    </w:p>
    <w:p w14:paraId="145D0F15" w14:textId="77777777" w:rsidR="00B93603" w:rsidRDefault="00B93603" w:rsidP="00B93603">
      <w:pPr>
        <w:spacing w:after="0" w:line="240" w:lineRule="auto"/>
        <w:jc w:val="both"/>
      </w:pPr>
    </w:p>
    <w:p w14:paraId="51185EFC" w14:textId="77777777" w:rsidR="00B93603" w:rsidRPr="00EF6711" w:rsidRDefault="00B93603" w:rsidP="00B93603">
      <w:pPr>
        <w:spacing w:after="0" w:line="240" w:lineRule="auto"/>
        <w:jc w:val="both"/>
      </w:pPr>
      <w:r w:rsidRPr="00EF6711">
        <w:t>Le officine coinvolte nella produzione sono conformi alle linee guida di Buona Pratica di Fabbricazione (</w:t>
      </w:r>
      <w:proofErr w:type="spellStart"/>
      <w:r w:rsidRPr="00EF6711">
        <w:rPr>
          <w:i/>
        </w:rPr>
        <w:t>Good</w:t>
      </w:r>
      <w:proofErr w:type="spellEnd"/>
      <w:r w:rsidRPr="00EF6711">
        <w:rPr>
          <w:i/>
        </w:rPr>
        <w:t xml:space="preserve"> Manufacturing Practice</w:t>
      </w:r>
      <w:r w:rsidRPr="00EF6711">
        <w:t xml:space="preserve"> - GMP). Le autorità regolatore competenti hanno rilasciato i certificati GMP per i siti di produzione sul territorio dell’Unione Europea.</w:t>
      </w:r>
    </w:p>
    <w:p w14:paraId="2F00D8E4" w14:textId="77777777" w:rsidR="00B93603" w:rsidRPr="00EF6711" w:rsidRDefault="00B93603" w:rsidP="00B93603">
      <w:pPr>
        <w:spacing w:after="0" w:line="240" w:lineRule="auto"/>
        <w:jc w:val="both"/>
        <w:rPr>
          <w:highlight w:val="yellow"/>
        </w:rPr>
      </w:pPr>
    </w:p>
    <w:p w14:paraId="4E8D7985" w14:textId="77777777" w:rsidR="00B93603" w:rsidRPr="00EF6711" w:rsidRDefault="00B93603" w:rsidP="00B93603">
      <w:pPr>
        <w:spacing w:after="0" w:line="240" w:lineRule="auto"/>
        <w:jc w:val="both"/>
      </w:pPr>
      <w:r w:rsidRPr="00EF6711">
        <w:t xml:space="preserve">Il sistema di Farmacovigilanza descritto dal titolare dell’AIC è conforme ai requisiti previsti dalla normativa corrente. </w:t>
      </w:r>
      <w:proofErr w:type="gramStart"/>
      <w:r w:rsidRPr="00EF6711">
        <w:t>E’</w:t>
      </w:r>
      <w:proofErr w:type="gramEnd"/>
      <w:r w:rsidRPr="00EF6711">
        <w:t xml:space="preserve"> stato presentato un Piano di gestione del rischio (</w:t>
      </w:r>
      <w:r w:rsidRPr="00EF6711">
        <w:rPr>
          <w:i/>
        </w:rPr>
        <w:t>Risk Management Plan</w:t>
      </w:r>
      <w:r w:rsidRPr="00EF6711">
        <w:t xml:space="preserve"> – RMP) accettabile.</w:t>
      </w:r>
    </w:p>
    <w:p w14:paraId="247BC33A" w14:textId="77777777" w:rsidR="00B93603" w:rsidRPr="00EF6711" w:rsidRDefault="00B93603" w:rsidP="00B93603">
      <w:pPr>
        <w:spacing w:after="0" w:line="240" w:lineRule="auto"/>
        <w:jc w:val="both"/>
      </w:pPr>
    </w:p>
    <w:p w14:paraId="3AFD4EBA" w14:textId="77777777" w:rsidR="00B93603" w:rsidRPr="00EF6711" w:rsidRDefault="00B93603" w:rsidP="00B93603">
      <w:pPr>
        <w:spacing w:after="0" w:line="240" w:lineRule="auto"/>
        <w:jc w:val="both"/>
      </w:pPr>
      <w:r w:rsidRPr="00EF6711">
        <w:t xml:space="preserve">Il titolare di AIC ha presentato una adeguata giustificazione della non presentazione della Valutazione del Rischio ambientale; questo approccio è accettabile in quanto </w:t>
      </w:r>
      <w:r>
        <w:rPr>
          <w:rFonts w:eastAsia="Calibri" w:cs="Calibri"/>
          <w:color w:val="000000"/>
          <w:lang w:eastAsia="it-IT"/>
        </w:rPr>
        <w:t>BIDEF</w:t>
      </w:r>
      <w:r>
        <w:rPr>
          <w:rFonts w:ascii="Calibri" w:hAnsi="Calibri" w:cs="Arial"/>
        </w:rPr>
        <w:t xml:space="preserve"> </w:t>
      </w:r>
      <w:r w:rsidRPr="00EF6711">
        <w:t xml:space="preserve">contiene </w:t>
      </w:r>
      <w:r>
        <w:t xml:space="preserve">un </w:t>
      </w:r>
      <w:r w:rsidRPr="00EF6711">
        <w:t>principi</w:t>
      </w:r>
      <w:r>
        <w:t>o</w:t>
      </w:r>
      <w:r w:rsidRPr="00EF6711">
        <w:t xml:space="preserve"> attiv</w:t>
      </w:r>
      <w:r>
        <w:t>o</w:t>
      </w:r>
      <w:r w:rsidRPr="00EF6711">
        <w:t xml:space="preserve"> not</w:t>
      </w:r>
      <w:r>
        <w:t>o</w:t>
      </w:r>
      <w:r w:rsidRPr="00EF6711">
        <w:t xml:space="preserve"> present</w:t>
      </w:r>
      <w:r>
        <w:t>e</w:t>
      </w:r>
      <w:r w:rsidRPr="00EF6711">
        <w:t xml:space="preserve"> in medicinali autorizzati; inoltre, non sono presenti componenti geneticamente modificati; il metodo di produzione e la formulazione del medicinale non presentano problematiche di carattere ambientale.</w:t>
      </w:r>
    </w:p>
    <w:p w14:paraId="22C21A6D" w14:textId="77777777" w:rsidR="00B93603" w:rsidRPr="00EF6711" w:rsidRDefault="00B93603" w:rsidP="00B93603">
      <w:pPr>
        <w:spacing w:after="0" w:line="240" w:lineRule="auto"/>
        <w:jc w:val="both"/>
      </w:pPr>
    </w:p>
    <w:p w14:paraId="0B7C8DCF" w14:textId="77777777" w:rsidR="00B93603" w:rsidRPr="00EF6711" w:rsidRDefault="00B93603" w:rsidP="00B93603">
      <w:pPr>
        <w:spacing w:after="0" w:line="240" w:lineRule="auto"/>
        <w:jc w:val="both"/>
      </w:pPr>
    </w:p>
    <w:p w14:paraId="4458F93E" w14:textId="77777777" w:rsidR="00B93603" w:rsidRPr="00EF6711" w:rsidRDefault="00B93603" w:rsidP="00B93603">
      <w:pPr>
        <w:pStyle w:val="Paragrafoelenco"/>
        <w:numPr>
          <w:ilvl w:val="0"/>
          <w:numId w:val="2"/>
        </w:numPr>
        <w:spacing w:after="0" w:line="240" w:lineRule="auto"/>
        <w:jc w:val="both"/>
        <w:rPr>
          <w:b/>
        </w:rPr>
      </w:pPr>
      <w:r w:rsidRPr="00EF6711">
        <w:rPr>
          <w:b/>
        </w:rPr>
        <w:t>ASPETTI DI QUALITA’</w:t>
      </w:r>
    </w:p>
    <w:p w14:paraId="245E9E76" w14:textId="77777777" w:rsidR="00B93603" w:rsidRPr="00EF6711" w:rsidRDefault="00B93603" w:rsidP="00B93603">
      <w:pPr>
        <w:spacing w:after="0" w:line="240" w:lineRule="auto"/>
        <w:jc w:val="both"/>
      </w:pPr>
      <w:r w:rsidRPr="00EF6711">
        <w:rPr>
          <w:b/>
        </w:rPr>
        <w:t xml:space="preserve">II.1 PRINCIPIO ATTIVO </w:t>
      </w:r>
      <w:r>
        <w:rPr>
          <w:b/>
        </w:rPr>
        <w:t>SILDENAFIL CITRATO</w:t>
      </w:r>
    </w:p>
    <w:p w14:paraId="5CF1CDA9" w14:textId="77777777" w:rsidR="00B93603" w:rsidRPr="008A1EBC" w:rsidRDefault="00B93603" w:rsidP="00B93603">
      <w:pPr>
        <w:autoSpaceDE w:val="0"/>
        <w:autoSpaceDN w:val="0"/>
        <w:adjustRightInd w:val="0"/>
        <w:spacing w:after="0" w:line="240" w:lineRule="auto"/>
        <w:rPr>
          <w:rFonts w:cs="Calibri"/>
        </w:rPr>
      </w:pPr>
      <w:r w:rsidRPr="00EF6711">
        <w:rPr>
          <w:u w:val="single"/>
        </w:rPr>
        <w:lastRenderedPageBreak/>
        <w:t>Nome chimico</w:t>
      </w:r>
      <w:r w:rsidRPr="00EF6711">
        <w:rPr>
          <w:i/>
          <w:iCs/>
        </w:rPr>
        <w:t xml:space="preserve"> </w:t>
      </w:r>
      <w:r w:rsidRPr="00AA168A">
        <w:rPr>
          <w:rFonts w:cs="Calibri"/>
        </w:rPr>
        <w:t>1-[[3-(4,7-Dihydro-1-methyl-7-oxo-3-propyl-1H-pyrazolo[4,3-</w:t>
      </w:r>
      <w:proofErr w:type="gramStart"/>
      <w:r w:rsidRPr="00AA168A">
        <w:rPr>
          <w:rFonts w:cs="Calibri"/>
        </w:rPr>
        <w:t>d]pyrimidin</w:t>
      </w:r>
      <w:proofErr w:type="gramEnd"/>
      <w:r w:rsidRPr="00AA168A">
        <w:rPr>
          <w:rFonts w:cs="Calibri"/>
        </w:rPr>
        <w:t xml:space="preserve">-5-yl)-4-ethoxyphenyl]sulfonyl]-4-methylpiperazine </w:t>
      </w:r>
      <w:proofErr w:type="spellStart"/>
      <w:r w:rsidRPr="00AA168A">
        <w:rPr>
          <w:rFonts w:cs="Calibri"/>
        </w:rPr>
        <w:t>citrate</w:t>
      </w:r>
      <w:proofErr w:type="spellEnd"/>
      <w:r w:rsidRPr="00AA168A">
        <w:rPr>
          <w:rFonts w:cs="Calibri"/>
        </w:rPr>
        <w:t xml:space="preserve"> </w:t>
      </w:r>
      <w:proofErr w:type="spellStart"/>
      <w:r w:rsidRPr="00AA168A">
        <w:rPr>
          <w:rFonts w:cs="Calibri"/>
        </w:rPr>
        <w:t>salt</w:t>
      </w:r>
      <w:proofErr w:type="spellEnd"/>
    </w:p>
    <w:p w14:paraId="436BC075" w14:textId="77777777" w:rsidR="00B93603" w:rsidRPr="004C6023" w:rsidRDefault="00B93603" w:rsidP="00B93603">
      <w:pPr>
        <w:spacing w:after="0" w:line="240" w:lineRule="auto"/>
        <w:jc w:val="both"/>
      </w:pPr>
      <w:r w:rsidRPr="00EF6711">
        <w:rPr>
          <w:u w:val="single"/>
        </w:rPr>
        <w:t>Struttura</w:t>
      </w:r>
      <w:r w:rsidRPr="00EF6711">
        <w:t>:</w:t>
      </w:r>
    </w:p>
    <w:p w14:paraId="17C33035" w14:textId="77777777" w:rsidR="00B93603" w:rsidRPr="00EF6711" w:rsidRDefault="00B93603" w:rsidP="00B93603">
      <w:pPr>
        <w:spacing w:after="0" w:line="240" w:lineRule="auto"/>
        <w:rPr>
          <w:highlight w:val="yellow"/>
        </w:rPr>
      </w:pPr>
      <w:r>
        <w:rPr>
          <w:noProof/>
          <w:lang w:eastAsia="it-IT"/>
        </w:rPr>
        <w:drawing>
          <wp:inline distT="0" distB="0" distL="0" distR="0" wp14:anchorId="05C581B4" wp14:editId="050D8C45">
            <wp:extent cx="3319798" cy="810603"/>
            <wp:effectExtent l="0" t="0" r="0" b="889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3072" cy="811402"/>
                    </a:xfrm>
                    <a:prstGeom prst="rect">
                      <a:avLst/>
                    </a:prstGeom>
                    <a:noFill/>
                  </pic:spPr>
                </pic:pic>
              </a:graphicData>
            </a:graphic>
          </wp:inline>
        </w:drawing>
      </w:r>
    </w:p>
    <w:p w14:paraId="361D23B7" w14:textId="77777777" w:rsidR="00B93603" w:rsidRPr="00EF6711" w:rsidRDefault="00B93603" w:rsidP="00B93603">
      <w:pPr>
        <w:spacing w:after="0" w:line="240" w:lineRule="auto"/>
        <w:jc w:val="both"/>
      </w:pPr>
      <w:r w:rsidRPr="00EF6711">
        <w:rPr>
          <w:u w:val="single"/>
        </w:rPr>
        <w:t>Formula molecolare</w:t>
      </w:r>
      <w:r w:rsidRPr="00EF6711">
        <w:t>:</w:t>
      </w:r>
      <w:r w:rsidRPr="00EF6711">
        <w:rPr>
          <w:rStyle w:val="s1"/>
          <w:rFonts w:asciiTheme="minorHAnsi" w:hAnsiTheme="minorHAnsi"/>
        </w:rPr>
        <w:t xml:space="preserve"> </w:t>
      </w:r>
      <w:r w:rsidRPr="008A1EBC">
        <w:rPr>
          <w:rFonts w:ascii="Calibri" w:hAnsi="Calibri" w:cs="Calibri"/>
          <w:lang w:val="en-GB"/>
        </w:rPr>
        <w:t>C</w:t>
      </w:r>
      <w:r w:rsidRPr="008A1EBC">
        <w:rPr>
          <w:rFonts w:ascii="Calibri" w:hAnsi="Calibri" w:cs="Calibri"/>
          <w:vertAlign w:val="subscript"/>
          <w:lang w:val="en-GB"/>
        </w:rPr>
        <w:t>22</w:t>
      </w:r>
      <w:r w:rsidRPr="008A1EBC">
        <w:rPr>
          <w:rFonts w:ascii="Calibri" w:hAnsi="Calibri" w:cs="Calibri"/>
          <w:lang w:val="en-GB"/>
        </w:rPr>
        <w:t>H</w:t>
      </w:r>
      <w:r w:rsidRPr="008A1EBC">
        <w:rPr>
          <w:rFonts w:ascii="Calibri" w:hAnsi="Calibri" w:cs="Calibri"/>
          <w:vertAlign w:val="subscript"/>
          <w:lang w:val="en-GB"/>
        </w:rPr>
        <w:t>30</w:t>
      </w:r>
      <w:r w:rsidRPr="008A1EBC">
        <w:rPr>
          <w:rFonts w:ascii="Calibri" w:hAnsi="Calibri" w:cs="Calibri"/>
          <w:lang w:val="en-GB"/>
        </w:rPr>
        <w:t>N</w:t>
      </w:r>
      <w:r w:rsidRPr="008A1EBC">
        <w:rPr>
          <w:rFonts w:ascii="Calibri" w:hAnsi="Calibri" w:cs="Calibri"/>
          <w:vertAlign w:val="subscript"/>
          <w:lang w:val="en-GB"/>
        </w:rPr>
        <w:t>6</w:t>
      </w:r>
      <w:r w:rsidRPr="008A1EBC">
        <w:rPr>
          <w:rFonts w:ascii="Calibri" w:hAnsi="Calibri" w:cs="Calibri"/>
          <w:lang w:val="en-GB"/>
        </w:rPr>
        <w:t>O</w:t>
      </w:r>
      <w:r w:rsidRPr="008A1EBC">
        <w:rPr>
          <w:rFonts w:ascii="Calibri" w:hAnsi="Calibri" w:cs="Calibri"/>
          <w:vertAlign w:val="subscript"/>
          <w:lang w:val="en-GB"/>
        </w:rPr>
        <w:t>4</w:t>
      </w:r>
      <w:r w:rsidRPr="008A1EBC">
        <w:rPr>
          <w:rFonts w:ascii="Calibri" w:hAnsi="Calibri" w:cs="Calibri"/>
          <w:lang w:val="en-GB"/>
        </w:rPr>
        <w:t>S ·C</w:t>
      </w:r>
      <w:r w:rsidRPr="008A1EBC">
        <w:rPr>
          <w:rFonts w:ascii="Calibri" w:hAnsi="Calibri" w:cs="Calibri"/>
          <w:vertAlign w:val="subscript"/>
          <w:lang w:val="en-GB"/>
        </w:rPr>
        <w:t>6</w:t>
      </w:r>
      <w:r w:rsidRPr="008A1EBC">
        <w:rPr>
          <w:rFonts w:ascii="Calibri" w:hAnsi="Calibri" w:cs="Calibri"/>
          <w:lang w:val="en-GB"/>
        </w:rPr>
        <w:t>H</w:t>
      </w:r>
      <w:r w:rsidRPr="008A1EBC">
        <w:rPr>
          <w:rFonts w:ascii="Calibri" w:hAnsi="Calibri" w:cs="Calibri"/>
          <w:vertAlign w:val="subscript"/>
          <w:lang w:val="en-GB"/>
        </w:rPr>
        <w:t>8</w:t>
      </w:r>
      <w:r w:rsidRPr="008A1EBC">
        <w:rPr>
          <w:rFonts w:ascii="Calibri" w:hAnsi="Calibri" w:cs="Calibri"/>
          <w:lang w:val="en-GB"/>
        </w:rPr>
        <w:t>O</w:t>
      </w:r>
      <w:r w:rsidRPr="008A1EBC">
        <w:rPr>
          <w:rFonts w:ascii="Calibri" w:hAnsi="Calibri" w:cs="Calibri"/>
          <w:vertAlign w:val="subscript"/>
          <w:lang w:val="en-GB"/>
        </w:rPr>
        <w:t>7</w:t>
      </w:r>
    </w:p>
    <w:p w14:paraId="16F001BE" w14:textId="77777777" w:rsidR="00B93603" w:rsidRPr="00EF6711" w:rsidRDefault="00B93603" w:rsidP="00B93603">
      <w:pPr>
        <w:spacing w:after="0" w:line="240" w:lineRule="auto"/>
        <w:jc w:val="both"/>
      </w:pPr>
      <w:r w:rsidRPr="00EF6711">
        <w:rPr>
          <w:u w:val="single"/>
        </w:rPr>
        <w:t>Peso molecolare</w:t>
      </w:r>
      <w:r w:rsidRPr="00EF6711">
        <w:t>:</w:t>
      </w:r>
      <w:r w:rsidRPr="00EF6711">
        <w:rPr>
          <w:rFonts w:cs="Arial"/>
          <w:color w:val="252525"/>
          <w:shd w:val="clear" w:color="auto" w:fill="F9F9F9"/>
        </w:rPr>
        <w:t xml:space="preserve"> </w:t>
      </w:r>
      <w:r w:rsidRPr="004576FF">
        <w:rPr>
          <w:rFonts w:cs="Calibri"/>
        </w:rPr>
        <w:t>666.70 g/</w:t>
      </w:r>
      <w:proofErr w:type="spellStart"/>
      <w:r w:rsidRPr="004576FF">
        <w:rPr>
          <w:rFonts w:cs="Calibri"/>
        </w:rPr>
        <w:t>mol</w:t>
      </w:r>
      <w:proofErr w:type="spellEnd"/>
    </w:p>
    <w:p w14:paraId="107F9CD5" w14:textId="77777777" w:rsidR="00B93603" w:rsidRPr="00EF6711" w:rsidRDefault="00B93603" w:rsidP="00B93603">
      <w:pPr>
        <w:spacing w:after="0" w:line="240" w:lineRule="auto"/>
        <w:jc w:val="both"/>
      </w:pPr>
      <w:r w:rsidRPr="00EF6711">
        <w:rPr>
          <w:u w:val="single"/>
        </w:rPr>
        <w:t>CAS</w:t>
      </w:r>
      <w:r w:rsidRPr="00EF6711">
        <w:t xml:space="preserve">: </w:t>
      </w:r>
      <w:r w:rsidRPr="00C81026">
        <w:t>171599-83-0</w:t>
      </w:r>
    </w:p>
    <w:p w14:paraId="0AB063CF" w14:textId="77777777" w:rsidR="00B93603" w:rsidRPr="00EF6711" w:rsidRDefault="00B93603" w:rsidP="00B93603">
      <w:pPr>
        <w:spacing w:after="0" w:line="240" w:lineRule="auto"/>
        <w:jc w:val="both"/>
      </w:pPr>
      <w:r w:rsidRPr="00EF6711">
        <w:rPr>
          <w:u w:val="single"/>
        </w:rPr>
        <w:t>Aspetto</w:t>
      </w:r>
      <w:r w:rsidRPr="00EF6711">
        <w:t xml:space="preserve">: </w:t>
      </w:r>
      <w:r>
        <w:t>p</w:t>
      </w:r>
      <w:r w:rsidRPr="00C81026">
        <w:t>olvere cristallina bianca o quasi bianca, leggermente igroscopica.</w:t>
      </w:r>
    </w:p>
    <w:p w14:paraId="2BF1BA2B" w14:textId="77777777" w:rsidR="00B93603" w:rsidRPr="00C81026" w:rsidRDefault="00B93603" w:rsidP="00B93603">
      <w:pPr>
        <w:spacing w:after="0" w:line="240" w:lineRule="auto"/>
        <w:jc w:val="both"/>
        <w:rPr>
          <w:rStyle w:val="s1"/>
          <w:rFonts w:asciiTheme="minorHAnsi" w:hAnsiTheme="minorHAnsi" w:cstheme="minorBidi"/>
        </w:rPr>
      </w:pPr>
      <w:r w:rsidRPr="00EF6711">
        <w:rPr>
          <w:u w:val="single"/>
        </w:rPr>
        <w:t>Solubilità</w:t>
      </w:r>
      <w:r w:rsidRPr="00EF6711">
        <w:t xml:space="preserve">: </w:t>
      </w:r>
      <w:r>
        <w:t>leggermente solubile in acqua e metanolo, praticamente insolubile in esano.</w:t>
      </w:r>
    </w:p>
    <w:p w14:paraId="737FBF69" w14:textId="77777777" w:rsidR="00B93603" w:rsidRDefault="00B93603" w:rsidP="00B93603">
      <w:pPr>
        <w:spacing w:after="0" w:line="240" w:lineRule="auto"/>
        <w:jc w:val="both"/>
      </w:pPr>
    </w:p>
    <w:p w14:paraId="06DF1D67" w14:textId="77777777" w:rsidR="00B93603" w:rsidRPr="00A72D8A" w:rsidRDefault="00B93603" w:rsidP="00B93603">
      <w:pPr>
        <w:spacing w:after="0" w:line="240" w:lineRule="auto"/>
        <w:jc w:val="both"/>
      </w:pPr>
      <w:r w:rsidRPr="0037110B">
        <w:t>Il principio attivo è presente in Farmacopea Europea</w:t>
      </w:r>
      <w:r w:rsidRPr="00A72D8A">
        <w:t xml:space="preserve"> e il Direttorato Europeo per la Qualità dei Medicinali (</w:t>
      </w:r>
      <w:proofErr w:type="spellStart"/>
      <w:r w:rsidRPr="00A72D8A">
        <w:rPr>
          <w:i/>
        </w:rPr>
        <w:t>European</w:t>
      </w:r>
      <w:proofErr w:type="spellEnd"/>
      <w:r w:rsidRPr="00A72D8A">
        <w:rPr>
          <w:i/>
        </w:rPr>
        <w:t xml:space="preserve"> </w:t>
      </w:r>
      <w:proofErr w:type="spellStart"/>
      <w:r w:rsidRPr="00A72D8A">
        <w:rPr>
          <w:i/>
        </w:rPr>
        <w:t>Directorate</w:t>
      </w:r>
      <w:proofErr w:type="spellEnd"/>
      <w:r w:rsidRPr="00A72D8A">
        <w:rPr>
          <w:i/>
        </w:rPr>
        <w:t xml:space="preserve"> for </w:t>
      </w:r>
      <w:proofErr w:type="spellStart"/>
      <w:r w:rsidRPr="00A72D8A">
        <w:rPr>
          <w:i/>
        </w:rPr>
        <w:t>Quality</w:t>
      </w:r>
      <w:proofErr w:type="spellEnd"/>
      <w:r w:rsidRPr="00A72D8A">
        <w:rPr>
          <w:i/>
        </w:rPr>
        <w:t xml:space="preserve"> of </w:t>
      </w:r>
      <w:proofErr w:type="spellStart"/>
      <w:r w:rsidRPr="00A72D8A">
        <w:rPr>
          <w:i/>
        </w:rPr>
        <w:t>Medicnals</w:t>
      </w:r>
      <w:proofErr w:type="spellEnd"/>
      <w:r w:rsidRPr="00A72D8A">
        <w:t xml:space="preserve"> – EDQM) ha rilasciato </w:t>
      </w:r>
      <w:r>
        <w:t xml:space="preserve">al produttore </w:t>
      </w:r>
      <w:r w:rsidRPr="00A72D8A">
        <w:t>il certificato di conformità alla Farmacopea Europea</w:t>
      </w:r>
      <w:r>
        <w:t>.</w:t>
      </w:r>
    </w:p>
    <w:p w14:paraId="3877AE71" w14:textId="77777777" w:rsidR="00B93603" w:rsidRDefault="00B93603" w:rsidP="00B93603">
      <w:pPr>
        <w:spacing w:after="0" w:line="240" w:lineRule="auto"/>
        <w:jc w:val="both"/>
      </w:pPr>
      <w:r w:rsidRPr="00A72D8A">
        <w:t xml:space="preserve">Tutti gli aspetti di produzione e controllo sono coperti dal certificato di conformità alla Farmacopea Europea. </w:t>
      </w:r>
      <w:r w:rsidRPr="00F93450">
        <w:t xml:space="preserve">Il periodo di </w:t>
      </w:r>
      <w:proofErr w:type="spellStart"/>
      <w:r w:rsidRPr="00F93450">
        <w:t>retest</w:t>
      </w:r>
      <w:proofErr w:type="spellEnd"/>
      <w:r w:rsidRPr="00F93450">
        <w:t xml:space="preserve"> è definito in </w:t>
      </w:r>
      <w:r>
        <w:t>60 m</w:t>
      </w:r>
      <w:r w:rsidRPr="00F93450">
        <w:t>esi</w:t>
      </w:r>
      <w:r>
        <w:t>, quando confezionato</w:t>
      </w:r>
      <w:r w:rsidRPr="000A358A">
        <w:t xml:space="preserve"> in un sacchetto di polietilene doppio (nero </w:t>
      </w:r>
      <w:r>
        <w:t>all’</w:t>
      </w:r>
      <w:r w:rsidRPr="000A358A">
        <w:t>estern</w:t>
      </w:r>
      <w:r>
        <w:t>o</w:t>
      </w:r>
      <w:r w:rsidRPr="000A358A">
        <w:t>), posto in un tamburo di polietilene.</w:t>
      </w:r>
    </w:p>
    <w:p w14:paraId="626BFD77" w14:textId="77777777" w:rsidR="00B93603" w:rsidRPr="00EF6711" w:rsidRDefault="00B93603" w:rsidP="00B93603">
      <w:pPr>
        <w:spacing w:after="0" w:line="240" w:lineRule="auto"/>
        <w:jc w:val="both"/>
      </w:pPr>
    </w:p>
    <w:p w14:paraId="63E7A4F5" w14:textId="77777777" w:rsidR="00B93603" w:rsidRPr="00EF6711" w:rsidRDefault="00B93603" w:rsidP="00B93603">
      <w:pPr>
        <w:spacing w:after="0" w:line="240" w:lineRule="auto"/>
        <w:jc w:val="both"/>
        <w:rPr>
          <w:b/>
        </w:rPr>
      </w:pPr>
      <w:r w:rsidRPr="00EF6711">
        <w:rPr>
          <w:b/>
        </w:rPr>
        <w:t>II.2 PRODOTTO FINITO</w:t>
      </w:r>
    </w:p>
    <w:p w14:paraId="48B025F7" w14:textId="77777777" w:rsidR="00B93603" w:rsidRPr="00EF6711" w:rsidRDefault="00B93603" w:rsidP="00B93603">
      <w:pPr>
        <w:spacing w:after="0" w:line="240" w:lineRule="auto"/>
        <w:jc w:val="both"/>
        <w:rPr>
          <w:b/>
        </w:rPr>
      </w:pPr>
      <w:r w:rsidRPr="00EF6711">
        <w:rPr>
          <w:b/>
        </w:rPr>
        <w:t>Descrizione e composizione</w:t>
      </w:r>
    </w:p>
    <w:p w14:paraId="28AD6234" w14:textId="77777777" w:rsidR="00B93603" w:rsidRDefault="00B93603" w:rsidP="00B93603">
      <w:pPr>
        <w:widowControl w:val="0"/>
        <w:spacing w:after="0" w:line="240" w:lineRule="auto"/>
        <w:jc w:val="both"/>
        <w:rPr>
          <w:rFonts w:eastAsia="Calibri" w:cs="Calibri"/>
          <w:color w:val="000000"/>
          <w:lang w:eastAsia="it-IT"/>
        </w:rPr>
      </w:pPr>
      <w:r>
        <w:rPr>
          <w:rFonts w:eastAsia="Calibri" w:cs="Calibri"/>
          <w:color w:val="000000"/>
          <w:lang w:eastAsia="it-IT"/>
        </w:rPr>
        <w:t xml:space="preserve">BIDEF è disponibile in </w:t>
      </w:r>
      <w:r w:rsidRPr="00D871B0">
        <w:rPr>
          <w:rFonts w:eastAsia="Calibri" w:cs="Calibri"/>
          <w:color w:val="000000"/>
          <w:lang w:eastAsia="it-IT"/>
        </w:rPr>
        <w:t xml:space="preserve">compresse rivestite con film contenenti </w:t>
      </w:r>
      <w:r>
        <w:rPr>
          <w:rFonts w:eastAsia="Calibri" w:cs="Calibri"/>
          <w:color w:val="000000"/>
          <w:lang w:eastAsia="it-IT"/>
        </w:rPr>
        <w:t>50</w:t>
      </w:r>
      <w:r w:rsidRPr="00D871B0">
        <w:rPr>
          <w:rFonts w:eastAsia="Calibri" w:cs="Calibri"/>
          <w:color w:val="000000"/>
          <w:lang w:eastAsia="it-IT"/>
        </w:rPr>
        <w:t xml:space="preserve"> mg </w:t>
      </w:r>
      <w:r>
        <w:rPr>
          <w:rFonts w:eastAsia="Calibri" w:cs="Calibri"/>
          <w:color w:val="000000"/>
          <w:lang w:eastAsia="it-IT"/>
        </w:rPr>
        <w:t xml:space="preserve">e 100 mg </w:t>
      </w:r>
      <w:r w:rsidRPr="00D871B0">
        <w:rPr>
          <w:rFonts w:eastAsia="Calibri" w:cs="Calibri"/>
          <w:color w:val="000000"/>
          <w:lang w:eastAsia="it-IT"/>
        </w:rPr>
        <w:t>di principio attivo.</w:t>
      </w:r>
    </w:p>
    <w:p w14:paraId="1E9D26D4" w14:textId="77777777" w:rsidR="00B93603" w:rsidRDefault="00B93603" w:rsidP="00B93603">
      <w:pPr>
        <w:widowControl w:val="0"/>
        <w:spacing w:after="0" w:line="240" w:lineRule="auto"/>
        <w:jc w:val="both"/>
      </w:pPr>
      <w:r w:rsidRPr="00EF6711">
        <w:t>Gli eccipienti sono</w:t>
      </w:r>
      <w:r>
        <w:t>:</w:t>
      </w:r>
    </w:p>
    <w:p w14:paraId="0DE766DD" w14:textId="77777777" w:rsidR="00B93603" w:rsidRDefault="00B93603" w:rsidP="00B93603">
      <w:pPr>
        <w:widowControl w:val="0"/>
        <w:spacing w:after="0" w:line="240" w:lineRule="auto"/>
        <w:jc w:val="both"/>
      </w:pPr>
      <w:r>
        <w:t xml:space="preserve">Nucleo della compressa: Cellulosa microcristallina, Calcio idrogeno fosfato (anidro), Sodio </w:t>
      </w:r>
      <w:proofErr w:type="spellStart"/>
      <w:r>
        <w:t>croscaramelloso</w:t>
      </w:r>
      <w:proofErr w:type="spellEnd"/>
      <w:r>
        <w:t>, Magnesio stearato.</w:t>
      </w:r>
    </w:p>
    <w:p w14:paraId="0161E995" w14:textId="77777777" w:rsidR="00B93603" w:rsidRPr="00D871B0" w:rsidRDefault="00B93603" w:rsidP="00B93603">
      <w:pPr>
        <w:widowControl w:val="0"/>
        <w:spacing w:after="0" w:line="240" w:lineRule="auto"/>
        <w:jc w:val="both"/>
      </w:pPr>
      <w:r>
        <w:t>Film di rivestimento</w:t>
      </w:r>
      <w:r w:rsidRPr="009E22FD">
        <w:t xml:space="preserve"> </w:t>
      </w:r>
      <w:r>
        <w:t>(</w:t>
      </w:r>
      <w:proofErr w:type="spellStart"/>
      <w:r w:rsidRPr="009E22FD">
        <w:t>Opadry</w:t>
      </w:r>
      <w:proofErr w:type="spellEnd"/>
      <w:r>
        <w:t xml:space="preserve"> II blue): </w:t>
      </w:r>
      <w:proofErr w:type="spellStart"/>
      <w:r>
        <w:t>Ipromellosa</w:t>
      </w:r>
      <w:proofErr w:type="spellEnd"/>
      <w:r>
        <w:t xml:space="preserve">, Titanio diossido (E171), Lattosio monoidrato, </w:t>
      </w:r>
      <w:proofErr w:type="spellStart"/>
      <w:r>
        <w:t>Triacetina</w:t>
      </w:r>
      <w:proofErr w:type="spellEnd"/>
      <w:r>
        <w:t>, Indaco carminio.</w:t>
      </w:r>
    </w:p>
    <w:p w14:paraId="244A9C92" w14:textId="77777777" w:rsidR="00B93603" w:rsidRDefault="00B93603" w:rsidP="00B93603">
      <w:pPr>
        <w:spacing w:after="0" w:line="240" w:lineRule="auto"/>
        <w:ind w:right="13"/>
        <w:jc w:val="both"/>
      </w:pPr>
      <w:r w:rsidRPr="00EF6711">
        <w:t>Tutti gli eccipienti sono conformi alla relativa monografia di Farmacopea Europea</w:t>
      </w:r>
      <w:r>
        <w:t xml:space="preserve">, ad eccezione del film di rivestimento </w:t>
      </w:r>
      <w:proofErr w:type="spellStart"/>
      <w:r>
        <w:t>Opadry</w:t>
      </w:r>
      <w:proofErr w:type="spellEnd"/>
      <w:r w:rsidRPr="007B1A39">
        <w:t xml:space="preserve"> II blue</w:t>
      </w:r>
      <w:r>
        <w:t xml:space="preserve"> per i quali il produttore ha proposto specifiche di controllo accettabili.</w:t>
      </w:r>
    </w:p>
    <w:p w14:paraId="5D6563A8" w14:textId="77777777" w:rsidR="00B93603" w:rsidRDefault="00B93603" w:rsidP="00B93603">
      <w:pPr>
        <w:spacing w:after="0" w:line="240" w:lineRule="auto"/>
        <w:ind w:right="13"/>
        <w:jc w:val="both"/>
      </w:pPr>
    </w:p>
    <w:p w14:paraId="15AD087A" w14:textId="77777777" w:rsidR="00B93603" w:rsidRPr="00EF6711" w:rsidRDefault="00B93603" w:rsidP="00B93603">
      <w:pPr>
        <w:spacing w:after="0" w:line="240" w:lineRule="auto"/>
        <w:jc w:val="both"/>
      </w:pPr>
      <w:r w:rsidRPr="00FE7080">
        <w:t>Il solo eccipiente di originale animale è il lattosio; è stata fornita una dichiarazione che nella sua produzione sono utilizzati animali sani della stessa qualità utilizzata per il consumo umano.</w:t>
      </w:r>
    </w:p>
    <w:p w14:paraId="2A2AE36C" w14:textId="77777777" w:rsidR="00B93603" w:rsidRPr="00EF6711" w:rsidRDefault="00B93603" w:rsidP="00B93603">
      <w:pPr>
        <w:spacing w:after="0" w:line="240" w:lineRule="auto"/>
        <w:jc w:val="both"/>
      </w:pPr>
      <w:r w:rsidRPr="00EF6711">
        <w:t>Nessun eccipiente è ottenuto da organismi geneticamente modificati; non sono presenti eccipienti mai utilizzati nell’uomo.</w:t>
      </w:r>
    </w:p>
    <w:p w14:paraId="4A637B6D" w14:textId="77777777" w:rsidR="00B93603" w:rsidRPr="00EF6711" w:rsidRDefault="00B93603" w:rsidP="00B93603">
      <w:pPr>
        <w:spacing w:after="0" w:line="240" w:lineRule="auto"/>
        <w:jc w:val="both"/>
      </w:pPr>
    </w:p>
    <w:p w14:paraId="6582F297" w14:textId="77777777" w:rsidR="00B93603" w:rsidRPr="00EF6711" w:rsidRDefault="00B93603" w:rsidP="00B93603">
      <w:pPr>
        <w:spacing w:after="0" w:line="240" w:lineRule="auto"/>
        <w:jc w:val="both"/>
        <w:rPr>
          <w:b/>
        </w:rPr>
      </w:pPr>
      <w:r w:rsidRPr="00EF6711">
        <w:rPr>
          <w:b/>
        </w:rPr>
        <w:t>Sviluppo farmaceutico</w:t>
      </w:r>
    </w:p>
    <w:p w14:paraId="6BA17D91" w14:textId="77777777" w:rsidR="00B93603" w:rsidRPr="00EF6711" w:rsidRDefault="00B93603" w:rsidP="00B93603">
      <w:pPr>
        <w:spacing w:after="0" w:line="240" w:lineRule="auto"/>
        <w:jc w:val="both"/>
      </w:pPr>
      <w:r w:rsidRPr="00EF6711">
        <w:t>Sono stati forniti dettagli dello sviluppo farmaceutico e questi sono stati ritenuti soddisfacenti.</w:t>
      </w:r>
    </w:p>
    <w:p w14:paraId="2D5B2767" w14:textId="77777777" w:rsidR="00B93603" w:rsidRPr="00EF6711" w:rsidRDefault="00B93603" w:rsidP="00B93603">
      <w:pPr>
        <w:spacing w:after="0" w:line="240" w:lineRule="auto"/>
        <w:jc w:val="both"/>
      </w:pPr>
      <w:r w:rsidRPr="00EF6711">
        <w:t>Sono stati forniti dati comparativi relativi al profilo di impurezze rispetto al medicinale di riferimento</w:t>
      </w:r>
      <w:r w:rsidRPr="00EF6711">
        <w:rPr>
          <w:rFonts w:eastAsia="Calibri" w:cs="Calibri"/>
          <w:lang w:eastAsia="it-IT"/>
        </w:rPr>
        <w:t xml:space="preserve"> </w:t>
      </w:r>
      <w:r>
        <w:rPr>
          <w:rFonts w:eastAsia="Calibri" w:cs="Calibri"/>
          <w:lang w:eastAsia="it-IT"/>
        </w:rPr>
        <w:t>VIAGRA.</w:t>
      </w:r>
      <w:r w:rsidRPr="00EF6711">
        <w:t xml:space="preserve"> I dati sono soddisfacenti.</w:t>
      </w:r>
    </w:p>
    <w:p w14:paraId="1D035A7C" w14:textId="77777777" w:rsidR="00B93603" w:rsidRPr="00EF6711" w:rsidRDefault="00B93603" w:rsidP="00B93603">
      <w:pPr>
        <w:spacing w:after="0" w:line="240" w:lineRule="auto"/>
        <w:jc w:val="both"/>
      </w:pPr>
    </w:p>
    <w:p w14:paraId="24B30623" w14:textId="77777777" w:rsidR="00B93603" w:rsidRPr="00EF6711" w:rsidRDefault="00B93603" w:rsidP="00B93603">
      <w:pPr>
        <w:spacing w:after="0" w:line="240" w:lineRule="auto"/>
        <w:jc w:val="both"/>
        <w:rPr>
          <w:b/>
        </w:rPr>
      </w:pPr>
      <w:r w:rsidRPr="00EF6711">
        <w:rPr>
          <w:b/>
        </w:rPr>
        <w:t xml:space="preserve">Produzione </w:t>
      </w:r>
    </w:p>
    <w:p w14:paraId="02FF444F" w14:textId="77777777" w:rsidR="00B93603" w:rsidRPr="00EF6711" w:rsidRDefault="00B93603" w:rsidP="00B93603">
      <w:pPr>
        <w:spacing w:after="0" w:line="240" w:lineRule="auto"/>
        <w:jc w:val="both"/>
      </w:pPr>
      <w:r w:rsidRPr="00EF6711">
        <w:t>Sono stati forniti una descrizione del metodo di produzione e la relativa flow-chart.</w:t>
      </w:r>
    </w:p>
    <w:p w14:paraId="15EC4B24" w14:textId="77777777" w:rsidR="00B93603" w:rsidRPr="00EF6711" w:rsidRDefault="00B93603" w:rsidP="00B93603">
      <w:pPr>
        <w:spacing w:after="0" w:line="240" w:lineRule="auto"/>
        <w:jc w:val="both"/>
      </w:pPr>
      <w:r w:rsidRPr="00EF6711">
        <w:t>I controlli effettuati nel corso della produzione sono appropriati per la natura del medicinale e del metodo di produzione. Sono stati forniti, inoltre, dati soddisfacenti relativi alla convalida del metodo di produzione.</w:t>
      </w:r>
    </w:p>
    <w:p w14:paraId="250B5FA7" w14:textId="77777777" w:rsidR="00B93603" w:rsidRPr="00EF6711" w:rsidRDefault="00B93603" w:rsidP="00B93603">
      <w:pPr>
        <w:spacing w:after="0" w:line="240" w:lineRule="auto"/>
        <w:jc w:val="both"/>
      </w:pPr>
    </w:p>
    <w:p w14:paraId="40613D4B" w14:textId="77777777" w:rsidR="00B93603" w:rsidRPr="00EF6711" w:rsidRDefault="00B93603" w:rsidP="00B93603">
      <w:pPr>
        <w:spacing w:after="0" w:line="240" w:lineRule="auto"/>
        <w:jc w:val="both"/>
        <w:rPr>
          <w:b/>
        </w:rPr>
      </w:pPr>
      <w:r w:rsidRPr="00EF6711">
        <w:rPr>
          <w:b/>
        </w:rPr>
        <w:t>Specifiche del prodotto finito</w:t>
      </w:r>
    </w:p>
    <w:p w14:paraId="6D7945DA" w14:textId="77777777" w:rsidR="00B93603" w:rsidRPr="00EF6711" w:rsidRDefault="00B93603" w:rsidP="00B93603">
      <w:pPr>
        <w:spacing w:after="0" w:line="240" w:lineRule="auto"/>
        <w:jc w:val="both"/>
      </w:pPr>
      <w:r w:rsidRPr="00EF6711">
        <w:t>Sono state fornite adeguate specifiche di controllo per il prodotto finito al rilascio e alla fine della validità. I metodi analitici sono stati descritti e adeguatamente convalidati. Sono stati forniti, inoltre, dati analitici per il prodotto finito</w:t>
      </w:r>
      <w:r>
        <w:t xml:space="preserve">: </w:t>
      </w:r>
      <w:r w:rsidRPr="00EF6711">
        <w:t>questi dati dimostrano che i lotti prodotti sono in accordo alle specifiche proposte. Sono stati forniti, infine, certificati analitici per gli standard di riferimento utilizzati.</w:t>
      </w:r>
    </w:p>
    <w:p w14:paraId="6079B3B4" w14:textId="77777777" w:rsidR="00B93603" w:rsidRPr="00EF6711" w:rsidRDefault="00B93603" w:rsidP="00B93603">
      <w:pPr>
        <w:spacing w:after="0" w:line="240" w:lineRule="auto"/>
        <w:jc w:val="both"/>
        <w:rPr>
          <w:b/>
        </w:rPr>
      </w:pPr>
    </w:p>
    <w:p w14:paraId="37EFF5CE" w14:textId="77777777" w:rsidR="00B93603" w:rsidRPr="00EF6711" w:rsidRDefault="00B93603" w:rsidP="00B93603">
      <w:pPr>
        <w:spacing w:after="0" w:line="240" w:lineRule="auto"/>
        <w:jc w:val="both"/>
        <w:rPr>
          <w:b/>
        </w:rPr>
      </w:pPr>
      <w:r w:rsidRPr="00EF6711">
        <w:rPr>
          <w:b/>
        </w:rPr>
        <w:lastRenderedPageBreak/>
        <w:t>Contenitore</w:t>
      </w:r>
    </w:p>
    <w:p w14:paraId="0BB5AB84" w14:textId="77777777" w:rsidR="00B93603" w:rsidRPr="00EF6711" w:rsidRDefault="00B93603" w:rsidP="00B93603">
      <w:pPr>
        <w:spacing w:after="0" w:line="240" w:lineRule="auto"/>
        <w:jc w:val="both"/>
      </w:pPr>
      <w:r>
        <w:rPr>
          <w:rFonts w:eastAsia="Calibri" w:cs="Calibri"/>
          <w:color w:val="000000"/>
          <w:lang w:eastAsia="it-IT"/>
        </w:rPr>
        <w:t xml:space="preserve">BIDEF </w:t>
      </w:r>
      <w:r w:rsidRPr="00EF6711">
        <w:t>è confezionato in</w:t>
      </w:r>
      <w:r>
        <w:t xml:space="preserve"> blister di </w:t>
      </w:r>
      <w:r w:rsidRPr="00CF4042">
        <w:t>PVC/PVDC/AL</w:t>
      </w:r>
      <w:r>
        <w:t>.</w:t>
      </w:r>
    </w:p>
    <w:p w14:paraId="5381ABF6" w14:textId="77777777" w:rsidR="00B93603" w:rsidRPr="00EF6711" w:rsidRDefault="00B93603" w:rsidP="00B93603">
      <w:pPr>
        <w:spacing w:after="0" w:line="240" w:lineRule="auto"/>
        <w:jc w:val="both"/>
      </w:pPr>
      <w:r w:rsidRPr="00EF6711">
        <w:t xml:space="preserve">Sono state fornite specifiche e certificati analitici per tutti i componenti del confezionamento primario, che è adeguato </w:t>
      </w:r>
      <w:proofErr w:type="gramStart"/>
      <w:r w:rsidRPr="00EF6711">
        <w:t>per il</w:t>
      </w:r>
      <w:proofErr w:type="gramEnd"/>
      <w:r w:rsidRPr="00EF6711">
        <w:t xml:space="preserve"> medicinale.</w:t>
      </w:r>
    </w:p>
    <w:p w14:paraId="30AEE15F" w14:textId="77777777" w:rsidR="00B93603" w:rsidRPr="00EF6711" w:rsidRDefault="00B93603" w:rsidP="00B93603">
      <w:pPr>
        <w:spacing w:after="0" w:line="240" w:lineRule="auto"/>
        <w:jc w:val="both"/>
      </w:pPr>
    </w:p>
    <w:p w14:paraId="4008CDA8" w14:textId="77777777" w:rsidR="00B93603" w:rsidRPr="00EF6711" w:rsidRDefault="00B93603" w:rsidP="00B93603">
      <w:pPr>
        <w:spacing w:after="0" w:line="240" w:lineRule="auto"/>
        <w:jc w:val="both"/>
        <w:rPr>
          <w:b/>
        </w:rPr>
      </w:pPr>
      <w:r w:rsidRPr="00EF6711">
        <w:rPr>
          <w:b/>
        </w:rPr>
        <w:t>Stabilità</w:t>
      </w:r>
    </w:p>
    <w:p w14:paraId="2CC67F33" w14:textId="77777777" w:rsidR="00B93603" w:rsidRPr="00EF6711" w:rsidRDefault="00B93603" w:rsidP="00B93603">
      <w:pPr>
        <w:spacing w:after="0" w:line="240" w:lineRule="auto"/>
        <w:jc w:val="both"/>
      </w:pPr>
      <w:r w:rsidRPr="00EF6711">
        <w:t xml:space="preserve">Studi di stabilità sul prodotto finito sono stati condotti in accordo alle correnti linee guida e i risultati sono entro i limiti delle specifiche autorizzate. Sulla base di questi risultati, è stato autorizzato un periodo di validità di </w:t>
      </w:r>
      <w:r>
        <w:t>2 anni</w:t>
      </w:r>
      <w:r w:rsidRPr="00EF6711">
        <w:t xml:space="preserve"> senza nessuna condizione particolare di conservazione</w:t>
      </w:r>
      <w:r>
        <w:t>.</w:t>
      </w:r>
      <w:r w:rsidRPr="00EF6711">
        <w:t xml:space="preserve"> </w:t>
      </w:r>
    </w:p>
    <w:p w14:paraId="560A80D9" w14:textId="77777777" w:rsidR="00B93603" w:rsidRPr="00EF6711" w:rsidRDefault="00B93603" w:rsidP="00B93603">
      <w:pPr>
        <w:spacing w:after="0" w:line="240" w:lineRule="auto"/>
        <w:jc w:val="both"/>
      </w:pPr>
    </w:p>
    <w:p w14:paraId="6BFDDCF2" w14:textId="77777777" w:rsidR="00B93603" w:rsidRPr="00EF6711" w:rsidRDefault="00B93603" w:rsidP="00B93603">
      <w:pPr>
        <w:spacing w:after="0" w:line="240" w:lineRule="auto"/>
        <w:jc w:val="both"/>
        <w:rPr>
          <w:b/>
        </w:rPr>
      </w:pPr>
      <w:r w:rsidRPr="00EF6711">
        <w:rPr>
          <w:b/>
        </w:rPr>
        <w:t>II.3 Discussione sugli aspetti di qualità</w:t>
      </w:r>
    </w:p>
    <w:p w14:paraId="05122122" w14:textId="77777777" w:rsidR="00B93603" w:rsidRPr="00EF6711" w:rsidRDefault="00B93603" w:rsidP="00B93603">
      <w:pPr>
        <w:spacing w:after="0" w:line="240" w:lineRule="auto"/>
        <w:jc w:val="both"/>
      </w:pPr>
      <w:r w:rsidRPr="00EF6711">
        <w:t xml:space="preserve">Tutte le criticità evidenziate nel corso della valutazione sono state risolte e la qualità di </w:t>
      </w:r>
      <w:r>
        <w:rPr>
          <w:rFonts w:eastAsia="Calibri" w:cs="Calibri"/>
          <w:color w:val="000000"/>
          <w:lang w:eastAsia="it-IT"/>
        </w:rPr>
        <w:t xml:space="preserve">BIDEF </w:t>
      </w:r>
      <w:r w:rsidRPr="00EF6711">
        <w:t xml:space="preserve">è considerata adeguata. Non ci sono obiezioni per l’approvazione di </w:t>
      </w:r>
      <w:r>
        <w:rPr>
          <w:rFonts w:eastAsia="Calibri" w:cs="Calibri"/>
          <w:color w:val="000000"/>
          <w:lang w:eastAsia="it-IT"/>
        </w:rPr>
        <w:t>BIDEF</w:t>
      </w:r>
      <w:r>
        <w:rPr>
          <w:rFonts w:ascii="Calibri" w:hAnsi="Calibri" w:cs="Arial"/>
        </w:rPr>
        <w:t xml:space="preserve"> </w:t>
      </w:r>
      <w:r w:rsidRPr="00EF6711">
        <w:t>dal punto di vista chimico-farmaceutico.</w:t>
      </w:r>
    </w:p>
    <w:p w14:paraId="238DDA83" w14:textId="77777777" w:rsidR="00B93603" w:rsidRPr="00EF6711" w:rsidRDefault="00B93603" w:rsidP="00B93603">
      <w:pPr>
        <w:spacing w:after="0" w:line="240" w:lineRule="auto"/>
        <w:jc w:val="both"/>
      </w:pPr>
    </w:p>
    <w:p w14:paraId="1404A02B" w14:textId="77777777" w:rsidR="00B93603" w:rsidRDefault="00B93603" w:rsidP="00B93603">
      <w:pPr>
        <w:spacing w:after="0" w:line="240" w:lineRule="auto"/>
        <w:jc w:val="both"/>
      </w:pPr>
    </w:p>
    <w:p w14:paraId="10815D87" w14:textId="77777777" w:rsidR="00B93603" w:rsidRPr="00EA06EB" w:rsidRDefault="00B93603" w:rsidP="00B93603">
      <w:pPr>
        <w:pStyle w:val="Paragrafoelenco"/>
        <w:numPr>
          <w:ilvl w:val="0"/>
          <w:numId w:val="2"/>
        </w:numPr>
        <w:spacing w:after="0" w:line="240" w:lineRule="auto"/>
        <w:jc w:val="both"/>
        <w:rPr>
          <w:b/>
        </w:rPr>
      </w:pPr>
      <w:r w:rsidRPr="00EA06EB">
        <w:rPr>
          <w:b/>
        </w:rPr>
        <w:t>ASPETTI NON CLINICI</w:t>
      </w:r>
    </w:p>
    <w:p w14:paraId="4DEDB798" w14:textId="77777777" w:rsidR="00B93603" w:rsidRDefault="00B93603" w:rsidP="00B93603">
      <w:pPr>
        <w:spacing w:after="0" w:line="240" w:lineRule="auto"/>
        <w:jc w:val="both"/>
      </w:pPr>
      <w:r>
        <w:t xml:space="preserve">Non sono stati condotti specifici studi non clinici, in quanto </w:t>
      </w:r>
      <w:r>
        <w:rPr>
          <w:rFonts w:eastAsia="Calibri" w:cs="Calibri"/>
          <w:color w:val="000000"/>
          <w:lang w:eastAsia="it-IT"/>
        </w:rPr>
        <w:t xml:space="preserve">BIDEF </w:t>
      </w:r>
      <w:r>
        <w:t xml:space="preserve">contiene un principio attivo noto presente nel medicinale di riferimento: questo approccio è accettabile poiché il medicinale di riferimento </w:t>
      </w:r>
      <w:r>
        <w:rPr>
          <w:rFonts w:eastAsia="Calibri" w:cs="Calibri"/>
          <w:lang w:eastAsia="it-IT"/>
        </w:rPr>
        <w:t>VIAGRA</w:t>
      </w:r>
      <w:r>
        <w:t xml:space="preserve"> è autorizzato in Italia da oltre 10 anni.</w:t>
      </w:r>
    </w:p>
    <w:p w14:paraId="33A91ADC" w14:textId="77777777" w:rsidR="00B93603" w:rsidRDefault="00B93603" w:rsidP="00B93603">
      <w:pPr>
        <w:spacing w:after="0" w:line="240" w:lineRule="auto"/>
        <w:jc w:val="both"/>
      </w:pPr>
      <w:r>
        <w:t>Non ci sono obiezioni per l’approvazione dal punto di vista non clinico.</w:t>
      </w:r>
    </w:p>
    <w:p w14:paraId="79783F30" w14:textId="77777777" w:rsidR="00B93603" w:rsidRDefault="00B93603" w:rsidP="00B93603">
      <w:pPr>
        <w:spacing w:after="0" w:line="240" w:lineRule="auto"/>
        <w:jc w:val="both"/>
      </w:pPr>
    </w:p>
    <w:p w14:paraId="151D0967" w14:textId="77777777" w:rsidR="00B93603" w:rsidRDefault="00B93603" w:rsidP="00B93603">
      <w:pPr>
        <w:spacing w:after="0" w:line="240" w:lineRule="auto"/>
        <w:jc w:val="both"/>
      </w:pPr>
    </w:p>
    <w:p w14:paraId="15FE7CBA" w14:textId="77777777" w:rsidR="00B93603" w:rsidRPr="00EA06EB" w:rsidRDefault="00B93603" w:rsidP="00B93603">
      <w:pPr>
        <w:pStyle w:val="Paragrafoelenco"/>
        <w:numPr>
          <w:ilvl w:val="0"/>
          <w:numId w:val="2"/>
        </w:numPr>
        <w:spacing w:after="0" w:line="240" w:lineRule="auto"/>
        <w:jc w:val="both"/>
        <w:rPr>
          <w:b/>
        </w:rPr>
      </w:pPr>
      <w:r w:rsidRPr="00EA06EB">
        <w:rPr>
          <w:b/>
        </w:rPr>
        <w:t>ASPETTI CLINICI</w:t>
      </w:r>
    </w:p>
    <w:p w14:paraId="5F03A9E9" w14:textId="77777777" w:rsidR="00B93603" w:rsidRDefault="00B93603" w:rsidP="00B93603">
      <w:pPr>
        <w:tabs>
          <w:tab w:val="left" w:pos="0"/>
        </w:tabs>
        <w:overflowPunct w:val="0"/>
        <w:autoSpaceDE w:val="0"/>
        <w:autoSpaceDN w:val="0"/>
        <w:adjustRightInd w:val="0"/>
        <w:spacing w:after="0" w:line="240" w:lineRule="auto"/>
        <w:jc w:val="both"/>
        <w:textAlignment w:val="baseline"/>
      </w:pPr>
      <w:r w:rsidRPr="00EA06EB">
        <w:rPr>
          <w:rFonts w:eastAsia="Calibri" w:cs="Calibri"/>
          <w:color w:val="000000"/>
          <w:lang w:eastAsia="it-IT"/>
        </w:rPr>
        <w:t xml:space="preserve">BIDEF </w:t>
      </w:r>
      <w:r w:rsidRPr="00EA06EB">
        <w:t>è</w:t>
      </w:r>
      <w:r>
        <w:t xml:space="preserve"> indicato negli uomini adulti con disfunzione erettile, ovvero con incapacità a raggiungere o a mantenere un’erezione idonea per una attività sessuale soddisfacente. </w:t>
      </w:r>
    </w:p>
    <w:p w14:paraId="2A9A2E48" w14:textId="054B7A2C" w:rsidR="00B93603" w:rsidRDefault="00B93603" w:rsidP="00B93603">
      <w:pPr>
        <w:tabs>
          <w:tab w:val="left" w:pos="0"/>
        </w:tabs>
        <w:overflowPunct w:val="0"/>
        <w:autoSpaceDE w:val="0"/>
        <w:autoSpaceDN w:val="0"/>
        <w:adjustRightInd w:val="0"/>
        <w:spacing w:after="0" w:line="240" w:lineRule="auto"/>
        <w:jc w:val="both"/>
        <w:textAlignment w:val="baseline"/>
      </w:pPr>
      <w:r>
        <w:t>È necessaria la stimolazione sessuale affinché VIAGRA possa essere efficace</w:t>
      </w:r>
      <w:r w:rsidR="002B1164">
        <w:t>.</w:t>
      </w:r>
    </w:p>
    <w:p w14:paraId="77EE4370" w14:textId="77777777" w:rsidR="00B93603" w:rsidRDefault="00B93603" w:rsidP="00B93603">
      <w:pPr>
        <w:spacing w:after="0" w:line="240" w:lineRule="auto"/>
        <w:ind w:right="6"/>
        <w:jc w:val="both"/>
      </w:pPr>
    </w:p>
    <w:p w14:paraId="0A9E243D" w14:textId="77777777" w:rsidR="00B93603" w:rsidRDefault="00B93603" w:rsidP="00B93603">
      <w:pPr>
        <w:spacing w:after="0" w:line="240" w:lineRule="auto"/>
        <w:ind w:right="6"/>
        <w:jc w:val="both"/>
        <w:rPr>
          <w:b/>
        </w:rPr>
      </w:pPr>
      <w:r>
        <w:rPr>
          <w:b/>
        </w:rPr>
        <w:t>Posologia e modalità di somministrazione</w:t>
      </w:r>
    </w:p>
    <w:p w14:paraId="6FE0F812" w14:textId="77777777" w:rsidR="00B93603" w:rsidRDefault="00B93603" w:rsidP="00B93603">
      <w:pPr>
        <w:spacing w:after="0" w:line="240" w:lineRule="auto"/>
        <w:ind w:right="6"/>
        <w:jc w:val="both"/>
        <w:rPr>
          <w:rFonts w:eastAsia="Calibri" w:cs="Calibri"/>
          <w:lang w:eastAsia="it-IT"/>
        </w:rPr>
      </w:pPr>
      <w:r>
        <w:t>Le informazioni sulla posologia e sulle modalità di somministrazione sono riportate nel Riassunto delle Caratteristiche del Prodotto pubblicato sul sito dell’Agenzia Italiana del Farmaco - AIFA /</w:t>
      </w:r>
      <w:r>
        <w:rPr>
          <w:rFonts w:eastAsia="Calibri" w:cs="Calibri"/>
          <w:lang w:eastAsia="it-IT"/>
        </w:rPr>
        <w:t>(</w:t>
      </w:r>
      <w:hyperlink r:id="rId12" w:history="1">
        <w:r>
          <w:rPr>
            <w:rStyle w:val="Collegamentoipertestuale"/>
            <w:rFonts w:eastAsia="Calibri" w:cs="Calibri"/>
            <w:lang w:eastAsia="it-IT"/>
          </w:rPr>
          <w:t>https://farmaci.agenziafarmaco.gov.it/bancadatifarmaci</w:t>
        </w:r>
      </w:hyperlink>
      <w:r>
        <w:rPr>
          <w:rFonts w:eastAsia="Calibri" w:cs="Calibri"/>
          <w:lang w:eastAsia="it-IT"/>
        </w:rPr>
        <w:t>).</w:t>
      </w:r>
    </w:p>
    <w:p w14:paraId="2499C86C" w14:textId="77777777" w:rsidR="00B93603" w:rsidRDefault="00B93603" w:rsidP="00B93603">
      <w:pPr>
        <w:spacing w:after="0" w:line="240" w:lineRule="auto"/>
        <w:ind w:right="6"/>
        <w:jc w:val="both"/>
        <w:rPr>
          <w:rFonts w:eastAsia="Calibri" w:cs="Calibri"/>
          <w:lang w:eastAsia="it-IT"/>
        </w:rPr>
      </w:pPr>
    </w:p>
    <w:p w14:paraId="3AAA90B4" w14:textId="77777777" w:rsidR="00B93603" w:rsidRDefault="00B93603" w:rsidP="00B93603">
      <w:pPr>
        <w:spacing w:after="0" w:line="240" w:lineRule="auto"/>
        <w:ind w:right="6"/>
        <w:jc w:val="both"/>
        <w:rPr>
          <w:rFonts w:eastAsia="Calibri" w:cs="Calibri"/>
          <w:b/>
          <w:lang w:eastAsia="it-IT"/>
        </w:rPr>
      </w:pPr>
      <w:r>
        <w:rPr>
          <w:rFonts w:eastAsia="Calibri" w:cs="Calibri"/>
          <w:b/>
          <w:lang w:eastAsia="it-IT"/>
        </w:rPr>
        <w:t>Tossicologia</w:t>
      </w:r>
    </w:p>
    <w:p w14:paraId="3C7E2F72" w14:textId="77777777" w:rsidR="00B93603" w:rsidRDefault="00B93603" w:rsidP="00B93603">
      <w:pPr>
        <w:spacing w:after="0" w:line="240" w:lineRule="auto"/>
        <w:ind w:right="6"/>
        <w:jc w:val="both"/>
        <w:rPr>
          <w:rFonts w:eastAsia="Calibri" w:cs="Calibri"/>
          <w:lang w:eastAsia="it-IT"/>
        </w:rPr>
      </w:pPr>
      <w:r>
        <w:rPr>
          <w:rFonts w:eastAsia="Calibri" w:cs="Calibri"/>
          <w:lang w:eastAsia="it-IT"/>
        </w:rPr>
        <w:t>La tossicologia di</w:t>
      </w:r>
      <w:r>
        <w:t xml:space="preserve"> sildenafil </w:t>
      </w:r>
      <w:r>
        <w:rPr>
          <w:rFonts w:eastAsia="Calibri" w:cs="Calibri"/>
          <w:lang w:eastAsia="it-IT"/>
        </w:rPr>
        <w:t>è ben conosciuta; non è stato necessario presentare ulteriori dati.</w:t>
      </w:r>
    </w:p>
    <w:p w14:paraId="4FEEEB06" w14:textId="77777777" w:rsidR="00B93603" w:rsidRDefault="00B93603" w:rsidP="00B93603">
      <w:pPr>
        <w:spacing w:after="0" w:line="240" w:lineRule="auto"/>
        <w:ind w:right="6"/>
        <w:jc w:val="both"/>
        <w:rPr>
          <w:rFonts w:eastAsia="Calibri" w:cs="Calibri"/>
          <w:lang w:eastAsia="it-IT"/>
        </w:rPr>
      </w:pPr>
    </w:p>
    <w:p w14:paraId="1BBB3161" w14:textId="77777777" w:rsidR="00B93603" w:rsidRDefault="00B93603" w:rsidP="00B93603">
      <w:pPr>
        <w:spacing w:after="0" w:line="240" w:lineRule="auto"/>
        <w:ind w:right="6"/>
        <w:jc w:val="both"/>
        <w:rPr>
          <w:rFonts w:eastAsia="Times New Roman" w:cs="Times New Roman"/>
          <w:b/>
        </w:rPr>
      </w:pPr>
      <w:r>
        <w:rPr>
          <w:rFonts w:eastAsia="Times New Roman" w:cs="Times New Roman"/>
          <w:b/>
        </w:rPr>
        <w:t>Farmacologia clinica</w:t>
      </w:r>
    </w:p>
    <w:p w14:paraId="776214CD" w14:textId="77777777" w:rsidR="00B93603" w:rsidRPr="00942301" w:rsidRDefault="00B93603" w:rsidP="00B93603">
      <w:pPr>
        <w:spacing w:after="0" w:line="240" w:lineRule="auto"/>
        <w:jc w:val="both"/>
      </w:pPr>
      <w:r w:rsidRPr="00942301">
        <w:rPr>
          <w:rFonts w:eastAsia="Calibri" w:cs="Calibri"/>
          <w:lang w:eastAsia="it-IT"/>
        </w:rPr>
        <w:t xml:space="preserve">La farmacologia clinica di </w:t>
      </w:r>
      <w:r w:rsidRPr="00942301">
        <w:t xml:space="preserve">sildenafil </w:t>
      </w:r>
      <w:r w:rsidRPr="00942301">
        <w:rPr>
          <w:rFonts w:eastAsia="Calibri" w:cs="Calibri"/>
          <w:lang w:eastAsia="it-IT"/>
        </w:rPr>
        <w:t>è ben conosciuta.</w:t>
      </w:r>
      <w:r w:rsidRPr="00942301">
        <w:t xml:space="preserve"> </w:t>
      </w:r>
      <w:r w:rsidRPr="00942301">
        <w:rPr>
          <w:rFonts w:eastAsia="Calibri" w:cs="Calibri"/>
          <w:color w:val="000000"/>
          <w:lang w:eastAsia="it-IT"/>
        </w:rPr>
        <w:t xml:space="preserve">BIDEF </w:t>
      </w:r>
      <w:r w:rsidRPr="00942301">
        <w:t xml:space="preserve">contiene un principio attivo noto presente nel medicinale di riferimento VIAGRA autorizzato in Italia da più di </w:t>
      </w:r>
      <w:r w:rsidR="00B57847" w:rsidRPr="00942301">
        <w:t>8</w:t>
      </w:r>
      <w:r w:rsidRPr="00942301">
        <w:t xml:space="preserve"> anni. Con l’eccezione dello studio di </w:t>
      </w:r>
      <w:proofErr w:type="spellStart"/>
      <w:r w:rsidRPr="00942301">
        <w:t>bioequivalenza</w:t>
      </w:r>
      <w:proofErr w:type="spellEnd"/>
      <w:r w:rsidRPr="00942301">
        <w:t>, non sono stati condotti nuovi studi clinici di farmacodinamica e farmacocinetica</w:t>
      </w:r>
      <w:r w:rsidR="00AC6D37" w:rsidRPr="00942301">
        <w:t>.</w:t>
      </w:r>
    </w:p>
    <w:p w14:paraId="08C4F004" w14:textId="77777777" w:rsidR="008E3B89" w:rsidRPr="00942301" w:rsidRDefault="008E3B89" w:rsidP="00B93603">
      <w:pPr>
        <w:spacing w:after="0" w:line="240" w:lineRule="auto"/>
        <w:jc w:val="both"/>
      </w:pPr>
    </w:p>
    <w:p w14:paraId="06388087" w14:textId="77777777" w:rsidR="00B93603" w:rsidRDefault="00B93603" w:rsidP="00B93603">
      <w:pPr>
        <w:spacing w:after="0" w:line="240" w:lineRule="auto"/>
        <w:jc w:val="both"/>
        <w:rPr>
          <w:b/>
        </w:rPr>
      </w:pPr>
      <w:r>
        <w:rPr>
          <w:b/>
        </w:rPr>
        <w:t xml:space="preserve">Studio di </w:t>
      </w:r>
      <w:proofErr w:type="spellStart"/>
      <w:r>
        <w:rPr>
          <w:b/>
        </w:rPr>
        <w:t>bioequivalenza</w:t>
      </w:r>
      <w:proofErr w:type="spellEnd"/>
    </w:p>
    <w:p w14:paraId="40A781ED" w14:textId="77777777" w:rsidR="00B93603" w:rsidRDefault="00B93603" w:rsidP="00B93603">
      <w:pPr>
        <w:spacing w:after="0" w:line="240" w:lineRule="auto"/>
        <w:jc w:val="both"/>
      </w:pPr>
      <w:r>
        <w:t xml:space="preserve">La richiesta di AIC è supportata da uno studio di </w:t>
      </w:r>
      <w:proofErr w:type="spellStart"/>
      <w:r>
        <w:t>bioequivalenza</w:t>
      </w:r>
      <w:proofErr w:type="spellEnd"/>
      <w:r>
        <w:t xml:space="preserve"> che ha confrontato i profili farmacocinetici di </w:t>
      </w:r>
      <w:r>
        <w:rPr>
          <w:rFonts w:eastAsia="Calibri" w:cs="Calibri"/>
          <w:color w:val="000000"/>
          <w:lang w:eastAsia="it-IT"/>
        </w:rPr>
        <w:t xml:space="preserve">BIDEF </w:t>
      </w:r>
      <w:r>
        <w:t>e quelli del medicinale di riferimento VIAGRA.</w:t>
      </w:r>
    </w:p>
    <w:p w14:paraId="7530347D" w14:textId="77777777" w:rsidR="00B93603" w:rsidRDefault="00B93603" w:rsidP="00B93603">
      <w:pPr>
        <w:pStyle w:val="Paragrafoelenco"/>
        <w:spacing w:after="0" w:line="240" w:lineRule="auto"/>
        <w:ind w:left="0"/>
        <w:jc w:val="both"/>
      </w:pPr>
      <w:r>
        <w:t>Lo studio era caratterizzato da un appropriato disegno ed è stato condotto in accordo ai principi GCP.</w:t>
      </w:r>
    </w:p>
    <w:p w14:paraId="555AA5FB" w14:textId="77777777" w:rsidR="00B93603" w:rsidRDefault="00B93603" w:rsidP="00B93603">
      <w:pPr>
        <w:pStyle w:val="Paragrafoelenco"/>
        <w:spacing w:after="0" w:line="240" w:lineRule="auto"/>
        <w:ind w:left="0"/>
        <w:jc w:val="both"/>
      </w:pPr>
      <w:r>
        <w:t>Sono stati forniti certificati analitici per medicinale test e medicinale di riferimento.</w:t>
      </w:r>
    </w:p>
    <w:p w14:paraId="119E70B8" w14:textId="77777777" w:rsidR="00B93603" w:rsidRDefault="00B93603" w:rsidP="00B93603">
      <w:pPr>
        <w:spacing w:after="0" w:line="240" w:lineRule="auto"/>
        <w:jc w:val="both"/>
      </w:pPr>
      <w:r>
        <w:rPr>
          <w:rFonts w:ascii="Calibri" w:hAnsi="Calibri"/>
        </w:rPr>
        <w:t xml:space="preserve">L’utilizzo del solo dosaggio </w:t>
      </w:r>
      <w:r>
        <w:t xml:space="preserve">maggiore 100 mg per lo studio di </w:t>
      </w:r>
      <w:proofErr w:type="spellStart"/>
      <w:r>
        <w:t>bioequivalenza</w:t>
      </w:r>
      <w:proofErr w:type="spellEnd"/>
      <w:r>
        <w:t xml:space="preserve"> è stato opportunamente giustificato.</w:t>
      </w:r>
    </w:p>
    <w:p w14:paraId="0656F0DB" w14:textId="77777777" w:rsidR="00B93603" w:rsidRDefault="00B93603" w:rsidP="00B93603">
      <w:pPr>
        <w:spacing w:after="0" w:line="240" w:lineRule="auto"/>
        <w:jc w:val="both"/>
        <w:rPr>
          <w:rFonts w:ascii="Calibri" w:hAnsi="Calibri" w:cs="Arial"/>
        </w:rPr>
      </w:pPr>
      <w:r>
        <w:rPr>
          <w:rFonts w:ascii="Calibri" w:hAnsi="Calibri"/>
        </w:rPr>
        <w:t xml:space="preserve">Lo studio di </w:t>
      </w:r>
      <w:proofErr w:type="spellStart"/>
      <w:r>
        <w:rPr>
          <w:rFonts w:ascii="Calibri" w:hAnsi="Calibri"/>
        </w:rPr>
        <w:t>bioequivalenza</w:t>
      </w:r>
      <w:proofErr w:type="spellEnd"/>
      <w:r>
        <w:rPr>
          <w:rFonts w:ascii="Calibri" w:hAnsi="Calibri"/>
        </w:rPr>
        <w:t xml:space="preserve"> è uno studio comparativo, randomizzato, a dose singola, 2-periodi, crossover condotto in 44 volontari sani di sesso maschile con somministrazione a digiuno. </w:t>
      </w:r>
      <w:r>
        <w:rPr>
          <w:rFonts w:ascii="Calibri" w:hAnsi="Calibri" w:cs="Arial"/>
        </w:rPr>
        <w:t xml:space="preserve">Dopo una notte di digiuno, il medicinale è stato somministrato con acqua. </w:t>
      </w:r>
      <w:r>
        <w:rPr>
          <w:rFonts w:ascii="Calibri" w:hAnsi="Calibri"/>
        </w:rPr>
        <w:t xml:space="preserve">Un soddisfacente periodo di wash-out di </w:t>
      </w:r>
      <w:r>
        <w:rPr>
          <w:rFonts w:ascii="Calibri" w:hAnsi="Calibri" w:cs="Arial"/>
        </w:rPr>
        <w:t>7 giorni è stato previsto tra le somministrazioni in ogni gruppo.</w:t>
      </w:r>
    </w:p>
    <w:p w14:paraId="5062A2E7" w14:textId="77777777" w:rsidR="00B93603" w:rsidRDefault="00B93603" w:rsidP="00B93603">
      <w:pPr>
        <w:spacing w:after="0" w:line="240" w:lineRule="auto"/>
        <w:jc w:val="both"/>
        <w:rPr>
          <w:rFonts w:ascii="Calibri" w:hAnsi="Calibri" w:cs="Arial"/>
        </w:rPr>
      </w:pPr>
      <w:r>
        <w:rPr>
          <w:rFonts w:ascii="Calibri" w:hAnsi="Calibri" w:cs="Arial"/>
        </w:rPr>
        <w:lastRenderedPageBreak/>
        <w:t>Campioni di sangue sono stati prelevati al tempo zero (</w:t>
      </w:r>
      <w:proofErr w:type="spellStart"/>
      <w:r>
        <w:rPr>
          <w:rFonts w:ascii="Calibri" w:hAnsi="Calibri" w:cs="Arial"/>
        </w:rPr>
        <w:t>pre</w:t>
      </w:r>
      <w:proofErr w:type="spellEnd"/>
      <w:r>
        <w:rPr>
          <w:rFonts w:ascii="Calibri" w:hAnsi="Calibri" w:cs="Arial"/>
        </w:rPr>
        <w:t>-dose) e a specificati tempi fino a 24 ore dopo la somministrazione. I livelli plasmatici di sildenafil sono stati determinati mediante un metodo analitico HPLC MS/MS opportunamente convalidato.</w:t>
      </w:r>
    </w:p>
    <w:p w14:paraId="73104B3C" w14:textId="77777777" w:rsidR="00B93603" w:rsidRDefault="00B93603" w:rsidP="00B93603">
      <w:pPr>
        <w:pStyle w:val="Paragrafoelenco"/>
        <w:spacing w:after="0" w:line="240" w:lineRule="auto"/>
        <w:ind w:left="0"/>
        <w:jc w:val="both"/>
        <w:rPr>
          <w:rFonts w:ascii="Calibri" w:hAnsi="Calibri" w:cs="Arial"/>
        </w:rPr>
      </w:pPr>
      <w:r>
        <w:rPr>
          <w:rFonts w:ascii="Calibri" w:hAnsi="Calibri" w:cs="Arial"/>
        </w:rPr>
        <w:t xml:space="preserve">Per sildenafil sono state definite le seguenti variabili farmacocinetiche: </w:t>
      </w:r>
      <w:proofErr w:type="spellStart"/>
      <w:r>
        <w:rPr>
          <w:rFonts w:ascii="Calibri" w:hAnsi="Calibri" w:cs="Arial"/>
        </w:rPr>
        <w:t>C</w:t>
      </w:r>
      <w:r>
        <w:rPr>
          <w:rFonts w:ascii="Calibri" w:hAnsi="Calibri" w:cs="Arial"/>
          <w:vertAlign w:val="subscript"/>
        </w:rPr>
        <w:t>max</w:t>
      </w:r>
      <w:proofErr w:type="spellEnd"/>
      <w:r>
        <w:rPr>
          <w:rFonts w:ascii="Calibri" w:hAnsi="Calibri" w:cs="Arial"/>
        </w:rPr>
        <w:t>, AUC</w:t>
      </w:r>
      <w:r>
        <w:rPr>
          <w:rFonts w:ascii="Calibri" w:hAnsi="Calibri" w:cs="Arial"/>
          <w:vertAlign w:val="subscript"/>
        </w:rPr>
        <w:t>0-</w:t>
      </w:r>
      <w:proofErr w:type="gramStart"/>
      <w:r>
        <w:rPr>
          <w:rFonts w:ascii="Calibri" w:hAnsi="Calibri" w:cs="Arial"/>
          <w:vertAlign w:val="subscript"/>
        </w:rPr>
        <w:t>t</w:t>
      </w:r>
      <w:r>
        <w:rPr>
          <w:rFonts w:ascii="Calibri" w:hAnsi="Calibri" w:cs="Arial"/>
        </w:rPr>
        <w:t>,,</w:t>
      </w:r>
      <w:proofErr w:type="gramEnd"/>
      <w:r>
        <w:rPr>
          <w:rFonts w:ascii="Calibri" w:hAnsi="Calibri" w:cs="Arial"/>
        </w:rPr>
        <w:t xml:space="preserve"> AUC</w:t>
      </w:r>
      <w:r>
        <w:rPr>
          <w:rFonts w:ascii="Calibri" w:hAnsi="Calibri" w:cs="Arial"/>
          <w:vertAlign w:val="subscript"/>
        </w:rPr>
        <w:t>0-</w:t>
      </w:r>
      <w:r>
        <w:rPr>
          <w:rFonts w:ascii="Calibri" w:hAnsi="Calibri" w:cs="Arial"/>
          <w:vertAlign w:val="subscript"/>
          <w:lang w:val="en-GB"/>
        </w:rPr>
        <w:sym w:font="Symbol" w:char="F0A5"/>
      </w:r>
      <w:r>
        <w:rPr>
          <w:rFonts w:ascii="Calibri" w:hAnsi="Calibri" w:cs="Arial"/>
        </w:rPr>
        <w:t xml:space="preserve">, </w:t>
      </w:r>
      <w:proofErr w:type="spellStart"/>
      <w:r>
        <w:rPr>
          <w:rFonts w:ascii="Calibri" w:hAnsi="Calibri" w:cs="Arial"/>
        </w:rPr>
        <w:t>t</w:t>
      </w:r>
      <w:r>
        <w:rPr>
          <w:rFonts w:ascii="Calibri" w:hAnsi="Calibri" w:cs="Arial"/>
          <w:vertAlign w:val="subscript"/>
        </w:rPr>
        <w:t>max</w:t>
      </w:r>
      <w:proofErr w:type="spellEnd"/>
      <w:r>
        <w:rPr>
          <w:rFonts w:ascii="Calibri" w:hAnsi="Calibri" w:cs="Arial"/>
        </w:rPr>
        <w:t xml:space="preserve">, t½ e AUC estrapolata. La </w:t>
      </w:r>
      <w:proofErr w:type="spellStart"/>
      <w:r>
        <w:rPr>
          <w:rFonts w:ascii="Calibri" w:hAnsi="Calibri" w:cs="Arial"/>
        </w:rPr>
        <w:t>bioequivalenza</w:t>
      </w:r>
      <w:proofErr w:type="spellEnd"/>
      <w:r>
        <w:rPr>
          <w:rFonts w:ascii="Calibri" w:hAnsi="Calibri" w:cs="Arial"/>
        </w:rPr>
        <w:t xml:space="preserve"> tra medicinale test e medicinale di riferimento è dimostrata se gli intervalli di confidenza al 90% per la trasformata logaritmica di </w:t>
      </w:r>
      <w:proofErr w:type="spellStart"/>
      <w:r>
        <w:rPr>
          <w:rFonts w:ascii="Calibri" w:hAnsi="Calibri" w:cs="Arial"/>
        </w:rPr>
        <w:t>C</w:t>
      </w:r>
      <w:r>
        <w:rPr>
          <w:rFonts w:ascii="Calibri" w:hAnsi="Calibri" w:cs="Arial"/>
          <w:vertAlign w:val="subscript"/>
        </w:rPr>
        <w:t>max</w:t>
      </w:r>
      <w:proofErr w:type="spellEnd"/>
      <w:r>
        <w:rPr>
          <w:rFonts w:ascii="Calibri" w:hAnsi="Calibri" w:cs="Arial"/>
        </w:rPr>
        <w:t xml:space="preserve"> e AUC</w:t>
      </w:r>
      <w:r>
        <w:rPr>
          <w:rFonts w:ascii="Calibri" w:hAnsi="Calibri" w:cs="Arial"/>
          <w:vertAlign w:val="subscript"/>
        </w:rPr>
        <w:t>0-</w:t>
      </w:r>
      <w:proofErr w:type="gramStart"/>
      <w:r>
        <w:rPr>
          <w:rFonts w:ascii="Calibri" w:hAnsi="Calibri" w:cs="Arial"/>
          <w:vertAlign w:val="subscript"/>
        </w:rPr>
        <w:t>t</w:t>
      </w:r>
      <w:r>
        <w:rPr>
          <w:rFonts w:ascii="Calibri" w:hAnsi="Calibri" w:cs="Arial"/>
        </w:rPr>
        <w:t>,,</w:t>
      </w:r>
      <w:proofErr w:type="gramEnd"/>
      <w:r>
        <w:rPr>
          <w:rFonts w:ascii="Calibri" w:hAnsi="Calibri" w:cs="Arial"/>
        </w:rPr>
        <w:t xml:space="preserve">  cadono nel range di accettabilità di 0.80-1.25 (80%-125%).</w:t>
      </w:r>
    </w:p>
    <w:p w14:paraId="53233C66" w14:textId="77777777" w:rsidR="00B93603" w:rsidRDefault="00B93603" w:rsidP="00B93603">
      <w:pPr>
        <w:pStyle w:val="Paragrafoelenco"/>
        <w:spacing w:after="0" w:line="240" w:lineRule="auto"/>
        <w:ind w:left="0"/>
        <w:jc w:val="both"/>
      </w:pPr>
    </w:p>
    <w:p w14:paraId="09D0FBC9" w14:textId="77777777" w:rsidR="00B93603" w:rsidRDefault="00B93603" w:rsidP="00B93603">
      <w:pPr>
        <w:pStyle w:val="Paragrafoelenco"/>
        <w:spacing w:after="0" w:line="240" w:lineRule="auto"/>
        <w:ind w:left="0"/>
        <w:jc w:val="both"/>
        <w:rPr>
          <w:u w:val="single"/>
        </w:rPr>
      </w:pPr>
      <w:r>
        <w:rPr>
          <w:u w:val="single"/>
        </w:rPr>
        <w:t>Risultati</w:t>
      </w:r>
    </w:p>
    <w:p w14:paraId="3158029F" w14:textId="77777777" w:rsidR="00B93603" w:rsidRDefault="00B93603" w:rsidP="00B93603">
      <w:pPr>
        <w:pStyle w:val="Paragrafoelenco"/>
        <w:spacing w:after="0" w:line="240" w:lineRule="auto"/>
        <w:ind w:left="0"/>
        <w:jc w:val="both"/>
        <w:rPr>
          <w:rFonts w:ascii="Calibri" w:hAnsi="Calibri" w:cs="Arial"/>
        </w:rPr>
      </w:pPr>
      <w:r>
        <w:rPr>
          <w:rFonts w:ascii="Calibri" w:hAnsi="Calibri" w:cs="Arial"/>
        </w:rPr>
        <w:t xml:space="preserve">44 volontari sani sono stati arruolati nello studio. 43 soggetti </w:t>
      </w:r>
      <w:r>
        <w:t xml:space="preserve">hanno completato la fase clinica e </w:t>
      </w:r>
      <w:r>
        <w:rPr>
          <w:rFonts w:ascii="Calibri" w:hAnsi="Calibri" w:cs="Arial"/>
        </w:rPr>
        <w:t>sono stati inclusi nell’analisi farmacocinetica.</w:t>
      </w:r>
    </w:p>
    <w:p w14:paraId="186954DF" w14:textId="77777777" w:rsidR="00B93603" w:rsidRDefault="00B93603" w:rsidP="00B93603">
      <w:pPr>
        <w:pStyle w:val="Didascalia"/>
        <w:keepNext/>
        <w:spacing w:before="0" w:after="0"/>
        <w:jc w:val="both"/>
        <w:outlineLvl w:val="0"/>
        <w:rPr>
          <w:rFonts w:ascii="Calibri" w:hAnsi="Calibri" w:cs="Arial"/>
          <w:b w:val="0"/>
          <w:i/>
          <w:sz w:val="22"/>
          <w:szCs w:val="22"/>
          <w:lang w:val="it-IT"/>
        </w:rPr>
      </w:pPr>
    </w:p>
    <w:p w14:paraId="1BE9B0F3" w14:textId="77777777" w:rsidR="00B93603" w:rsidRDefault="00B93603" w:rsidP="00B93603">
      <w:pPr>
        <w:pStyle w:val="Didascalia"/>
        <w:keepNext/>
        <w:spacing w:before="0" w:after="0"/>
        <w:jc w:val="both"/>
        <w:outlineLvl w:val="0"/>
        <w:rPr>
          <w:rFonts w:ascii="Calibri" w:hAnsi="Calibri" w:cs="Arial"/>
          <w:b w:val="0"/>
          <w:sz w:val="22"/>
          <w:szCs w:val="22"/>
          <w:lang w:val="it-IT"/>
        </w:rPr>
      </w:pPr>
      <w:r>
        <w:rPr>
          <w:rFonts w:ascii="Calibri" w:hAnsi="Calibri" w:cs="Arial"/>
          <w:b w:val="0"/>
          <w:i/>
          <w:sz w:val="22"/>
          <w:szCs w:val="22"/>
          <w:lang w:val="it-IT"/>
        </w:rPr>
        <w:t>Sicurezza</w:t>
      </w:r>
    </w:p>
    <w:p w14:paraId="6F362E1F" w14:textId="2A8EA5AA" w:rsidR="00B93603" w:rsidRDefault="00B93603" w:rsidP="00B93603">
      <w:pPr>
        <w:autoSpaceDE w:val="0"/>
        <w:autoSpaceDN w:val="0"/>
        <w:adjustRightInd w:val="0"/>
        <w:spacing w:after="0" w:line="240" w:lineRule="auto"/>
        <w:jc w:val="both"/>
        <w:rPr>
          <w:rFonts w:ascii="Calibri" w:hAnsi="Calibri" w:cs="Arial"/>
          <w:b/>
        </w:rPr>
      </w:pPr>
      <w:r>
        <w:rPr>
          <w:rFonts w:ascii="Calibri" w:hAnsi="Calibri" w:cs="Arial"/>
        </w:rPr>
        <w:t xml:space="preserve">Nel corso dello studio, si sono manifestati </w:t>
      </w:r>
      <w:r>
        <w:t xml:space="preserve">20 eventi avversi </w:t>
      </w:r>
      <w:r>
        <w:rPr>
          <w:rFonts w:ascii="Calibri" w:hAnsi="Calibri" w:cs="Arial"/>
        </w:rPr>
        <w:t>correlati al trattamento in 13soggetti</w:t>
      </w:r>
      <w:r>
        <w:t xml:space="preserve">. </w:t>
      </w:r>
      <w:r>
        <w:rPr>
          <w:rFonts w:ascii="Calibri" w:hAnsi="Calibri" w:cs="Arial"/>
        </w:rPr>
        <w:t xml:space="preserve">In particolare, è stata riscontrata </w:t>
      </w:r>
      <w:r>
        <w:t xml:space="preserve">mal di testa. </w:t>
      </w:r>
      <w:r>
        <w:rPr>
          <w:rFonts w:ascii="Calibri" w:hAnsi="Calibri" w:cs="Arial"/>
        </w:rPr>
        <w:t>Non sono stati rilevati eventi avversi gravi.</w:t>
      </w:r>
    </w:p>
    <w:p w14:paraId="0C943EEB" w14:textId="77777777" w:rsidR="00B93603" w:rsidRDefault="00B93603" w:rsidP="00B93603">
      <w:pPr>
        <w:spacing w:after="0" w:line="240" w:lineRule="auto"/>
      </w:pPr>
    </w:p>
    <w:p w14:paraId="2E3E8754" w14:textId="77777777" w:rsidR="00B93603" w:rsidRDefault="00B93603" w:rsidP="00B93603">
      <w:pPr>
        <w:pStyle w:val="Didascalia"/>
        <w:keepNext/>
        <w:spacing w:before="0" w:after="0"/>
        <w:jc w:val="both"/>
        <w:outlineLvl w:val="0"/>
        <w:rPr>
          <w:rFonts w:asciiTheme="minorHAnsi" w:hAnsiTheme="minorHAnsi" w:cs="Arial"/>
          <w:b w:val="0"/>
          <w:sz w:val="22"/>
          <w:szCs w:val="22"/>
          <w:lang w:val="it-IT"/>
        </w:rPr>
      </w:pPr>
      <w:r>
        <w:rPr>
          <w:rFonts w:asciiTheme="minorHAnsi" w:hAnsiTheme="minorHAnsi" w:cs="Arial"/>
          <w:b w:val="0"/>
          <w:i/>
          <w:sz w:val="22"/>
          <w:szCs w:val="22"/>
          <w:lang w:val="it-IT"/>
        </w:rPr>
        <w:t>Parametri farmacocinetici</w:t>
      </w:r>
      <w:r>
        <w:rPr>
          <w:rFonts w:asciiTheme="minorHAnsi" w:hAnsiTheme="minorHAnsi" w:cs="Arial"/>
          <w:b w:val="0"/>
          <w:sz w:val="22"/>
          <w:szCs w:val="22"/>
          <w:lang w:val="it-IT"/>
        </w:rPr>
        <w:t xml:space="preserve">. </w:t>
      </w:r>
    </w:p>
    <w:p w14:paraId="2FDA5FB5" w14:textId="77777777" w:rsidR="00B93603" w:rsidRDefault="00B93603" w:rsidP="00B93603">
      <w:pPr>
        <w:pStyle w:val="Didascalia"/>
        <w:keepNext/>
        <w:spacing w:before="0" w:after="0"/>
        <w:jc w:val="both"/>
        <w:outlineLvl w:val="0"/>
        <w:rPr>
          <w:rFonts w:asciiTheme="minorHAnsi" w:hAnsiTheme="minorHAnsi" w:cs="Arial"/>
          <w:b w:val="0"/>
          <w:sz w:val="22"/>
          <w:szCs w:val="22"/>
          <w:lang w:val="it-IT"/>
        </w:rPr>
      </w:pPr>
      <w:r>
        <w:rPr>
          <w:rFonts w:asciiTheme="minorHAnsi" w:hAnsiTheme="minorHAnsi" w:cs="Arial"/>
          <w:b w:val="0"/>
          <w:sz w:val="22"/>
          <w:szCs w:val="22"/>
          <w:lang w:val="it-IT"/>
        </w:rPr>
        <w:t xml:space="preserve">La sintesi dei risultati dello studio di </w:t>
      </w:r>
      <w:proofErr w:type="spellStart"/>
      <w:r>
        <w:rPr>
          <w:rFonts w:asciiTheme="minorHAnsi" w:hAnsiTheme="minorHAnsi" w:cs="Arial"/>
          <w:b w:val="0"/>
          <w:sz w:val="22"/>
          <w:szCs w:val="22"/>
          <w:lang w:val="it-IT"/>
        </w:rPr>
        <w:t>bioequivalenza</w:t>
      </w:r>
      <w:proofErr w:type="spellEnd"/>
      <w:r>
        <w:rPr>
          <w:rFonts w:asciiTheme="minorHAnsi" w:hAnsiTheme="minorHAnsi" w:cs="Arial"/>
          <w:b w:val="0"/>
          <w:sz w:val="22"/>
          <w:szCs w:val="22"/>
          <w:lang w:val="it-IT"/>
        </w:rPr>
        <w:t xml:space="preserve"> è riportata nella tabella che segue.</w:t>
      </w:r>
    </w:p>
    <w:p w14:paraId="67967373" w14:textId="77777777" w:rsidR="00B93603" w:rsidRDefault="00B93603" w:rsidP="00B93603">
      <w:pPr>
        <w:pStyle w:val="Paragrafoelenco"/>
        <w:spacing w:after="0" w:line="240" w:lineRule="auto"/>
        <w:ind w:left="0"/>
        <w:jc w:val="both"/>
      </w:pP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right w:w="115" w:type="dxa"/>
        </w:tblCellMar>
        <w:tblLook w:val="04A0" w:firstRow="1" w:lastRow="0" w:firstColumn="1" w:lastColumn="0" w:noHBand="0" w:noVBand="1"/>
      </w:tblPr>
      <w:tblGrid>
        <w:gridCol w:w="1508"/>
        <w:gridCol w:w="1603"/>
        <w:gridCol w:w="1584"/>
        <w:gridCol w:w="1526"/>
        <w:gridCol w:w="1662"/>
      </w:tblGrid>
      <w:tr w:rsidR="00B93603" w14:paraId="24D2218F" w14:textId="77777777" w:rsidTr="00C278AD">
        <w:trPr>
          <w:jc w:val="center"/>
        </w:trPr>
        <w:tc>
          <w:tcPr>
            <w:tcW w:w="7942" w:type="dxa"/>
            <w:gridSpan w:val="5"/>
            <w:tcBorders>
              <w:top w:val="single" w:sz="4" w:space="0" w:color="auto"/>
              <w:left w:val="single" w:sz="4" w:space="0" w:color="auto"/>
              <w:bottom w:val="single" w:sz="4" w:space="0" w:color="auto"/>
              <w:right w:val="single" w:sz="4" w:space="0" w:color="auto"/>
            </w:tcBorders>
            <w:vAlign w:val="bottom"/>
            <w:hideMark/>
          </w:tcPr>
          <w:p w14:paraId="11D7F4AC" w14:textId="77777777" w:rsidR="00B93603" w:rsidRDefault="00B93603" w:rsidP="00C278AD">
            <w:pPr>
              <w:spacing w:after="0" w:line="240" w:lineRule="auto"/>
              <w:jc w:val="center"/>
              <w:rPr>
                <w:b/>
                <w:bCs/>
                <w:sz w:val="20"/>
                <w:szCs w:val="20"/>
              </w:rPr>
            </w:pPr>
            <w:r>
              <w:rPr>
                <w:b/>
                <w:bCs/>
                <w:sz w:val="20"/>
                <w:szCs w:val="20"/>
              </w:rPr>
              <w:t>Sildenafil</w:t>
            </w:r>
          </w:p>
        </w:tc>
      </w:tr>
      <w:tr w:rsidR="00B93603" w14:paraId="2961DCAF" w14:textId="77777777" w:rsidTr="00C278AD">
        <w:trPr>
          <w:jc w:val="center"/>
        </w:trPr>
        <w:tc>
          <w:tcPr>
            <w:tcW w:w="1519" w:type="dxa"/>
            <w:tcBorders>
              <w:top w:val="single" w:sz="4" w:space="0" w:color="auto"/>
              <w:left w:val="single" w:sz="4" w:space="0" w:color="auto"/>
              <w:bottom w:val="single" w:sz="4" w:space="0" w:color="auto"/>
              <w:right w:val="single" w:sz="4" w:space="0" w:color="auto"/>
            </w:tcBorders>
            <w:vAlign w:val="bottom"/>
            <w:hideMark/>
          </w:tcPr>
          <w:p w14:paraId="2C5E31D5" w14:textId="77777777" w:rsidR="00B93603" w:rsidRDefault="00B93603" w:rsidP="00C278AD">
            <w:pPr>
              <w:spacing w:after="0" w:line="240" w:lineRule="auto"/>
              <w:jc w:val="center"/>
              <w:rPr>
                <w:b/>
                <w:sz w:val="20"/>
                <w:szCs w:val="20"/>
              </w:rPr>
            </w:pPr>
            <w:r>
              <w:rPr>
                <w:b/>
                <w:sz w:val="20"/>
                <w:szCs w:val="20"/>
              </w:rPr>
              <w:t>Parametro</w:t>
            </w:r>
          </w:p>
        </w:tc>
        <w:tc>
          <w:tcPr>
            <w:tcW w:w="1615" w:type="dxa"/>
            <w:tcBorders>
              <w:top w:val="single" w:sz="4" w:space="0" w:color="auto"/>
              <w:left w:val="single" w:sz="4" w:space="0" w:color="auto"/>
              <w:bottom w:val="single" w:sz="4" w:space="0" w:color="auto"/>
              <w:right w:val="single" w:sz="4" w:space="0" w:color="auto"/>
            </w:tcBorders>
            <w:vAlign w:val="bottom"/>
            <w:hideMark/>
          </w:tcPr>
          <w:p w14:paraId="34AA8BC6" w14:textId="77777777" w:rsidR="00B93603" w:rsidRDefault="00B93603" w:rsidP="00C278AD">
            <w:pPr>
              <w:spacing w:after="0" w:line="240" w:lineRule="auto"/>
              <w:jc w:val="center"/>
              <w:rPr>
                <w:b/>
                <w:sz w:val="20"/>
                <w:szCs w:val="20"/>
              </w:rPr>
            </w:pPr>
            <w:r>
              <w:rPr>
                <w:b/>
                <w:sz w:val="20"/>
                <w:szCs w:val="20"/>
              </w:rPr>
              <w:t>Test</w:t>
            </w:r>
          </w:p>
        </w:tc>
        <w:tc>
          <w:tcPr>
            <w:tcW w:w="1596" w:type="dxa"/>
            <w:tcBorders>
              <w:top w:val="single" w:sz="4" w:space="0" w:color="auto"/>
              <w:left w:val="single" w:sz="4" w:space="0" w:color="auto"/>
              <w:bottom w:val="single" w:sz="4" w:space="0" w:color="auto"/>
              <w:right w:val="single" w:sz="4" w:space="0" w:color="auto"/>
            </w:tcBorders>
            <w:vAlign w:val="bottom"/>
            <w:hideMark/>
          </w:tcPr>
          <w:p w14:paraId="0DC10B24" w14:textId="77777777" w:rsidR="00B93603" w:rsidRDefault="00B93603" w:rsidP="00C278AD">
            <w:pPr>
              <w:spacing w:after="0" w:line="240" w:lineRule="auto"/>
              <w:jc w:val="center"/>
              <w:rPr>
                <w:b/>
                <w:sz w:val="20"/>
                <w:szCs w:val="20"/>
              </w:rPr>
            </w:pPr>
            <w:r>
              <w:rPr>
                <w:b/>
                <w:sz w:val="20"/>
                <w:szCs w:val="20"/>
              </w:rPr>
              <w:t>Reference</w:t>
            </w:r>
          </w:p>
        </w:tc>
        <w:tc>
          <w:tcPr>
            <w:tcW w:w="1537" w:type="dxa"/>
            <w:tcBorders>
              <w:top w:val="single" w:sz="4" w:space="0" w:color="auto"/>
              <w:left w:val="single" w:sz="4" w:space="0" w:color="auto"/>
              <w:bottom w:val="single" w:sz="4" w:space="0" w:color="auto"/>
              <w:right w:val="single" w:sz="4" w:space="0" w:color="auto"/>
            </w:tcBorders>
            <w:vAlign w:val="bottom"/>
            <w:hideMark/>
          </w:tcPr>
          <w:p w14:paraId="41D5203F" w14:textId="77777777" w:rsidR="00B93603" w:rsidRDefault="00B93603" w:rsidP="00C278AD">
            <w:pPr>
              <w:spacing w:after="0" w:line="240" w:lineRule="auto"/>
              <w:jc w:val="center"/>
              <w:rPr>
                <w:b/>
                <w:sz w:val="20"/>
                <w:szCs w:val="20"/>
              </w:rPr>
            </w:pPr>
            <w:r>
              <w:rPr>
                <w:b/>
                <w:sz w:val="20"/>
                <w:szCs w:val="20"/>
              </w:rPr>
              <w:t>T/R Ratio</w:t>
            </w:r>
          </w:p>
        </w:tc>
        <w:tc>
          <w:tcPr>
            <w:tcW w:w="1675" w:type="dxa"/>
            <w:tcBorders>
              <w:top w:val="single" w:sz="4" w:space="0" w:color="auto"/>
              <w:left w:val="single" w:sz="4" w:space="0" w:color="auto"/>
              <w:bottom w:val="single" w:sz="4" w:space="0" w:color="auto"/>
              <w:right w:val="single" w:sz="4" w:space="0" w:color="auto"/>
            </w:tcBorders>
            <w:vAlign w:val="bottom"/>
            <w:hideMark/>
          </w:tcPr>
          <w:p w14:paraId="2842E542" w14:textId="77777777" w:rsidR="00B93603" w:rsidRDefault="00B93603" w:rsidP="00C278AD">
            <w:pPr>
              <w:spacing w:after="0" w:line="240" w:lineRule="auto"/>
              <w:jc w:val="center"/>
              <w:rPr>
                <w:b/>
                <w:sz w:val="20"/>
                <w:szCs w:val="20"/>
              </w:rPr>
            </w:pPr>
            <w:r>
              <w:rPr>
                <w:b/>
                <w:sz w:val="20"/>
                <w:szCs w:val="20"/>
              </w:rPr>
              <w:t>90% C.I.</w:t>
            </w:r>
          </w:p>
        </w:tc>
      </w:tr>
      <w:tr w:rsidR="00B93603" w14:paraId="0D648548" w14:textId="77777777" w:rsidTr="00C278AD">
        <w:trPr>
          <w:jc w:val="center"/>
        </w:trPr>
        <w:tc>
          <w:tcPr>
            <w:tcW w:w="1519" w:type="dxa"/>
            <w:tcBorders>
              <w:top w:val="single" w:sz="4" w:space="0" w:color="auto"/>
              <w:left w:val="single" w:sz="4" w:space="0" w:color="auto"/>
              <w:bottom w:val="single" w:sz="4" w:space="0" w:color="auto"/>
              <w:right w:val="single" w:sz="4" w:space="0" w:color="auto"/>
            </w:tcBorders>
            <w:vAlign w:val="bottom"/>
            <w:hideMark/>
          </w:tcPr>
          <w:p w14:paraId="2A5BF8E5" w14:textId="77777777" w:rsidR="00B93603" w:rsidRDefault="00B93603" w:rsidP="00C278AD">
            <w:pPr>
              <w:spacing w:after="0" w:line="240" w:lineRule="auto"/>
              <w:rPr>
                <w:b/>
                <w:sz w:val="20"/>
                <w:szCs w:val="20"/>
              </w:rPr>
            </w:pPr>
            <w:r>
              <w:rPr>
                <w:b/>
                <w:sz w:val="20"/>
                <w:szCs w:val="20"/>
              </w:rPr>
              <w:t>AUC0-t</w:t>
            </w:r>
          </w:p>
        </w:tc>
        <w:tc>
          <w:tcPr>
            <w:tcW w:w="1615" w:type="dxa"/>
            <w:tcBorders>
              <w:top w:val="single" w:sz="4" w:space="0" w:color="auto"/>
              <w:left w:val="single" w:sz="4" w:space="0" w:color="auto"/>
              <w:bottom w:val="single" w:sz="4" w:space="0" w:color="auto"/>
              <w:right w:val="single" w:sz="4" w:space="0" w:color="auto"/>
            </w:tcBorders>
            <w:hideMark/>
          </w:tcPr>
          <w:p w14:paraId="2568426F" w14:textId="77777777" w:rsidR="00B93603" w:rsidRDefault="00B93603" w:rsidP="00C278AD">
            <w:pPr>
              <w:spacing w:after="0" w:line="240" w:lineRule="auto"/>
              <w:jc w:val="center"/>
              <w:rPr>
                <w:sz w:val="20"/>
                <w:szCs w:val="20"/>
              </w:rPr>
            </w:pPr>
            <w:r>
              <w:rPr>
                <w:rFonts w:ascii="Calibri" w:hAnsi="Calibri"/>
              </w:rPr>
              <w:t>1207.21</w:t>
            </w:r>
          </w:p>
        </w:tc>
        <w:tc>
          <w:tcPr>
            <w:tcW w:w="1596" w:type="dxa"/>
            <w:tcBorders>
              <w:top w:val="single" w:sz="4" w:space="0" w:color="auto"/>
              <w:left w:val="single" w:sz="4" w:space="0" w:color="auto"/>
              <w:bottom w:val="single" w:sz="4" w:space="0" w:color="auto"/>
              <w:right w:val="single" w:sz="4" w:space="0" w:color="auto"/>
            </w:tcBorders>
            <w:vAlign w:val="bottom"/>
            <w:hideMark/>
          </w:tcPr>
          <w:p w14:paraId="2BC95C9D" w14:textId="77777777" w:rsidR="00B93603" w:rsidRDefault="00B93603" w:rsidP="00C278AD">
            <w:pPr>
              <w:spacing w:after="0" w:line="240" w:lineRule="auto"/>
              <w:jc w:val="center"/>
              <w:rPr>
                <w:sz w:val="20"/>
                <w:szCs w:val="20"/>
              </w:rPr>
            </w:pPr>
            <w:r>
              <w:rPr>
                <w:rFonts w:ascii="Calibri" w:hAnsi="Calibri" w:cs="Courier New"/>
              </w:rPr>
              <w:t>1279.70</w:t>
            </w:r>
          </w:p>
        </w:tc>
        <w:tc>
          <w:tcPr>
            <w:tcW w:w="1537" w:type="dxa"/>
            <w:tcBorders>
              <w:top w:val="single" w:sz="4" w:space="0" w:color="auto"/>
              <w:left w:val="single" w:sz="4" w:space="0" w:color="auto"/>
              <w:bottom w:val="single" w:sz="4" w:space="0" w:color="auto"/>
              <w:right w:val="single" w:sz="4" w:space="0" w:color="auto"/>
            </w:tcBorders>
            <w:vAlign w:val="bottom"/>
            <w:hideMark/>
          </w:tcPr>
          <w:p w14:paraId="66F2C707" w14:textId="77777777" w:rsidR="00B93603" w:rsidRDefault="00B93603" w:rsidP="00C278AD">
            <w:pPr>
              <w:spacing w:after="0" w:line="240" w:lineRule="auto"/>
              <w:jc w:val="center"/>
              <w:rPr>
                <w:sz w:val="20"/>
                <w:szCs w:val="20"/>
              </w:rPr>
            </w:pPr>
            <w:r>
              <w:rPr>
                <w:rFonts w:ascii="Calibri" w:hAnsi="Calibri"/>
              </w:rPr>
              <w:t>94.38</w:t>
            </w:r>
          </w:p>
        </w:tc>
        <w:tc>
          <w:tcPr>
            <w:tcW w:w="1675" w:type="dxa"/>
            <w:tcBorders>
              <w:top w:val="single" w:sz="4" w:space="0" w:color="auto"/>
              <w:left w:val="single" w:sz="4" w:space="0" w:color="auto"/>
              <w:bottom w:val="single" w:sz="4" w:space="0" w:color="auto"/>
              <w:right w:val="single" w:sz="4" w:space="0" w:color="auto"/>
            </w:tcBorders>
            <w:vAlign w:val="bottom"/>
            <w:hideMark/>
          </w:tcPr>
          <w:p w14:paraId="0ACA4923" w14:textId="77777777" w:rsidR="00B93603" w:rsidRDefault="00B93603" w:rsidP="00C278AD">
            <w:pPr>
              <w:spacing w:after="0" w:line="240" w:lineRule="auto"/>
              <w:jc w:val="center"/>
              <w:rPr>
                <w:sz w:val="20"/>
                <w:szCs w:val="20"/>
              </w:rPr>
            </w:pPr>
            <w:r>
              <w:rPr>
                <w:rFonts w:ascii="Calibri" w:hAnsi="Calibri"/>
              </w:rPr>
              <w:t>88.16-100.21</w:t>
            </w:r>
          </w:p>
        </w:tc>
      </w:tr>
      <w:tr w:rsidR="00B93603" w14:paraId="772C9937" w14:textId="77777777" w:rsidTr="00C278AD">
        <w:trPr>
          <w:jc w:val="center"/>
        </w:trPr>
        <w:tc>
          <w:tcPr>
            <w:tcW w:w="1519" w:type="dxa"/>
            <w:tcBorders>
              <w:top w:val="single" w:sz="4" w:space="0" w:color="auto"/>
              <w:left w:val="single" w:sz="4" w:space="0" w:color="auto"/>
              <w:bottom w:val="single" w:sz="4" w:space="0" w:color="auto"/>
              <w:right w:val="single" w:sz="4" w:space="0" w:color="auto"/>
            </w:tcBorders>
            <w:vAlign w:val="bottom"/>
            <w:hideMark/>
          </w:tcPr>
          <w:p w14:paraId="6459CC28" w14:textId="77777777" w:rsidR="00B93603" w:rsidRDefault="00B93603" w:rsidP="00C278AD">
            <w:pPr>
              <w:spacing w:after="0" w:line="240" w:lineRule="auto"/>
              <w:rPr>
                <w:b/>
                <w:sz w:val="20"/>
                <w:szCs w:val="20"/>
              </w:rPr>
            </w:pPr>
            <w:r>
              <w:rPr>
                <w:b/>
                <w:sz w:val="20"/>
                <w:szCs w:val="20"/>
              </w:rPr>
              <w:t>AUC0-∞</w:t>
            </w:r>
          </w:p>
        </w:tc>
        <w:tc>
          <w:tcPr>
            <w:tcW w:w="1615" w:type="dxa"/>
            <w:tcBorders>
              <w:top w:val="single" w:sz="4" w:space="0" w:color="auto"/>
              <w:left w:val="single" w:sz="4" w:space="0" w:color="auto"/>
              <w:bottom w:val="single" w:sz="4" w:space="0" w:color="auto"/>
              <w:right w:val="single" w:sz="4" w:space="0" w:color="auto"/>
            </w:tcBorders>
            <w:vAlign w:val="bottom"/>
            <w:hideMark/>
          </w:tcPr>
          <w:p w14:paraId="63FA12CA" w14:textId="77777777" w:rsidR="00B93603" w:rsidRDefault="00B93603" w:rsidP="00C278AD">
            <w:pPr>
              <w:spacing w:after="0" w:line="240" w:lineRule="auto"/>
              <w:jc w:val="center"/>
              <w:rPr>
                <w:sz w:val="20"/>
                <w:szCs w:val="20"/>
              </w:rPr>
            </w:pPr>
            <w:r>
              <w:rPr>
                <w:rFonts w:ascii="Calibri" w:hAnsi="Calibri"/>
              </w:rPr>
              <w:t>323.57</w:t>
            </w:r>
          </w:p>
        </w:tc>
        <w:tc>
          <w:tcPr>
            <w:tcW w:w="1596" w:type="dxa"/>
            <w:tcBorders>
              <w:top w:val="single" w:sz="4" w:space="0" w:color="auto"/>
              <w:left w:val="single" w:sz="4" w:space="0" w:color="auto"/>
              <w:bottom w:val="single" w:sz="4" w:space="0" w:color="auto"/>
              <w:right w:val="single" w:sz="4" w:space="0" w:color="auto"/>
            </w:tcBorders>
            <w:vAlign w:val="bottom"/>
            <w:hideMark/>
          </w:tcPr>
          <w:p w14:paraId="0BAFBDAE" w14:textId="77777777" w:rsidR="00B93603" w:rsidRDefault="00B93603" w:rsidP="00C278AD">
            <w:pPr>
              <w:spacing w:after="0" w:line="240" w:lineRule="auto"/>
              <w:jc w:val="center"/>
              <w:rPr>
                <w:sz w:val="20"/>
                <w:szCs w:val="20"/>
              </w:rPr>
            </w:pPr>
            <w:r>
              <w:rPr>
                <w:rFonts w:ascii="Calibri" w:hAnsi="Calibri" w:cs="Courier New"/>
              </w:rPr>
              <w:t>361.69</w:t>
            </w:r>
          </w:p>
        </w:tc>
        <w:tc>
          <w:tcPr>
            <w:tcW w:w="1537" w:type="dxa"/>
            <w:tcBorders>
              <w:top w:val="single" w:sz="4" w:space="0" w:color="auto"/>
              <w:left w:val="single" w:sz="4" w:space="0" w:color="auto"/>
              <w:bottom w:val="single" w:sz="4" w:space="0" w:color="auto"/>
              <w:right w:val="single" w:sz="4" w:space="0" w:color="auto"/>
            </w:tcBorders>
            <w:vAlign w:val="bottom"/>
            <w:hideMark/>
          </w:tcPr>
          <w:p w14:paraId="700C7E12" w14:textId="77777777" w:rsidR="00B93603" w:rsidRDefault="00B93603" w:rsidP="00C278AD">
            <w:pPr>
              <w:spacing w:after="0" w:line="240" w:lineRule="auto"/>
              <w:jc w:val="center"/>
              <w:rPr>
                <w:sz w:val="20"/>
                <w:szCs w:val="20"/>
              </w:rPr>
            </w:pPr>
            <w:r>
              <w:rPr>
                <w:rFonts w:ascii="Calibri" w:hAnsi="Calibri"/>
              </w:rPr>
              <w:t>89.31</w:t>
            </w:r>
          </w:p>
        </w:tc>
        <w:tc>
          <w:tcPr>
            <w:tcW w:w="1675" w:type="dxa"/>
            <w:tcBorders>
              <w:top w:val="single" w:sz="4" w:space="0" w:color="auto"/>
              <w:left w:val="single" w:sz="4" w:space="0" w:color="auto"/>
              <w:bottom w:val="single" w:sz="4" w:space="0" w:color="auto"/>
              <w:right w:val="single" w:sz="4" w:space="0" w:color="auto"/>
            </w:tcBorders>
            <w:vAlign w:val="bottom"/>
            <w:hideMark/>
          </w:tcPr>
          <w:p w14:paraId="2A4D6BC8" w14:textId="77777777" w:rsidR="00B93603" w:rsidRDefault="00B93603" w:rsidP="00C278AD">
            <w:pPr>
              <w:spacing w:after="0" w:line="240" w:lineRule="auto"/>
              <w:jc w:val="center"/>
              <w:rPr>
                <w:sz w:val="20"/>
                <w:szCs w:val="20"/>
              </w:rPr>
            </w:pPr>
            <w:r>
              <w:rPr>
                <w:rFonts w:ascii="Calibri" w:hAnsi="Calibri"/>
              </w:rPr>
              <w:t>81.48-97.89</w:t>
            </w:r>
          </w:p>
        </w:tc>
      </w:tr>
      <w:tr w:rsidR="00B93603" w14:paraId="51610A57" w14:textId="77777777" w:rsidTr="00C278AD">
        <w:trPr>
          <w:jc w:val="center"/>
        </w:trPr>
        <w:tc>
          <w:tcPr>
            <w:tcW w:w="1519" w:type="dxa"/>
            <w:tcBorders>
              <w:top w:val="single" w:sz="4" w:space="0" w:color="auto"/>
              <w:left w:val="single" w:sz="4" w:space="0" w:color="auto"/>
              <w:bottom w:val="single" w:sz="4" w:space="0" w:color="auto"/>
              <w:right w:val="single" w:sz="4" w:space="0" w:color="auto"/>
            </w:tcBorders>
            <w:vAlign w:val="bottom"/>
            <w:hideMark/>
          </w:tcPr>
          <w:p w14:paraId="04FED0B7" w14:textId="77777777" w:rsidR="00B93603" w:rsidRDefault="00B93603" w:rsidP="00C278AD">
            <w:pPr>
              <w:spacing w:after="0" w:line="240" w:lineRule="auto"/>
              <w:rPr>
                <w:b/>
                <w:sz w:val="20"/>
                <w:szCs w:val="20"/>
              </w:rPr>
            </w:pPr>
            <w:proofErr w:type="spellStart"/>
            <w:r>
              <w:rPr>
                <w:b/>
                <w:sz w:val="20"/>
                <w:szCs w:val="20"/>
              </w:rPr>
              <w:t>Cmax</w:t>
            </w:r>
            <w:proofErr w:type="spellEnd"/>
          </w:p>
        </w:tc>
        <w:tc>
          <w:tcPr>
            <w:tcW w:w="1615" w:type="dxa"/>
            <w:tcBorders>
              <w:top w:val="single" w:sz="4" w:space="0" w:color="auto"/>
              <w:left w:val="single" w:sz="4" w:space="0" w:color="auto"/>
              <w:bottom w:val="single" w:sz="4" w:space="0" w:color="auto"/>
              <w:right w:val="single" w:sz="4" w:space="0" w:color="auto"/>
            </w:tcBorders>
            <w:vAlign w:val="bottom"/>
            <w:hideMark/>
          </w:tcPr>
          <w:p w14:paraId="3E99A82A" w14:textId="77777777" w:rsidR="00B93603" w:rsidRDefault="00B93603" w:rsidP="00C278AD">
            <w:pPr>
              <w:spacing w:after="0" w:line="240" w:lineRule="auto"/>
              <w:jc w:val="center"/>
              <w:rPr>
                <w:sz w:val="20"/>
                <w:szCs w:val="20"/>
              </w:rPr>
            </w:pPr>
            <w:r>
              <w:rPr>
                <w:rFonts w:ascii="Calibri" w:hAnsi="Calibri"/>
              </w:rPr>
              <w:t>1222.11</w:t>
            </w:r>
          </w:p>
        </w:tc>
        <w:tc>
          <w:tcPr>
            <w:tcW w:w="1596" w:type="dxa"/>
            <w:tcBorders>
              <w:top w:val="single" w:sz="4" w:space="0" w:color="auto"/>
              <w:left w:val="single" w:sz="4" w:space="0" w:color="auto"/>
              <w:bottom w:val="single" w:sz="4" w:space="0" w:color="auto"/>
              <w:right w:val="single" w:sz="4" w:space="0" w:color="auto"/>
            </w:tcBorders>
            <w:vAlign w:val="bottom"/>
            <w:hideMark/>
          </w:tcPr>
          <w:p w14:paraId="27D52921" w14:textId="77777777" w:rsidR="00B93603" w:rsidRDefault="00B93603" w:rsidP="00C278AD">
            <w:pPr>
              <w:spacing w:after="0" w:line="240" w:lineRule="auto"/>
              <w:jc w:val="center"/>
              <w:rPr>
                <w:sz w:val="20"/>
                <w:szCs w:val="20"/>
              </w:rPr>
            </w:pPr>
            <w:r>
              <w:rPr>
                <w:rFonts w:ascii="Calibri" w:hAnsi="Calibri" w:cs="Courier New"/>
              </w:rPr>
              <w:t>1292.18</w:t>
            </w:r>
          </w:p>
        </w:tc>
        <w:tc>
          <w:tcPr>
            <w:tcW w:w="1537" w:type="dxa"/>
            <w:tcBorders>
              <w:top w:val="single" w:sz="4" w:space="0" w:color="auto"/>
              <w:left w:val="single" w:sz="4" w:space="0" w:color="auto"/>
              <w:bottom w:val="single" w:sz="4" w:space="0" w:color="auto"/>
              <w:right w:val="single" w:sz="4" w:space="0" w:color="auto"/>
            </w:tcBorders>
            <w:vAlign w:val="bottom"/>
            <w:hideMark/>
          </w:tcPr>
          <w:p w14:paraId="3797909C" w14:textId="77777777" w:rsidR="00B93603" w:rsidRDefault="00B93603" w:rsidP="00C278AD">
            <w:pPr>
              <w:spacing w:after="0" w:line="240" w:lineRule="auto"/>
              <w:jc w:val="center"/>
              <w:rPr>
                <w:sz w:val="20"/>
                <w:szCs w:val="20"/>
              </w:rPr>
            </w:pPr>
            <w:r>
              <w:rPr>
                <w:rFonts w:ascii="Calibri" w:hAnsi="Calibri"/>
              </w:rPr>
              <w:t>94.63</w:t>
            </w:r>
          </w:p>
        </w:tc>
        <w:tc>
          <w:tcPr>
            <w:tcW w:w="1675" w:type="dxa"/>
            <w:tcBorders>
              <w:top w:val="single" w:sz="4" w:space="0" w:color="auto"/>
              <w:left w:val="single" w:sz="4" w:space="0" w:color="auto"/>
              <w:bottom w:val="single" w:sz="4" w:space="0" w:color="auto"/>
              <w:right w:val="single" w:sz="4" w:space="0" w:color="auto"/>
            </w:tcBorders>
            <w:vAlign w:val="bottom"/>
            <w:hideMark/>
          </w:tcPr>
          <w:p w14:paraId="4C937E4C" w14:textId="77777777" w:rsidR="00B93603" w:rsidRDefault="00B93603" w:rsidP="00C278AD">
            <w:pPr>
              <w:spacing w:after="0" w:line="240" w:lineRule="auto"/>
              <w:jc w:val="center"/>
              <w:rPr>
                <w:sz w:val="20"/>
                <w:szCs w:val="20"/>
              </w:rPr>
            </w:pPr>
            <w:r>
              <w:rPr>
                <w:rFonts w:ascii="Calibri" w:hAnsi="Calibri"/>
              </w:rPr>
              <w:t>89.16-100.43</w:t>
            </w:r>
          </w:p>
        </w:tc>
      </w:tr>
    </w:tbl>
    <w:p w14:paraId="12D6988E" w14:textId="77777777" w:rsidR="00B93603" w:rsidRDefault="00B93603" w:rsidP="00B93603">
      <w:pPr>
        <w:spacing w:after="0" w:line="240" w:lineRule="auto"/>
        <w:rPr>
          <w:rFonts w:cs="Arial"/>
          <w:i/>
        </w:rPr>
      </w:pPr>
    </w:p>
    <w:p w14:paraId="4DA7371B" w14:textId="77777777" w:rsidR="00B93603" w:rsidRDefault="00B93603" w:rsidP="00B93603">
      <w:pPr>
        <w:spacing w:after="0" w:line="240" w:lineRule="auto"/>
        <w:rPr>
          <w:rFonts w:cs="Arial"/>
          <w:i/>
        </w:rPr>
      </w:pPr>
    </w:p>
    <w:p w14:paraId="22F9F781" w14:textId="77777777" w:rsidR="00B93603" w:rsidRDefault="00B93603" w:rsidP="00B93603">
      <w:pPr>
        <w:spacing w:after="0" w:line="240" w:lineRule="auto"/>
        <w:rPr>
          <w:rFonts w:cs="Arial"/>
        </w:rPr>
      </w:pPr>
      <w:r>
        <w:rPr>
          <w:rFonts w:cs="Arial"/>
          <w:i/>
        </w:rPr>
        <w:t xml:space="preserve">Conclusioni sulla </w:t>
      </w:r>
      <w:proofErr w:type="spellStart"/>
      <w:r>
        <w:rPr>
          <w:rFonts w:cs="Arial"/>
          <w:i/>
        </w:rPr>
        <w:t>bioequivalenza</w:t>
      </w:r>
      <w:proofErr w:type="spellEnd"/>
      <w:r>
        <w:rPr>
          <w:rFonts w:cs="Arial"/>
        </w:rPr>
        <w:t>.</w:t>
      </w:r>
    </w:p>
    <w:p w14:paraId="6A98CA88" w14:textId="77777777" w:rsidR="00B93603" w:rsidRDefault="00B93603" w:rsidP="00B93603">
      <w:pPr>
        <w:spacing w:after="0" w:line="240" w:lineRule="auto"/>
        <w:jc w:val="both"/>
        <w:rPr>
          <w:rFonts w:cs="Arial"/>
        </w:rPr>
      </w:pPr>
      <w:r>
        <w:rPr>
          <w:rFonts w:cs="Arial"/>
        </w:rPr>
        <w:t xml:space="preserve">I risultati degli studi di </w:t>
      </w:r>
      <w:proofErr w:type="spellStart"/>
      <w:r>
        <w:rPr>
          <w:rFonts w:cs="Arial"/>
        </w:rPr>
        <w:t>bioequivalenza</w:t>
      </w:r>
      <w:proofErr w:type="spellEnd"/>
      <w:r>
        <w:rPr>
          <w:rFonts w:cs="Arial"/>
        </w:rPr>
        <w:t xml:space="preserve"> mostrano che gli intervalli di confidenza dei parametri farmacocinetici studiati cadono nel range di accettabilità di 80-125%, in accordo con le linee guida correnti.</w:t>
      </w:r>
    </w:p>
    <w:p w14:paraId="029EA5DE" w14:textId="77777777" w:rsidR="009E2D68" w:rsidRDefault="009E2D68" w:rsidP="00B93603">
      <w:pPr>
        <w:spacing w:after="0" w:line="240" w:lineRule="auto"/>
        <w:jc w:val="both"/>
        <w:rPr>
          <w:rFonts w:cs="Arial"/>
        </w:rPr>
      </w:pPr>
    </w:p>
    <w:p w14:paraId="3FD8D5E6" w14:textId="637DC189" w:rsidR="00A71CA9" w:rsidRDefault="00A71CA9" w:rsidP="00A71CA9">
      <w:pPr>
        <w:spacing w:after="0" w:line="240" w:lineRule="auto"/>
        <w:jc w:val="both"/>
        <w:rPr>
          <w:rFonts w:cs="Arial"/>
        </w:rPr>
      </w:pPr>
      <w:bookmarkStart w:id="5" w:name="_GoBack"/>
      <w:bookmarkEnd w:id="5"/>
      <w:r w:rsidRPr="00942301">
        <w:rPr>
          <w:rFonts w:cs="Arial"/>
        </w:rPr>
        <w:t xml:space="preserve">I risultati dello studio di </w:t>
      </w:r>
      <w:proofErr w:type="spellStart"/>
      <w:r w:rsidRPr="00942301">
        <w:rPr>
          <w:rFonts w:cs="Arial"/>
        </w:rPr>
        <w:t>bioequivalenza</w:t>
      </w:r>
      <w:proofErr w:type="spellEnd"/>
      <w:r w:rsidRPr="00942301">
        <w:rPr>
          <w:rFonts w:cs="Arial"/>
        </w:rPr>
        <w:t xml:space="preserve"> </w:t>
      </w:r>
      <w:r w:rsidRPr="00942301">
        <w:rPr>
          <w:rFonts w:ascii="Calibri" w:eastAsia="MS Mincho" w:hAnsi="Calibri"/>
          <w:lang w:val="en-GB"/>
        </w:rPr>
        <w:t xml:space="preserve">SIL-BIO-01-19 </w:t>
      </w:r>
      <w:r w:rsidRPr="00942301">
        <w:rPr>
          <w:rFonts w:cs="Arial"/>
        </w:rPr>
        <w:t xml:space="preserve">condotto con il dosaggio da 100 mg possono essere utilizzati per estrapolare quelli dell’altro dosaggio da 50 mg, </w:t>
      </w:r>
      <w:r w:rsidRPr="00942301">
        <w:rPr>
          <w:rFonts w:eastAsia="Times New Roman" w:cs="Arial"/>
          <w:bCs/>
          <w:color w:val="000000"/>
          <w:lang w:eastAsia="it-IT"/>
        </w:rPr>
        <w:t xml:space="preserve">in quanto sono stati soddisfatti i requisiti per la concessione del waiver di cui al paragrafo 4.1.6 della linea guida </w:t>
      </w:r>
      <w:r w:rsidRPr="00942301">
        <w:t xml:space="preserve">Guideline on the Investigation of </w:t>
      </w:r>
      <w:proofErr w:type="spellStart"/>
      <w:r w:rsidRPr="00942301">
        <w:t>Bioequivalence</w:t>
      </w:r>
      <w:proofErr w:type="spellEnd"/>
      <w:r w:rsidRPr="00942301">
        <w:t xml:space="preserve"> </w:t>
      </w:r>
      <w:r w:rsidRPr="00942301">
        <w:rPr>
          <w:rFonts w:eastAsia="Times New Roman" w:cs="Arial"/>
          <w:bCs/>
          <w:color w:val="000000"/>
          <w:lang w:eastAsia="it-IT"/>
        </w:rPr>
        <w:t>CPMP/EWP/QWP/98 rev.1/</w:t>
      </w:r>
      <w:proofErr w:type="spellStart"/>
      <w:r w:rsidRPr="00942301">
        <w:rPr>
          <w:rFonts w:eastAsia="Times New Roman" w:cs="Arial"/>
          <w:bCs/>
          <w:color w:val="000000"/>
          <w:lang w:eastAsia="it-IT"/>
        </w:rPr>
        <w:t>Corr</w:t>
      </w:r>
      <w:proofErr w:type="spellEnd"/>
      <w:r w:rsidRPr="00942301">
        <w:rPr>
          <w:rFonts w:eastAsia="Times New Roman" w:cs="Arial"/>
          <w:bCs/>
          <w:color w:val="000000"/>
          <w:lang w:eastAsia="it-IT"/>
        </w:rPr>
        <w:t>**.</w:t>
      </w:r>
    </w:p>
    <w:p w14:paraId="151817C5" w14:textId="77777777" w:rsidR="00B93603" w:rsidRDefault="00B93603" w:rsidP="00B93603">
      <w:pPr>
        <w:spacing w:after="0" w:line="240" w:lineRule="auto"/>
        <w:jc w:val="both"/>
        <w:rPr>
          <w:rFonts w:cs="Arial"/>
        </w:rPr>
      </w:pPr>
    </w:p>
    <w:p w14:paraId="5854A427" w14:textId="77777777" w:rsidR="00B93603" w:rsidRDefault="00B93603" w:rsidP="00B93603">
      <w:pPr>
        <w:spacing w:after="0" w:line="240" w:lineRule="auto"/>
        <w:jc w:val="both"/>
        <w:rPr>
          <w:rFonts w:cs="Arial"/>
          <w:b/>
        </w:rPr>
      </w:pPr>
      <w:r>
        <w:rPr>
          <w:rFonts w:cs="Arial"/>
          <w:b/>
        </w:rPr>
        <w:t>Efficacia e sicurezza clinica</w:t>
      </w:r>
    </w:p>
    <w:p w14:paraId="422A3FDD" w14:textId="77777777" w:rsidR="00B93603" w:rsidRDefault="00B93603" w:rsidP="00B93603">
      <w:pPr>
        <w:spacing w:after="0" w:line="240" w:lineRule="auto"/>
        <w:jc w:val="both"/>
        <w:rPr>
          <w:rFonts w:cs="Arial"/>
        </w:rPr>
      </w:pPr>
      <w:r>
        <w:rPr>
          <w:rFonts w:cs="Arial"/>
        </w:rPr>
        <w:t xml:space="preserve">Non sono stati presentati nuovi dati di efficacia e sicurezza clinica: il profilo di sicurezza e l’efficacia del principio attivo di </w:t>
      </w:r>
      <w:r>
        <w:rPr>
          <w:rFonts w:eastAsia="Calibri" w:cs="Calibri"/>
          <w:color w:val="000000"/>
          <w:lang w:eastAsia="it-IT"/>
        </w:rPr>
        <w:t xml:space="preserve">BIDEF </w:t>
      </w:r>
      <w:r>
        <w:rPr>
          <w:rFonts w:cs="Arial"/>
        </w:rPr>
        <w:t xml:space="preserve">è ben conosciuto. </w:t>
      </w:r>
    </w:p>
    <w:p w14:paraId="69E0D700" w14:textId="77777777" w:rsidR="00B93603" w:rsidRDefault="00B93603" w:rsidP="00B93603">
      <w:pPr>
        <w:spacing w:after="0" w:line="240" w:lineRule="auto"/>
        <w:ind w:right="6"/>
        <w:jc w:val="both"/>
        <w:rPr>
          <w:rFonts w:eastAsia="Calibri" w:cs="Calibri"/>
          <w:b/>
          <w:i/>
          <w:sz w:val="20"/>
          <w:highlight w:val="green"/>
          <w:lang w:eastAsia="it-IT"/>
        </w:rPr>
      </w:pPr>
    </w:p>
    <w:p w14:paraId="71A51368" w14:textId="77777777" w:rsidR="00B93603" w:rsidRPr="00E369A8" w:rsidRDefault="00B93603" w:rsidP="00B93603">
      <w:pPr>
        <w:spacing w:after="0" w:line="240" w:lineRule="auto"/>
        <w:jc w:val="both"/>
      </w:pPr>
    </w:p>
    <w:p w14:paraId="64E67903" w14:textId="77777777" w:rsidR="00B93603" w:rsidRPr="00E369A8" w:rsidRDefault="00B93603" w:rsidP="00B93603">
      <w:pPr>
        <w:pStyle w:val="Paragrafoelenco"/>
        <w:spacing w:after="0" w:line="240" w:lineRule="auto"/>
        <w:ind w:left="0"/>
        <w:jc w:val="both"/>
        <w:rPr>
          <w:b/>
        </w:rPr>
      </w:pPr>
      <w:r w:rsidRPr="00E369A8">
        <w:rPr>
          <w:b/>
        </w:rPr>
        <w:t>Piano di Valutazione del Rischio (</w:t>
      </w:r>
      <w:r w:rsidRPr="00E369A8">
        <w:rPr>
          <w:b/>
          <w:i/>
        </w:rPr>
        <w:t>Risk Management Plan</w:t>
      </w:r>
      <w:r w:rsidRPr="00E369A8">
        <w:rPr>
          <w:b/>
        </w:rPr>
        <w:t xml:space="preserve"> - RMP)</w:t>
      </w:r>
    </w:p>
    <w:p w14:paraId="78BD4838" w14:textId="77777777" w:rsidR="00B93603" w:rsidRPr="00E369A8" w:rsidRDefault="00B93603" w:rsidP="00B93603">
      <w:pPr>
        <w:pStyle w:val="Paragrafoelenco"/>
        <w:spacing w:after="0" w:line="240" w:lineRule="auto"/>
        <w:ind w:left="0"/>
        <w:jc w:val="both"/>
      </w:pPr>
      <w:r w:rsidRPr="00E369A8">
        <w:t xml:space="preserve">È stato presentato un RMP in accordo a quanto previsto dalla Direttiva 2001/83/EU </w:t>
      </w:r>
      <w:proofErr w:type="spellStart"/>
      <w:r w:rsidRPr="00E369A8">
        <w:t>s.m.i.</w:t>
      </w:r>
      <w:proofErr w:type="spellEnd"/>
      <w:r w:rsidRPr="00E369A8">
        <w:t xml:space="preserve"> che descrive le attività di farmacovigilanza e gli interventi definiti al fine di identificare, caratterizzare, prevenire o minimizzare i rischi collegati all’uso di </w:t>
      </w:r>
      <w:r w:rsidRPr="00E369A8">
        <w:rPr>
          <w:rFonts w:eastAsia="Calibri" w:cs="Calibri"/>
          <w:color w:val="000000"/>
          <w:lang w:eastAsia="it-IT"/>
        </w:rPr>
        <w:t>BIDEF</w:t>
      </w:r>
      <w:r w:rsidRPr="00E369A8">
        <w:t>.</w:t>
      </w:r>
    </w:p>
    <w:p w14:paraId="10888E46" w14:textId="77777777" w:rsidR="00B93603" w:rsidRPr="00E031A3" w:rsidRDefault="00B93603" w:rsidP="00B93603">
      <w:pPr>
        <w:pStyle w:val="Paragrafoelenco"/>
        <w:spacing w:after="0" w:line="240" w:lineRule="auto"/>
        <w:ind w:left="0"/>
        <w:jc w:val="both"/>
      </w:pPr>
      <w:r w:rsidRPr="00E031A3">
        <w:t>Il riassunto delle problematiche di sicurezza è riportato nella tabella seguente</w:t>
      </w:r>
      <w:r>
        <w:t>:</w:t>
      </w:r>
    </w:p>
    <w:p w14:paraId="61C6C5B4" w14:textId="77777777" w:rsidR="00B93603" w:rsidRPr="00E031A3" w:rsidRDefault="00B93603" w:rsidP="00B93603">
      <w:pPr>
        <w:pStyle w:val="Paragrafoelenco"/>
        <w:spacing w:after="0" w:line="240" w:lineRule="auto"/>
        <w:ind w:left="0"/>
        <w:jc w:val="both"/>
      </w:pPr>
    </w:p>
    <w:tbl>
      <w:tblPr>
        <w:tblW w:w="4443"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5E0" w:firstRow="1" w:lastRow="1" w:firstColumn="1" w:lastColumn="1" w:noHBand="0" w:noVBand="1"/>
      </w:tblPr>
      <w:tblGrid>
        <w:gridCol w:w="2732"/>
        <w:gridCol w:w="6024"/>
      </w:tblGrid>
      <w:tr w:rsidR="00B93603" w:rsidRPr="00E031A3" w14:paraId="26E75AE4" w14:textId="77777777" w:rsidTr="00C278AD">
        <w:trPr>
          <w:jc w:val="center"/>
        </w:trPr>
        <w:tc>
          <w:tcPr>
            <w:tcW w:w="1560" w:type="pct"/>
            <w:shd w:val="clear" w:color="auto" w:fill="auto"/>
          </w:tcPr>
          <w:p w14:paraId="219B8606" w14:textId="77777777" w:rsidR="00B93603" w:rsidRPr="00E031A3" w:rsidRDefault="00B93603" w:rsidP="00C278AD">
            <w:pPr>
              <w:pStyle w:val="TabletextrowsAgency"/>
              <w:spacing w:line="240" w:lineRule="auto"/>
              <w:jc w:val="both"/>
              <w:rPr>
                <w:rFonts w:asciiTheme="minorHAnsi" w:hAnsiTheme="minorHAnsi"/>
                <w:sz w:val="22"/>
                <w:szCs w:val="22"/>
                <w:lang w:eastAsia="en-GB"/>
              </w:rPr>
            </w:pPr>
            <w:proofErr w:type="spellStart"/>
            <w:r w:rsidRPr="00E031A3">
              <w:rPr>
                <w:rFonts w:asciiTheme="minorHAnsi" w:hAnsiTheme="minorHAnsi"/>
                <w:sz w:val="22"/>
                <w:szCs w:val="22"/>
                <w:lang w:eastAsia="en-GB"/>
              </w:rPr>
              <w:t>Rischi</w:t>
            </w:r>
            <w:proofErr w:type="spellEnd"/>
            <w:r w:rsidRPr="00E031A3">
              <w:rPr>
                <w:rFonts w:asciiTheme="minorHAnsi" w:hAnsiTheme="minorHAnsi"/>
                <w:sz w:val="22"/>
                <w:szCs w:val="22"/>
                <w:lang w:eastAsia="en-GB"/>
              </w:rPr>
              <w:t xml:space="preserve"> </w:t>
            </w:r>
            <w:proofErr w:type="spellStart"/>
            <w:r w:rsidRPr="00E031A3">
              <w:rPr>
                <w:rFonts w:asciiTheme="minorHAnsi" w:hAnsiTheme="minorHAnsi"/>
                <w:sz w:val="22"/>
                <w:szCs w:val="22"/>
                <w:lang w:eastAsia="en-GB"/>
              </w:rPr>
              <w:t>importanti</w:t>
            </w:r>
            <w:proofErr w:type="spellEnd"/>
            <w:r w:rsidRPr="00E031A3">
              <w:rPr>
                <w:rFonts w:asciiTheme="minorHAnsi" w:hAnsiTheme="minorHAnsi"/>
                <w:sz w:val="22"/>
                <w:szCs w:val="22"/>
                <w:lang w:eastAsia="en-GB"/>
              </w:rPr>
              <w:t xml:space="preserve"> </w:t>
            </w:r>
            <w:proofErr w:type="spellStart"/>
            <w:r w:rsidRPr="00E031A3">
              <w:rPr>
                <w:rFonts w:asciiTheme="minorHAnsi" w:hAnsiTheme="minorHAnsi"/>
                <w:sz w:val="22"/>
                <w:szCs w:val="22"/>
                <w:lang w:eastAsia="en-GB"/>
              </w:rPr>
              <w:t>identificati</w:t>
            </w:r>
            <w:proofErr w:type="spellEnd"/>
          </w:p>
        </w:tc>
        <w:tc>
          <w:tcPr>
            <w:tcW w:w="3440" w:type="pct"/>
            <w:shd w:val="clear" w:color="auto" w:fill="auto"/>
          </w:tcPr>
          <w:p w14:paraId="667162C7" w14:textId="77777777" w:rsidR="00B93603" w:rsidRPr="00E031A3" w:rsidRDefault="00B93603" w:rsidP="00C278AD">
            <w:pPr>
              <w:spacing w:after="0" w:line="240" w:lineRule="auto"/>
              <w:rPr>
                <w:sz w:val="20"/>
              </w:rPr>
            </w:pPr>
            <w:r>
              <w:rPr>
                <w:sz w:val="20"/>
              </w:rPr>
              <w:t>Nessuno</w:t>
            </w:r>
          </w:p>
        </w:tc>
      </w:tr>
      <w:tr w:rsidR="00B93603" w:rsidRPr="00E031A3" w14:paraId="3F14F26E" w14:textId="77777777" w:rsidTr="00C278AD">
        <w:trPr>
          <w:jc w:val="center"/>
        </w:trPr>
        <w:tc>
          <w:tcPr>
            <w:tcW w:w="1560" w:type="pct"/>
            <w:tcBorders>
              <w:top w:val="single" w:sz="6" w:space="0" w:color="auto"/>
              <w:left w:val="single" w:sz="4" w:space="0" w:color="auto"/>
              <w:bottom w:val="single" w:sz="6" w:space="0" w:color="auto"/>
              <w:right w:val="single" w:sz="6" w:space="0" w:color="auto"/>
            </w:tcBorders>
            <w:shd w:val="clear" w:color="auto" w:fill="auto"/>
          </w:tcPr>
          <w:p w14:paraId="14969434" w14:textId="77777777" w:rsidR="00B93603" w:rsidRPr="00E031A3" w:rsidRDefault="00B93603" w:rsidP="00C278AD">
            <w:pPr>
              <w:pStyle w:val="TabletextrowsAgency"/>
              <w:spacing w:line="240" w:lineRule="auto"/>
              <w:jc w:val="both"/>
              <w:rPr>
                <w:rFonts w:asciiTheme="minorHAnsi" w:hAnsiTheme="minorHAnsi"/>
                <w:sz w:val="22"/>
                <w:szCs w:val="22"/>
                <w:lang w:eastAsia="en-GB"/>
              </w:rPr>
            </w:pPr>
            <w:proofErr w:type="spellStart"/>
            <w:r w:rsidRPr="00E031A3">
              <w:rPr>
                <w:rFonts w:asciiTheme="minorHAnsi" w:hAnsiTheme="minorHAnsi"/>
                <w:sz w:val="22"/>
                <w:szCs w:val="22"/>
                <w:lang w:eastAsia="en-GB"/>
              </w:rPr>
              <w:t>Rischi</w:t>
            </w:r>
            <w:proofErr w:type="spellEnd"/>
            <w:r w:rsidRPr="00E031A3">
              <w:rPr>
                <w:rFonts w:asciiTheme="minorHAnsi" w:hAnsiTheme="minorHAnsi"/>
                <w:sz w:val="22"/>
                <w:szCs w:val="22"/>
                <w:lang w:eastAsia="en-GB"/>
              </w:rPr>
              <w:t xml:space="preserve"> </w:t>
            </w:r>
            <w:proofErr w:type="spellStart"/>
            <w:r w:rsidRPr="00E031A3">
              <w:rPr>
                <w:rFonts w:asciiTheme="minorHAnsi" w:hAnsiTheme="minorHAnsi"/>
                <w:sz w:val="22"/>
                <w:szCs w:val="22"/>
                <w:lang w:eastAsia="en-GB"/>
              </w:rPr>
              <w:t>importanti</w:t>
            </w:r>
            <w:proofErr w:type="spellEnd"/>
            <w:r w:rsidRPr="00E031A3">
              <w:rPr>
                <w:rFonts w:asciiTheme="minorHAnsi" w:hAnsiTheme="minorHAnsi"/>
                <w:sz w:val="22"/>
                <w:szCs w:val="22"/>
                <w:lang w:eastAsia="en-GB"/>
              </w:rPr>
              <w:t xml:space="preserve"> </w:t>
            </w:r>
            <w:proofErr w:type="spellStart"/>
            <w:r w:rsidRPr="00E031A3">
              <w:rPr>
                <w:rFonts w:asciiTheme="minorHAnsi" w:hAnsiTheme="minorHAnsi"/>
                <w:sz w:val="22"/>
                <w:szCs w:val="22"/>
                <w:lang w:eastAsia="en-GB"/>
              </w:rPr>
              <w:t>potenziali</w:t>
            </w:r>
            <w:proofErr w:type="spellEnd"/>
          </w:p>
        </w:tc>
        <w:tc>
          <w:tcPr>
            <w:tcW w:w="3440" w:type="pct"/>
            <w:tcBorders>
              <w:top w:val="single" w:sz="6" w:space="0" w:color="auto"/>
              <w:left w:val="single" w:sz="6" w:space="0" w:color="auto"/>
              <w:bottom w:val="single" w:sz="6" w:space="0" w:color="auto"/>
              <w:right w:val="single" w:sz="4" w:space="0" w:color="auto"/>
            </w:tcBorders>
            <w:shd w:val="clear" w:color="auto" w:fill="auto"/>
          </w:tcPr>
          <w:p w14:paraId="6FC04B48" w14:textId="77777777" w:rsidR="00B93603" w:rsidRPr="00E031A3" w:rsidRDefault="00B93603" w:rsidP="00C278AD">
            <w:pPr>
              <w:spacing w:after="0" w:line="240" w:lineRule="auto"/>
              <w:rPr>
                <w:sz w:val="20"/>
                <w:szCs w:val="20"/>
                <w:lang w:eastAsia="en-GB"/>
              </w:rPr>
            </w:pPr>
            <w:r>
              <w:rPr>
                <w:sz w:val="20"/>
                <w:szCs w:val="20"/>
                <w:lang w:eastAsia="en-GB"/>
              </w:rPr>
              <w:t>Nessuno</w:t>
            </w:r>
          </w:p>
        </w:tc>
      </w:tr>
      <w:tr w:rsidR="00B93603" w:rsidRPr="00E031A3" w14:paraId="04C8D63F" w14:textId="77777777" w:rsidTr="00C278AD">
        <w:trPr>
          <w:jc w:val="center"/>
        </w:trPr>
        <w:tc>
          <w:tcPr>
            <w:tcW w:w="1560" w:type="pct"/>
            <w:tcBorders>
              <w:top w:val="single" w:sz="6" w:space="0" w:color="auto"/>
              <w:left w:val="single" w:sz="4" w:space="0" w:color="auto"/>
              <w:bottom w:val="single" w:sz="4" w:space="0" w:color="auto"/>
              <w:right w:val="single" w:sz="6" w:space="0" w:color="auto"/>
            </w:tcBorders>
            <w:shd w:val="clear" w:color="auto" w:fill="auto"/>
          </w:tcPr>
          <w:p w14:paraId="21A547BF" w14:textId="77777777" w:rsidR="00B93603" w:rsidRPr="00E031A3" w:rsidRDefault="00B93603" w:rsidP="00C278AD">
            <w:pPr>
              <w:pStyle w:val="TabletextrowsAgency"/>
              <w:spacing w:line="240" w:lineRule="auto"/>
              <w:jc w:val="both"/>
              <w:rPr>
                <w:rFonts w:asciiTheme="minorHAnsi" w:hAnsiTheme="minorHAnsi"/>
                <w:sz w:val="22"/>
                <w:szCs w:val="22"/>
                <w:lang w:eastAsia="en-GB"/>
              </w:rPr>
            </w:pPr>
            <w:proofErr w:type="spellStart"/>
            <w:r w:rsidRPr="00E031A3">
              <w:rPr>
                <w:rFonts w:asciiTheme="minorHAnsi" w:hAnsiTheme="minorHAnsi"/>
                <w:sz w:val="22"/>
                <w:szCs w:val="22"/>
                <w:lang w:eastAsia="en-GB"/>
              </w:rPr>
              <w:t>Informazioni</w:t>
            </w:r>
            <w:proofErr w:type="spellEnd"/>
            <w:r w:rsidRPr="00E031A3">
              <w:rPr>
                <w:rFonts w:asciiTheme="minorHAnsi" w:hAnsiTheme="minorHAnsi"/>
                <w:sz w:val="22"/>
                <w:szCs w:val="22"/>
                <w:lang w:eastAsia="en-GB"/>
              </w:rPr>
              <w:t xml:space="preserve"> </w:t>
            </w:r>
            <w:proofErr w:type="spellStart"/>
            <w:r w:rsidRPr="00E031A3">
              <w:rPr>
                <w:rFonts w:asciiTheme="minorHAnsi" w:hAnsiTheme="minorHAnsi"/>
                <w:sz w:val="22"/>
                <w:szCs w:val="22"/>
                <w:lang w:eastAsia="en-GB"/>
              </w:rPr>
              <w:t>mancanti</w:t>
            </w:r>
            <w:proofErr w:type="spellEnd"/>
          </w:p>
        </w:tc>
        <w:tc>
          <w:tcPr>
            <w:tcW w:w="3440" w:type="pct"/>
            <w:tcBorders>
              <w:top w:val="single" w:sz="6" w:space="0" w:color="auto"/>
              <w:left w:val="single" w:sz="6" w:space="0" w:color="auto"/>
              <w:bottom w:val="single" w:sz="4" w:space="0" w:color="auto"/>
              <w:right w:val="single" w:sz="4" w:space="0" w:color="auto"/>
            </w:tcBorders>
            <w:shd w:val="clear" w:color="auto" w:fill="auto"/>
          </w:tcPr>
          <w:p w14:paraId="5CBE1F6F" w14:textId="77777777" w:rsidR="00B93603" w:rsidRPr="00E031A3" w:rsidRDefault="00B93603" w:rsidP="00C278AD">
            <w:pPr>
              <w:spacing w:after="0" w:line="240" w:lineRule="auto"/>
              <w:rPr>
                <w:sz w:val="20"/>
              </w:rPr>
            </w:pPr>
            <w:r>
              <w:rPr>
                <w:sz w:val="20"/>
              </w:rPr>
              <w:t>Nessuna</w:t>
            </w:r>
          </w:p>
        </w:tc>
      </w:tr>
    </w:tbl>
    <w:p w14:paraId="27CFD819" w14:textId="77777777" w:rsidR="00B93603" w:rsidRPr="00E031A3" w:rsidRDefault="00B93603" w:rsidP="00B93603">
      <w:pPr>
        <w:pStyle w:val="Paragrafoelenco"/>
        <w:spacing w:after="0" w:line="240" w:lineRule="auto"/>
        <w:ind w:left="0"/>
        <w:jc w:val="both"/>
      </w:pPr>
    </w:p>
    <w:p w14:paraId="6BA20D2C" w14:textId="77777777" w:rsidR="00B93603" w:rsidRPr="00E031A3" w:rsidRDefault="00B93603" w:rsidP="00B93603">
      <w:pPr>
        <w:pStyle w:val="Paragrafoelenco"/>
        <w:spacing w:after="0" w:line="240" w:lineRule="auto"/>
        <w:ind w:left="0"/>
        <w:jc w:val="both"/>
      </w:pPr>
      <w:r w:rsidRPr="00E031A3">
        <w:t>Azioni routinarie di farmacovigilanza e di minimizzazione del rischio sono proposte per tutte le problematiche di sicurezza.</w:t>
      </w:r>
    </w:p>
    <w:p w14:paraId="42E045DF" w14:textId="77777777" w:rsidR="00B93603" w:rsidRPr="00EF6711" w:rsidRDefault="00B93603" w:rsidP="00B93603">
      <w:pPr>
        <w:pStyle w:val="Paragrafoelenco"/>
        <w:spacing w:after="0" w:line="240" w:lineRule="auto"/>
        <w:ind w:left="0"/>
        <w:jc w:val="both"/>
      </w:pPr>
      <w:r w:rsidRPr="00E031A3">
        <w:lastRenderedPageBreak/>
        <w:t>Oltre le misure previste nel Riassunto delle caratteristiche del prodotto non sono previste attività addizionali di minimizzazione del rischio</w:t>
      </w:r>
    </w:p>
    <w:p w14:paraId="30E563A4" w14:textId="77777777" w:rsidR="00B93603" w:rsidRDefault="00B93603" w:rsidP="00B93603">
      <w:pPr>
        <w:pStyle w:val="Paragrafoelenco"/>
        <w:spacing w:after="0" w:line="240" w:lineRule="auto"/>
        <w:ind w:left="0"/>
        <w:jc w:val="both"/>
      </w:pPr>
    </w:p>
    <w:p w14:paraId="6B2C4612" w14:textId="77777777" w:rsidR="00B93603" w:rsidRDefault="00B93603" w:rsidP="00B93603">
      <w:pPr>
        <w:pStyle w:val="Paragrafoelenco"/>
        <w:spacing w:after="0" w:line="240" w:lineRule="auto"/>
        <w:ind w:left="0"/>
        <w:jc w:val="both"/>
        <w:rPr>
          <w:b/>
        </w:rPr>
      </w:pPr>
      <w:r>
        <w:rPr>
          <w:b/>
        </w:rPr>
        <w:t>Conclusioni</w:t>
      </w:r>
    </w:p>
    <w:p w14:paraId="1C8902EC" w14:textId="77777777" w:rsidR="00B93603" w:rsidRDefault="00B93603" w:rsidP="00B93603">
      <w:pPr>
        <w:pStyle w:val="Paragrafoelenco"/>
        <w:spacing w:after="0" w:line="240" w:lineRule="auto"/>
        <w:ind w:left="0"/>
        <w:jc w:val="both"/>
      </w:pPr>
      <w:r>
        <w:t xml:space="preserve">Per la richiesta di AIC di </w:t>
      </w:r>
      <w:r>
        <w:rPr>
          <w:rFonts w:eastAsia="Calibri" w:cs="Calibri"/>
          <w:color w:val="000000"/>
          <w:lang w:eastAsia="it-IT"/>
        </w:rPr>
        <w:t xml:space="preserve">BIDEF </w:t>
      </w:r>
      <w:r>
        <w:t>sono state presentate sufficienti informazioni cliniche.</w:t>
      </w:r>
    </w:p>
    <w:p w14:paraId="4F41DE3E" w14:textId="77777777" w:rsidR="00B93603" w:rsidRDefault="00B93603" w:rsidP="00B93603">
      <w:pPr>
        <w:pStyle w:val="Paragrafoelenco"/>
        <w:spacing w:after="0" w:line="240" w:lineRule="auto"/>
        <w:ind w:left="0"/>
        <w:jc w:val="both"/>
      </w:pPr>
      <w:r>
        <w:t xml:space="preserve">Il rapporto beneficio/rischio di </w:t>
      </w:r>
      <w:r>
        <w:rPr>
          <w:rFonts w:eastAsia="Calibri" w:cs="Calibri"/>
          <w:color w:val="000000"/>
          <w:lang w:eastAsia="it-IT"/>
        </w:rPr>
        <w:t xml:space="preserve">BIDEF </w:t>
      </w:r>
      <w:r>
        <w:t>è considerato favorevole dal punto di vista clinico.</w:t>
      </w:r>
    </w:p>
    <w:p w14:paraId="2CF7C771" w14:textId="77777777" w:rsidR="00B93603" w:rsidRDefault="00B93603" w:rsidP="00B93603">
      <w:pPr>
        <w:pStyle w:val="Paragrafoelenco"/>
        <w:spacing w:after="0" w:line="240" w:lineRule="auto"/>
        <w:ind w:left="0"/>
        <w:jc w:val="both"/>
      </w:pPr>
    </w:p>
    <w:p w14:paraId="38AB0880" w14:textId="77777777" w:rsidR="00B93603" w:rsidRDefault="00B93603" w:rsidP="00B93603">
      <w:pPr>
        <w:pStyle w:val="Paragrafoelenco"/>
        <w:spacing w:after="0" w:line="240" w:lineRule="auto"/>
        <w:ind w:left="0"/>
        <w:jc w:val="both"/>
      </w:pPr>
    </w:p>
    <w:p w14:paraId="1471F729" w14:textId="77777777" w:rsidR="00B93603" w:rsidRDefault="00B93603" w:rsidP="00B93603">
      <w:pPr>
        <w:pStyle w:val="Paragrafoelenco"/>
        <w:numPr>
          <w:ilvl w:val="0"/>
          <w:numId w:val="2"/>
        </w:numPr>
        <w:spacing w:after="0" w:line="240" w:lineRule="auto"/>
        <w:jc w:val="both"/>
        <w:rPr>
          <w:b/>
        </w:rPr>
      </w:pPr>
      <w:r>
        <w:rPr>
          <w:b/>
        </w:rPr>
        <w:t>CONSULTAZIONE SUL FOGLIO ILLUSTRATIVO</w:t>
      </w:r>
    </w:p>
    <w:p w14:paraId="73239F81" w14:textId="77777777" w:rsidR="00B93603" w:rsidRDefault="00B93603" w:rsidP="00B93603">
      <w:pPr>
        <w:spacing w:after="0" w:line="240" w:lineRule="auto"/>
        <w:jc w:val="both"/>
      </w:pPr>
      <w:r>
        <w:t xml:space="preserve">Il foglio illustrativo è stato sottoposto al test di leggibilità in accordo ai requisiti dell’art. 59(3) e 61(1) della direttiva 2001/83/EU </w:t>
      </w:r>
      <w:proofErr w:type="spellStart"/>
      <w:r>
        <w:t>s.m.i.</w:t>
      </w:r>
      <w:proofErr w:type="spellEnd"/>
      <w:r>
        <w:t xml:space="preserve"> i risultati del test hanno dimostrato che il foglio illustrativo corrisponde ai criteri imposti dalla linea guida sulla leggibilità di etichetta e foglio illustrativo dei medicinali per uso umano.</w:t>
      </w:r>
    </w:p>
    <w:p w14:paraId="38AB203C" w14:textId="77777777" w:rsidR="00B93603" w:rsidRDefault="00B93603" w:rsidP="00B93603">
      <w:pPr>
        <w:pStyle w:val="Paragrafoelenco"/>
        <w:spacing w:after="0" w:line="240" w:lineRule="auto"/>
        <w:ind w:left="0"/>
        <w:jc w:val="both"/>
      </w:pPr>
    </w:p>
    <w:p w14:paraId="180067C1" w14:textId="77777777" w:rsidR="00B93603" w:rsidRDefault="00B93603" w:rsidP="00B93603">
      <w:pPr>
        <w:spacing w:after="0" w:line="240" w:lineRule="auto"/>
        <w:jc w:val="both"/>
      </w:pPr>
    </w:p>
    <w:p w14:paraId="6299154D" w14:textId="77777777" w:rsidR="00B93603" w:rsidRPr="00EA06EB" w:rsidRDefault="00B93603" w:rsidP="00B93603">
      <w:pPr>
        <w:pStyle w:val="Paragrafoelenco"/>
        <w:numPr>
          <w:ilvl w:val="0"/>
          <w:numId w:val="2"/>
        </w:numPr>
        <w:spacing w:after="0" w:line="240" w:lineRule="auto"/>
        <w:jc w:val="both"/>
        <w:rPr>
          <w:b/>
        </w:rPr>
      </w:pPr>
      <w:r w:rsidRPr="00EA06EB">
        <w:rPr>
          <w:b/>
        </w:rPr>
        <w:t>CONCLUSIONI, VALUTAZIONE DEL RAPPORTO BENEFICIO/RISCHIO E RACCOMANDAZIONI</w:t>
      </w:r>
    </w:p>
    <w:p w14:paraId="25D32209" w14:textId="77777777" w:rsidR="00B93603" w:rsidRDefault="00B93603" w:rsidP="00B93603">
      <w:pPr>
        <w:spacing w:after="0" w:line="240" w:lineRule="auto"/>
        <w:jc w:val="both"/>
      </w:pPr>
      <w:r>
        <w:t xml:space="preserve">La qualità di </w:t>
      </w:r>
      <w:r>
        <w:rPr>
          <w:rFonts w:eastAsia="Calibri" w:cs="Calibri"/>
          <w:color w:val="000000"/>
          <w:lang w:eastAsia="it-IT"/>
        </w:rPr>
        <w:t xml:space="preserve">BIDEF </w:t>
      </w:r>
      <w:r>
        <w:t>è accettabile e non sono state rilevate criticità da un punto di vista non clinico e clinico.</w:t>
      </w:r>
    </w:p>
    <w:p w14:paraId="2FCD7ECC" w14:textId="77777777" w:rsidR="00B93603" w:rsidRDefault="00B93603" w:rsidP="00B93603">
      <w:pPr>
        <w:spacing w:after="0" w:line="240" w:lineRule="auto"/>
        <w:jc w:val="both"/>
      </w:pPr>
      <w:r>
        <w:t xml:space="preserve">Lo studio di </w:t>
      </w:r>
      <w:proofErr w:type="spellStart"/>
      <w:r>
        <w:t>bioequivalenza</w:t>
      </w:r>
      <w:proofErr w:type="spellEnd"/>
      <w:r>
        <w:t xml:space="preserve"> e le sue conclusioni confermano che </w:t>
      </w:r>
      <w:r>
        <w:rPr>
          <w:rFonts w:eastAsia="Calibri" w:cs="Calibri"/>
          <w:color w:val="000000"/>
          <w:lang w:eastAsia="it-IT"/>
        </w:rPr>
        <w:t xml:space="preserve">BIDEF </w:t>
      </w:r>
      <w:r>
        <w:t xml:space="preserve">e il medicinale di riferimento VIAGRA sono </w:t>
      </w:r>
      <w:proofErr w:type="spellStart"/>
      <w:r>
        <w:t>bioequivalenti</w:t>
      </w:r>
      <w:proofErr w:type="spellEnd"/>
      <w:r>
        <w:t>.</w:t>
      </w:r>
    </w:p>
    <w:p w14:paraId="7986358B" w14:textId="77777777" w:rsidR="00B93603" w:rsidRDefault="00B93603" w:rsidP="00B93603">
      <w:pPr>
        <w:spacing w:after="0" w:line="240" w:lineRule="auto"/>
        <w:jc w:val="both"/>
      </w:pPr>
      <w:r>
        <w:t>Il rapporto beneficio/rischio è considerato positivo.</w:t>
      </w:r>
    </w:p>
    <w:p w14:paraId="2CC102BE" w14:textId="77777777" w:rsidR="00B93603" w:rsidRDefault="00B93603" w:rsidP="00B93603">
      <w:pPr>
        <w:spacing w:after="0" w:line="240" w:lineRule="auto"/>
        <w:jc w:val="both"/>
        <w:rPr>
          <w:rFonts w:eastAsia="Calibri" w:cs="Calibri"/>
          <w:lang w:eastAsia="it-IT"/>
        </w:rPr>
      </w:pPr>
      <w:r>
        <w:t xml:space="preserve">Il riassunto delle caratteristiche del prodotto, il foglio illustrativo e le etichette sono in linea con le correnti linee guida. Questi documenti possono essere consultati sul sito istituzionale di AIFA </w:t>
      </w:r>
      <w:r>
        <w:rPr>
          <w:rFonts w:eastAsia="Calibri" w:cs="Calibri"/>
          <w:lang w:eastAsia="it-IT"/>
        </w:rPr>
        <w:t>(</w:t>
      </w:r>
      <w:hyperlink r:id="rId13" w:history="1">
        <w:r>
          <w:rPr>
            <w:rStyle w:val="Collegamentoipertestuale"/>
            <w:rFonts w:eastAsia="Calibri" w:cs="Calibri"/>
            <w:lang w:eastAsia="it-IT"/>
          </w:rPr>
          <w:t>https://farmaci.agenziafarmaco.gov.it/bancadatifarmaci</w:t>
        </w:r>
      </w:hyperlink>
      <w:r>
        <w:rPr>
          <w:rFonts w:eastAsia="Calibri" w:cs="Calibri"/>
          <w:lang w:eastAsia="it-IT"/>
        </w:rPr>
        <w:t>).</w:t>
      </w:r>
    </w:p>
    <w:p w14:paraId="03930693" w14:textId="77777777" w:rsidR="00B93603" w:rsidRDefault="00B93603" w:rsidP="00B93603">
      <w:pPr>
        <w:spacing w:after="0" w:line="240" w:lineRule="auto"/>
        <w:jc w:val="both"/>
        <w:rPr>
          <w:rFonts w:eastAsia="Calibri" w:cs="Calibri"/>
          <w:lang w:eastAsia="it-IT"/>
        </w:rPr>
      </w:pPr>
    </w:p>
    <w:bookmarkEnd w:id="0"/>
    <w:p w14:paraId="3A6FD6D2" w14:textId="77777777" w:rsidR="006B311C" w:rsidRDefault="006B311C" w:rsidP="00B93603">
      <w:pPr>
        <w:widowControl w:val="0"/>
        <w:spacing w:after="0" w:line="240" w:lineRule="auto"/>
        <w:jc w:val="center"/>
        <w:rPr>
          <w:rFonts w:eastAsia="Calibri" w:cs="Calibri"/>
          <w:lang w:eastAsia="it-IT"/>
        </w:rPr>
      </w:pPr>
    </w:p>
    <w:sectPr w:rsidR="006B311C" w:rsidSect="00EF6711">
      <w:footerReference w:type="default" r:id="rId14"/>
      <w:pgSz w:w="11906" w:h="16838"/>
      <w:pgMar w:top="1418"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AC394" w14:textId="77777777" w:rsidR="00C24F92" w:rsidRDefault="00C24F92" w:rsidP="00C07183">
      <w:pPr>
        <w:spacing w:after="0" w:line="240" w:lineRule="auto"/>
      </w:pPr>
      <w:r>
        <w:separator/>
      </w:r>
    </w:p>
  </w:endnote>
  <w:endnote w:type="continuationSeparator" w:id="0">
    <w:p w14:paraId="50275CEA" w14:textId="77777777" w:rsidR="00C24F92" w:rsidRDefault="00C24F92" w:rsidP="00C07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DejaVuSans">
    <w:altName w:val="MS Mincho"/>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CEAD5" w14:textId="77777777" w:rsidR="00C07183" w:rsidRDefault="00C07183">
    <w:pPr>
      <w:pStyle w:val="Pidipagina"/>
    </w:pPr>
    <w:r w:rsidRPr="00C07183">
      <w:rPr>
        <w:rFonts w:ascii="Times New Roman" w:eastAsia="Times New Roman" w:hAnsi="Times New Roman" w:cs="Times New Roman"/>
        <w:noProof/>
        <w:sz w:val="20"/>
        <w:szCs w:val="20"/>
        <w:lang w:eastAsia="it-IT"/>
      </w:rPr>
      <w:drawing>
        <wp:anchor distT="0" distB="0" distL="114300" distR="114300" simplePos="0" relativeHeight="251659264" behindDoc="0" locked="0" layoutInCell="1" allowOverlap="1" wp14:anchorId="50C89110" wp14:editId="3971F26C">
          <wp:simplePos x="0" y="0"/>
          <wp:positionH relativeFrom="column">
            <wp:posOffset>-739140</wp:posOffset>
          </wp:positionH>
          <wp:positionV relativeFrom="paragraph">
            <wp:posOffset>182880</wp:posOffset>
          </wp:positionV>
          <wp:extent cx="7571740" cy="800100"/>
          <wp:effectExtent l="0" t="0" r="0" b="7620"/>
          <wp:wrapSquare wrapText="bothSides"/>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1740" cy="800100"/>
                  </a:xfrm>
                  <a:prstGeom prst="rect">
                    <a:avLst/>
                  </a:prstGeom>
                  <a:noFill/>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01C41" w14:textId="77777777" w:rsidR="00C24F92" w:rsidRDefault="00C24F92" w:rsidP="00C07183">
      <w:pPr>
        <w:spacing w:after="0" w:line="240" w:lineRule="auto"/>
      </w:pPr>
      <w:r>
        <w:separator/>
      </w:r>
    </w:p>
  </w:footnote>
  <w:footnote w:type="continuationSeparator" w:id="0">
    <w:p w14:paraId="4910FC54" w14:textId="77777777" w:rsidR="00C24F92" w:rsidRDefault="00C24F92" w:rsidP="00C071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011A1"/>
    <w:multiLevelType w:val="hybridMultilevel"/>
    <w:tmpl w:val="1730E342"/>
    <w:lvl w:ilvl="0" w:tplc="C516861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AB2382E"/>
    <w:multiLevelType w:val="hybridMultilevel"/>
    <w:tmpl w:val="F554422C"/>
    <w:lvl w:ilvl="0" w:tplc="0C789386">
      <w:start w:val="1"/>
      <w:numFmt w:val="bullet"/>
      <w:lvlText w:val=""/>
      <w:lvlJc w:val="left"/>
      <w:pPr>
        <w:ind w:left="720" w:hanging="360"/>
      </w:pPr>
      <w:rPr>
        <w:rFonts w:ascii="Symbol" w:eastAsia="Calibri" w:hAnsi="Symbol" w:cs="Calibri" w:hint="default"/>
        <w:b w:val="0"/>
        <w:color w:val="auto"/>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503624C"/>
    <w:multiLevelType w:val="hybridMultilevel"/>
    <w:tmpl w:val="8604BA56"/>
    <w:lvl w:ilvl="0" w:tplc="4A48F9D2">
      <w:start w:val="1"/>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A891CF4"/>
    <w:multiLevelType w:val="hybridMultilevel"/>
    <w:tmpl w:val="8F2AE9FA"/>
    <w:lvl w:ilvl="0" w:tplc="FC389974">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15:restartNumberingAfterBreak="0">
    <w:nsid w:val="4E19499D"/>
    <w:multiLevelType w:val="hybridMultilevel"/>
    <w:tmpl w:val="F4ECB43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CE63AE5"/>
    <w:multiLevelType w:val="hybridMultilevel"/>
    <w:tmpl w:val="E99205FE"/>
    <w:lvl w:ilvl="0" w:tplc="D4045BA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AC"/>
    <w:rsid w:val="00013020"/>
    <w:rsid w:val="00014743"/>
    <w:rsid w:val="00022511"/>
    <w:rsid w:val="00022F32"/>
    <w:rsid w:val="00023CEA"/>
    <w:rsid w:val="00035DB7"/>
    <w:rsid w:val="00050F6A"/>
    <w:rsid w:val="00062636"/>
    <w:rsid w:val="00071E63"/>
    <w:rsid w:val="000759F6"/>
    <w:rsid w:val="000808A3"/>
    <w:rsid w:val="000A4BA1"/>
    <w:rsid w:val="000B7AC8"/>
    <w:rsid w:val="000C1389"/>
    <w:rsid w:val="000E1F86"/>
    <w:rsid w:val="000E4494"/>
    <w:rsid w:val="000E4A73"/>
    <w:rsid w:val="000F658F"/>
    <w:rsid w:val="00111E9E"/>
    <w:rsid w:val="00112B76"/>
    <w:rsid w:val="00126BC8"/>
    <w:rsid w:val="001460CA"/>
    <w:rsid w:val="00150BF6"/>
    <w:rsid w:val="00172AED"/>
    <w:rsid w:val="001A516D"/>
    <w:rsid w:val="001B4CBF"/>
    <w:rsid w:val="001C15DF"/>
    <w:rsid w:val="001C4323"/>
    <w:rsid w:val="001F0D20"/>
    <w:rsid w:val="0021736D"/>
    <w:rsid w:val="00245B04"/>
    <w:rsid w:val="00252FE8"/>
    <w:rsid w:val="00265B61"/>
    <w:rsid w:val="00277A0E"/>
    <w:rsid w:val="00297F10"/>
    <w:rsid w:val="002A1800"/>
    <w:rsid w:val="002B1164"/>
    <w:rsid w:val="002B662A"/>
    <w:rsid w:val="002C2D9F"/>
    <w:rsid w:val="002E3CDC"/>
    <w:rsid w:val="002F2543"/>
    <w:rsid w:val="002F4000"/>
    <w:rsid w:val="00300BEA"/>
    <w:rsid w:val="003061E0"/>
    <w:rsid w:val="00323648"/>
    <w:rsid w:val="003238CF"/>
    <w:rsid w:val="00340DC4"/>
    <w:rsid w:val="00367CE0"/>
    <w:rsid w:val="00387CA8"/>
    <w:rsid w:val="003B0421"/>
    <w:rsid w:val="003C054E"/>
    <w:rsid w:val="003E1E83"/>
    <w:rsid w:val="0041387F"/>
    <w:rsid w:val="004214DB"/>
    <w:rsid w:val="0042214D"/>
    <w:rsid w:val="00423A97"/>
    <w:rsid w:val="004241AC"/>
    <w:rsid w:val="00445DB2"/>
    <w:rsid w:val="004509BC"/>
    <w:rsid w:val="004532E2"/>
    <w:rsid w:val="004609F8"/>
    <w:rsid w:val="00461D93"/>
    <w:rsid w:val="004631F3"/>
    <w:rsid w:val="004779DE"/>
    <w:rsid w:val="004A1C0A"/>
    <w:rsid w:val="004B20A8"/>
    <w:rsid w:val="004B5B15"/>
    <w:rsid w:val="004E28E5"/>
    <w:rsid w:val="004E5A39"/>
    <w:rsid w:val="004E70F5"/>
    <w:rsid w:val="004F343B"/>
    <w:rsid w:val="00500ACA"/>
    <w:rsid w:val="005049A1"/>
    <w:rsid w:val="00504FC1"/>
    <w:rsid w:val="005250B6"/>
    <w:rsid w:val="0056372C"/>
    <w:rsid w:val="00567615"/>
    <w:rsid w:val="005744D4"/>
    <w:rsid w:val="00577746"/>
    <w:rsid w:val="00577DAC"/>
    <w:rsid w:val="005950D6"/>
    <w:rsid w:val="005951BB"/>
    <w:rsid w:val="005A466E"/>
    <w:rsid w:val="005A4BBD"/>
    <w:rsid w:val="005B4C97"/>
    <w:rsid w:val="005C2427"/>
    <w:rsid w:val="005D18E5"/>
    <w:rsid w:val="005F54B1"/>
    <w:rsid w:val="00610BAB"/>
    <w:rsid w:val="00621AE2"/>
    <w:rsid w:val="006231AC"/>
    <w:rsid w:val="00642D6A"/>
    <w:rsid w:val="0064646C"/>
    <w:rsid w:val="00654D9E"/>
    <w:rsid w:val="00663BCD"/>
    <w:rsid w:val="00664931"/>
    <w:rsid w:val="006727BD"/>
    <w:rsid w:val="006A3A37"/>
    <w:rsid w:val="006B311C"/>
    <w:rsid w:val="006B3E12"/>
    <w:rsid w:val="006C5811"/>
    <w:rsid w:val="006D7B8C"/>
    <w:rsid w:val="006F44C7"/>
    <w:rsid w:val="00712DB3"/>
    <w:rsid w:val="00716DF5"/>
    <w:rsid w:val="007170D7"/>
    <w:rsid w:val="007221B6"/>
    <w:rsid w:val="00745609"/>
    <w:rsid w:val="00747E46"/>
    <w:rsid w:val="00766E26"/>
    <w:rsid w:val="0078608F"/>
    <w:rsid w:val="0078680B"/>
    <w:rsid w:val="00797416"/>
    <w:rsid w:val="007A1C0E"/>
    <w:rsid w:val="007B2CF1"/>
    <w:rsid w:val="007D2539"/>
    <w:rsid w:val="007E4E98"/>
    <w:rsid w:val="00811B01"/>
    <w:rsid w:val="00823F4C"/>
    <w:rsid w:val="008375CF"/>
    <w:rsid w:val="00853EC6"/>
    <w:rsid w:val="008547B3"/>
    <w:rsid w:val="00861786"/>
    <w:rsid w:val="008819D4"/>
    <w:rsid w:val="00881BCB"/>
    <w:rsid w:val="0088216F"/>
    <w:rsid w:val="008A3FF8"/>
    <w:rsid w:val="008A6FEC"/>
    <w:rsid w:val="008B46E3"/>
    <w:rsid w:val="008B60D7"/>
    <w:rsid w:val="008C3877"/>
    <w:rsid w:val="008C3D30"/>
    <w:rsid w:val="008C75F9"/>
    <w:rsid w:val="008D1529"/>
    <w:rsid w:val="008E3B89"/>
    <w:rsid w:val="008F117D"/>
    <w:rsid w:val="00922F4B"/>
    <w:rsid w:val="009254CC"/>
    <w:rsid w:val="00942301"/>
    <w:rsid w:val="00943785"/>
    <w:rsid w:val="009568D6"/>
    <w:rsid w:val="00957832"/>
    <w:rsid w:val="0098470E"/>
    <w:rsid w:val="009854BC"/>
    <w:rsid w:val="00995A50"/>
    <w:rsid w:val="00997F05"/>
    <w:rsid w:val="009A23DE"/>
    <w:rsid w:val="009A260F"/>
    <w:rsid w:val="009B03DB"/>
    <w:rsid w:val="009C3E8B"/>
    <w:rsid w:val="009D3446"/>
    <w:rsid w:val="009D58B1"/>
    <w:rsid w:val="009E0140"/>
    <w:rsid w:val="009E2BC0"/>
    <w:rsid w:val="009E2D68"/>
    <w:rsid w:val="009F3867"/>
    <w:rsid w:val="009F395B"/>
    <w:rsid w:val="009F5439"/>
    <w:rsid w:val="009F584E"/>
    <w:rsid w:val="00A01AB1"/>
    <w:rsid w:val="00A03645"/>
    <w:rsid w:val="00A046AC"/>
    <w:rsid w:val="00A11FD6"/>
    <w:rsid w:val="00A247C5"/>
    <w:rsid w:val="00A40FF3"/>
    <w:rsid w:val="00A47604"/>
    <w:rsid w:val="00A62D55"/>
    <w:rsid w:val="00A71CA9"/>
    <w:rsid w:val="00A84362"/>
    <w:rsid w:val="00A86F5A"/>
    <w:rsid w:val="00A908B9"/>
    <w:rsid w:val="00A966D1"/>
    <w:rsid w:val="00AA516E"/>
    <w:rsid w:val="00AC6D37"/>
    <w:rsid w:val="00AD051C"/>
    <w:rsid w:val="00AD4BE6"/>
    <w:rsid w:val="00AF52E2"/>
    <w:rsid w:val="00B023E9"/>
    <w:rsid w:val="00B03E01"/>
    <w:rsid w:val="00B1186F"/>
    <w:rsid w:val="00B15135"/>
    <w:rsid w:val="00B30431"/>
    <w:rsid w:val="00B57847"/>
    <w:rsid w:val="00B862CA"/>
    <w:rsid w:val="00B93603"/>
    <w:rsid w:val="00BA0ACD"/>
    <w:rsid w:val="00BB2AF8"/>
    <w:rsid w:val="00BB7B54"/>
    <w:rsid w:val="00BC74C2"/>
    <w:rsid w:val="00BD39EB"/>
    <w:rsid w:val="00BE7CDB"/>
    <w:rsid w:val="00BF55B9"/>
    <w:rsid w:val="00BF7A42"/>
    <w:rsid w:val="00C058E1"/>
    <w:rsid w:val="00C07183"/>
    <w:rsid w:val="00C17BE2"/>
    <w:rsid w:val="00C2462C"/>
    <w:rsid w:val="00C24F92"/>
    <w:rsid w:val="00C2565A"/>
    <w:rsid w:val="00C42AAC"/>
    <w:rsid w:val="00C4484E"/>
    <w:rsid w:val="00C51FF1"/>
    <w:rsid w:val="00C56FA9"/>
    <w:rsid w:val="00C66597"/>
    <w:rsid w:val="00C74500"/>
    <w:rsid w:val="00C96874"/>
    <w:rsid w:val="00CC1489"/>
    <w:rsid w:val="00CC52A3"/>
    <w:rsid w:val="00CC7AFF"/>
    <w:rsid w:val="00CE62A1"/>
    <w:rsid w:val="00D20170"/>
    <w:rsid w:val="00D212AA"/>
    <w:rsid w:val="00D36F9A"/>
    <w:rsid w:val="00D60600"/>
    <w:rsid w:val="00DA386C"/>
    <w:rsid w:val="00DB021E"/>
    <w:rsid w:val="00DB359A"/>
    <w:rsid w:val="00DC187E"/>
    <w:rsid w:val="00E0429F"/>
    <w:rsid w:val="00E10D6C"/>
    <w:rsid w:val="00E20E87"/>
    <w:rsid w:val="00E25D34"/>
    <w:rsid w:val="00E26828"/>
    <w:rsid w:val="00E371FB"/>
    <w:rsid w:val="00E43089"/>
    <w:rsid w:val="00E83F8D"/>
    <w:rsid w:val="00EB4398"/>
    <w:rsid w:val="00EC3589"/>
    <w:rsid w:val="00ED72E4"/>
    <w:rsid w:val="00EF062E"/>
    <w:rsid w:val="00EF6711"/>
    <w:rsid w:val="00F1246A"/>
    <w:rsid w:val="00F27C7F"/>
    <w:rsid w:val="00F35F38"/>
    <w:rsid w:val="00F66767"/>
    <w:rsid w:val="00F67DFC"/>
    <w:rsid w:val="00F76F77"/>
    <w:rsid w:val="00F85989"/>
    <w:rsid w:val="00F905C2"/>
    <w:rsid w:val="00F90F1F"/>
    <w:rsid w:val="00F96473"/>
    <w:rsid w:val="00F964BE"/>
    <w:rsid w:val="00FA2702"/>
    <w:rsid w:val="00FA3C1A"/>
    <w:rsid w:val="00FB3BF5"/>
    <w:rsid w:val="00FB4181"/>
    <w:rsid w:val="00FC0183"/>
    <w:rsid w:val="00FD41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BA085"/>
  <w15:docId w15:val="{60B59FE6-18A8-4844-A803-0590BAD34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241A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41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41AC"/>
    <w:rPr>
      <w:rFonts w:ascii="Tahoma" w:hAnsi="Tahoma" w:cs="Tahoma"/>
      <w:sz w:val="16"/>
      <w:szCs w:val="16"/>
    </w:rPr>
  </w:style>
  <w:style w:type="character" w:styleId="Collegamentoipertestuale">
    <w:name w:val="Hyperlink"/>
    <w:basedOn w:val="Carpredefinitoparagrafo"/>
    <w:uiPriority w:val="99"/>
    <w:unhideWhenUsed/>
    <w:rsid w:val="00567615"/>
    <w:rPr>
      <w:color w:val="0000FF" w:themeColor="hyperlink"/>
      <w:u w:val="single"/>
    </w:rPr>
  </w:style>
  <w:style w:type="paragraph" w:styleId="Paragrafoelenco">
    <w:name w:val="List Paragraph"/>
    <w:basedOn w:val="Normale"/>
    <w:uiPriority w:val="34"/>
    <w:qFormat/>
    <w:rsid w:val="004E5A39"/>
    <w:pPr>
      <w:ind w:left="720"/>
      <w:contextualSpacing/>
    </w:pPr>
  </w:style>
  <w:style w:type="character" w:customStyle="1" w:styleId="s1">
    <w:name w:val="s1"/>
    <w:basedOn w:val="Carpredefinitoparagrafo"/>
    <w:rsid w:val="004E5A39"/>
    <w:rPr>
      <w:rFonts w:ascii="Arial" w:hAnsi="Arial" w:cs="Arial" w:hint="default"/>
    </w:rPr>
  </w:style>
  <w:style w:type="paragraph" w:styleId="Didascalia">
    <w:name w:val="caption"/>
    <w:basedOn w:val="Normale"/>
    <w:next w:val="Normale"/>
    <w:qFormat/>
    <w:rsid w:val="004E5A39"/>
    <w:pPr>
      <w:spacing w:before="120" w:after="120" w:line="240" w:lineRule="auto"/>
    </w:pPr>
    <w:rPr>
      <w:rFonts w:ascii="Times New Roman" w:eastAsia="Times New Roman" w:hAnsi="Times New Roman" w:cs="Times New Roman"/>
      <w:b/>
      <w:sz w:val="24"/>
      <w:szCs w:val="20"/>
      <w:lang w:val="en-US"/>
    </w:rPr>
  </w:style>
  <w:style w:type="paragraph" w:styleId="PreformattatoHTML">
    <w:name w:val="HTML Preformatted"/>
    <w:basedOn w:val="Normale"/>
    <w:link w:val="PreformattatoHTMLCarattere"/>
    <w:uiPriority w:val="99"/>
    <w:unhideWhenUsed/>
    <w:rsid w:val="00BB2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BB2AF8"/>
    <w:rPr>
      <w:rFonts w:ascii="Courier New" w:eastAsia="Times New Roman" w:hAnsi="Courier New" w:cs="Courier New"/>
      <w:sz w:val="20"/>
      <w:szCs w:val="20"/>
      <w:lang w:eastAsia="it-IT"/>
    </w:rPr>
  </w:style>
  <w:style w:type="paragraph" w:customStyle="1" w:styleId="TabletextrowsAgency">
    <w:name w:val="Table text rows (Agency)"/>
    <w:basedOn w:val="Normale"/>
    <w:semiHidden/>
    <w:rsid w:val="00265B61"/>
    <w:pPr>
      <w:spacing w:after="0" w:line="280" w:lineRule="exact"/>
    </w:pPr>
    <w:rPr>
      <w:rFonts w:ascii="Verdana" w:eastAsia="Times New Roman" w:hAnsi="Verdana" w:cs="Verdana"/>
      <w:sz w:val="18"/>
      <w:szCs w:val="18"/>
      <w:lang w:val="en-GB" w:eastAsia="zh-CN"/>
    </w:rPr>
  </w:style>
  <w:style w:type="paragraph" w:styleId="NormaleWeb">
    <w:name w:val="Normal (Web)"/>
    <w:basedOn w:val="Normale"/>
    <w:uiPriority w:val="99"/>
    <w:unhideWhenUsed/>
    <w:rsid w:val="00265B6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Rimandocommento">
    <w:name w:val="annotation reference"/>
    <w:basedOn w:val="Carpredefinitoparagrafo"/>
    <w:uiPriority w:val="99"/>
    <w:semiHidden/>
    <w:unhideWhenUsed/>
    <w:rsid w:val="00D36F9A"/>
    <w:rPr>
      <w:sz w:val="16"/>
      <w:szCs w:val="16"/>
    </w:rPr>
  </w:style>
  <w:style w:type="paragraph" w:styleId="Testocommento">
    <w:name w:val="annotation text"/>
    <w:basedOn w:val="Normale"/>
    <w:link w:val="TestocommentoCarattere"/>
    <w:uiPriority w:val="99"/>
    <w:unhideWhenUsed/>
    <w:rsid w:val="00D36F9A"/>
    <w:pPr>
      <w:spacing w:line="240" w:lineRule="auto"/>
    </w:pPr>
    <w:rPr>
      <w:sz w:val="20"/>
      <w:szCs w:val="20"/>
    </w:rPr>
  </w:style>
  <w:style w:type="character" w:customStyle="1" w:styleId="TestocommentoCarattere">
    <w:name w:val="Testo commento Carattere"/>
    <w:basedOn w:val="Carpredefinitoparagrafo"/>
    <w:link w:val="Testocommento"/>
    <w:uiPriority w:val="99"/>
    <w:rsid w:val="00D36F9A"/>
    <w:rPr>
      <w:sz w:val="20"/>
      <w:szCs w:val="20"/>
    </w:rPr>
  </w:style>
  <w:style w:type="paragraph" w:styleId="Soggettocommento">
    <w:name w:val="annotation subject"/>
    <w:basedOn w:val="Testocommento"/>
    <w:next w:val="Testocommento"/>
    <w:link w:val="SoggettocommentoCarattere"/>
    <w:uiPriority w:val="99"/>
    <w:semiHidden/>
    <w:unhideWhenUsed/>
    <w:rsid w:val="00D36F9A"/>
    <w:rPr>
      <w:b/>
      <w:bCs/>
    </w:rPr>
  </w:style>
  <w:style w:type="character" w:customStyle="1" w:styleId="SoggettocommentoCarattere">
    <w:name w:val="Soggetto commento Carattere"/>
    <w:basedOn w:val="TestocommentoCarattere"/>
    <w:link w:val="Soggettocommento"/>
    <w:uiPriority w:val="99"/>
    <w:semiHidden/>
    <w:rsid w:val="00D36F9A"/>
    <w:rPr>
      <w:b/>
      <w:bCs/>
      <w:sz w:val="20"/>
      <w:szCs w:val="20"/>
    </w:rPr>
  </w:style>
  <w:style w:type="character" w:styleId="Enfasigrassetto">
    <w:name w:val="Strong"/>
    <w:uiPriority w:val="22"/>
    <w:qFormat/>
    <w:rsid w:val="00022F32"/>
    <w:rPr>
      <w:b/>
      <w:bCs/>
    </w:rPr>
  </w:style>
  <w:style w:type="paragraph" w:styleId="Revisione">
    <w:name w:val="Revision"/>
    <w:hidden/>
    <w:uiPriority w:val="99"/>
    <w:semiHidden/>
    <w:rsid w:val="00022F32"/>
    <w:pPr>
      <w:spacing w:after="0" w:line="240" w:lineRule="auto"/>
    </w:pPr>
  </w:style>
  <w:style w:type="paragraph" w:customStyle="1" w:styleId="BodytextAgency">
    <w:name w:val="Body text (Agency)"/>
    <w:basedOn w:val="Normale"/>
    <w:uiPriority w:val="99"/>
    <w:rsid w:val="004509BC"/>
    <w:pPr>
      <w:spacing w:after="140" w:line="280" w:lineRule="atLeast"/>
    </w:pPr>
    <w:rPr>
      <w:rFonts w:ascii="Verdana" w:eastAsia="Times New Roman" w:hAnsi="Verdana" w:cs="Verdana"/>
      <w:sz w:val="18"/>
      <w:szCs w:val="18"/>
      <w:lang w:val="en-GB" w:eastAsia="en-GB"/>
    </w:rPr>
  </w:style>
  <w:style w:type="paragraph" w:styleId="Intestazione">
    <w:name w:val="header"/>
    <w:basedOn w:val="Normale"/>
    <w:link w:val="IntestazioneCarattere"/>
    <w:uiPriority w:val="99"/>
    <w:unhideWhenUsed/>
    <w:rsid w:val="00C071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07183"/>
  </w:style>
  <w:style w:type="paragraph" w:styleId="Pidipagina">
    <w:name w:val="footer"/>
    <w:basedOn w:val="Normale"/>
    <w:link w:val="PidipaginaCarattere"/>
    <w:uiPriority w:val="99"/>
    <w:unhideWhenUsed/>
    <w:rsid w:val="00C071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071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10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farmaci.agenziafarmaco.gov.it/bancadatifarmac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armaci.agenziafarmaco.gov.it/bancadatifarmac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farmaci.agenziafarmaco.gov.it/bancadatifarmaci" TargetMode="External"/><Relationship Id="rId4" Type="http://schemas.openxmlformats.org/officeDocument/2006/relationships/settings" Target="settings.xml"/><Relationship Id="rId9" Type="http://schemas.openxmlformats.org/officeDocument/2006/relationships/hyperlink" Target="http://www.ema.europa.eu/ema/index.jsp?curl=pages/medicines/landing/epar_search.jsp&amp;mid"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FC011B-B557-468C-9546-D5CBA30DB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2857</Words>
  <Characters>16290</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AIFA</dc:creator>
  <cp:lastModifiedBy>i. daniele</cp:lastModifiedBy>
  <cp:revision>2</cp:revision>
  <dcterms:created xsi:type="dcterms:W3CDTF">2023-11-27T08:12:00Z</dcterms:created>
  <dcterms:modified xsi:type="dcterms:W3CDTF">2023-11-27T08:12:00Z</dcterms:modified>
</cp:coreProperties>
</file>