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B428B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67CBE5FB" wp14:editId="1442C21A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4978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476D9E2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6E918EE3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12387DC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B1FE441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1846995" w14:textId="77777777" w:rsidR="00BF7A42" w:rsidRDefault="002815AE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SOLDESAM</w:t>
      </w:r>
    </w:p>
    <w:p w14:paraId="4FD3360C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74CD37AF" w14:textId="77777777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2815AE">
        <w:rPr>
          <w:snapToGrid w:val="0"/>
        </w:rPr>
        <w:t>Desametasone sodio fosfato</w:t>
      </w:r>
      <w:r w:rsidR="002A1800">
        <w:rPr>
          <w:snapToGrid w:val="0"/>
        </w:rPr>
        <w:t xml:space="preserve">, </w:t>
      </w:r>
      <w:r w:rsidR="002815AE">
        <w:rPr>
          <w:snapToGrid w:val="0"/>
        </w:rPr>
        <w:t>soluzione iniettabile,</w:t>
      </w:r>
      <w:r w:rsidR="002A1800">
        <w:rPr>
          <w:snapToGrid w:val="0"/>
        </w:rPr>
        <w:t xml:space="preserve"> </w:t>
      </w:r>
      <w:r w:rsidR="002815AE">
        <w:rPr>
          <w:snapToGrid w:val="0"/>
        </w:rPr>
        <w:t>4 mg/ml</w:t>
      </w:r>
      <w:r w:rsidRPr="00A966D1">
        <w:rPr>
          <w:snapToGrid w:val="0"/>
        </w:rPr>
        <w:t>)</w:t>
      </w:r>
    </w:p>
    <w:p w14:paraId="7FDE2B42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092E7865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6CD6014" w14:textId="77777777" w:rsidR="00797416" w:rsidRDefault="002815AE" w:rsidP="004241AC">
      <w:pPr>
        <w:spacing w:after="0" w:line="240" w:lineRule="auto"/>
        <w:jc w:val="center"/>
        <w:rPr>
          <w:b/>
        </w:rPr>
      </w:pPr>
      <w:r>
        <w:rPr>
          <w:b/>
        </w:rPr>
        <w:t>Laboratorio Farmacologico Milanese</w:t>
      </w:r>
    </w:p>
    <w:p w14:paraId="1FEBD19C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34D50831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6BA81451" w14:textId="77777777" w:rsidR="004241AC" w:rsidRDefault="00966E97" w:rsidP="004241AC">
      <w:pPr>
        <w:spacing w:after="0" w:line="240" w:lineRule="auto"/>
        <w:jc w:val="center"/>
        <w:rPr>
          <w:rFonts w:cs="Helvetica"/>
          <w:b/>
        </w:rPr>
      </w:pPr>
      <w:r>
        <w:rPr>
          <w:b/>
        </w:rPr>
        <w:t>Numeri</w:t>
      </w:r>
      <w:r w:rsidR="004241AC" w:rsidRPr="00062636">
        <w:rPr>
          <w:b/>
        </w:rPr>
        <w:t xml:space="preserve"> di AIC: </w:t>
      </w:r>
      <w:r w:rsidR="002815AE" w:rsidRPr="002815AE">
        <w:rPr>
          <w:rFonts w:cs="Helvetica"/>
          <w:b/>
        </w:rPr>
        <w:t>019499</w:t>
      </w:r>
      <w:r>
        <w:rPr>
          <w:rFonts w:cs="Helvetica"/>
          <w:b/>
        </w:rPr>
        <w:t xml:space="preserve">122 e </w:t>
      </w:r>
      <w:r w:rsidRPr="00966E97">
        <w:rPr>
          <w:rFonts w:cs="Helvetica"/>
          <w:b/>
        </w:rPr>
        <w:t>0194991</w:t>
      </w:r>
      <w:r>
        <w:rPr>
          <w:rFonts w:cs="Helvetica"/>
          <w:b/>
        </w:rPr>
        <w:t>34</w:t>
      </w:r>
      <w:r w:rsidR="00797416">
        <w:rPr>
          <w:rFonts w:cs="Helvetica"/>
          <w:b/>
        </w:rPr>
        <w:t>.</w:t>
      </w:r>
    </w:p>
    <w:p w14:paraId="2A20636F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3793647A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2C827D47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250CE848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7B37E3AD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A2655AA" w14:textId="074DA4BE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966E97">
        <w:rPr>
          <w:rFonts w:eastAsia="Calibri" w:cs="Calibri"/>
          <w:color w:val="000000"/>
          <w:lang w:eastAsia="it-IT"/>
        </w:rPr>
        <w:t xml:space="preserve">Soldesam 4 mg/ml soluzione iniettabile, limitatamente alle confezioni con numeri di AIC </w:t>
      </w:r>
      <w:r w:rsidR="00966E97" w:rsidRPr="00966E97">
        <w:rPr>
          <w:rFonts w:cs="Helvetica"/>
        </w:rPr>
        <w:t>019499122 e 019499134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966E97">
        <w:rPr>
          <w:rFonts w:eastAsia="Calibri" w:cs="Calibri"/>
          <w:color w:val="000000"/>
          <w:lang w:eastAsia="it-IT"/>
        </w:rPr>
        <w:t>Soldesam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966E97">
        <w:rPr>
          <w:rFonts w:eastAsia="Calibri" w:cs="Calibri"/>
          <w:color w:val="000000"/>
          <w:lang w:eastAsia="it-IT"/>
        </w:rPr>
        <w:t>Soldesam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1BB1314D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966E97">
        <w:rPr>
          <w:rFonts w:eastAsia="Calibri" w:cs="Calibri"/>
          <w:color w:val="000000"/>
          <w:lang w:eastAsia="it-IT"/>
        </w:rPr>
        <w:t xml:space="preserve">Soldesam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77BD28F1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ED89AD1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6B801BE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966E97">
        <w:rPr>
          <w:rFonts w:eastAsia="Calibri" w:cs="Calibri"/>
          <w:b/>
          <w:color w:val="000000"/>
          <w:lang w:eastAsia="it-IT"/>
        </w:rPr>
        <w:t>Soldesam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1C27AA3F" w14:textId="77777777" w:rsidR="00BB2AF8" w:rsidRDefault="00966E97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Soldesam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desametasone fosfato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DC0217">
        <w:rPr>
          <w:rFonts w:eastAsia="Calibri" w:cs="Calibri"/>
          <w:color w:val="000000"/>
          <w:lang w:eastAsia="it-IT"/>
        </w:rPr>
        <w:t xml:space="preserve">(come sodio fosfato)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 w:rsidR="00DC0217">
        <w:rPr>
          <w:rFonts w:eastAsia="Calibri" w:cs="Calibri"/>
          <w:color w:val="000000"/>
          <w:lang w:eastAsia="it-IT"/>
        </w:rPr>
        <w:t xml:space="preserve"> </w:t>
      </w:r>
      <w:r w:rsidR="0012542B">
        <w:rPr>
          <w:rFonts w:eastAsia="Calibri" w:cs="Calibri"/>
          <w:color w:val="000000"/>
          <w:lang w:eastAsia="it-IT"/>
        </w:rPr>
        <w:t>s</w:t>
      </w:r>
      <w:r>
        <w:rPr>
          <w:rFonts w:eastAsia="Calibri" w:cs="Calibri"/>
          <w:color w:val="000000"/>
          <w:lang w:eastAsia="it-IT"/>
        </w:rPr>
        <w:t xml:space="preserve">oluzione </w:t>
      </w:r>
      <w:r w:rsidR="00797416">
        <w:rPr>
          <w:rFonts w:eastAsia="Calibri" w:cs="Calibri"/>
          <w:color w:val="000000"/>
          <w:lang w:eastAsia="it-IT"/>
        </w:rPr>
        <w:t xml:space="preserve">iniettabile, </w:t>
      </w:r>
      <w:r>
        <w:rPr>
          <w:rFonts w:eastAsia="Calibri" w:cs="Calibri"/>
          <w:color w:val="000000"/>
          <w:lang w:eastAsia="it-IT"/>
        </w:rPr>
        <w:t xml:space="preserve">contenente </w:t>
      </w:r>
      <w:r w:rsidR="00797416">
        <w:rPr>
          <w:rFonts w:eastAsia="Calibri" w:cs="Calibri"/>
          <w:color w:val="000000"/>
          <w:lang w:eastAsia="it-IT"/>
        </w:rPr>
        <w:t>il principio attivo</w:t>
      </w:r>
      <w:r w:rsidR="00BB2AF8">
        <w:rPr>
          <w:rFonts w:eastAsia="Calibri" w:cs="Calibri"/>
          <w:color w:val="000000"/>
          <w:lang w:eastAsia="it-IT"/>
        </w:rPr>
        <w:t xml:space="preserve"> alla concentrazione di </w:t>
      </w:r>
      <w:r>
        <w:rPr>
          <w:rFonts w:eastAsia="Calibri" w:cs="Calibri"/>
          <w:color w:val="000000"/>
          <w:lang w:eastAsia="it-IT"/>
        </w:rPr>
        <w:t>4 mg/ml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14:paraId="38BAECA8" w14:textId="77777777" w:rsidR="007A1C0E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615C497" w14:textId="77777777" w:rsidR="00BB2AF8" w:rsidRDefault="00966E97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Soldesam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B03E01">
        <w:rPr>
          <w:rFonts w:eastAsia="Calibri" w:cs="Calibri"/>
          <w:lang w:eastAsia="it-IT"/>
        </w:rPr>
        <w:t xml:space="preserve"> per</w:t>
      </w:r>
      <w:r w:rsidR="00BB2AF8" w:rsidRPr="00340DC4">
        <w:rPr>
          <w:rFonts w:eastAsia="Calibri" w:cs="Calibri"/>
          <w:lang w:eastAsia="it-IT"/>
        </w:rPr>
        <w:t>:</w:t>
      </w:r>
      <w:r w:rsidR="00B03E01" w:rsidRPr="00340DC4">
        <w:rPr>
          <w:rFonts w:eastAsia="Calibri" w:cs="Calibri"/>
          <w:lang w:eastAsia="it-IT"/>
        </w:rPr>
        <w:t xml:space="preserve"> </w:t>
      </w:r>
    </w:p>
    <w:p w14:paraId="3C23D3B6" w14:textId="77777777" w:rsidR="00966E97" w:rsidRPr="00966E97" w:rsidRDefault="00966E97" w:rsidP="00966E97">
      <w:pPr>
        <w:numPr>
          <w:ilvl w:val="0"/>
          <w:numId w:val="7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infiammazioni;</w:t>
      </w:r>
    </w:p>
    <w:p w14:paraId="457DB486" w14:textId="77777777" w:rsidR="00966E97" w:rsidRPr="00966E97" w:rsidRDefault="00966E97" w:rsidP="00966E97">
      <w:pPr>
        <w:numPr>
          <w:ilvl w:val="0"/>
          <w:numId w:val="7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una malattia degenerativa delle articolazioni chiamata artrosi degenerativa e una malattia infiammatoria e degenerativa delle articolazioni dovuta ad una lesione che ha creato un danno non riparabile o ha alterato il normale funzionamento dell’articolazione stessa (artrosi post-traumatica);</w:t>
      </w:r>
    </w:p>
    <w:p w14:paraId="0283567E" w14:textId="77777777" w:rsidR="00966E97" w:rsidRPr="00966E97" w:rsidRDefault="00966E97" w:rsidP="00966E97">
      <w:pPr>
        <w:numPr>
          <w:ilvl w:val="0"/>
          <w:numId w:val="7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infiammazione cronica delle articolazioni (artrite infiammatoria), infiammazione cronica che colpisce più articolazioni (poliartrite cronica evolutiva), malattia infiammatoria che colpisce articolazioni e muscoli (spondiloartrite anchilosante);</w:t>
      </w:r>
    </w:p>
    <w:p w14:paraId="0399E323" w14:textId="77777777" w:rsidR="00966E97" w:rsidRPr="00966E97" w:rsidRDefault="00966E97" w:rsidP="00966E97">
      <w:pPr>
        <w:numPr>
          <w:ilvl w:val="0"/>
          <w:numId w:val="7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crisi asmatiche (accessi asmatici)</w:t>
      </w:r>
    </w:p>
    <w:p w14:paraId="41AB7482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 xml:space="preserve">accumulo di liquidi nel cervello (edema cerebrale); </w:t>
      </w:r>
    </w:p>
    <w:p w14:paraId="69A171F0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tumori al cervello (come trattamento aggiuntivo alla terapia principale);</w:t>
      </w:r>
    </w:p>
    <w:p w14:paraId="719CE31E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stati di emergenza e di shock;</w:t>
      </w:r>
    </w:p>
    <w:p w14:paraId="2AC1FB6C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rigonfiamento della mucosa della laringe (edema della glottide);</w:t>
      </w:r>
    </w:p>
    <w:p w14:paraId="6ED72C15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 xml:space="preserve">reazioni allergiche che si possono manifestare in seguito ad una trasfusione di sangue (post-trasfusionali); </w:t>
      </w:r>
    </w:p>
    <w:p w14:paraId="4FC31744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lastRenderedPageBreak/>
        <w:t xml:space="preserve">gravi reazioni allergiche (anafilassi); </w:t>
      </w:r>
    </w:p>
    <w:p w14:paraId="0A606C70" w14:textId="77777777" w:rsidR="00966E97" w:rsidRPr="00966E97" w:rsidRDefault="00966E97" w:rsidP="00966E97">
      <w:pPr>
        <w:numPr>
          <w:ilvl w:val="0"/>
          <w:numId w:val="8"/>
        </w:numPr>
        <w:spacing w:after="0" w:line="300" w:lineRule="exact"/>
        <w:ind w:left="567" w:hanging="567"/>
        <w:rPr>
          <w:rFonts w:eastAsia="Calibri" w:cs="Calibri"/>
          <w:lang w:eastAsia="it-IT"/>
        </w:rPr>
      </w:pPr>
      <w:r w:rsidRPr="00966E97">
        <w:rPr>
          <w:rFonts w:eastAsia="Calibri" w:cs="Calibri"/>
          <w:lang w:eastAsia="it-IT"/>
        </w:rPr>
        <w:t>traumi di diversa natura (emorragici, chirurgici, settici, cardiogeni, da ustioni).</w:t>
      </w:r>
    </w:p>
    <w:p w14:paraId="302CCB45" w14:textId="77777777" w:rsidR="00966E97" w:rsidRPr="00A47604" w:rsidRDefault="00966E97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lang w:eastAsia="it-IT"/>
        </w:rPr>
      </w:pPr>
    </w:p>
    <w:p w14:paraId="417EF3F4" w14:textId="77777777" w:rsidR="00BB2AF8" w:rsidRPr="00966E97" w:rsidRDefault="00966E9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966E97">
        <w:rPr>
          <w:rFonts w:eastAsia="Calibri" w:cs="Calibri"/>
          <w:bCs/>
          <w:color w:val="000000"/>
          <w:szCs w:val="24"/>
          <w:lang w:eastAsia="it-IT"/>
        </w:rPr>
        <w:t xml:space="preserve">SOLDESAM è 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anche </w:t>
      </w:r>
      <w:r w:rsidRPr="00966E97">
        <w:rPr>
          <w:rFonts w:eastAsia="Calibri" w:cs="Calibri"/>
          <w:bCs/>
          <w:color w:val="000000"/>
          <w:szCs w:val="24"/>
          <w:lang w:eastAsia="it-IT"/>
        </w:rPr>
        <w:t>indicato nel trattamento della malattia da coronavirus 2019 (COVID-19) in pazienti adulti e adolescenti (di età pari o superiore a 12 anni con peso corporeo di almeno 40 kg), con difficoltà respiratorie e che necessitano di terapia con ossigeno.</w:t>
      </w:r>
    </w:p>
    <w:p w14:paraId="3E61A1F8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428F8820" w14:textId="77777777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A47102">
        <w:rPr>
          <w:rFonts w:eastAsia="Calibri" w:cs="Calibri"/>
          <w:b/>
          <w:color w:val="000000"/>
          <w:lang w:eastAsia="it-IT"/>
        </w:rPr>
        <w:t>Soldesam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17661615" w14:textId="77777777" w:rsidR="00300BEA" w:rsidRPr="001C15DF" w:rsidRDefault="00A47102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Soldesam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Pr="00A47102">
        <w:t xml:space="preserve"> </w:t>
      </w:r>
      <w:r w:rsidRPr="00A47102">
        <w:rPr>
          <w:rFonts w:asciiTheme="minorHAnsi" w:eastAsia="Calibri" w:hAnsiTheme="minorHAnsi" w:cs="Calibri"/>
          <w:color w:val="000000"/>
          <w:sz w:val="22"/>
          <w:szCs w:val="22"/>
        </w:rPr>
        <w:t>Il medico deciderà la dose corretta e come e quando il medicinale verrà somministrato.</w:t>
      </w:r>
    </w:p>
    <w:p w14:paraId="75508BBB" w14:textId="77777777" w:rsidR="00A47102" w:rsidRDefault="00A47102" w:rsidP="001C15DF">
      <w:pPr>
        <w:tabs>
          <w:tab w:val="left" w:pos="0"/>
        </w:tabs>
        <w:spacing w:after="0" w:line="240" w:lineRule="auto"/>
        <w:jc w:val="both"/>
      </w:pPr>
      <w:r>
        <w:t>Soldesam</w:t>
      </w:r>
      <w:r w:rsidRPr="00A47102">
        <w:t xml:space="preserve"> può essere somministrato con un’iniezione nei muscoli (via intramuscolare), con un’iniezione diretta in vena (via endovenosa), in un’articolazione (via intrasinoviale) o nei tessuti molli.</w:t>
      </w:r>
    </w:p>
    <w:p w14:paraId="2E0D7E3E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</w:pPr>
      <w:r w:rsidRPr="00A47102">
        <w:t>La dose dipende dall’indicazione, dalla gravità dei sintomi, dalla risposta individuale del paziente e, in caso di iniezione in un’articolazione, dalle dimensioni dell’articolazione stessa.</w:t>
      </w:r>
    </w:p>
    <w:p w14:paraId="56B0ED5C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</w:pPr>
      <w:r w:rsidRPr="00A47102">
        <w:t xml:space="preserve">In genere, la dose raccomandata è: </w:t>
      </w:r>
    </w:p>
    <w:p w14:paraId="5C8EBE48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</w:pPr>
      <w:r w:rsidRPr="00A47102">
        <w:t xml:space="preserve">- </w:t>
      </w:r>
      <w:r w:rsidRPr="00A47102">
        <w:tab/>
        <w:t>4 mg al giorno per infiammazioni; artrosi degenerativa e artrosi post-traumatica; artrite infiammatoria; poliartrite cronica evolutiva, spondiloartrite anchilosante; accessi asmatici. Il medico potrà decidere eventualmente di ripetere l’iniezione. Se risponde positivamente al trattamento il medico ridurrà la dose in modo graduale.</w:t>
      </w:r>
    </w:p>
    <w:p w14:paraId="6B26C484" w14:textId="77777777" w:rsidR="00A47102" w:rsidRDefault="00A47102" w:rsidP="00A47102">
      <w:pPr>
        <w:tabs>
          <w:tab w:val="left" w:pos="0"/>
        </w:tabs>
        <w:spacing w:after="0" w:line="240" w:lineRule="auto"/>
        <w:jc w:val="both"/>
      </w:pPr>
      <w:r w:rsidRPr="00A47102">
        <w:t>-</w:t>
      </w:r>
      <w:r w:rsidRPr="00A47102">
        <w:tab/>
        <w:t>32-96 mg al giorno suddivisi in 6-4 somministrazioni al giorno per edema cerebrale; tumori al cervello (come trattamento aggiuntivo alla terapia principale); stati di emergenza e di shock vari; edema della glottide; reazioni allergiche post-trasfusionali; anafilassi; traumi di diversa natura (emorragici, chirurgici, s</w:t>
      </w:r>
      <w:r>
        <w:t>ettici, cardiogeni, da ustioni).</w:t>
      </w:r>
    </w:p>
    <w:p w14:paraId="494DFF87" w14:textId="77777777" w:rsidR="00A47102" w:rsidRDefault="00A47102" w:rsidP="00A47102">
      <w:pPr>
        <w:tabs>
          <w:tab w:val="left" w:pos="0"/>
        </w:tabs>
        <w:spacing w:after="0" w:line="240" w:lineRule="auto"/>
        <w:jc w:val="both"/>
      </w:pPr>
    </w:p>
    <w:p w14:paraId="5050B662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  <w:rPr>
          <w:b/>
          <w:i/>
          <w:u w:val="single"/>
        </w:rPr>
      </w:pPr>
      <w:r w:rsidRPr="00A47102">
        <w:rPr>
          <w:b/>
          <w:i/>
          <w:u w:val="single"/>
        </w:rPr>
        <w:t xml:space="preserve">Per il trattamento del </w:t>
      </w:r>
      <w:proofErr w:type="spellStart"/>
      <w:r w:rsidRPr="00A47102">
        <w:rPr>
          <w:b/>
          <w:i/>
          <w:u w:val="single"/>
        </w:rPr>
        <w:t>Covid</w:t>
      </w:r>
      <w:proofErr w:type="spellEnd"/>
      <w:r w:rsidRPr="00A47102">
        <w:rPr>
          <w:b/>
          <w:i/>
          <w:u w:val="single"/>
        </w:rPr>
        <w:t xml:space="preserve"> 19 </w:t>
      </w:r>
    </w:p>
    <w:p w14:paraId="4371AD5C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</w:pPr>
      <w:r w:rsidRPr="00A47102">
        <w:rPr>
          <w:i/>
          <w:u w:val="single"/>
        </w:rPr>
        <w:t>Pazienti adulti</w:t>
      </w:r>
      <w:r w:rsidRPr="00A47102">
        <w:rPr>
          <w:i/>
        </w:rPr>
        <w:t>:</w:t>
      </w:r>
      <w:r w:rsidRPr="00A47102">
        <w:t xml:space="preserve"> è raccomandata la somministrazione in vena o per via orale di 6 mg una volta al giorno per un massimo di 10 giorni. </w:t>
      </w:r>
    </w:p>
    <w:p w14:paraId="7B148181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  <w:rPr>
          <w:u w:val="single"/>
        </w:rPr>
      </w:pPr>
    </w:p>
    <w:p w14:paraId="5CB91EF5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  <w:rPr>
          <w:i/>
          <w:u w:val="single"/>
        </w:rPr>
      </w:pPr>
      <w:r w:rsidRPr="00A47102">
        <w:rPr>
          <w:i/>
          <w:u w:val="single"/>
        </w:rPr>
        <w:t>Popolazione pediatrica:</w:t>
      </w:r>
    </w:p>
    <w:p w14:paraId="44E588D3" w14:textId="77777777" w:rsidR="00A47102" w:rsidRPr="00A47102" w:rsidRDefault="00A47102" w:rsidP="00A47102">
      <w:pPr>
        <w:tabs>
          <w:tab w:val="left" w:pos="0"/>
        </w:tabs>
        <w:spacing w:after="0" w:line="240" w:lineRule="auto"/>
        <w:jc w:val="both"/>
      </w:pPr>
      <w:r w:rsidRPr="00A47102">
        <w:t>Nei pazienti pediatrici (adolescenti di età pari o superiore a 12 anni, con peso</w:t>
      </w:r>
      <w:r>
        <w:t xml:space="preserve"> </w:t>
      </w:r>
      <w:r w:rsidRPr="00A47102">
        <w:t xml:space="preserve">corporeo di almeno 40 kg) è raccomandata la somministrazione in vena o per via orale di una dose di 6 mg una volta al giorno per un massimo di 10 giorni. </w:t>
      </w:r>
    </w:p>
    <w:p w14:paraId="6A578638" w14:textId="39F099C1" w:rsidR="00182F02" w:rsidRPr="00EF6711" w:rsidRDefault="00182F02" w:rsidP="00182F0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</w:t>
      </w:r>
      <w:r>
        <w:t xml:space="preserve">integrali </w:t>
      </w:r>
      <w:r w:rsidRPr="00EF6711">
        <w:t xml:space="preserve">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r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6F82E56B" w14:textId="34047A04"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0BA83A4D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4FD15C56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F37972">
        <w:rPr>
          <w:rFonts w:eastAsia="Calibri" w:cs="Calibri"/>
          <w:b/>
          <w:color w:val="000000"/>
          <w:lang w:eastAsia="it-IT"/>
        </w:rPr>
        <w:t>Soldesam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2DD02A35" w14:textId="77777777" w:rsidR="00BB2AF8" w:rsidRPr="00A47604" w:rsidRDefault="00F37972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Soldesam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F37972">
        <w:t>H02AB02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r>
        <w:rPr>
          <w:rFonts w:eastAsia="Calibri" w:cs="Calibri"/>
          <w:color w:val="000000"/>
          <w:lang w:eastAsia="it-IT"/>
        </w:rPr>
        <w:t>desametasone fosfato</w:t>
      </w:r>
      <w:r w:rsidR="00F9647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(come sodio fosfato)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 xml:space="preserve">appartiene </w:t>
      </w:r>
      <w:r w:rsidRPr="00F37972">
        <w:t>ad un gruppo di medicinali denominati corticosteroidi</w:t>
      </w:r>
      <w:r w:rsidR="00BB2AF8" w:rsidRPr="00EF6711">
        <w:t xml:space="preserve"> e </w:t>
      </w:r>
      <w:r w:rsidRPr="00F37972">
        <w:t xml:space="preserve">possiede le azioni e gli effetti degli altri </w:t>
      </w:r>
      <w:proofErr w:type="spellStart"/>
      <w:r w:rsidRPr="00F37972">
        <w:t>glucocorticoidi</w:t>
      </w:r>
      <w:proofErr w:type="spellEnd"/>
      <w:r w:rsidRPr="00F37972">
        <w:t xml:space="preserve"> di base</w:t>
      </w:r>
      <w:r>
        <w:t xml:space="preserve">, pertanto è utilizzato </w:t>
      </w:r>
      <w:r w:rsidRPr="00F37972">
        <w:t xml:space="preserve">principalmente per </w:t>
      </w:r>
      <w:r>
        <w:t>il suo effetto anti-infiammatorio.</w:t>
      </w:r>
    </w:p>
    <w:p w14:paraId="25EFFA5D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026483BA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D5497D">
        <w:rPr>
          <w:rFonts w:eastAsia="Calibri" w:cs="Calibri"/>
          <w:b/>
          <w:bCs/>
          <w:lang w:eastAsia="it-IT"/>
        </w:rPr>
        <w:t xml:space="preserve">4) COME È STATO STUDIATO </w:t>
      </w:r>
      <w:r w:rsidR="00F37972" w:rsidRPr="00D5497D">
        <w:rPr>
          <w:rFonts w:eastAsia="Calibri" w:cs="Calibri"/>
          <w:b/>
          <w:color w:val="000000"/>
          <w:lang w:eastAsia="it-IT"/>
        </w:rPr>
        <w:t>Soldesam</w:t>
      </w:r>
      <w:r w:rsidRPr="00D5497D">
        <w:rPr>
          <w:rFonts w:eastAsia="Calibri" w:cs="Calibri"/>
          <w:b/>
          <w:bCs/>
          <w:lang w:eastAsia="it-IT"/>
        </w:rPr>
        <w:t>?</w:t>
      </w:r>
      <w:r w:rsidRPr="004B4170">
        <w:rPr>
          <w:rFonts w:eastAsia="Calibri" w:cs="Calibri"/>
          <w:b/>
          <w:bCs/>
          <w:lang w:eastAsia="it-IT"/>
        </w:rPr>
        <w:t xml:space="preserve"> </w:t>
      </w:r>
    </w:p>
    <w:p w14:paraId="514D3957" w14:textId="77777777" w:rsidR="00BB2AF8" w:rsidRPr="00811B0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461ABF7" w14:textId="1260C45A" w:rsidR="008A110D" w:rsidRPr="00966E97" w:rsidRDefault="00731662" w:rsidP="008A11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Soldesam 4 mg/ml soluzione iniettabile</w:t>
      </w:r>
      <w:r>
        <w:rPr>
          <w:rFonts w:cs="Arial"/>
        </w:rPr>
        <w:t xml:space="preserve"> è stato autorizzato come estensione di linea di </w:t>
      </w:r>
      <w:r w:rsidRPr="00731662">
        <w:rPr>
          <w:rFonts w:cs="Arial"/>
        </w:rPr>
        <w:t>S</w:t>
      </w:r>
      <w:r>
        <w:rPr>
          <w:rFonts w:cs="Arial"/>
        </w:rPr>
        <w:t>oldesam</w:t>
      </w:r>
      <w:r w:rsidRPr="00731662">
        <w:rPr>
          <w:rFonts w:cs="Arial"/>
        </w:rPr>
        <w:t xml:space="preserve"> 4 mg/1 ml </w:t>
      </w:r>
      <w:r>
        <w:rPr>
          <w:rFonts w:cs="Arial"/>
        </w:rPr>
        <w:t>e</w:t>
      </w:r>
      <w:r w:rsidRPr="00731662">
        <w:rPr>
          <w:rFonts w:cs="Arial"/>
        </w:rPr>
        <w:t xml:space="preserve"> 8 mg/2 ml soluzione iniettabile </w:t>
      </w:r>
      <w:r w:rsidR="006921BC">
        <w:rPr>
          <w:rFonts w:cs="Arial"/>
        </w:rPr>
        <w:t xml:space="preserve">già autorizzati e in commercio, </w:t>
      </w:r>
      <w:r>
        <w:rPr>
          <w:rFonts w:cs="Arial"/>
        </w:rPr>
        <w:t xml:space="preserve">per l’aggiunta di una </w:t>
      </w:r>
      <w:r w:rsidR="006921BC">
        <w:rPr>
          <w:rFonts w:cs="Arial"/>
        </w:rPr>
        <w:t xml:space="preserve">nuova </w:t>
      </w:r>
      <w:r>
        <w:rPr>
          <w:rFonts w:cs="Arial"/>
        </w:rPr>
        <w:t xml:space="preserve">via di somministrazione e di una nuova indicazione terapeutica. </w:t>
      </w:r>
      <w:r w:rsidR="000E4A73">
        <w:rPr>
          <w:rFonts w:cs="Arial"/>
        </w:rPr>
        <w:t xml:space="preserve">Sono </w:t>
      </w:r>
      <w:r w:rsidR="006921BC">
        <w:rPr>
          <w:rFonts w:cs="Arial"/>
        </w:rPr>
        <w:t xml:space="preserve">stati forniti dati di letteratura </w:t>
      </w:r>
      <w:r w:rsidR="000E4A73">
        <w:rPr>
          <w:rFonts w:cs="Arial"/>
        </w:rPr>
        <w:t>che</w:t>
      </w:r>
      <w:r w:rsidR="00943785" w:rsidRPr="00E233B1">
        <w:rPr>
          <w:iCs/>
        </w:rPr>
        <w:t xml:space="preserve"> hanno dimostrato </w:t>
      </w:r>
      <w:r w:rsidR="006921BC">
        <w:rPr>
          <w:iCs/>
        </w:rPr>
        <w:t xml:space="preserve">che la modifica della formulazione del prodotto non modifica </w:t>
      </w:r>
      <w:r w:rsidR="00943785">
        <w:t xml:space="preserve">l’efficacia </w:t>
      </w:r>
      <w:r w:rsidR="000E4A73">
        <w:t xml:space="preserve">e la sicurezza </w:t>
      </w:r>
      <w:r w:rsidR="006921BC">
        <w:t xml:space="preserve">di Soldesam </w:t>
      </w:r>
      <w:r w:rsidR="006921BC">
        <w:rPr>
          <w:rFonts w:eastAsia="Calibri" w:cs="Calibri"/>
          <w:color w:val="000000"/>
          <w:lang w:eastAsia="it-IT"/>
        </w:rPr>
        <w:t xml:space="preserve">4mg/1 ml </w:t>
      </w:r>
      <w:r w:rsidR="006921BC">
        <w:rPr>
          <w:rFonts w:cs="Arial"/>
        </w:rPr>
        <w:t>e</w:t>
      </w:r>
      <w:r w:rsidR="006921BC" w:rsidRPr="00731662">
        <w:rPr>
          <w:rFonts w:cs="Arial"/>
        </w:rPr>
        <w:t xml:space="preserve"> 8 mg/2 ml soluzione iniettabile</w:t>
      </w:r>
      <w:r w:rsidR="00943785">
        <w:t xml:space="preserve">, quando assunto per </w:t>
      </w:r>
      <w:r w:rsidR="006921BC">
        <w:t xml:space="preserve">infiammazioni, artrosi degenerativa, artrosi post-traumatica, artrite infiammatoria, poliartrite cronica evolutiva, spondiloartrite anchilosante, accessi asmatici, edema cerebrale, tumori al cervello (come trattamento aggiuntivo alla terapia principale), stati di emergenza e di shock, edema della glottide, reazioni post-trasfusionali, gravi reazioni allergiche (anafilassi), traumi di diversa </w:t>
      </w:r>
      <w:r w:rsidR="006921BC">
        <w:lastRenderedPageBreak/>
        <w:t>natura (emorragici, chirurgici, settici, cardiogeni, da ustioni)</w:t>
      </w:r>
      <w:r w:rsidR="00943785" w:rsidRPr="00811B01">
        <w:t xml:space="preserve">. </w:t>
      </w:r>
      <w:r w:rsidR="006921BC">
        <w:t xml:space="preserve">Sono stati, inoltre forniti riferimenti di letteratura che hanno dimostrato che </w:t>
      </w:r>
      <w:r w:rsidR="008A110D">
        <w:t xml:space="preserve">il desametasone è efficace nel trattamento </w:t>
      </w:r>
      <w:r w:rsidR="008A110D" w:rsidRPr="00966E97">
        <w:rPr>
          <w:rFonts w:eastAsia="Calibri" w:cs="Calibri"/>
          <w:bCs/>
          <w:color w:val="000000"/>
          <w:szCs w:val="24"/>
          <w:lang w:eastAsia="it-IT"/>
        </w:rPr>
        <w:t>della malattia da coronavirus 2019 (COVID-19) in pazienti adulti e adolescenti (di età pari o superiore a 12 anni con peso corporeo di almeno 40 kg), con difficoltà respiratorie e che necessitano di terapia con ossigeno.</w:t>
      </w:r>
    </w:p>
    <w:p w14:paraId="2A9AC2D7" w14:textId="56656EA5" w:rsidR="00943785" w:rsidRPr="00823E9B" w:rsidRDefault="00A47604" w:rsidP="006921BC">
      <w:pPr>
        <w:spacing w:after="0" w:line="240" w:lineRule="auto"/>
        <w:jc w:val="both"/>
      </w:pPr>
      <w:r w:rsidRPr="00823E9B">
        <w:t>Nello studio clinico</w:t>
      </w:r>
      <w:r w:rsidR="008A110D" w:rsidRPr="00823E9B">
        <w:t xml:space="preserve"> RECOVERY (</w:t>
      </w:r>
      <w:proofErr w:type="spellStart"/>
      <w:r w:rsidR="008A110D" w:rsidRPr="00823E9B">
        <w:t>Randomised</w:t>
      </w:r>
      <w:proofErr w:type="spellEnd"/>
      <w:r w:rsidR="008A110D" w:rsidRPr="00823E9B">
        <w:t xml:space="preserve"> Evaluation of COVid-19 </w:t>
      </w:r>
      <w:proofErr w:type="spellStart"/>
      <w:r w:rsidR="008A110D" w:rsidRPr="00823E9B">
        <w:t>thERapY</w:t>
      </w:r>
      <w:proofErr w:type="spellEnd"/>
      <w:r w:rsidR="008A110D" w:rsidRPr="00823E9B">
        <w:t xml:space="preserve">,), infatti, </w:t>
      </w:r>
      <w:proofErr w:type="spellStart"/>
      <w:r w:rsidR="008A110D" w:rsidRPr="00823E9B">
        <w:t>desametasone</w:t>
      </w:r>
      <w:proofErr w:type="spellEnd"/>
      <w:r w:rsidRPr="00823E9B">
        <w:t xml:space="preserve"> è stato più efficace del</w:t>
      </w:r>
      <w:r w:rsidR="008A110D" w:rsidRPr="00823E9B">
        <w:t xml:space="preserve">le cure abituali </w:t>
      </w:r>
      <w:r w:rsidRPr="00823E9B">
        <w:t xml:space="preserve">nel </w:t>
      </w:r>
      <w:r w:rsidR="008A110D" w:rsidRPr="00823E9B">
        <w:t>ridurre la mortalità a 28 giorni</w:t>
      </w:r>
      <w:r w:rsidR="005F54B1" w:rsidRPr="00823E9B">
        <w:t xml:space="preserve"> </w:t>
      </w:r>
      <w:r w:rsidRPr="00823E9B">
        <w:t>in pazienti</w:t>
      </w:r>
      <w:r w:rsidR="005F54B1" w:rsidRPr="00823E9B">
        <w:t xml:space="preserve"> con </w:t>
      </w:r>
      <w:r w:rsidR="008A110D" w:rsidRPr="00823E9B">
        <w:t>infezione da Covid-19 che ricevevano ossigenoterapia</w:t>
      </w:r>
      <w:r w:rsidR="005F54B1" w:rsidRPr="00823E9B">
        <w:t>.</w:t>
      </w:r>
    </w:p>
    <w:p w14:paraId="18AB2FF3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A5B3C10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91C3A42" w14:textId="77777777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F37972">
        <w:rPr>
          <w:rFonts w:eastAsia="Calibri" w:cs="Calibri"/>
          <w:b/>
          <w:color w:val="000000"/>
          <w:lang w:eastAsia="it-IT"/>
        </w:rPr>
        <w:t>Soldesam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6AF3C6F9" w14:textId="469E7606" w:rsidR="00943785" w:rsidRPr="00943785" w:rsidRDefault="00C51FF1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  <w:r>
        <w:rPr>
          <w:rFonts w:eastAsia="Calibri" w:cs="Calibri"/>
          <w:lang w:eastAsia="it-IT"/>
        </w:rPr>
        <w:t xml:space="preserve">I dati presentati a supporto dell’autorizzazione all’immissione in commercio di </w:t>
      </w:r>
      <w:r w:rsidR="00F37972">
        <w:rPr>
          <w:rFonts w:eastAsia="Calibri" w:cs="Calibri"/>
          <w:color w:val="000000"/>
          <w:lang w:eastAsia="it-IT"/>
        </w:rPr>
        <w:t>Soldesam</w:t>
      </w:r>
      <w:r>
        <w:rPr>
          <w:rFonts w:eastAsia="Calibri" w:cs="Calibri"/>
          <w:lang w:eastAsia="it-IT"/>
        </w:rPr>
        <w:t xml:space="preserve"> hanno dimostrato che i </w:t>
      </w:r>
      <w:r w:rsidRPr="002A3F14">
        <w:rPr>
          <w:rFonts w:eastAsia="Calibri" w:cs="Calibri"/>
          <w:lang w:eastAsia="it-IT"/>
        </w:rPr>
        <w:t xml:space="preserve">benefici </w:t>
      </w:r>
      <w:r>
        <w:rPr>
          <w:rFonts w:eastAsia="Calibri" w:cs="Calibri"/>
          <w:lang w:eastAsia="it-IT"/>
        </w:rPr>
        <w:t xml:space="preserve">per l’uso di </w:t>
      </w:r>
      <w:r w:rsidR="00F37972">
        <w:rPr>
          <w:rFonts w:eastAsia="Calibri" w:cs="Calibri"/>
          <w:color w:val="000000"/>
          <w:lang w:eastAsia="it-IT"/>
        </w:rPr>
        <w:t>Soldesam</w:t>
      </w:r>
      <w:r>
        <w:rPr>
          <w:rFonts w:eastAsia="Calibri" w:cs="Calibri"/>
          <w:color w:val="000000"/>
          <w:lang w:eastAsia="it-IT"/>
        </w:rPr>
        <w:t xml:space="preserve"> quando assunto per</w:t>
      </w:r>
      <w:r w:rsidR="008A110D">
        <w:rPr>
          <w:b/>
          <w:i/>
          <w:sz w:val="20"/>
        </w:rPr>
        <w:t xml:space="preserve"> </w:t>
      </w:r>
      <w:r w:rsidR="008A110D">
        <w:t xml:space="preserve">infiammazioni; artrosi degenerativa; artrosi post-traumatica; artrite infiammatoria; poliartrite cronica evolutiva; spondiloartrite anchilosante; accessi asmatici; edema cerebrale; tumori al cervello (come trattamento aggiuntivo alla terapia principale); stati di emergenza e di shock, edema della glottide; reazioni post-trasfusionali, gravi reazioni allergiche (anafilassi); traumi di diversa natura (emorragici, chirurgici, settici, cardiogeni, da ustioni); trattamento </w:t>
      </w:r>
      <w:r w:rsidR="008A110D" w:rsidRPr="00966E97">
        <w:rPr>
          <w:rFonts w:eastAsia="Calibri" w:cs="Calibri"/>
          <w:bCs/>
          <w:color w:val="000000"/>
          <w:szCs w:val="24"/>
          <w:lang w:eastAsia="it-IT"/>
        </w:rPr>
        <w:t>della malattia da coronavirus 2019 (COVID-19) in pazienti adulti e adolescenti (di età pari o superiore a 12 anni con peso corporeo di almeno 40 kg), con difficoltà respiratorie e che nece</w:t>
      </w:r>
      <w:r w:rsidR="008A110D">
        <w:rPr>
          <w:rFonts w:eastAsia="Calibri" w:cs="Calibri"/>
          <w:bCs/>
          <w:color w:val="000000"/>
          <w:szCs w:val="24"/>
          <w:lang w:eastAsia="it-IT"/>
        </w:rPr>
        <w:t xml:space="preserve">ssitano di terapia con ossigeno </w:t>
      </w:r>
      <w:r>
        <w:rPr>
          <w:rFonts w:eastAsia="Calibri" w:cs="Calibri"/>
          <w:lang w:eastAsia="it-IT"/>
        </w:rPr>
        <w:t>sono superiori ai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suoi </w:t>
      </w:r>
      <w:r w:rsidRPr="002A3F14">
        <w:rPr>
          <w:rFonts w:eastAsia="Calibri" w:cs="Calibri"/>
          <w:lang w:eastAsia="it-IT"/>
        </w:rPr>
        <w:t>rischi</w:t>
      </w:r>
      <w:r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  <w:r w:rsidR="00A84362">
        <w:rPr>
          <w:rFonts w:eastAsia="Calibri" w:cs="Calibri"/>
          <w:lang w:eastAsia="it-IT"/>
        </w:rPr>
        <w:t>Pertanto il rapporto beneficio/rischio è stato considerato favorevole per l’autorizzazione all’immi</w:t>
      </w:r>
      <w:r w:rsidR="009F395B">
        <w:rPr>
          <w:rFonts w:eastAsia="Calibri" w:cs="Calibri"/>
          <w:lang w:eastAsia="it-IT"/>
        </w:rPr>
        <w:t>s</w:t>
      </w:r>
      <w:r w:rsidR="00A84362">
        <w:rPr>
          <w:rFonts w:eastAsia="Calibri" w:cs="Calibri"/>
          <w:lang w:eastAsia="it-IT"/>
        </w:rPr>
        <w:t xml:space="preserve">sione in commercio di </w:t>
      </w:r>
      <w:r w:rsidR="00A00E9E">
        <w:rPr>
          <w:rFonts w:eastAsia="Calibri" w:cs="Calibri"/>
          <w:color w:val="000000"/>
          <w:lang w:eastAsia="it-IT"/>
        </w:rPr>
        <w:t>Soldesam</w:t>
      </w:r>
      <w:r w:rsidR="00A84362">
        <w:rPr>
          <w:rFonts w:eastAsia="Calibri" w:cs="Calibri"/>
          <w:lang w:eastAsia="it-IT"/>
        </w:rPr>
        <w:t xml:space="preserve">. </w:t>
      </w:r>
    </w:p>
    <w:p w14:paraId="252525DC" w14:textId="77777777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12542B">
        <w:rPr>
          <w:rFonts w:eastAsia="Calibri" w:cs="Calibri"/>
          <w:color w:val="000000"/>
          <w:lang w:eastAsia="it-IT"/>
        </w:rPr>
        <w:t>Soldesam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14:paraId="1D2A35E0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7619AC1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12542B">
        <w:rPr>
          <w:rFonts w:eastAsia="Calibri" w:cs="Calibri"/>
          <w:b/>
          <w:color w:val="000000"/>
          <w:lang w:eastAsia="it-IT"/>
        </w:rPr>
        <w:t>Soldesam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767AC9C8" w14:textId="77777777" w:rsidR="00BB2AF8" w:rsidRPr="00CB3303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 seguito dell’istruttoria condotta dagli Uffici dell’AIFA l</w:t>
      </w:r>
      <w:r w:rsidR="00BB2AF8" w:rsidRPr="00666CCE">
        <w:rPr>
          <w:rFonts w:eastAsia="Calibri" w:cs="Calibri"/>
          <w:lang w:eastAsia="it-IT"/>
        </w:rPr>
        <w:t xml:space="preserve">a </w:t>
      </w:r>
      <w:r w:rsidR="00BB2AF8" w:rsidRPr="009F1B70">
        <w:rPr>
          <w:rFonts w:eastAsia="Calibri" w:cs="Calibri"/>
          <w:color w:val="000000"/>
          <w:lang w:eastAsia="it-IT"/>
        </w:rPr>
        <w:t xml:space="preserve">Commissione </w:t>
      </w:r>
      <w:r w:rsidR="00BB2AF8">
        <w:rPr>
          <w:rFonts w:eastAsia="Calibri" w:cs="Calibri"/>
          <w:color w:val="000000"/>
          <w:lang w:eastAsia="it-IT"/>
        </w:rPr>
        <w:t>Tecnico-Scientifica (CTS)</w:t>
      </w:r>
      <w:r w:rsidR="00BB2AF8" w:rsidRPr="00666CCE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nella riunione del </w:t>
      </w:r>
      <w:r w:rsidR="0012542B">
        <w:rPr>
          <w:rFonts w:eastAsia="Calibri" w:cs="Calibri"/>
          <w:bCs/>
          <w:iCs/>
          <w:lang w:eastAsia="it-IT"/>
        </w:rPr>
        <w:t xml:space="preserve">10, 11, 12 </w:t>
      </w:r>
      <w:proofErr w:type="gramStart"/>
      <w:r w:rsidR="0012542B">
        <w:rPr>
          <w:rFonts w:eastAsia="Calibri" w:cs="Calibri"/>
          <w:bCs/>
          <w:iCs/>
          <w:lang w:eastAsia="it-IT"/>
        </w:rPr>
        <w:t>Ottobre</w:t>
      </w:r>
      <w:proofErr w:type="gramEnd"/>
      <w:r w:rsidR="0012542B">
        <w:rPr>
          <w:rFonts w:eastAsia="Calibri" w:cs="Calibri"/>
          <w:bCs/>
          <w:iCs/>
          <w:lang w:eastAsia="it-IT"/>
        </w:rPr>
        <w:t xml:space="preserve"> 2023</w:t>
      </w:r>
      <w:r w:rsidR="00BB2AF8">
        <w:rPr>
          <w:rFonts w:eastAsia="Calibri" w:cs="Calibri"/>
          <w:lang w:eastAsia="it-IT"/>
        </w:rPr>
        <w:t>,</w:t>
      </w:r>
      <w:r w:rsidR="00BB2AF8"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 w:rsidR="0012542B">
        <w:rPr>
          <w:rFonts w:eastAsia="Calibri" w:cs="Calibri"/>
          <w:lang w:eastAsia="it-IT"/>
        </w:rPr>
        <w:t xml:space="preserve">i </w:t>
      </w:r>
      <w:r w:rsidR="00BB2AF8" w:rsidRPr="00666CCE">
        <w:rPr>
          <w:rFonts w:eastAsia="Calibri" w:cs="Calibri"/>
          <w:lang w:eastAsia="it-IT"/>
        </w:rPr>
        <w:t xml:space="preserve">benefici di </w:t>
      </w:r>
      <w:r w:rsidR="0012542B">
        <w:rPr>
          <w:rFonts w:eastAsia="Calibri" w:cs="Calibri"/>
          <w:color w:val="000000"/>
          <w:lang w:eastAsia="it-IT"/>
        </w:rPr>
        <w:t>Soldesam</w:t>
      </w:r>
      <w:r w:rsidR="007170D7">
        <w:rPr>
          <w:rFonts w:ascii="Calibri" w:hAnsi="Calibri" w:cs="Arial"/>
        </w:rPr>
        <w:t xml:space="preserve"> </w:t>
      </w:r>
      <w:r w:rsidR="00BB2AF8" w:rsidRPr="00666CCE">
        <w:rPr>
          <w:rFonts w:eastAsia="Calibri" w:cs="Calibri"/>
          <w:lang w:eastAsia="it-IT"/>
        </w:rPr>
        <w:t xml:space="preserve">sono superiori ai rischi individuati. La </w:t>
      </w:r>
      <w:r w:rsidR="00BB2AF8">
        <w:rPr>
          <w:rFonts w:eastAsia="Calibri" w:cs="Calibri"/>
          <w:lang w:eastAsia="it-IT"/>
        </w:rPr>
        <w:t>CTS</w:t>
      </w:r>
      <w:r w:rsidR="00BB2AF8" w:rsidRPr="00666CCE">
        <w:rPr>
          <w:rFonts w:eastAsia="Calibri" w:cs="Calibri"/>
          <w:lang w:eastAsia="it-IT"/>
        </w:rPr>
        <w:t xml:space="preserve"> ha, inoltre, definito le modalità d</w:t>
      </w:r>
      <w:r w:rsidR="00BB2AF8">
        <w:rPr>
          <w:rFonts w:eastAsia="Calibri" w:cs="Calibri"/>
          <w:lang w:eastAsia="it-IT"/>
        </w:rPr>
        <w:t xml:space="preserve">i prescrizione di cui al punto </w:t>
      </w:r>
      <w:r w:rsidR="00BB2AF8" w:rsidRPr="00666CCE">
        <w:rPr>
          <w:rFonts w:eastAsia="Calibri" w:cs="Calibri"/>
          <w:lang w:eastAsia="it-IT"/>
        </w:rPr>
        <w:t>2) di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medicinale</w:t>
      </w:r>
      <w:r w:rsidR="0012542B">
        <w:rPr>
          <w:rFonts w:eastAsia="Calibri" w:cs="Calibri"/>
          <w:lang w:eastAsia="it-IT"/>
        </w:rPr>
        <w:t xml:space="preserve"> (</w:t>
      </w:r>
      <w:proofErr w:type="spellStart"/>
      <w:r w:rsidR="0012542B">
        <w:rPr>
          <w:rFonts w:eastAsia="Calibri" w:cs="Calibri"/>
          <w:lang w:eastAsia="it-IT"/>
        </w:rPr>
        <w:t>Cnn</w:t>
      </w:r>
      <w:proofErr w:type="spellEnd"/>
      <w:r w:rsidR="0012542B">
        <w:rPr>
          <w:rFonts w:eastAsia="Calibri" w:cs="Calibri"/>
          <w:lang w:eastAsia="it-IT"/>
        </w:rPr>
        <w:t>)</w:t>
      </w:r>
      <w:r w:rsidR="00BB2AF8" w:rsidRPr="00CB3303">
        <w:rPr>
          <w:rFonts w:eastAsia="Calibri" w:cs="Calibri"/>
          <w:lang w:eastAsia="it-IT"/>
        </w:rPr>
        <w:t xml:space="preserve">. </w:t>
      </w:r>
    </w:p>
    <w:p w14:paraId="5F9BFE9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7E83715F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2542B">
        <w:rPr>
          <w:rFonts w:eastAsia="Calibri" w:cs="Calibri"/>
          <w:b/>
          <w:color w:val="000000"/>
          <w:lang w:eastAsia="it-IT"/>
        </w:rPr>
        <w:t>Soldesam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13A14D63" w14:textId="77777777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2542B">
        <w:rPr>
          <w:rFonts w:eastAsia="Calibri" w:cs="Calibri"/>
          <w:color w:val="000000"/>
          <w:lang w:eastAsia="it-IT"/>
        </w:rPr>
        <w:t>Soldesam</w:t>
      </w:r>
      <w:r w:rsidR="004241AC" w:rsidRPr="007170D7">
        <w:rPr>
          <w:rFonts w:eastAsia="Calibri" w:cs="Calibri"/>
          <w:lang w:eastAsia="it-IT"/>
        </w:rPr>
        <w:t>.</w:t>
      </w:r>
    </w:p>
    <w:p w14:paraId="00E6CD34" w14:textId="48229900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15AFE1C" w14:textId="49DF16E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0492C">
        <w:rPr>
          <w:rFonts w:eastAsia="Calibri" w:cs="Calibri"/>
          <w:b/>
          <w:color w:val="000000"/>
          <w:lang w:eastAsia="it-IT"/>
        </w:rPr>
        <w:t>Soldesam</w:t>
      </w:r>
      <w:proofErr w:type="spellEnd"/>
    </w:p>
    <w:p w14:paraId="0AD35730" w14:textId="737E4AF3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B00B8F" w:rsidRPr="00741CDB">
        <w:rPr>
          <w:rFonts w:eastAsia="Calibri" w:cs="Calibri"/>
          <w:b/>
          <w:bCs/>
          <w:iCs/>
          <w:lang w:eastAsia="it-IT"/>
        </w:rPr>
        <w:t>03/01/2024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12542B">
        <w:rPr>
          <w:rFonts w:eastAsia="Calibri" w:cs="Calibri"/>
          <w:color w:val="000000"/>
          <w:lang w:eastAsia="it-IT"/>
        </w:rPr>
        <w:t>Soldesam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68C47156" w14:textId="77777777" w:rsidR="004E5A39" w:rsidRPr="00741CD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33CEED5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63A349D4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2542B">
        <w:rPr>
          <w:rFonts w:eastAsia="Calibri" w:cs="Calibri"/>
          <w:color w:val="000000"/>
          <w:lang w:eastAsia="it-IT"/>
        </w:rPr>
        <w:t>Soldesam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0A542BCD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5A210C85" w14:textId="77777777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12542B">
        <w:rPr>
          <w:rFonts w:eastAsia="Calibri" w:cs="Calibri"/>
          <w:lang w:eastAsia="it-IT"/>
        </w:rPr>
        <w:t>07/05/2024</w:t>
      </w:r>
      <w:r w:rsidRPr="002A3F14">
        <w:rPr>
          <w:rFonts w:eastAsia="Calibri" w:cs="Calibri"/>
          <w:lang w:eastAsia="it-IT"/>
        </w:rPr>
        <w:t xml:space="preserve">. </w:t>
      </w:r>
    </w:p>
    <w:p w14:paraId="40EA3B3C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74EF3C5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8EBDE9B" w14:textId="77777777" w:rsidR="000C1389" w:rsidRDefault="000C1389" w:rsidP="0012542B">
      <w:pPr>
        <w:spacing w:after="0" w:line="240" w:lineRule="auto"/>
        <w:rPr>
          <w:b/>
          <w:sz w:val="28"/>
        </w:rPr>
      </w:pPr>
    </w:p>
    <w:p w14:paraId="2BC7AEE9" w14:textId="77777777" w:rsidR="000C1389" w:rsidRDefault="000C1389" w:rsidP="004E5A39">
      <w:pPr>
        <w:spacing w:after="0" w:line="240" w:lineRule="auto"/>
        <w:jc w:val="center"/>
        <w:rPr>
          <w:b/>
          <w:sz w:val="28"/>
        </w:rPr>
      </w:pPr>
    </w:p>
    <w:p w14:paraId="268DE8E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D2BB71D" w14:textId="72546026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9F99920" w14:textId="67743C43" w:rsidR="00823E9B" w:rsidRDefault="00823E9B" w:rsidP="004E5A39">
      <w:pPr>
        <w:spacing w:after="0" w:line="240" w:lineRule="auto"/>
        <w:jc w:val="center"/>
        <w:rPr>
          <w:b/>
          <w:sz w:val="28"/>
        </w:rPr>
      </w:pPr>
    </w:p>
    <w:p w14:paraId="7138B5CC" w14:textId="77777777" w:rsidR="00823E9B" w:rsidRDefault="00823E9B" w:rsidP="004E5A39">
      <w:pPr>
        <w:spacing w:after="0" w:line="240" w:lineRule="auto"/>
        <w:jc w:val="center"/>
        <w:rPr>
          <w:b/>
          <w:sz w:val="28"/>
        </w:rPr>
      </w:pPr>
    </w:p>
    <w:p w14:paraId="011C8FE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FCA605F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51DFFE38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9288A41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34CA64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E9389E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D1EE8F2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15DB4709" w14:textId="77777777" w:rsidR="004E5A39" w:rsidRDefault="004E5A39" w:rsidP="004E5A39">
      <w:pPr>
        <w:spacing w:after="0" w:line="240" w:lineRule="auto"/>
        <w:jc w:val="both"/>
      </w:pPr>
    </w:p>
    <w:p w14:paraId="1840E3D0" w14:textId="77777777" w:rsidR="004E5A39" w:rsidRDefault="004E5A39" w:rsidP="004E5A39">
      <w:pPr>
        <w:spacing w:after="0" w:line="240" w:lineRule="auto"/>
        <w:jc w:val="both"/>
      </w:pPr>
    </w:p>
    <w:p w14:paraId="0C70573E" w14:textId="77777777" w:rsidR="004E5A39" w:rsidRDefault="004E5A39" w:rsidP="004E5A39">
      <w:pPr>
        <w:spacing w:after="0" w:line="240" w:lineRule="auto"/>
        <w:jc w:val="both"/>
      </w:pPr>
    </w:p>
    <w:p w14:paraId="4CCF8D3C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516A1AFA" w14:textId="77777777" w:rsidR="004E5A39" w:rsidRPr="002A3F14" w:rsidRDefault="004E5A39" w:rsidP="004E5A39">
      <w:pPr>
        <w:spacing w:after="0" w:line="240" w:lineRule="auto"/>
        <w:jc w:val="both"/>
      </w:pPr>
    </w:p>
    <w:p w14:paraId="6E99BD0A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1AF608C5" w14:textId="77777777" w:rsidR="004E5A39" w:rsidRPr="0033523E" w:rsidRDefault="004E5A39" w:rsidP="004E5A39">
      <w:pPr>
        <w:pStyle w:val="Paragrafoelenco"/>
        <w:rPr>
          <w:b/>
        </w:rPr>
      </w:pPr>
    </w:p>
    <w:p w14:paraId="6BBB22D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05347191" w14:textId="77777777" w:rsidR="004E5A39" w:rsidRPr="0033523E" w:rsidRDefault="004E5A39" w:rsidP="004E5A39">
      <w:pPr>
        <w:pStyle w:val="Paragrafoelenco"/>
        <w:rPr>
          <w:b/>
        </w:rPr>
      </w:pPr>
    </w:p>
    <w:p w14:paraId="47F58B09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31E3BD6D" w14:textId="77777777" w:rsidR="004E5A39" w:rsidRPr="0033523E" w:rsidRDefault="004E5A39" w:rsidP="004E5A39">
      <w:pPr>
        <w:pStyle w:val="Paragrafoelenco"/>
        <w:rPr>
          <w:b/>
        </w:rPr>
      </w:pPr>
    </w:p>
    <w:p w14:paraId="08E6BA52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1686865A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41DCE4C4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52410446" w14:textId="77777777" w:rsidR="004E5A39" w:rsidRDefault="004E5A39" w:rsidP="004E5A39"/>
    <w:p w14:paraId="234DDFCD" w14:textId="77777777" w:rsidR="004E5A39" w:rsidRDefault="004E5A39" w:rsidP="004E5A39"/>
    <w:p w14:paraId="7D8F844D" w14:textId="77777777" w:rsidR="004E5A39" w:rsidRDefault="004E5A39" w:rsidP="004E5A39"/>
    <w:p w14:paraId="05D36D18" w14:textId="77777777" w:rsidR="004E5A39" w:rsidRDefault="004E5A39" w:rsidP="004E5A39"/>
    <w:p w14:paraId="1B0CF395" w14:textId="77777777" w:rsidR="004E5A39" w:rsidRDefault="004E5A39" w:rsidP="004E5A39"/>
    <w:p w14:paraId="5AE96801" w14:textId="77777777" w:rsidR="004E5A39" w:rsidRDefault="004E5A39" w:rsidP="004E5A39"/>
    <w:p w14:paraId="4747D624" w14:textId="77777777" w:rsidR="004E5A39" w:rsidRDefault="004E5A39" w:rsidP="004E5A39"/>
    <w:p w14:paraId="29EEEC82" w14:textId="77777777" w:rsidR="004E5A39" w:rsidRDefault="004E5A39" w:rsidP="004E5A39"/>
    <w:p w14:paraId="4DF4115D" w14:textId="77777777" w:rsidR="004E5A39" w:rsidRDefault="004E5A39" w:rsidP="004E5A39"/>
    <w:p w14:paraId="274B0A55" w14:textId="77777777" w:rsidR="004E5A39" w:rsidRDefault="004E5A39" w:rsidP="004E5A39"/>
    <w:p w14:paraId="04D827CA" w14:textId="77777777" w:rsidR="004E5A39" w:rsidRDefault="004E5A39" w:rsidP="004E5A39"/>
    <w:p w14:paraId="737B19BE" w14:textId="77777777" w:rsidR="00EF6711" w:rsidRDefault="00EF6711" w:rsidP="004E5A39"/>
    <w:p w14:paraId="5497720D" w14:textId="77777777" w:rsidR="00EF6711" w:rsidRDefault="00EF6711" w:rsidP="004E5A39"/>
    <w:p w14:paraId="50FF4971" w14:textId="77777777" w:rsidR="00EF6711" w:rsidRDefault="00EF6711" w:rsidP="004E5A39"/>
    <w:p w14:paraId="6CB16364" w14:textId="77777777" w:rsidR="00CC52A3" w:rsidRDefault="00CC52A3" w:rsidP="004E5A39"/>
    <w:p w14:paraId="6C3EF062" w14:textId="77777777" w:rsidR="00CC52A3" w:rsidRDefault="00CC52A3" w:rsidP="004E5A39"/>
    <w:p w14:paraId="4598BF96" w14:textId="77777777" w:rsidR="00EF6711" w:rsidRDefault="00EF6711" w:rsidP="004E5A39"/>
    <w:p w14:paraId="0FFAAB3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23E43D54" w14:textId="4416075E" w:rsidR="004E5A39" w:rsidRDefault="004E5A39" w:rsidP="00B00B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EF6711">
        <w:t xml:space="preserve">Sulla base dei dati di qualità, sicurezza ed efficacia, l’AIFA ha rilasciato a </w:t>
      </w:r>
      <w:r w:rsidR="0012542B">
        <w:t>Laboratorio Farmacologico Milanese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12542B">
        <w:rPr>
          <w:rFonts w:eastAsia="Calibri" w:cs="Calibri"/>
          <w:color w:val="000000"/>
          <w:lang w:eastAsia="it-IT"/>
        </w:rPr>
        <w:t>Soldesam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B00B8F" w:rsidRPr="00741CDB">
        <w:rPr>
          <w:rFonts w:eastAsia="Calibri" w:cs="Calibri"/>
          <w:b/>
          <w:bCs/>
          <w:iCs/>
          <w:lang w:eastAsia="it-IT"/>
        </w:rPr>
        <w:t>03/01/2024</w:t>
      </w:r>
      <w:r w:rsidR="00322C83">
        <w:rPr>
          <w:rFonts w:eastAsia="Calibri" w:cs="Calibri"/>
          <w:bCs/>
          <w:iCs/>
          <w:lang w:eastAsia="it-IT"/>
        </w:rPr>
        <w:t>.</w:t>
      </w:r>
    </w:p>
    <w:p w14:paraId="1C256CFA" w14:textId="77777777" w:rsidR="00322C83" w:rsidRPr="00EF6711" w:rsidRDefault="00322C83" w:rsidP="00B00B8F">
      <w:pPr>
        <w:autoSpaceDE w:val="0"/>
        <w:autoSpaceDN w:val="0"/>
        <w:adjustRightInd w:val="0"/>
        <w:spacing w:after="0" w:line="240" w:lineRule="auto"/>
        <w:jc w:val="both"/>
      </w:pPr>
    </w:p>
    <w:p w14:paraId="0611776A" w14:textId="77777777" w:rsidR="004E5A39" w:rsidRDefault="0012542B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Soldesam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>
        <w:rPr>
          <w:rFonts w:eastAsia="Calibri" w:cs="Calibri"/>
          <w:color w:val="000000"/>
          <w:lang w:eastAsia="it-IT"/>
        </w:rPr>
        <w:t xml:space="preserve">prescrizione </w:t>
      </w:r>
      <w:r w:rsidRPr="0012542B">
        <w:rPr>
          <w:rFonts w:eastAsia="Calibri" w:cs="Calibri"/>
          <w:color w:val="000000"/>
          <w:lang w:eastAsia="it-IT"/>
        </w:rPr>
        <w:t>da parte del medico (ricetta ripetibile</w:t>
      </w:r>
      <w:r>
        <w:rPr>
          <w:rFonts w:eastAsia="Calibri" w:cs="Calibri"/>
          <w:color w:val="000000"/>
          <w:lang w:eastAsia="it-IT"/>
        </w:rPr>
        <w:t>).</w:t>
      </w:r>
      <w:r w:rsidR="00F76F77" w:rsidRPr="00F76F77">
        <w:rPr>
          <w:rFonts w:eastAsia="Calibri" w:cs="Calibri"/>
          <w:color w:val="000000"/>
          <w:sz w:val="20"/>
          <w:highlight w:val="yellow"/>
          <w:lang w:eastAsia="it-IT"/>
        </w:rPr>
        <w:t xml:space="preserve"> </w:t>
      </w:r>
    </w:p>
    <w:p w14:paraId="671EE450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2729C3DB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</w:t>
      </w:r>
      <w:r w:rsidR="0012542B">
        <w:t xml:space="preserve">di estensione di linea </w:t>
      </w:r>
      <w:r w:rsidRPr="00EF6711">
        <w:t xml:space="preserve">è stata presentata ai sensi dell’art. </w:t>
      </w:r>
      <w:r w:rsidR="0012542B">
        <w:t>8(3)</w:t>
      </w:r>
      <w:r w:rsidRPr="00EF6711">
        <w:t xml:space="preserve"> della Direttiva 2001/83/EU s.m.i.</w:t>
      </w:r>
      <w:r w:rsidR="00F964BE">
        <w:t xml:space="preserve"> (</w:t>
      </w:r>
      <w:r w:rsidR="0012542B">
        <w:t>“full dossier”</w:t>
      </w:r>
      <w:r w:rsidR="00F964BE">
        <w:t>)</w:t>
      </w:r>
    </w:p>
    <w:p w14:paraId="084B6687" w14:textId="77777777" w:rsidR="0098470E" w:rsidRDefault="0098470E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FA904D6" w14:textId="77777777" w:rsidR="004E5A39" w:rsidRPr="00EF6711" w:rsidRDefault="0012542B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Soldesam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desametasone fosfato (come sodio fosfato)</w:t>
      </w:r>
      <w:r w:rsidR="00F76F77" w:rsidRPr="00AD4C1F">
        <w:rPr>
          <w:rFonts w:eastAsia="Calibri" w:cs="Calibri"/>
          <w:lang w:eastAsia="it-IT"/>
        </w:rPr>
        <w:t>.</w:t>
      </w:r>
    </w:p>
    <w:p w14:paraId="222B5DA3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  <w:bookmarkStart w:id="1" w:name="_GoBack"/>
      <w:bookmarkEnd w:id="1"/>
    </w:p>
    <w:p w14:paraId="74B3EC29" w14:textId="4ADCDBA7" w:rsidR="008736E7" w:rsidRPr="008736E7" w:rsidRDefault="0012542B" w:rsidP="008736E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Soldesam,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12542B">
        <w:t>H02AB02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desametasone fosfato (come sodio fosfato)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8736E7" w:rsidRPr="008736E7">
        <w:rPr>
          <w:rFonts w:eastAsia="Calibri" w:cs="Calibri"/>
          <w:bCs/>
          <w:lang w:eastAsia="it-IT"/>
        </w:rPr>
        <w:t>un corticosteroide dotato di una intensa attività antinfiammatoria pari a 25 volte quella dell'Idrocortisone. Come tutti i farmaci corticoste</w:t>
      </w:r>
      <w:r w:rsidR="0012621E">
        <w:rPr>
          <w:rFonts w:eastAsia="Calibri" w:cs="Calibri"/>
          <w:bCs/>
          <w:lang w:eastAsia="it-IT"/>
        </w:rPr>
        <w:t>roidi l'attività antiflogistica</w:t>
      </w:r>
      <w:r w:rsidR="008736E7" w:rsidRPr="008736E7">
        <w:rPr>
          <w:rFonts w:eastAsia="Calibri" w:cs="Calibri"/>
          <w:bCs/>
          <w:lang w:eastAsia="it-IT"/>
        </w:rPr>
        <w:t xml:space="preserve"> si esplica principalmente per inibizione della liberazione dell'acido arachidonico precursore dei più importanti mediatori della flogosi, le prostaglandine ed </w:t>
      </w:r>
      <w:proofErr w:type="gramStart"/>
      <w:r w:rsidR="008736E7" w:rsidRPr="008736E7">
        <w:rPr>
          <w:rFonts w:eastAsia="Calibri" w:cs="Calibri"/>
          <w:bCs/>
          <w:lang w:eastAsia="it-IT"/>
        </w:rPr>
        <w:t>i leucotrieni</w:t>
      </w:r>
      <w:proofErr w:type="gramEnd"/>
      <w:r w:rsidR="008736E7" w:rsidRPr="008736E7">
        <w:rPr>
          <w:rFonts w:eastAsia="Calibri" w:cs="Calibri"/>
          <w:bCs/>
          <w:lang w:eastAsia="it-IT"/>
        </w:rPr>
        <w:t xml:space="preserve">. Lo steroide agisce inducendo la sintesi di una proteina, la </w:t>
      </w:r>
      <w:proofErr w:type="spellStart"/>
      <w:r w:rsidR="008736E7" w:rsidRPr="008736E7">
        <w:rPr>
          <w:rFonts w:eastAsia="Calibri" w:cs="Calibri"/>
          <w:bCs/>
          <w:lang w:eastAsia="it-IT"/>
        </w:rPr>
        <w:t>lipomodulina</w:t>
      </w:r>
      <w:proofErr w:type="spellEnd"/>
      <w:r w:rsidR="008736E7" w:rsidRPr="008736E7">
        <w:rPr>
          <w:rFonts w:eastAsia="Calibri" w:cs="Calibri"/>
          <w:bCs/>
          <w:lang w:eastAsia="it-IT"/>
        </w:rPr>
        <w:t xml:space="preserve"> che inibisce a sua volta l'azione dell'enzima deputato alla liberazione dell'acido arachidonico, la fosfolipasi A2.</w:t>
      </w:r>
    </w:p>
    <w:p w14:paraId="3577D8B5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51C15C50" w14:textId="77777777" w:rsidR="008736E7" w:rsidRPr="008736E7" w:rsidRDefault="008736E7" w:rsidP="008736E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Soldesam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>
        <w:t xml:space="preserve"> </w:t>
      </w:r>
      <w:proofErr w:type="spellStart"/>
      <w:r>
        <w:t>c</w:t>
      </w:r>
      <w:r w:rsidRPr="008736E7">
        <w:t>orticoterapia</w:t>
      </w:r>
      <w:proofErr w:type="spellEnd"/>
      <w:r w:rsidRPr="008736E7">
        <w:t xml:space="preserve"> antinfiammatoria, artrosi degenerativa e post-traumatica, artrite infiammatoria, poliartrite cronica evolutiva, spondiloartrite anchilosante, accessi asmatici; edema cerebrale, neoplasie cerebrali (come coadiuvante), stati di emergenza e shock vari: edema della glottide, reazioni post-trasfusionali, anafilassi; traumatismi emorragici, chirurgici, settici, cardiogeni, da ustioni.</w:t>
      </w:r>
    </w:p>
    <w:p w14:paraId="01FF4AA0" w14:textId="77777777" w:rsidR="008736E7" w:rsidRPr="008736E7" w:rsidRDefault="008736E7" w:rsidP="008736E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9DE7C45" w14:textId="77777777" w:rsidR="008736E7" w:rsidRPr="008736E7" w:rsidRDefault="008736E7" w:rsidP="008736E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8736E7">
        <w:t>SOLDESAM è indicato nel trattamento della malattia da coronavirus 2019 (COVID-19) in pazienti adulti e adolescenti (di età pari o superiore a 12 anni con peso corporeo di almeno 40 kg) che necessitano di ossigenoterapia supplementare.</w:t>
      </w:r>
    </w:p>
    <w:p w14:paraId="275239FD" w14:textId="77777777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139F0F8" w14:textId="77777777" w:rsidR="00B00B8F" w:rsidRPr="00966E97" w:rsidRDefault="00B00B8F" w:rsidP="00B00B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Soldesam 4 mg/ml soluzione iniettabile</w:t>
      </w:r>
      <w:r>
        <w:rPr>
          <w:rFonts w:cs="Arial"/>
        </w:rPr>
        <w:t xml:space="preserve"> è stato autorizzato come estensione di linea di </w:t>
      </w:r>
      <w:r w:rsidRPr="00731662">
        <w:rPr>
          <w:rFonts w:cs="Arial"/>
        </w:rPr>
        <w:t>S</w:t>
      </w:r>
      <w:r>
        <w:rPr>
          <w:rFonts w:cs="Arial"/>
        </w:rPr>
        <w:t>oldesam</w:t>
      </w:r>
      <w:r w:rsidRPr="00731662">
        <w:rPr>
          <w:rFonts w:cs="Arial"/>
        </w:rPr>
        <w:t xml:space="preserve"> 4 mg/1 ml </w:t>
      </w:r>
      <w:r>
        <w:rPr>
          <w:rFonts w:cs="Arial"/>
        </w:rPr>
        <w:t>e</w:t>
      </w:r>
      <w:r w:rsidRPr="00731662">
        <w:rPr>
          <w:rFonts w:cs="Arial"/>
        </w:rPr>
        <w:t xml:space="preserve"> 8 mg/2 ml soluzione iniettabile </w:t>
      </w:r>
      <w:r>
        <w:rPr>
          <w:rFonts w:cs="Arial"/>
        </w:rPr>
        <w:t>già autorizzati e in commercio, per l’aggiunta di una nuova via di somministrazione e di una nuova indicazione terapeutica. Sono stati forniti dati di letteratura che</w:t>
      </w:r>
      <w:r w:rsidRPr="00E233B1">
        <w:rPr>
          <w:iCs/>
        </w:rPr>
        <w:t xml:space="preserve"> hanno dimostrato </w:t>
      </w:r>
      <w:r>
        <w:rPr>
          <w:iCs/>
        </w:rPr>
        <w:t xml:space="preserve">che la modifica della formulazione del prodotto non modifica </w:t>
      </w:r>
      <w:r>
        <w:t xml:space="preserve">l’efficacia e la sicurezza di Soldesam </w:t>
      </w:r>
      <w:r>
        <w:rPr>
          <w:rFonts w:eastAsia="Calibri" w:cs="Calibri"/>
          <w:color w:val="000000"/>
          <w:lang w:eastAsia="it-IT"/>
        </w:rPr>
        <w:t xml:space="preserve">4mg/1 ml </w:t>
      </w:r>
      <w:r>
        <w:rPr>
          <w:rFonts w:cs="Arial"/>
        </w:rPr>
        <w:t>e</w:t>
      </w:r>
      <w:r w:rsidRPr="00731662">
        <w:rPr>
          <w:rFonts w:cs="Arial"/>
        </w:rPr>
        <w:t xml:space="preserve"> 8 mg/2 ml soluzione iniettabile</w:t>
      </w:r>
      <w:r>
        <w:t>, quando assunto per infiammazioni, artrosi degenerativa, artrosi post-traumatica, artrite infiammatoria, poliartrite cronica evolutiva, spondiloartrite anchilosante, accessi asmatici, edema cerebrale, tumori al cervello (come trattamento aggiuntivo alla terapia principale), stati di emergenza e di shock, edema della glottide, reazioni post-trasfusionali, gravi reazioni allergiche (anafilassi), traumi di diversa natura (emorragici, chirurgici, settici, cardiogeni, da ustioni)</w:t>
      </w:r>
      <w:r w:rsidRPr="00811B01">
        <w:t xml:space="preserve">. </w:t>
      </w:r>
      <w:r>
        <w:t xml:space="preserve">Sono stati, inoltre forniti riferimenti di letteratura che hanno dimostrato che il desametasone è efficace nel trattamento </w:t>
      </w:r>
      <w:r w:rsidRPr="00966E97">
        <w:rPr>
          <w:rFonts w:eastAsia="Calibri" w:cs="Calibri"/>
          <w:bCs/>
          <w:color w:val="000000"/>
          <w:szCs w:val="24"/>
          <w:lang w:eastAsia="it-IT"/>
        </w:rPr>
        <w:t>della malattia da coronavirus 2019 (COVID-19) in pazienti adulti e adolescenti (di età pari o superiore a 12 anni con peso corporeo di almeno 40 kg), con difficoltà respiratorie e che necessitano di terapia con ossigeno.</w:t>
      </w:r>
    </w:p>
    <w:p w14:paraId="06DE34D6" w14:textId="77777777" w:rsidR="00B00B8F" w:rsidRPr="00126BC8" w:rsidRDefault="00B00B8F" w:rsidP="00B00B8F">
      <w:pPr>
        <w:spacing w:after="0" w:line="240" w:lineRule="auto"/>
        <w:jc w:val="both"/>
        <w:rPr>
          <w:highlight w:val="yellow"/>
        </w:rPr>
      </w:pPr>
      <w:r w:rsidRPr="00823E9B">
        <w:t>Nello studio clinico RECOVERY (</w:t>
      </w:r>
      <w:proofErr w:type="spellStart"/>
      <w:r w:rsidRPr="00823E9B">
        <w:t>Randomised</w:t>
      </w:r>
      <w:proofErr w:type="spellEnd"/>
      <w:r w:rsidRPr="00823E9B">
        <w:t xml:space="preserve"> Evaluation of COVid-19 </w:t>
      </w:r>
      <w:proofErr w:type="spellStart"/>
      <w:r w:rsidRPr="00823E9B">
        <w:t>thERapY</w:t>
      </w:r>
      <w:proofErr w:type="spellEnd"/>
      <w:r w:rsidRPr="00823E9B">
        <w:t xml:space="preserve">,), infatti, </w:t>
      </w:r>
      <w:proofErr w:type="spellStart"/>
      <w:r w:rsidRPr="00823E9B">
        <w:t>desametasone</w:t>
      </w:r>
      <w:proofErr w:type="spellEnd"/>
      <w:r w:rsidRPr="00823E9B">
        <w:t xml:space="preserve"> è stato più efficace delle cure abituali nel ridurre la mortalità a 28 giorni in pazienti con infezione da Covid-19 che ricevevano ossigenoterapia.</w:t>
      </w:r>
    </w:p>
    <w:p w14:paraId="44B923D1" w14:textId="77777777" w:rsidR="00F964BE" w:rsidRDefault="00F964BE" w:rsidP="00EF6711">
      <w:pPr>
        <w:spacing w:after="0" w:line="240" w:lineRule="auto"/>
        <w:jc w:val="both"/>
      </w:pPr>
    </w:p>
    <w:p w14:paraId="0D9FE2C5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</w:t>
      </w:r>
    </w:p>
    <w:p w14:paraId="49CB4AE0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17044CC4" w14:textId="77777777" w:rsidR="00B862CA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  <w:r w:rsidR="00F964BE">
        <w:t xml:space="preserve"> </w:t>
      </w:r>
    </w:p>
    <w:p w14:paraId="1B01C96E" w14:textId="77777777" w:rsidR="008736E7" w:rsidRDefault="008736E7" w:rsidP="00EF6711">
      <w:pPr>
        <w:spacing w:after="0" w:line="240" w:lineRule="auto"/>
        <w:jc w:val="both"/>
      </w:pPr>
    </w:p>
    <w:p w14:paraId="2E994CB7" w14:textId="77777777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8736E7">
        <w:rPr>
          <w:rFonts w:eastAsia="Calibri" w:cs="Calibri"/>
          <w:color w:val="000000"/>
          <w:lang w:eastAsia="it-IT"/>
        </w:rPr>
        <w:t>Soldesam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A20D475" w14:textId="77777777" w:rsidR="00A046AC" w:rsidRDefault="00A046AC" w:rsidP="00EF6711">
      <w:pPr>
        <w:spacing w:after="0" w:line="240" w:lineRule="auto"/>
        <w:jc w:val="both"/>
      </w:pPr>
    </w:p>
    <w:p w14:paraId="68836D62" w14:textId="77777777" w:rsidR="00747E46" w:rsidRDefault="00747E46" w:rsidP="00EF6711">
      <w:pPr>
        <w:spacing w:after="0" w:line="240" w:lineRule="auto"/>
        <w:jc w:val="both"/>
      </w:pPr>
    </w:p>
    <w:p w14:paraId="1508437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7911C1B0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8736E7">
        <w:rPr>
          <w:b/>
        </w:rPr>
        <w:t>Desametasone fosfato (come sodio fosfato)</w:t>
      </w:r>
    </w:p>
    <w:p w14:paraId="39406E61" w14:textId="77777777"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B2017C">
        <w:rPr>
          <w:u w:val="single"/>
        </w:rPr>
        <w:t xml:space="preserve">: </w:t>
      </w:r>
      <w:r w:rsidR="00B2017C" w:rsidRPr="00B2017C">
        <w:rPr>
          <w:rFonts w:cs="Calibri"/>
          <w:i/>
          <w:iCs/>
        </w:rPr>
        <w:t xml:space="preserve">9-fluoro-11β,17 dihydroxy-16α-methyl-3,20-dioxopregna-1,4-dien-21yl </w:t>
      </w:r>
      <w:proofErr w:type="spellStart"/>
      <w:r w:rsidR="00B2017C" w:rsidRPr="00B2017C">
        <w:rPr>
          <w:rFonts w:cs="Calibri"/>
          <w:i/>
          <w:iCs/>
        </w:rPr>
        <w:t>disodium</w:t>
      </w:r>
      <w:proofErr w:type="spellEnd"/>
      <w:r w:rsidR="00B2017C" w:rsidRPr="00B2017C">
        <w:rPr>
          <w:rFonts w:cs="Calibri"/>
          <w:i/>
          <w:iCs/>
        </w:rPr>
        <w:t xml:space="preserve"> </w:t>
      </w:r>
      <w:proofErr w:type="spellStart"/>
      <w:r w:rsidR="00B2017C" w:rsidRPr="00B2017C">
        <w:rPr>
          <w:rFonts w:cs="Calibri"/>
          <w:i/>
          <w:iCs/>
        </w:rPr>
        <w:t>phosphate</w:t>
      </w:r>
      <w:proofErr w:type="spellEnd"/>
    </w:p>
    <w:p w14:paraId="77D75960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1B8CA56C" w14:textId="77777777" w:rsidR="004E5A39" w:rsidRPr="00EF6711" w:rsidRDefault="00B2017C" w:rsidP="00EF6711">
      <w:pPr>
        <w:spacing w:after="0" w:line="240" w:lineRule="auto"/>
        <w:jc w:val="center"/>
        <w:rPr>
          <w:highlight w:val="yellow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601D12D8" wp14:editId="5668D989">
            <wp:simplePos x="0" y="0"/>
            <wp:positionH relativeFrom="page">
              <wp:posOffset>2606040</wp:posOffset>
            </wp:positionH>
            <wp:positionV relativeFrom="paragraph">
              <wp:posOffset>0</wp:posOffset>
            </wp:positionV>
            <wp:extent cx="2343785" cy="1153160"/>
            <wp:effectExtent l="19050" t="0" r="0" b="0"/>
            <wp:wrapTopAndBottom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B2E949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B2017C" w:rsidRPr="00B2017C">
        <w:rPr>
          <w:rFonts w:cs="Calibri"/>
        </w:rPr>
        <w:t>C</w:t>
      </w:r>
      <w:r w:rsidR="00B2017C" w:rsidRPr="00B2017C">
        <w:rPr>
          <w:rFonts w:cs="Calibri"/>
          <w:vertAlign w:val="subscript"/>
        </w:rPr>
        <w:t>22</w:t>
      </w:r>
      <w:r w:rsidR="00B2017C" w:rsidRPr="00B2017C">
        <w:rPr>
          <w:rFonts w:cs="Calibri"/>
        </w:rPr>
        <w:t>H</w:t>
      </w:r>
      <w:r w:rsidR="00B2017C" w:rsidRPr="00B2017C">
        <w:rPr>
          <w:rFonts w:cs="Calibri"/>
          <w:vertAlign w:val="subscript"/>
        </w:rPr>
        <w:t>28</w:t>
      </w:r>
      <w:r w:rsidR="00B2017C" w:rsidRPr="00B2017C">
        <w:rPr>
          <w:rFonts w:cs="Calibri"/>
        </w:rPr>
        <w:t>FNa</w:t>
      </w:r>
      <w:r w:rsidR="00B2017C" w:rsidRPr="00B2017C">
        <w:rPr>
          <w:rFonts w:cs="Calibri"/>
          <w:vertAlign w:val="subscript"/>
        </w:rPr>
        <w:t>2</w:t>
      </w:r>
      <w:r w:rsidR="00B2017C" w:rsidRPr="00B2017C">
        <w:rPr>
          <w:rFonts w:cs="Calibri"/>
        </w:rPr>
        <w:t>O</w:t>
      </w:r>
      <w:r w:rsidR="00B2017C" w:rsidRPr="00B2017C">
        <w:rPr>
          <w:rFonts w:cs="Calibri"/>
          <w:vertAlign w:val="subscript"/>
        </w:rPr>
        <w:t>8</w:t>
      </w:r>
      <w:r w:rsidR="00B2017C" w:rsidRPr="00B2017C">
        <w:rPr>
          <w:rFonts w:cs="Calibri"/>
        </w:rPr>
        <w:t>P</w:t>
      </w:r>
    </w:p>
    <w:p w14:paraId="53AC998B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2017C" w:rsidRPr="00B2017C">
        <w:rPr>
          <w:rFonts w:cs="Calibri"/>
        </w:rPr>
        <w:t>516.4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1F8B456F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B2017C" w:rsidRPr="00B2017C">
        <w:t>[2392-39-4]</w:t>
      </w:r>
    </w:p>
    <w:p w14:paraId="3CF3884B" w14:textId="77777777" w:rsidR="00B2017C" w:rsidRDefault="004E5A39" w:rsidP="00EF6711">
      <w:pPr>
        <w:spacing w:after="0" w:line="240" w:lineRule="auto"/>
        <w:jc w:val="both"/>
        <w:rPr>
          <w:b/>
          <w:i/>
          <w:sz w:val="20"/>
        </w:rPr>
      </w:pPr>
      <w:r w:rsidRPr="00EF6711">
        <w:rPr>
          <w:u w:val="single"/>
        </w:rPr>
        <w:t>Aspetto</w:t>
      </w:r>
      <w:r w:rsidRPr="00EF6711">
        <w:t xml:space="preserve">: </w:t>
      </w:r>
      <w:r w:rsidR="00B2017C" w:rsidRPr="00B2017C">
        <w:t>polvere igroscopica bianca o quasi bianca.</w:t>
      </w:r>
      <w:r w:rsidR="00CC52A3">
        <w:t xml:space="preserve"> </w:t>
      </w:r>
    </w:p>
    <w:p w14:paraId="65C07E55" w14:textId="77777777" w:rsidR="00B2017C" w:rsidRPr="00B2017C" w:rsidRDefault="004E5A39" w:rsidP="00B2017C">
      <w:pPr>
        <w:spacing w:after="0" w:line="240" w:lineRule="auto"/>
        <w:jc w:val="both"/>
      </w:pPr>
      <w:r w:rsidRPr="00EF6711">
        <w:rPr>
          <w:u w:val="single"/>
        </w:rPr>
        <w:t>Solubilità</w:t>
      </w:r>
      <w:r w:rsidRPr="00EF6711">
        <w:t xml:space="preserve">: </w:t>
      </w:r>
      <w:r w:rsidR="00B2017C" w:rsidRPr="00B2017C">
        <w:t>facilmente solubile in acqua, leggermente solubile in etanolo e praticamente insolubile in cloruro di metilene.</w:t>
      </w:r>
    </w:p>
    <w:p w14:paraId="24BB81F6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4875703E" w14:textId="77777777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r w:rsidR="00747E46">
        <w:rPr>
          <w:i/>
        </w:rPr>
        <w:t xml:space="preserve">the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</w:t>
      </w:r>
      <w:r w:rsidR="00747E46">
        <w:rPr>
          <w:i/>
        </w:rPr>
        <w:t>ines</w:t>
      </w:r>
      <w:proofErr w:type="spellEnd"/>
      <w:r w:rsidRPr="00A72D8A">
        <w:t xml:space="preserve"> – EDQM) ha rilasciato </w:t>
      </w:r>
      <w:r w:rsidR="00B2017C">
        <w:t>ai produttori</w:t>
      </w:r>
      <w:r>
        <w:t xml:space="preserve"> </w:t>
      </w:r>
      <w:r w:rsidRPr="00A72D8A">
        <w:t>il certificato di conformità alla Farmacopea Europea</w:t>
      </w:r>
      <w:r>
        <w:t>.</w:t>
      </w:r>
    </w:p>
    <w:p w14:paraId="5C5FC500" w14:textId="77777777" w:rsidR="00DC0217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</w:p>
    <w:p w14:paraId="61157FF8" w14:textId="77777777" w:rsidR="000B7AC8" w:rsidRDefault="00DC0217" w:rsidP="000B7AC8">
      <w:pPr>
        <w:spacing w:after="0" w:line="240" w:lineRule="auto"/>
        <w:jc w:val="both"/>
      </w:pPr>
      <w:r>
        <w:t>A seconda del produttore i</w:t>
      </w:r>
      <w:r w:rsidR="000B7AC8" w:rsidRPr="00F93450">
        <w:t xml:space="preserve">l periodo di </w:t>
      </w:r>
      <w:proofErr w:type="spellStart"/>
      <w:r w:rsidR="000B7AC8" w:rsidRPr="00F93450">
        <w:t>retest</w:t>
      </w:r>
      <w:proofErr w:type="spellEnd"/>
      <w:r w:rsidR="000B7AC8" w:rsidRPr="00F93450">
        <w:t xml:space="preserve"> è definito in </w:t>
      </w:r>
      <w:r>
        <w:t>60</w:t>
      </w:r>
      <w:r w:rsidR="000B7AC8" w:rsidRPr="00F93450">
        <w:t xml:space="preserve"> </w:t>
      </w:r>
      <w:r w:rsidR="000B7AC8">
        <w:t>m</w:t>
      </w:r>
      <w:r w:rsidR="000B7AC8" w:rsidRPr="00F93450">
        <w:t>esi</w:t>
      </w:r>
      <w:r w:rsidR="000B7AC8">
        <w:t xml:space="preserve">, quando </w:t>
      </w:r>
      <w:r>
        <w:t>il desametasone fosfato è confezionato</w:t>
      </w:r>
      <w:r w:rsidR="000B7AC8">
        <w:t xml:space="preserve"> </w:t>
      </w:r>
      <w:r>
        <w:t>a 2°C-8°C in una busta di</w:t>
      </w:r>
      <w:r w:rsidRPr="00DC0217">
        <w:t xml:space="preserve"> polietilene posta in una busta a tripla lamina (po</w:t>
      </w:r>
      <w:r>
        <w:t xml:space="preserve">lietilene/alluminio/poliestere) a sua volta posta </w:t>
      </w:r>
      <w:r w:rsidRPr="00DC0217">
        <w:t>in un contenitore di cartone</w:t>
      </w:r>
      <w:r>
        <w:t xml:space="preserve"> oppure il </w:t>
      </w:r>
      <w:proofErr w:type="spellStart"/>
      <w:r>
        <w:t>retest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è definito in 24 mesi, </w:t>
      </w:r>
      <w:r w:rsidRPr="00DC0217">
        <w:t>quando il desametasone fosfato è confezionato in una busta di polietilene posta in un contenitore in alluminio.</w:t>
      </w:r>
    </w:p>
    <w:p w14:paraId="10DB2750" w14:textId="77777777" w:rsidR="00CC52A3" w:rsidRPr="00EF6711" w:rsidRDefault="00CC52A3" w:rsidP="00EF6711">
      <w:pPr>
        <w:spacing w:after="0" w:line="240" w:lineRule="auto"/>
        <w:jc w:val="both"/>
      </w:pPr>
    </w:p>
    <w:p w14:paraId="427FCFD9" w14:textId="77777777" w:rsidR="000B7AC8" w:rsidRPr="009D201B" w:rsidRDefault="00DC0217" w:rsidP="000B7AC8">
      <w:pPr>
        <w:spacing w:after="0" w:line="240" w:lineRule="auto"/>
        <w:jc w:val="both"/>
      </w:pPr>
      <w:r>
        <w:t>Per un ulteriore produttore s</w:t>
      </w:r>
      <w:r w:rsidR="000B7AC8" w:rsidRPr="009D201B">
        <w:t>ono stati forniti adeguati studi di stabilità per il principio attivo conservato nel confezionamento proposto per il commercio</w:t>
      </w:r>
      <w:r w:rsidR="000B7AC8">
        <w:t xml:space="preserve"> (</w:t>
      </w:r>
      <w:r>
        <w:t>d</w:t>
      </w:r>
      <w:r w:rsidRPr="00DC0217">
        <w:t xml:space="preserve">oppia busta in polietilene posta in contenitore in polietilene ad alta densità </w:t>
      </w:r>
      <w:r>
        <w:t>con essiccante gel di silice incluso</w:t>
      </w:r>
      <w:r w:rsidR="000B7AC8">
        <w:t>)</w:t>
      </w:r>
      <w:r w:rsidR="000B7AC8" w:rsidRPr="009D201B">
        <w:t xml:space="preserve">. Sulla base di questi dati, è stato approvato un periodo di </w:t>
      </w:r>
      <w:proofErr w:type="spellStart"/>
      <w:r w:rsidR="000B7AC8" w:rsidRPr="009D201B">
        <w:t>retest</w:t>
      </w:r>
      <w:proofErr w:type="spellEnd"/>
      <w:r w:rsidR="000B7AC8" w:rsidRPr="009D201B">
        <w:t xml:space="preserve"> di </w:t>
      </w:r>
      <w:r>
        <w:t>24</w:t>
      </w:r>
      <w:r w:rsidR="000B7AC8" w:rsidRPr="009D201B">
        <w:t xml:space="preserve"> mesi</w:t>
      </w:r>
      <w:r>
        <w:t xml:space="preserve"> conservando il desametasone fosfato a </w:t>
      </w:r>
      <w:r w:rsidRPr="00DC0217">
        <w:t>2°C-8°C</w:t>
      </w:r>
      <w:r>
        <w:t>.</w:t>
      </w:r>
    </w:p>
    <w:p w14:paraId="3C55A2FB" w14:textId="77777777" w:rsidR="00B30431" w:rsidRDefault="00B30431" w:rsidP="00EF6711">
      <w:pPr>
        <w:spacing w:after="0" w:line="240" w:lineRule="auto"/>
        <w:jc w:val="both"/>
      </w:pPr>
    </w:p>
    <w:p w14:paraId="3C5A4748" w14:textId="77777777" w:rsidR="000B7AC8" w:rsidRPr="00EF6711" w:rsidRDefault="000B7AC8" w:rsidP="00EF6711">
      <w:pPr>
        <w:spacing w:after="0" w:line="240" w:lineRule="auto"/>
        <w:jc w:val="both"/>
      </w:pPr>
    </w:p>
    <w:p w14:paraId="6E6D75A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7847D2C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766EC66E" w14:textId="77777777" w:rsidR="004E5A39" w:rsidRPr="00DC0217" w:rsidRDefault="00DC0217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Soldesam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Pr="00DC0217">
        <w:rPr>
          <w:rFonts w:eastAsia="Calibri" w:cs="Calibri"/>
          <w:color w:val="000000"/>
          <w:lang w:eastAsia="it-IT"/>
        </w:rPr>
        <w:t>come</w:t>
      </w:r>
      <w:r>
        <w:rPr>
          <w:rFonts w:eastAsia="Calibri" w:cs="Calibri"/>
          <w:color w:val="000000"/>
          <w:lang w:eastAsia="it-IT"/>
        </w:rPr>
        <w:t xml:space="preserve"> </w:t>
      </w:r>
      <w:r w:rsidRPr="00DC0217">
        <w:rPr>
          <w:rFonts w:eastAsia="Calibri" w:cs="Calibri"/>
          <w:color w:val="000000"/>
          <w:lang w:eastAsia="it-IT"/>
        </w:rPr>
        <w:t>soluzione iniettabile, contenente il principio attivo alla concentrazione di 4 mg/ml.</w:t>
      </w:r>
    </w:p>
    <w:p w14:paraId="12BF6093" w14:textId="5CB36901" w:rsidR="00B30431" w:rsidRPr="0001447E" w:rsidRDefault="004E5A39" w:rsidP="00EF6711">
      <w:pPr>
        <w:spacing w:after="0" w:line="240" w:lineRule="auto"/>
        <w:jc w:val="both"/>
      </w:pPr>
      <w:r w:rsidRPr="00EF6711">
        <w:t xml:space="preserve">Gli eccipienti sono </w:t>
      </w:r>
      <w:r w:rsidR="0001447E">
        <w:t>s</w:t>
      </w:r>
      <w:r w:rsidR="0001447E" w:rsidRPr="0001447E">
        <w:t xml:space="preserve">odio citrato, acido citrico, </w:t>
      </w:r>
      <w:proofErr w:type="spellStart"/>
      <w:r w:rsidR="0001447E" w:rsidRPr="0001447E">
        <w:rPr>
          <w:b/>
        </w:rPr>
        <w:t>idrossipropil</w:t>
      </w:r>
      <w:proofErr w:type="spellEnd"/>
      <w:r w:rsidR="0001447E" w:rsidRPr="0001447E">
        <w:rPr>
          <w:b/>
        </w:rPr>
        <w:t xml:space="preserve"> </w:t>
      </w:r>
      <w:proofErr w:type="spellStart"/>
      <w:r w:rsidR="0001447E" w:rsidRPr="0001447E">
        <w:rPr>
          <w:b/>
        </w:rPr>
        <w:t>betaciclodestrina</w:t>
      </w:r>
      <w:proofErr w:type="spellEnd"/>
      <w:r w:rsidR="0001447E" w:rsidRPr="0001447E">
        <w:t>, acqua per preparazioni iniettabili.</w:t>
      </w:r>
    </w:p>
    <w:p w14:paraId="52E8AF8F" w14:textId="50E3B89F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7F976E5A" w14:textId="77777777" w:rsidR="000808A3" w:rsidRDefault="000808A3" w:rsidP="00EF6711">
      <w:pPr>
        <w:spacing w:after="0" w:line="240" w:lineRule="auto"/>
        <w:ind w:right="13"/>
        <w:jc w:val="both"/>
      </w:pPr>
    </w:p>
    <w:p w14:paraId="37A802CB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43800967" w14:textId="77777777" w:rsidR="004E5A39" w:rsidRPr="00EF6711" w:rsidRDefault="004E5A39" w:rsidP="00EF6711">
      <w:pPr>
        <w:spacing w:after="0" w:line="240" w:lineRule="auto"/>
        <w:jc w:val="both"/>
      </w:pPr>
    </w:p>
    <w:p w14:paraId="21F57E3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61F8275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6DB7877F" w14:textId="77777777" w:rsidR="004E5A39" w:rsidRPr="00EF6711" w:rsidRDefault="004E5A39" w:rsidP="00EF6711">
      <w:pPr>
        <w:spacing w:after="0" w:line="240" w:lineRule="auto"/>
        <w:jc w:val="both"/>
      </w:pPr>
    </w:p>
    <w:p w14:paraId="34D5F79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0F893235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1D57CB83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C27132B" w14:textId="77777777" w:rsidR="004E5A39" w:rsidRPr="00EF6711" w:rsidRDefault="004E5A39" w:rsidP="00EF6711">
      <w:pPr>
        <w:spacing w:after="0" w:line="240" w:lineRule="auto"/>
        <w:jc w:val="both"/>
      </w:pPr>
    </w:p>
    <w:p w14:paraId="1217236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1CB5E489" w14:textId="4DCA7374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090D258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58646F2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500D42C0" w14:textId="4C8E337C" w:rsidR="000E71CB" w:rsidRPr="000E71CB" w:rsidRDefault="00ED76F4" w:rsidP="000E71CB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Soldesam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E71CB">
        <w:t>fi</w:t>
      </w:r>
      <w:r w:rsidR="000E71CB" w:rsidRPr="000E71CB">
        <w:t>ala in vetro di tipo I contenente 1 ml o 2 ml di soluzione.</w:t>
      </w:r>
    </w:p>
    <w:p w14:paraId="2008E1DE" w14:textId="471AB607" w:rsidR="00BA0ACD" w:rsidRPr="00EF6711" w:rsidRDefault="000E71CB" w:rsidP="00EF6711">
      <w:pPr>
        <w:spacing w:after="0" w:line="240" w:lineRule="auto"/>
        <w:jc w:val="both"/>
      </w:pPr>
      <w:r w:rsidRPr="000E71CB">
        <w:t>Ciascuna fiale è posta in uno scatolo in polistirene e confezionata in uno scatolo di cartone contenente 3 fiale.</w:t>
      </w:r>
    </w:p>
    <w:p w14:paraId="0FCDCC0E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6519F6B9" w14:textId="77777777" w:rsidR="00BA0ACD" w:rsidRPr="00EF6711" w:rsidRDefault="00BA0ACD" w:rsidP="00EF6711">
      <w:pPr>
        <w:spacing w:after="0" w:line="240" w:lineRule="auto"/>
        <w:jc w:val="both"/>
      </w:pPr>
    </w:p>
    <w:p w14:paraId="301AF58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154AA346" w14:textId="246C8351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E71CB">
        <w:t>3</w:t>
      </w:r>
      <w:r w:rsidR="00265B61">
        <w:t xml:space="preserve"> anni</w:t>
      </w:r>
      <w:r w:rsidRPr="00EF6711">
        <w:t xml:space="preserve"> </w:t>
      </w:r>
      <w:r w:rsidR="000808A3">
        <w:t xml:space="preserve">con conservazione a temperatura non superiore a </w:t>
      </w:r>
      <w:r w:rsidR="000E71CB">
        <w:t>30°C</w:t>
      </w:r>
      <w:r w:rsidR="000808A3">
        <w:t xml:space="preserve">, al riparo </w:t>
      </w:r>
      <w:r w:rsidR="000E71CB">
        <w:t>dalla luce.</w:t>
      </w:r>
    </w:p>
    <w:p w14:paraId="6B667CBC" w14:textId="77777777" w:rsidR="004E5A39" w:rsidRPr="00EF6711" w:rsidRDefault="004E5A39" w:rsidP="00EF6711">
      <w:pPr>
        <w:spacing w:after="0" w:line="240" w:lineRule="auto"/>
        <w:jc w:val="both"/>
      </w:pPr>
    </w:p>
    <w:p w14:paraId="55CC1D0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128167A3" w14:textId="4F258CA1" w:rsidR="004E5A39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0E71CB">
        <w:rPr>
          <w:rFonts w:eastAsia="Calibri" w:cs="Calibri"/>
          <w:color w:val="000000"/>
          <w:lang w:eastAsia="it-IT"/>
        </w:rPr>
        <w:t>Soldesam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  <w:r w:rsidR="000E71CB">
        <w:t>Pertanto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</w:t>
      </w:r>
      <w:r w:rsidR="00610BAB">
        <w:t xml:space="preserve"> </w:t>
      </w:r>
      <w:r w:rsidR="000E71CB">
        <w:rPr>
          <w:rFonts w:eastAsia="Calibri" w:cs="Calibri"/>
          <w:color w:val="000000"/>
          <w:lang w:eastAsia="it-IT"/>
        </w:rPr>
        <w:t>Soldesam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 w:rsidRPr="00EF6711">
        <w:t>.</w:t>
      </w:r>
      <w:r w:rsidR="00323648">
        <w:t xml:space="preserve"> </w:t>
      </w:r>
    </w:p>
    <w:p w14:paraId="66675BAF" w14:textId="77777777" w:rsidR="004E5A39" w:rsidRPr="00EF6711" w:rsidRDefault="004E5A39" w:rsidP="00EF6711">
      <w:pPr>
        <w:spacing w:after="0" w:line="240" w:lineRule="auto"/>
        <w:jc w:val="both"/>
      </w:pPr>
    </w:p>
    <w:p w14:paraId="26352EC7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72052A69" w14:textId="2C135B82" w:rsidR="004E5A39" w:rsidRDefault="000808A3" w:rsidP="00853EC6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0E71CB">
        <w:rPr>
          <w:rFonts w:eastAsia="Calibri" w:cs="Calibri"/>
          <w:color w:val="000000"/>
          <w:lang w:eastAsia="it-IT"/>
        </w:rPr>
        <w:t>Soldesam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>
        <w:t xml:space="preserve">sono ben conosciute; pertanto, non sono richiesti </w:t>
      </w:r>
      <w:r w:rsidR="009F395B">
        <w:t xml:space="preserve">nuovi </w:t>
      </w:r>
      <w:r>
        <w:t>studi non clinici. Il richiedente l’AIC ha presentato una approfondita rassegna di dati bibliografici farmacologici, farmacocinetici e tossicologici</w:t>
      </w:r>
      <w:r w:rsidR="00610BAB">
        <w:t xml:space="preserve"> relative al principio attivo contenuto in</w:t>
      </w:r>
      <w:r>
        <w:t xml:space="preserve"> </w:t>
      </w:r>
      <w:r w:rsidR="000E71CB">
        <w:rPr>
          <w:rFonts w:eastAsia="Calibri" w:cs="Calibri"/>
          <w:color w:val="000000"/>
          <w:lang w:eastAsia="it-IT"/>
        </w:rPr>
        <w:t>Soldesam</w:t>
      </w:r>
      <w:r w:rsidR="00610BAB">
        <w:t xml:space="preserve">, </w:t>
      </w:r>
      <w:r w:rsidR="004E70F5">
        <w:t>accompagnata da una adeguata relazion</w:t>
      </w:r>
      <w:r w:rsidR="00610BAB">
        <w:t>e</w:t>
      </w:r>
      <w:r w:rsidR="004E70F5">
        <w:t xml:space="preserve"> critica</w:t>
      </w:r>
      <w:r w:rsidR="00610BAB">
        <w:t>,</w:t>
      </w:r>
      <w:r w:rsidR="004E70F5">
        <w:t xml:space="preserve"> redatta da un esperto qualificato</w:t>
      </w:r>
      <w:r w:rsidR="00610BAB">
        <w:t xml:space="preserve">, sull’uso di </w:t>
      </w:r>
      <w:r w:rsidR="000E71CB">
        <w:rPr>
          <w:rFonts w:eastAsia="Calibri" w:cs="Calibri"/>
          <w:color w:val="000000"/>
          <w:lang w:eastAsia="it-IT"/>
        </w:rPr>
        <w:t>Soldesam</w:t>
      </w:r>
      <w:r w:rsidR="00610BAB">
        <w:rPr>
          <w:rFonts w:eastAsia="Calibri" w:cs="Calibri"/>
          <w:color w:val="000000"/>
          <w:lang w:eastAsia="it-IT"/>
        </w:rPr>
        <w:t xml:space="preserve"> nella forma/dosaggio indicate e per le indicazioni proposte</w:t>
      </w:r>
      <w:r w:rsidR="004E70F5">
        <w:t>.</w:t>
      </w:r>
    </w:p>
    <w:p w14:paraId="4B38F5BB" w14:textId="77777777" w:rsidR="00610BAB" w:rsidRDefault="00610BAB" w:rsidP="00853EC6">
      <w:pPr>
        <w:spacing w:after="0" w:line="240" w:lineRule="auto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4D9104FF" w14:textId="58BCD078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0E71CB">
        <w:rPr>
          <w:rFonts w:eastAsia="Calibri" w:cs="Calibri"/>
          <w:color w:val="000000"/>
          <w:lang w:eastAsia="it-IT"/>
        </w:rPr>
        <w:t>Soldesam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4F799B07" w14:textId="77777777" w:rsidR="004E5A39" w:rsidRPr="00EF6711" w:rsidRDefault="004E5A39" w:rsidP="00EF6711">
      <w:pPr>
        <w:spacing w:after="0" w:line="240" w:lineRule="auto"/>
        <w:jc w:val="both"/>
      </w:pPr>
    </w:p>
    <w:p w14:paraId="1C546F05" w14:textId="77777777" w:rsidR="009F584E" w:rsidRPr="00EF6711" w:rsidRDefault="009F584E" w:rsidP="00EF6711">
      <w:pPr>
        <w:spacing w:after="0" w:line="240" w:lineRule="auto"/>
        <w:jc w:val="both"/>
      </w:pPr>
    </w:p>
    <w:p w14:paraId="6E33C65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4CF8F480" w14:textId="6B629A10" w:rsidR="000E71CB" w:rsidRPr="000E71CB" w:rsidRDefault="000E71CB" w:rsidP="000E71C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Soldesam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</w:t>
      </w:r>
      <w:r>
        <w:t xml:space="preserve">per </w:t>
      </w:r>
      <w:proofErr w:type="spellStart"/>
      <w:r w:rsidRPr="000E71CB">
        <w:t>corticoterapia</w:t>
      </w:r>
      <w:proofErr w:type="spellEnd"/>
      <w:r w:rsidRPr="000E71CB">
        <w:t xml:space="preserve"> antinfiammatoria, artrosi degenerativa e post-traumatica, artrite infiammatoria, poliartrite cronica evolutiva, spondiloartrite anchilosante, accessi asmatici; edema cerebrale, neoplasie cerebrali (come coadiuvante), stati di emergenza e shock vari: edema della glottide, reazioni post-trasfusionali, anafilassi; traumatismi emorragici, chirurgici, settici, cardiogeni, da ustioni.</w:t>
      </w:r>
    </w:p>
    <w:p w14:paraId="05C8BE53" w14:textId="77777777" w:rsidR="000E71CB" w:rsidRPr="000E71CB" w:rsidRDefault="000E71CB" w:rsidP="000E71C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534DDCCA" w14:textId="03AD21FF" w:rsidR="00853EC6" w:rsidRPr="000E71CB" w:rsidRDefault="000E71CB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0E71CB">
        <w:t>SOLDESAM è indicato nel trattamento della malattia da coronavirus 2019 (COVID-19) in pazienti adulti e adolescenti (di età pari o superiore a 12 anni con peso corporeo di almeno 40 kg) che necessitano di ossigenoterapia supplementare.</w:t>
      </w:r>
    </w:p>
    <w:p w14:paraId="6D1C06B9" w14:textId="77777777" w:rsidR="00265B6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73AE323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5928A056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069BEF4B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r w:rsidR="00577746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2737C0E0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20EF26CC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45A8FB6" w14:textId="77777777"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14:paraId="614814D4" w14:textId="7748FED6" w:rsidR="00AD051C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lastRenderedPageBreak/>
        <w:t xml:space="preserve">La farmacologia clinica di </w:t>
      </w:r>
      <w:r w:rsidR="00B00B8F">
        <w:rPr>
          <w:rFonts w:eastAsia="Calibri" w:cs="Calibri"/>
          <w:color w:val="000000"/>
          <w:lang w:eastAsia="it-IT"/>
        </w:rPr>
        <w:t>Soldesam 4 mg/ml soluzione iniettabile</w:t>
      </w:r>
      <w:r w:rsidR="00C56FA9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B00B8F">
        <w:rPr>
          <w:rFonts w:eastAsia="Calibri" w:cs="Calibri"/>
          <w:color w:val="000000"/>
          <w:lang w:eastAsia="it-IT"/>
        </w:rPr>
        <w:t>Soldesam 4 mg/ml soluzione iniettabile</w:t>
      </w:r>
      <w:r w:rsidR="00C56FA9">
        <w:rPr>
          <w:rFonts w:eastAsia="Calibri" w:cs="Calibri"/>
          <w:color w:val="000000"/>
          <w:lang w:eastAsia="it-IT"/>
        </w:rPr>
        <w:t xml:space="preserve"> </w:t>
      </w:r>
      <w:r w:rsidRPr="006727BD">
        <w:t>contiene principi attiv</w:t>
      </w:r>
      <w:r w:rsidR="00853EC6">
        <w:t>i</w:t>
      </w:r>
      <w:r w:rsidRPr="006727BD">
        <w:t xml:space="preserve"> not</w:t>
      </w:r>
      <w:r w:rsidR="00853EC6">
        <w:t>i</w:t>
      </w:r>
      <w:r w:rsidRPr="006727BD">
        <w:t xml:space="preserve"> </w:t>
      </w:r>
      <w:r w:rsidR="00745609">
        <w:t xml:space="preserve">e </w:t>
      </w:r>
      <w:r w:rsidRPr="006727BD">
        <w:t>present</w:t>
      </w:r>
      <w:r w:rsidR="00745609">
        <w:t>i</w:t>
      </w:r>
      <w:r w:rsidRPr="006727BD">
        <w:t xml:space="preserve"> </w:t>
      </w:r>
      <w:r w:rsidR="00FA483A">
        <w:t xml:space="preserve">in medicinali </w:t>
      </w:r>
      <w:r w:rsidR="00FA483A" w:rsidRPr="006727BD">
        <w:t>autorizzat</w:t>
      </w:r>
      <w:r w:rsidR="00FA483A">
        <w:t xml:space="preserve">i in Italia e in Europa </w:t>
      </w:r>
      <w:r w:rsidRPr="006727BD">
        <w:t xml:space="preserve">da più di </w:t>
      </w:r>
      <w:r w:rsidR="00FA483A">
        <w:t>10</w:t>
      </w:r>
      <w:r w:rsidR="00FA483A" w:rsidRPr="006727BD">
        <w:t xml:space="preserve"> </w:t>
      </w:r>
      <w:r w:rsidRPr="006727BD">
        <w:t>anni.</w:t>
      </w:r>
      <w:r w:rsidR="006727BD" w:rsidRPr="006727BD">
        <w:t xml:space="preserve"> </w:t>
      </w:r>
    </w:p>
    <w:p w14:paraId="1CAFA222" w14:textId="43E302B9" w:rsidR="004631F3" w:rsidRPr="009F5FC7" w:rsidRDefault="004631F3" w:rsidP="005049A1">
      <w:pPr>
        <w:spacing w:after="0" w:line="240" w:lineRule="auto"/>
        <w:jc w:val="both"/>
        <w:rPr>
          <w:rFonts w:cs="Arial"/>
        </w:rPr>
      </w:pPr>
    </w:p>
    <w:p w14:paraId="34B26754" w14:textId="77777777" w:rsidR="00FA483A" w:rsidRPr="00966E97" w:rsidRDefault="00FA483A" w:rsidP="00FA48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Soldesam 4 mg/ml soluzione iniettabile</w:t>
      </w:r>
      <w:r>
        <w:rPr>
          <w:rFonts w:cs="Arial"/>
        </w:rPr>
        <w:t xml:space="preserve"> è stato autorizzato come estensione di linea di </w:t>
      </w:r>
      <w:r w:rsidRPr="00731662">
        <w:rPr>
          <w:rFonts w:cs="Arial"/>
        </w:rPr>
        <w:t>S</w:t>
      </w:r>
      <w:r>
        <w:rPr>
          <w:rFonts w:cs="Arial"/>
        </w:rPr>
        <w:t>oldesam</w:t>
      </w:r>
      <w:r w:rsidRPr="00731662">
        <w:rPr>
          <w:rFonts w:cs="Arial"/>
        </w:rPr>
        <w:t xml:space="preserve"> 4 mg/1 ml </w:t>
      </w:r>
      <w:r>
        <w:rPr>
          <w:rFonts w:cs="Arial"/>
        </w:rPr>
        <w:t>e</w:t>
      </w:r>
      <w:r w:rsidRPr="00731662">
        <w:rPr>
          <w:rFonts w:cs="Arial"/>
        </w:rPr>
        <w:t xml:space="preserve"> 8 mg/2 ml soluzione iniettabile </w:t>
      </w:r>
      <w:r>
        <w:rPr>
          <w:rFonts w:cs="Arial"/>
        </w:rPr>
        <w:t>già autorizzati e in commercio, per l’aggiunta di una nuova via di somministrazione e di una nuova indicazione terapeutica. Sono stati forniti dati di letteratura che</w:t>
      </w:r>
      <w:r w:rsidRPr="00E233B1">
        <w:rPr>
          <w:iCs/>
        </w:rPr>
        <w:t xml:space="preserve"> hanno dimostrato </w:t>
      </w:r>
      <w:r>
        <w:rPr>
          <w:iCs/>
        </w:rPr>
        <w:t xml:space="preserve">che la modifica della formulazione del prodotto non modifica </w:t>
      </w:r>
      <w:r>
        <w:t xml:space="preserve">l’efficacia e la sicurezza di Soldesam </w:t>
      </w:r>
      <w:r>
        <w:rPr>
          <w:rFonts w:eastAsia="Calibri" w:cs="Calibri"/>
          <w:color w:val="000000"/>
          <w:lang w:eastAsia="it-IT"/>
        </w:rPr>
        <w:t xml:space="preserve">4mg/1 ml </w:t>
      </w:r>
      <w:r>
        <w:rPr>
          <w:rFonts w:cs="Arial"/>
        </w:rPr>
        <w:t>e</w:t>
      </w:r>
      <w:r w:rsidRPr="00731662">
        <w:rPr>
          <w:rFonts w:cs="Arial"/>
        </w:rPr>
        <w:t xml:space="preserve"> 8 mg/2 ml soluzione iniettabile</w:t>
      </w:r>
      <w:r>
        <w:t>, quando assunto per infiammazioni, artrosi degenerativa, artrosi post-traumatica, artrite infiammatoria, poliartrite cronica evolutiva, spondiloartrite anchilosante, accessi asmatici, edema cerebrale, tumori al cervello (come trattamento aggiuntivo alla terapia principale), stati di emergenza e di shock, edema della glottide, reazioni post-trasfusionali, gravi reazioni allergiche (anafilassi), traumi di diversa natura (emorragici, chirurgici, settici, cardiogeni, da ustioni)</w:t>
      </w:r>
      <w:r w:rsidRPr="00811B01">
        <w:t xml:space="preserve">. </w:t>
      </w:r>
      <w:r>
        <w:t xml:space="preserve">Sono stati, inoltre forniti riferimenti di letteratura che hanno dimostrato che il desametasone è efficace nel trattamento </w:t>
      </w:r>
      <w:r w:rsidRPr="00966E97">
        <w:rPr>
          <w:rFonts w:eastAsia="Calibri" w:cs="Calibri"/>
          <w:bCs/>
          <w:color w:val="000000"/>
          <w:szCs w:val="24"/>
          <w:lang w:eastAsia="it-IT"/>
        </w:rPr>
        <w:t>della malattia da coronavirus 2019 (COVID-19) in pazienti adulti e adolescenti (di età pari o superiore a 12 anni con peso corporeo di almeno 40 kg), con difficoltà respiratorie e che necessitano di terapia con ossigeno.</w:t>
      </w:r>
    </w:p>
    <w:p w14:paraId="3B32C76D" w14:textId="77777777" w:rsidR="00FA483A" w:rsidRPr="00126BC8" w:rsidRDefault="00FA483A" w:rsidP="00FA483A">
      <w:pPr>
        <w:spacing w:after="0" w:line="240" w:lineRule="auto"/>
        <w:jc w:val="both"/>
        <w:rPr>
          <w:highlight w:val="yellow"/>
        </w:rPr>
      </w:pPr>
      <w:r w:rsidRPr="00D5497D">
        <w:t>Nello studio clinico RECOVERY (</w:t>
      </w:r>
      <w:proofErr w:type="spellStart"/>
      <w:r w:rsidRPr="00D5497D">
        <w:t>Randomised</w:t>
      </w:r>
      <w:proofErr w:type="spellEnd"/>
      <w:r w:rsidRPr="00D5497D">
        <w:t xml:space="preserve"> Evaluation of COVid-19 </w:t>
      </w:r>
      <w:proofErr w:type="spellStart"/>
      <w:r w:rsidRPr="00D5497D">
        <w:t>thERapY</w:t>
      </w:r>
      <w:proofErr w:type="spellEnd"/>
      <w:r w:rsidRPr="00D5497D">
        <w:t xml:space="preserve">,), infatti, </w:t>
      </w:r>
      <w:proofErr w:type="spellStart"/>
      <w:r w:rsidRPr="00D5497D">
        <w:t>desametasone</w:t>
      </w:r>
      <w:proofErr w:type="spellEnd"/>
      <w:r w:rsidRPr="00D5497D">
        <w:t xml:space="preserve"> è stato più efficace delle cure abituali nel ridurre la mortalità a 28 giorni in pazienti con infezione da Covid-19 che ricevevano ossigenoterapia.</w:t>
      </w:r>
    </w:p>
    <w:p w14:paraId="14DB684D" w14:textId="77777777" w:rsidR="004B5B15" w:rsidRPr="00853EC6" w:rsidRDefault="004B5B15" w:rsidP="004B5B15">
      <w:pPr>
        <w:spacing w:after="0" w:line="240" w:lineRule="auto"/>
        <w:jc w:val="both"/>
      </w:pPr>
    </w:p>
    <w:p w14:paraId="7E8B6F84" w14:textId="73BF98FD" w:rsidR="004B5B15" w:rsidRPr="00D5497D" w:rsidRDefault="005250B6" w:rsidP="00EF6711">
      <w:pPr>
        <w:spacing w:after="0" w:line="240" w:lineRule="auto"/>
        <w:jc w:val="both"/>
      </w:pPr>
      <w:r>
        <w:t>Pertanto</w:t>
      </w:r>
      <w:r w:rsidR="004B5B15">
        <w:rPr>
          <w:rFonts w:eastAsia="Calibri" w:cs="Calibri"/>
          <w:color w:val="000000"/>
          <w:lang w:eastAsia="it-IT"/>
        </w:rPr>
        <w:t xml:space="preserve"> </w:t>
      </w:r>
      <w:r w:rsidR="004B5B15" w:rsidRPr="00EF6711">
        <w:t xml:space="preserve">dal punto di vista </w:t>
      </w:r>
      <w:r w:rsidR="004B5B15">
        <w:t xml:space="preserve">clinico </w:t>
      </w:r>
      <w:r w:rsidR="00F30467">
        <w:rPr>
          <w:rFonts w:eastAsia="Calibri" w:cs="Calibri"/>
          <w:color w:val="000000"/>
          <w:lang w:eastAsia="it-IT"/>
        </w:rPr>
        <w:t>Soldesam</w:t>
      </w:r>
      <w:r w:rsidR="004B5B15">
        <w:rPr>
          <w:rFonts w:eastAsia="Calibri" w:cs="Calibri"/>
          <w:color w:val="000000"/>
          <w:lang w:eastAsia="it-IT"/>
        </w:rPr>
        <w:t xml:space="preserve"> </w:t>
      </w:r>
      <w:r w:rsidR="004B5B15">
        <w:t xml:space="preserve">è stato considerato accettabile per l’autorizzazione all’immissione in commercio per l’utilizzo </w:t>
      </w:r>
      <w:r w:rsidR="00FA483A">
        <w:t xml:space="preserve">nel trattamento </w:t>
      </w:r>
      <w:r w:rsidR="00FA483A" w:rsidRPr="00966E97">
        <w:rPr>
          <w:rFonts w:eastAsia="Calibri" w:cs="Calibri"/>
          <w:bCs/>
          <w:color w:val="000000"/>
          <w:szCs w:val="24"/>
          <w:lang w:eastAsia="it-IT"/>
        </w:rPr>
        <w:t>della malattia da coronavirus 2019 (COVID-19) in pazienti adulti e adolescenti (di età pari o superiore a 12 anni con peso corporeo di almeno 40 kg), con difficoltà respiratorie e che nece</w:t>
      </w:r>
      <w:r w:rsidR="00FA483A">
        <w:rPr>
          <w:rFonts w:eastAsia="Calibri" w:cs="Calibri"/>
          <w:bCs/>
          <w:color w:val="000000"/>
          <w:szCs w:val="24"/>
          <w:lang w:eastAsia="it-IT"/>
        </w:rPr>
        <w:t>ssitano di terapia con ossigeno</w:t>
      </w:r>
      <w:r w:rsidR="004B5B15" w:rsidRPr="00EF6711">
        <w:t>.</w:t>
      </w:r>
    </w:p>
    <w:p w14:paraId="7463193E" w14:textId="679FEA86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18CC626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73E8AFA9" w14:textId="66FC163B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A05886">
        <w:rPr>
          <w:rFonts w:eastAsia="Calibri" w:cs="Calibri"/>
          <w:color w:val="000000"/>
          <w:lang w:eastAsia="it-IT"/>
        </w:rPr>
        <w:t>Soldesam</w:t>
      </w:r>
      <w:r w:rsidRPr="00EF6711">
        <w:t>.</w:t>
      </w:r>
    </w:p>
    <w:p w14:paraId="40A7CBD9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00441B94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371B78AB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4FE2A4C7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44D83FFC" w14:textId="4E5DB74A" w:rsidR="00265B61" w:rsidRPr="00BE7CDB" w:rsidRDefault="00A05886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  <w:tr w:rsidR="00265B61" w:rsidRPr="001810E1" w14:paraId="07E8D0A7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114F5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BDD6DE" w14:textId="45C2AF44" w:rsidR="00265B61" w:rsidRPr="00BE7CDB" w:rsidRDefault="00A05886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Nessuno</w:t>
            </w:r>
          </w:p>
        </w:tc>
      </w:tr>
      <w:tr w:rsidR="00265B61" w:rsidRPr="00474E7B" w14:paraId="77E8B200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994D85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D55A" w14:textId="77777777" w:rsidR="00265B61" w:rsidRPr="00A05886" w:rsidRDefault="00A05886" w:rsidP="00A0588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</w:rPr>
            </w:pPr>
            <w:r w:rsidRPr="00A05886">
              <w:rPr>
                <w:sz w:val="20"/>
              </w:rPr>
              <w:t>Sicurezza nei pazienti di età superiore ai 70 anni ed in particolare in quelli di età superiore ad 80 anni relativamente all’indicazione per il trattamento di COVID-19</w:t>
            </w:r>
          </w:p>
          <w:p w14:paraId="50046ED3" w14:textId="77777777" w:rsidR="00A05886" w:rsidRDefault="00A05886" w:rsidP="00BE7CDB">
            <w:pPr>
              <w:spacing w:after="0" w:line="240" w:lineRule="auto"/>
              <w:rPr>
                <w:sz w:val="20"/>
              </w:rPr>
            </w:pPr>
          </w:p>
          <w:p w14:paraId="342EA2E6" w14:textId="77777777" w:rsidR="00A05886" w:rsidRPr="00A05886" w:rsidRDefault="00A05886" w:rsidP="00A05886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</w:rPr>
            </w:pPr>
            <w:r w:rsidRPr="00A05886">
              <w:rPr>
                <w:sz w:val="20"/>
              </w:rPr>
              <w:t>Sicurezza nelle donne in gravidanza relativamente all’indicazione per il trattamento di COVID-19</w:t>
            </w:r>
          </w:p>
          <w:p w14:paraId="593F994B" w14:textId="30A8627A" w:rsidR="00A05886" w:rsidRPr="00BE7CDB" w:rsidRDefault="00A05886" w:rsidP="00BE7CDB">
            <w:pPr>
              <w:spacing w:after="0" w:line="240" w:lineRule="auto"/>
              <w:rPr>
                <w:sz w:val="20"/>
              </w:rPr>
            </w:pPr>
          </w:p>
        </w:tc>
      </w:tr>
    </w:tbl>
    <w:p w14:paraId="3501AF73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1CB4959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56DB67EB" w14:textId="77777777"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14:paraId="25F2632F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005DB50C" w14:textId="663F77F1"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A05886">
        <w:rPr>
          <w:rFonts w:eastAsia="Calibri" w:cs="Calibri"/>
          <w:color w:val="000000"/>
          <w:lang w:eastAsia="it-IT"/>
        </w:rPr>
        <w:t>Soldesam</w:t>
      </w:r>
      <w:r w:rsidRPr="002D552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si può consultare il </w:t>
      </w:r>
      <w:proofErr w:type="gramStart"/>
      <w:r>
        <w:t xml:space="preserve">   </w:t>
      </w:r>
      <w:r w:rsidR="009568D6">
        <w:t>“</w:t>
      </w:r>
      <w:proofErr w:type="spellStart"/>
      <w:proofErr w:type="gramEnd"/>
      <w:r w:rsidR="009568D6">
        <w:t>Summary</w:t>
      </w:r>
      <w:proofErr w:type="spellEnd"/>
      <w:r w:rsidR="009568D6">
        <w:t xml:space="preserve"> </w:t>
      </w:r>
      <w:r>
        <w:t>RMP</w:t>
      </w:r>
      <w:r w:rsidR="009568D6">
        <w:t>” allegato.</w:t>
      </w:r>
    </w:p>
    <w:p w14:paraId="25F7387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83D31E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EB02D87" w14:textId="6ABF1788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6406DE">
        <w:rPr>
          <w:rFonts w:eastAsia="Calibri" w:cs="Calibri"/>
          <w:color w:val="000000"/>
          <w:lang w:eastAsia="it-IT"/>
        </w:rPr>
        <w:t>Soldesam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47CF803D" w14:textId="04D63650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6406DE">
        <w:rPr>
          <w:rFonts w:eastAsia="Calibri" w:cs="Calibri"/>
          <w:color w:val="000000"/>
          <w:lang w:eastAsia="it-IT"/>
        </w:rPr>
        <w:t>Soldesam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7E778916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4AD30488" w14:textId="77777777" w:rsidR="00F35F38" w:rsidRPr="00EF6711" w:rsidRDefault="00F35F38" w:rsidP="00EF6711">
      <w:pPr>
        <w:pStyle w:val="Paragrafoelenco"/>
        <w:spacing w:after="0" w:line="240" w:lineRule="auto"/>
        <w:ind w:left="0"/>
        <w:jc w:val="both"/>
      </w:pPr>
    </w:p>
    <w:p w14:paraId="1C61B2D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B16CF59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CONSULTAZIONE SUL FOGLIO ILLUSTRATIVO</w:t>
      </w:r>
    </w:p>
    <w:p w14:paraId="4721FBB7" w14:textId="4C07367E" w:rsidR="004631F3" w:rsidRPr="00EF6711" w:rsidRDefault="00245B04" w:rsidP="006406DE">
      <w:pPr>
        <w:jc w:val="both"/>
      </w:pPr>
      <w:r>
        <w:t xml:space="preserve">Il </w:t>
      </w:r>
      <w:proofErr w:type="spellStart"/>
      <w:r>
        <w:t>bridging</w:t>
      </w:r>
      <w:proofErr w:type="spellEnd"/>
      <w:r>
        <w:t xml:space="preserve"> report sottomesso dalla ditta è stato ritenuto accettabile</w:t>
      </w:r>
      <w:r w:rsidR="00D00A47">
        <w:t>.</w:t>
      </w:r>
    </w:p>
    <w:p w14:paraId="7DC26BBA" w14:textId="77777777" w:rsidR="004E5A39" w:rsidRPr="00EF6711" w:rsidRDefault="004E5A39" w:rsidP="00EF6711">
      <w:pPr>
        <w:spacing w:after="0" w:line="240" w:lineRule="auto"/>
        <w:jc w:val="both"/>
      </w:pPr>
    </w:p>
    <w:p w14:paraId="26ABAD0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23194267" w14:textId="4438293C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6406DE">
        <w:rPr>
          <w:rFonts w:eastAsia="Calibri" w:cs="Calibri"/>
          <w:color w:val="000000"/>
          <w:lang w:eastAsia="it-IT"/>
        </w:rPr>
        <w:t>Soldesam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7BBDF64C" w14:textId="3992B9CA" w:rsidR="00071E63" w:rsidRDefault="00071E63" w:rsidP="00EF6711">
      <w:pPr>
        <w:spacing w:after="0" w:line="240" w:lineRule="auto"/>
        <w:jc w:val="both"/>
      </w:pPr>
    </w:p>
    <w:p w14:paraId="419EB839" w14:textId="09326F85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6406DE">
        <w:rPr>
          <w:rFonts w:eastAsia="Calibri" w:cs="Calibri"/>
          <w:color w:val="000000"/>
          <w:lang w:eastAsia="it-IT"/>
        </w:rPr>
        <w:t>Soldesam</w:t>
      </w:r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010E2ADE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178F370E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r w:rsidR="003E1E83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6C3FD499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1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CB338C" w16cid:durableId="2AB77DB3"/>
  <w16cid:commentId w16cid:paraId="54A53E13" w16cid:durableId="2AB77DB4"/>
  <w16cid:commentId w16cid:paraId="700E6EE9" w16cid:durableId="2AB77DB5"/>
  <w16cid:commentId w16cid:paraId="627F0340" w16cid:durableId="2AB77DB6"/>
  <w16cid:commentId w16cid:paraId="74C1CC3D" w16cid:durableId="2AB77DB7"/>
  <w16cid:commentId w16cid:paraId="0F7D9464" w16cid:durableId="2AB77DB8"/>
  <w16cid:commentId w16cid:paraId="23FDDE6C" w16cid:durableId="2AB77DB9"/>
  <w16cid:commentId w16cid:paraId="326C32F9" w16cid:durableId="2AB77DBA"/>
  <w16cid:commentId w16cid:paraId="51054BF4" w16cid:durableId="2AB77DBB"/>
  <w16cid:commentId w16cid:paraId="7C026D91" w16cid:durableId="2AB77DBC"/>
  <w16cid:commentId w16cid:paraId="6D94B5C0" w16cid:durableId="2AB77DBD"/>
  <w16cid:commentId w16cid:paraId="171237A9" w16cid:durableId="2AB77DBE"/>
  <w16cid:commentId w16cid:paraId="3D99FB92" w16cid:durableId="2AB77DBF"/>
  <w16cid:commentId w16cid:paraId="71EB9D17" w16cid:durableId="2AB784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FAFD9" w14:textId="77777777" w:rsidR="00647BB6" w:rsidRDefault="00647BB6" w:rsidP="00C07183">
      <w:pPr>
        <w:spacing w:after="0" w:line="240" w:lineRule="auto"/>
      </w:pPr>
      <w:r>
        <w:separator/>
      </w:r>
    </w:p>
  </w:endnote>
  <w:endnote w:type="continuationSeparator" w:id="0">
    <w:p w14:paraId="3E128984" w14:textId="77777777" w:rsidR="00647BB6" w:rsidRDefault="00647BB6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F1826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56F05E61" wp14:editId="5E619657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14A0E" w14:textId="77777777" w:rsidR="00647BB6" w:rsidRDefault="00647BB6" w:rsidP="00C07183">
      <w:pPr>
        <w:spacing w:after="0" w:line="240" w:lineRule="auto"/>
      </w:pPr>
      <w:r>
        <w:separator/>
      </w:r>
    </w:p>
  </w:footnote>
  <w:footnote w:type="continuationSeparator" w:id="0">
    <w:p w14:paraId="3CACEBE0" w14:textId="77777777" w:rsidR="00647BB6" w:rsidRDefault="00647BB6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692"/>
    <w:multiLevelType w:val="hybridMultilevel"/>
    <w:tmpl w:val="0FF80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C6235"/>
    <w:multiLevelType w:val="hybridMultilevel"/>
    <w:tmpl w:val="2CD07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353E5"/>
    <w:multiLevelType w:val="hybridMultilevel"/>
    <w:tmpl w:val="7A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47E"/>
    <w:rsid w:val="00014743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A4BA1"/>
    <w:rsid w:val="000B7AC8"/>
    <w:rsid w:val="000C1389"/>
    <w:rsid w:val="000E1F86"/>
    <w:rsid w:val="000E4494"/>
    <w:rsid w:val="000E4A73"/>
    <w:rsid w:val="000E71CB"/>
    <w:rsid w:val="000F658F"/>
    <w:rsid w:val="00111E9E"/>
    <w:rsid w:val="00112B76"/>
    <w:rsid w:val="0012542B"/>
    <w:rsid w:val="0012621E"/>
    <w:rsid w:val="00126BC8"/>
    <w:rsid w:val="001460CA"/>
    <w:rsid w:val="00172AED"/>
    <w:rsid w:val="00182F02"/>
    <w:rsid w:val="001A516D"/>
    <w:rsid w:val="001C15DF"/>
    <w:rsid w:val="001C4323"/>
    <w:rsid w:val="001F0D20"/>
    <w:rsid w:val="001F7EFC"/>
    <w:rsid w:val="0020403D"/>
    <w:rsid w:val="0021736D"/>
    <w:rsid w:val="00245B04"/>
    <w:rsid w:val="00252FE8"/>
    <w:rsid w:val="00265B61"/>
    <w:rsid w:val="00277A0E"/>
    <w:rsid w:val="002815AE"/>
    <w:rsid w:val="00297F10"/>
    <w:rsid w:val="002A1800"/>
    <w:rsid w:val="002B662A"/>
    <w:rsid w:val="002C2D9F"/>
    <w:rsid w:val="002F2543"/>
    <w:rsid w:val="002F4000"/>
    <w:rsid w:val="00300BEA"/>
    <w:rsid w:val="003061E0"/>
    <w:rsid w:val="00322C83"/>
    <w:rsid w:val="00323648"/>
    <w:rsid w:val="003238CF"/>
    <w:rsid w:val="00340DC4"/>
    <w:rsid w:val="00367A46"/>
    <w:rsid w:val="00367CE0"/>
    <w:rsid w:val="00377858"/>
    <w:rsid w:val="00387CA8"/>
    <w:rsid w:val="00393138"/>
    <w:rsid w:val="003B0421"/>
    <w:rsid w:val="003C054E"/>
    <w:rsid w:val="003E1E83"/>
    <w:rsid w:val="0041387F"/>
    <w:rsid w:val="004214DB"/>
    <w:rsid w:val="0042214D"/>
    <w:rsid w:val="00423A97"/>
    <w:rsid w:val="004241AC"/>
    <w:rsid w:val="00445DB2"/>
    <w:rsid w:val="004509BC"/>
    <w:rsid w:val="004532E2"/>
    <w:rsid w:val="004609F8"/>
    <w:rsid w:val="00461D93"/>
    <w:rsid w:val="004631F3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6372C"/>
    <w:rsid w:val="00567615"/>
    <w:rsid w:val="005744D4"/>
    <w:rsid w:val="00577746"/>
    <w:rsid w:val="00577DAC"/>
    <w:rsid w:val="005950D6"/>
    <w:rsid w:val="005A466E"/>
    <w:rsid w:val="005A4BBD"/>
    <w:rsid w:val="005A5778"/>
    <w:rsid w:val="005B4C97"/>
    <w:rsid w:val="005C2427"/>
    <w:rsid w:val="005D18E5"/>
    <w:rsid w:val="005F54B1"/>
    <w:rsid w:val="00610BAB"/>
    <w:rsid w:val="00613548"/>
    <w:rsid w:val="00621AE2"/>
    <w:rsid w:val="006231AC"/>
    <w:rsid w:val="0063151C"/>
    <w:rsid w:val="006406DE"/>
    <w:rsid w:val="00642D6A"/>
    <w:rsid w:val="0064646C"/>
    <w:rsid w:val="00647BB6"/>
    <w:rsid w:val="00654D9E"/>
    <w:rsid w:val="00663BCD"/>
    <w:rsid w:val="00664931"/>
    <w:rsid w:val="006727BD"/>
    <w:rsid w:val="006921BC"/>
    <w:rsid w:val="006A3A37"/>
    <w:rsid w:val="006B311C"/>
    <w:rsid w:val="006B3E12"/>
    <w:rsid w:val="006C5811"/>
    <w:rsid w:val="006D7B8C"/>
    <w:rsid w:val="006F44C7"/>
    <w:rsid w:val="00711A12"/>
    <w:rsid w:val="00712DB3"/>
    <w:rsid w:val="00716DF5"/>
    <w:rsid w:val="007170D7"/>
    <w:rsid w:val="007221B6"/>
    <w:rsid w:val="00731662"/>
    <w:rsid w:val="00741CDB"/>
    <w:rsid w:val="00745609"/>
    <w:rsid w:val="00747E46"/>
    <w:rsid w:val="00766E26"/>
    <w:rsid w:val="0078608F"/>
    <w:rsid w:val="0078680B"/>
    <w:rsid w:val="00797416"/>
    <w:rsid w:val="007A1C0E"/>
    <w:rsid w:val="007B2CF1"/>
    <w:rsid w:val="007D2539"/>
    <w:rsid w:val="007E4E98"/>
    <w:rsid w:val="00811B01"/>
    <w:rsid w:val="00814F9A"/>
    <w:rsid w:val="00823E9B"/>
    <w:rsid w:val="00823F4C"/>
    <w:rsid w:val="008375CF"/>
    <w:rsid w:val="00853EC6"/>
    <w:rsid w:val="008547B3"/>
    <w:rsid w:val="008736E7"/>
    <w:rsid w:val="008819D4"/>
    <w:rsid w:val="00881BCB"/>
    <w:rsid w:val="0088216F"/>
    <w:rsid w:val="008A110D"/>
    <w:rsid w:val="008A6FEC"/>
    <w:rsid w:val="008B46E3"/>
    <w:rsid w:val="008B60D7"/>
    <w:rsid w:val="008C3877"/>
    <w:rsid w:val="008C3D30"/>
    <w:rsid w:val="008C75F9"/>
    <w:rsid w:val="008D1529"/>
    <w:rsid w:val="008F117D"/>
    <w:rsid w:val="009254CC"/>
    <w:rsid w:val="00943785"/>
    <w:rsid w:val="009568D6"/>
    <w:rsid w:val="00957832"/>
    <w:rsid w:val="00966E97"/>
    <w:rsid w:val="0098470E"/>
    <w:rsid w:val="00997F05"/>
    <w:rsid w:val="009A23DE"/>
    <w:rsid w:val="009A260F"/>
    <w:rsid w:val="009A6BF0"/>
    <w:rsid w:val="009B03DB"/>
    <w:rsid w:val="009C3E8B"/>
    <w:rsid w:val="009D3446"/>
    <w:rsid w:val="009E0140"/>
    <w:rsid w:val="009E2BC0"/>
    <w:rsid w:val="009F3867"/>
    <w:rsid w:val="009F395B"/>
    <w:rsid w:val="009F5439"/>
    <w:rsid w:val="009F584E"/>
    <w:rsid w:val="00A00E9E"/>
    <w:rsid w:val="00A01AB1"/>
    <w:rsid w:val="00A03645"/>
    <w:rsid w:val="00A046AC"/>
    <w:rsid w:val="00A05886"/>
    <w:rsid w:val="00A117A0"/>
    <w:rsid w:val="00A11FD6"/>
    <w:rsid w:val="00A247C5"/>
    <w:rsid w:val="00A40FF3"/>
    <w:rsid w:val="00A47102"/>
    <w:rsid w:val="00A47604"/>
    <w:rsid w:val="00A62D55"/>
    <w:rsid w:val="00A84362"/>
    <w:rsid w:val="00A86F5A"/>
    <w:rsid w:val="00A908B9"/>
    <w:rsid w:val="00A966D1"/>
    <w:rsid w:val="00AA516E"/>
    <w:rsid w:val="00AD051C"/>
    <w:rsid w:val="00AD4BE6"/>
    <w:rsid w:val="00AD4C1F"/>
    <w:rsid w:val="00AF52E2"/>
    <w:rsid w:val="00AF55D4"/>
    <w:rsid w:val="00B00B8F"/>
    <w:rsid w:val="00B023E9"/>
    <w:rsid w:val="00B03E01"/>
    <w:rsid w:val="00B0492C"/>
    <w:rsid w:val="00B1186F"/>
    <w:rsid w:val="00B15135"/>
    <w:rsid w:val="00B2017C"/>
    <w:rsid w:val="00B30431"/>
    <w:rsid w:val="00B36DCE"/>
    <w:rsid w:val="00B715AE"/>
    <w:rsid w:val="00B862CA"/>
    <w:rsid w:val="00BA0ACD"/>
    <w:rsid w:val="00BB2AF8"/>
    <w:rsid w:val="00BB4BDA"/>
    <w:rsid w:val="00BB7B54"/>
    <w:rsid w:val="00BC74C2"/>
    <w:rsid w:val="00BD39EB"/>
    <w:rsid w:val="00BE7CDB"/>
    <w:rsid w:val="00BF55B9"/>
    <w:rsid w:val="00BF7A42"/>
    <w:rsid w:val="00C058E1"/>
    <w:rsid w:val="00C07183"/>
    <w:rsid w:val="00C17BE2"/>
    <w:rsid w:val="00C2370C"/>
    <w:rsid w:val="00C2462C"/>
    <w:rsid w:val="00C2565A"/>
    <w:rsid w:val="00C42AAC"/>
    <w:rsid w:val="00C51FF1"/>
    <w:rsid w:val="00C56FA9"/>
    <w:rsid w:val="00C66597"/>
    <w:rsid w:val="00C74500"/>
    <w:rsid w:val="00CC1489"/>
    <w:rsid w:val="00CC52A3"/>
    <w:rsid w:val="00CC7AFF"/>
    <w:rsid w:val="00CE62A1"/>
    <w:rsid w:val="00D00A47"/>
    <w:rsid w:val="00D20170"/>
    <w:rsid w:val="00D212AA"/>
    <w:rsid w:val="00D36F9A"/>
    <w:rsid w:val="00D5497D"/>
    <w:rsid w:val="00D602D6"/>
    <w:rsid w:val="00D60600"/>
    <w:rsid w:val="00D72DAC"/>
    <w:rsid w:val="00D9392F"/>
    <w:rsid w:val="00DA386C"/>
    <w:rsid w:val="00DB021E"/>
    <w:rsid w:val="00DB359A"/>
    <w:rsid w:val="00DC0217"/>
    <w:rsid w:val="00DC187E"/>
    <w:rsid w:val="00DC32B2"/>
    <w:rsid w:val="00E10D6C"/>
    <w:rsid w:val="00E20E87"/>
    <w:rsid w:val="00E25D34"/>
    <w:rsid w:val="00E26828"/>
    <w:rsid w:val="00E43089"/>
    <w:rsid w:val="00E83F8D"/>
    <w:rsid w:val="00EB4398"/>
    <w:rsid w:val="00EC3589"/>
    <w:rsid w:val="00ED1378"/>
    <w:rsid w:val="00ED72E4"/>
    <w:rsid w:val="00ED76F4"/>
    <w:rsid w:val="00EF062E"/>
    <w:rsid w:val="00EF6711"/>
    <w:rsid w:val="00F1246A"/>
    <w:rsid w:val="00F27C7F"/>
    <w:rsid w:val="00F30467"/>
    <w:rsid w:val="00F35F38"/>
    <w:rsid w:val="00F37972"/>
    <w:rsid w:val="00F66767"/>
    <w:rsid w:val="00F67DFC"/>
    <w:rsid w:val="00F76F77"/>
    <w:rsid w:val="00F85989"/>
    <w:rsid w:val="00F90F1F"/>
    <w:rsid w:val="00F96473"/>
    <w:rsid w:val="00F964BE"/>
    <w:rsid w:val="00FA2702"/>
    <w:rsid w:val="00FA483A"/>
    <w:rsid w:val="00FB25B5"/>
    <w:rsid w:val="00FB3BF5"/>
    <w:rsid w:val="00FB4181"/>
    <w:rsid w:val="00FC0183"/>
    <w:rsid w:val="00F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4276F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styleId="Corpotesto">
    <w:name w:val="Body Text"/>
    <w:basedOn w:val="Normale"/>
    <w:link w:val="CorpotestoCarattere"/>
    <w:uiPriority w:val="99"/>
    <w:semiHidden/>
    <w:unhideWhenUsed/>
    <w:rsid w:val="008736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73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080D5-0042-4DAA-8F67-DBAC0FFFA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3477</Words>
  <Characters>19821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4</cp:revision>
  <dcterms:created xsi:type="dcterms:W3CDTF">2024-10-15T08:37:00Z</dcterms:created>
  <dcterms:modified xsi:type="dcterms:W3CDTF">2024-10-16T11:33:00Z</dcterms:modified>
</cp:coreProperties>
</file>