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146FA88E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184EE4C6" w:rsidR="00393F1F" w:rsidRPr="00DB4923" w:rsidRDefault="00393F1F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3F15560A" w14:textId="184EE4C6" w:rsidR="00393F1F" w:rsidRPr="00DB4923" w:rsidRDefault="00393F1F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451EACE9" w:rsidR="00BF7A42" w:rsidRPr="00A31CC1" w:rsidRDefault="00860251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BALIK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243A936E" w14:textId="5BE16DDE" w:rsidR="00860251" w:rsidRPr="0086025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860251">
        <w:rPr>
          <w:rFonts w:cstheme="minorHAnsi"/>
          <w:snapToGrid w:val="0"/>
          <w:sz w:val="24"/>
          <w:szCs w:val="24"/>
        </w:rPr>
        <w:t>Esteri etilici di acidi grassi polinsaturi (Omega-3)</w:t>
      </w:r>
    </w:p>
    <w:p w14:paraId="7636A365" w14:textId="77777777" w:rsidR="00860251" w:rsidRPr="0086025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292761FD" w:rsidR="004241AC" w:rsidRPr="00A31CC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860251">
        <w:rPr>
          <w:rFonts w:cstheme="minorHAnsi"/>
          <w:snapToGrid w:val="0"/>
          <w:sz w:val="24"/>
          <w:szCs w:val="24"/>
        </w:rPr>
        <w:t>1000 mg capsule molli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3BB079A4" w:rsidR="00797416" w:rsidRPr="00A31CC1" w:rsidRDefault="00860251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60251">
        <w:rPr>
          <w:rFonts w:cstheme="minorHAnsi"/>
          <w:b/>
          <w:sz w:val="24"/>
          <w:szCs w:val="24"/>
        </w:rPr>
        <w:t xml:space="preserve">MEDINITALY </w:t>
      </w:r>
      <w:proofErr w:type="spellStart"/>
      <w:r w:rsidRPr="00860251">
        <w:rPr>
          <w:rFonts w:cstheme="minorHAnsi"/>
          <w:b/>
          <w:sz w:val="24"/>
          <w:szCs w:val="24"/>
        </w:rPr>
        <w:t>Pharma</w:t>
      </w:r>
      <w:proofErr w:type="spellEnd"/>
      <w:r w:rsidRPr="00860251">
        <w:rPr>
          <w:rFonts w:cstheme="minorHAnsi"/>
          <w:b/>
          <w:sz w:val="24"/>
          <w:szCs w:val="24"/>
        </w:rPr>
        <w:t xml:space="preserve"> Progress S.r.l.</w:t>
      </w:r>
    </w:p>
    <w:p w14:paraId="3BCAC476" w14:textId="77777777"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300777EF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860251" w:rsidRPr="00860251">
        <w:rPr>
          <w:rFonts w:cstheme="minorHAnsi"/>
          <w:b/>
          <w:sz w:val="24"/>
          <w:szCs w:val="24"/>
        </w:rPr>
        <w:t>05056</w:t>
      </w:r>
      <w:r w:rsidR="00860251">
        <w:rPr>
          <w:rFonts w:cstheme="minorHAnsi"/>
          <w:b/>
          <w:sz w:val="24"/>
          <w:szCs w:val="24"/>
        </w:rPr>
        <w:t>1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0D97BA59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4628345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7247E7EE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24E3192A" w14:textId="1DAB3B08" w:rsidR="00BB2AF8" w:rsidRPr="00A31CC1" w:rsidRDefault="00860251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r w:rsidRPr="00860251">
        <w:rPr>
          <w:rFonts w:eastAsia="Calibri" w:cstheme="minorHAnsi"/>
          <w:color w:val="000000"/>
          <w:sz w:val="24"/>
          <w:szCs w:val="24"/>
          <w:lang w:eastAsia="it-IT"/>
        </w:rPr>
        <w:t>esteri etilici di acidi grassi polinsaturi (Omega-3) ad elevata concentrazione e purezza, ed è disponibile come capsule molli contenenti ciasc</w:t>
      </w:r>
      <w:r>
        <w:rPr>
          <w:rFonts w:eastAsia="Calibri" w:cstheme="minorHAnsi"/>
          <w:color w:val="000000"/>
          <w:sz w:val="24"/>
          <w:szCs w:val="24"/>
          <w:lang w:eastAsia="it-IT"/>
        </w:rPr>
        <w:t>una 1000 mg di principio attivo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3749189B" w14:textId="77777777"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14:paraId="2ACAD7E3" w14:textId="315C2D52" w:rsidR="00B03E01" w:rsidRPr="00A31CC1" w:rsidRDefault="00860251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Pr="00860251">
        <w:rPr>
          <w:rFonts w:eastAsia="Calibri" w:cstheme="minorHAnsi"/>
          <w:color w:val="000000"/>
          <w:sz w:val="24"/>
          <w:szCs w:val="24"/>
          <w:lang w:eastAsia="it-IT"/>
        </w:rPr>
        <w:t>SEACOR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356175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356175">
        <w:rPr>
          <w:rFonts w:eastAsia="Calibri" w:cstheme="minorHAnsi"/>
          <w:color w:val="000000"/>
          <w:sz w:val="24"/>
          <w:szCs w:val="24"/>
          <w:lang w:eastAsia="it-IT"/>
        </w:rPr>
        <w:t>almeno 8 anni</w:t>
      </w:r>
      <w:r w:rsidR="00356175" w:rsidRP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B15135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356175">
        <w:rPr>
          <w:rFonts w:cstheme="minorHAnsi"/>
          <w:color w:val="000000"/>
          <w:sz w:val="24"/>
          <w:szCs w:val="24"/>
        </w:rPr>
        <w:t>può essere immesso in commercio solo dopo che sono trascorsi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hyperlink r:id="rId9" w:anchor="/it/" w:history="1">
        <w:r w:rsidR="007906A8" w:rsidRPr="00DB5B9F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Pr="00860251">
        <w:rPr>
          <w:rFonts w:eastAsia="Calibri" w:cstheme="minorHAnsi"/>
          <w:color w:val="000000"/>
          <w:sz w:val="24"/>
          <w:szCs w:val="24"/>
          <w:lang w:eastAsia="it-IT"/>
        </w:rPr>
        <w:t>SEACOR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F4B0E66" w14:textId="50EEB642" w:rsidR="00860251" w:rsidRPr="00860251" w:rsidRDefault="00860251" w:rsidP="008602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0DD0" w:rsidRPr="00A90DD0">
        <w:rPr>
          <w:rFonts w:eastAsia="Calibri" w:cstheme="minorHAnsi"/>
          <w:sz w:val="24"/>
          <w:szCs w:val="24"/>
          <w:lang w:eastAsia="it-IT"/>
        </w:rPr>
        <w:t xml:space="preserve">per </w:t>
      </w:r>
      <w:r w:rsidRPr="00860251">
        <w:rPr>
          <w:rFonts w:eastAsia="Calibri" w:cstheme="minorHAnsi"/>
          <w:sz w:val="24"/>
          <w:szCs w:val="24"/>
          <w:lang w:eastAsia="it-IT"/>
        </w:rPr>
        <w:t>ridurre i livelli elevati di grassi (trigliceridi) nel sangue, nel caso in cui la dieta e altre misure non farmacologiche da sole non siano state sufficienti.</w:t>
      </w:r>
    </w:p>
    <w:p w14:paraId="20CF683C" w14:textId="3364FA6F" w:rsidR="00BB2AF8" w:rsidRPr="00A31CC1" w:rsidRDefault="00860251" w:rsidP="008602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  <w:r w:rsidRPr="00860251">
        <w:rPr>
          <w:rFonts w:eastAsia="Calibri" w:cstheme="minorHAnsi"/>
          <w:sz w:val="24"/>
          <w:szCs w:val="24"/>
          <w:lang w:eastAsia="it-IT"/>
        </w:rPr>
        <w:t xml:space="preserve">Il trattamento con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860251">
        <w:rPr>
          <w:rFonts w:eastAsia="Calibri" w:cstheme="minorHAnsi"/>
          <w:sz w:val="24"/>
          <w:szCs w:val="24"/>
          <w:lang w:eastAsia="it-IT"/>
        </w:rPr>
        <w:t>deve essere sempre associato ad adeguate regole alimentari</w:t>
      </w:r>
      <w:r w:rsidR="00A90DD0">
        <w:rPr>
          <w:rFonts w:eastAsia="Calibri" w:cstheme="minorHAnsi"/>
          <w:sz w:val="24"/>
          <w:szCs w:val="24"/>
          <w:lang w:eastAsia="it-IT"/>
        </w:rPr>
        <w:t>.</w:t>
      </w: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270BA03C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lastRenderedPageBreak/>
        <w:t xml:space="preserve">2) COME </w:t>
      </w:r>
      <w:r w:rsidR="007906A8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3FB4A621" w14:textId="417D39AD" w:rsidR="00300BEA" w:rsidRPr="00A90DD0" w:rsidRDefault="00860251" w:rsidP="00A90DD0">
      <w:pPr>
        <w:pStyle w:val="PreformattatoHTML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BALIK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860251">
        <w:rPr>
          <w:rFonts w:asciiTheme="minorHAnsi" w:eastAsiaTheme="minorHAnsi" w:hAnsiTheme="minorHAnsi" w:cstheme="minorHAnsi"/>
          <w:sz w:val="24"/>
          <w:szCs w:val="24"/>
          <w:lang w:eastAsia="en-US"/>
        </w:rPr>
        <w:t>può essere ottenuto solo su prescrizione da parte del medico (ricetta ripetibile).</w:t>
      </w:r>
    </w:p>
    <w:p w14:paraId="5A6DA150" w14:textId="77777777"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B45775" w14:textId="77777777" w:rsidR="005A79EC" w:rsidRPr="005A79EC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>La dose raccomandata giornaliera negli adulti è 1 capsula da 1000 mg 1-3 volte al giorno, in base alla prescrizione del medico.</w:t>
      </w:r>
    </w:p>
    <w:p w14:paraId="078BD303" w14:textId="77777777" w:rsidR="005A79EC" w:rsidRPr="005A79EC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>Non è richiesto alcun aggiustamento della dose nei pazienti anziani o nei pazienti con alterata funzionalità renale.</w:t>
      </w:r>
    </w:p>
    <w:p w14:paraId="1A2AD3B6" w14:textId="2E88AF77" w:rsidR="005A79EC" w:rsidRPr="005A79EC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 xml:space="preserve">La funzionalità epatica deve essere monitorata nei pazienti con compromissione epatica, in particolare se sono in trattamento con dosi elevate di </w:t>
      </w:r>
      <w:r>
        <w:rPr>
          <w:rFonts w:eastAsia="Calibri" w:cstheme="minorHAnsi"/>
          <w:color w:val="000000"/>
          <w:sz w:val="24"/>
          <w:szCs w:val="24"/>
        </w:rPr>
        <w:t>BALIK</w:t>
      </w:r>
      <w:r w:rsidRPr="005A79EC">
        <w:rPr>
          <w:rFonts w:eastAsia="Calibri" w:cstheme="minorHAnsi"/>
          <w:color w:val="000000"/>
          <w:sz w:val="24"/>
          <w:szCs w:val="24"/>
        </w:rPr>
        <w:t>.</w:t>
      </w:r>
    </w:p>
    <w:p w14:paraId="442FB4FA" w14:textId="067A00CD" w:rsidR="00BB2AF8" w:rsidRPr="00A31CC1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5A79EC">
        <w:rPr>
          <w:rFonts w:eastAsia="Calibri" w:cstheme="minorHAnsi"/>
          <w:color w:val="000000"/>
          <w:sz w:val="24"/>
          <w:szCs w:val="24"/>
        </w:rPr>
        <w:t xml:space="preserve">Non sono disponibili dati sull’uso di </w:t>
      </w:r>
      <w:r>
        <w:rPr>
          <w:rFonts w:eastAsia="Calibri" w:cstheme="minorHAnsi"/>
          <w:color w:val="000000"/>
          <w:sz w:val="24"/>
          <w:szCs w:val="24"/>
        </w:rPr>
        <w:t>BALIK</w:t>
      </w:r>
      <w:r w:rsidRPr="00A90DD0">
        <w:rPr>
          <w:rFonts w:cstheme="minorHAnsi"/>
          <w:sz w:val="24"/>
          <w:szCs w:val="24"/>
        </w:rPr>
        <w:t xml:space="preserve"> </w:t>
      </w:r>
      <w:r w:rsidRPr="005A79EC">
        <w:rPr>
          <w:rFonts w:eastAsia="Calibri" w:cstheme="minorHAnsi"/>
          <w:color w:val="000000"/>
          <w:sz w:val="24"/>
          <w:szCs w:val="24"/>
        </w:rPr>
        <w:t>nella popolazione pediatrica nelle indicazioni autorizzate.</w:t>
      </w:r>
    </w:p>
    <w:p w14:paraId="725FA40C" w14:textId="29BF2D92"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643F41C" w14:textId="46BB4A18" w:rsidR="005A79EC" w:rsidRDefault="005A79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5A79EC">
        <w:rPr>
          <w:rFonts w:eastAsia="Calibri" w:cstheme="minorHAnsi"/>
          <w:color w:val="000000"/>
          <w:sz w:val="24"/>
          <w:szCs w:val="24"/>
          <w:lang w:eastAsia="it-IT"/>
        </w:rPr>
        <w:t xml:space="preserve">Le capsule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di </w:t>
      </w:r>
      <w:r>
        <w:rPr>
          <w:rFonts w:eastAsia="Calibri" w:cstheme="minorHAnsi"/>
          <w:color w:val="000000"/>
          <w:sz w:val="24"/>
          <w:szCs w:val="24"/>
        </w:rPr>
        <w:t>BALIK</w:t>
      </w:r>
      <w:r w:rsidRPr="00A90DD0">
        <w:rPr>
          <w:rFonts w:cstheme="minorHAnsi"/>
          <w:sz w:val="24"/>
          <w:szCs w:val="24"/>
        </w:rPr>
        <w:t xml:space="preserve"> </w:t>
      </w:r>
      <w:r w:rsidRPr="005A79EC">
        <w:rPr>
          <w:rFonts w:eastAsia="Calibri" w:cstheme="minorHAnsi"/>
          <w:color w:val="000000"/>
          <w:sz w:val="24"/>
          <w:szCs w:val="24"/>
          <w:lang w:eastAsia="it-IT"/>
        </w:rPr>
        <w:t>devono essere deglutite intere con acqua.</w:t>
      </w:r>
    </w:p>
    <w:p w14:paraId="1A1667F8" w14:textId="77777777" w:rsidR="005A79EC" w:rsidRPr="00A31CC1" w:rsidRDefault="005A79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187CB32F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740E125C" w:rsidR="00BB2AF8" w:rsidRDefault="0086025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5A79EC" w:rsidRPr="005A79EC">
        <w:rPr>
          <w:rFonts w:cstheme="minorHAnsi"/>
          <w:sz w:val="24"/>
          <w:szCs w:val="24"/>
        </w:rPr>
        <w:t>C10AX06</w:t>
      </w:r>
      <w:r w:rsidR="005527E7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r w:rsidR="005A79EC" w:rsidRPr="005A79EC">
        <w:rPr>
          <w:rFonts w:eastAsia="Calibri" w:cstheme="minorHAnsi"/>
          <w:color w:val="000000"/>
          <w:sz w:val="24"/>
          <w:szCs w:val="24"/>
          <w:lang w:eastAsia="it-IT"/>
        </w:rPr>
        <w:t>esteri etilici di acidi grassi polinsaturi (Omega-3), derivanti da olio di pesce, ad elevata concentrazione e purezza, che riducono il livello di alcuni grassi nel sangue (trigliceridi) e che hanno effetti positivi a livello</w:t>
      </w:r>
      <w:r w:rsidR="005A79EC">
        <w:rPr>
          <w:rFonts w:eastAsia="Calibri" w:cstheme="minorHAnsi"/>
          <w:color w:val="000000"/>
          <w:sz w:val="24"/>
          <w:szCs w:val="24"/>
          <w:lang w:eastAsia="it-IT"/>
        </w:rPr>
        <w:t xml:space="preserve"> del cuore e dei vasi sanguigni</w:t>
      </w:r>
      <w:r w:rsidR="00873571" w:rsidRPr="00873571">
        <w:rPr>
          <w:rFonts w:cstheme="minorHAnsi"/>
          <w:sz w:val="24"/>
          <w:szCs w:val="24"/>
        </w:rPr>
        <w:t>.</w:t>
      </w:r>
    </w:p>
    <w:p w14:paraId="21A6CE94" w14:textId="77777777" w:rsidR="00873571" w:rsidRPr="00A31CC1" w:rsidRDefault="0087357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4B9774CD" w14:textId="35BE393C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43507CB5" w14:textId="1F5A3D72" w:rsidR="008C75F9" w:rsidRPr="00A31CC1" w:rsidRDefault="00860251" w:rsidP="008C75F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8C75F9" w:rsidRPr="00A31CC1">
        <w:rPr>
          <w:rFonts w:cstheme="minorHAnsi"/>
          <w:sz w:val="24"/>
          <w:szCs w:val="24"/>
        </w:rPr>
        <w:t xml:space="preserve"> è un medicinale</w:t>
      </w:r>
      <w:r w:rsidR="00DE56E9">
        <w:rPr>
          <w:rFonts w:cstheme="minorHAnsi"/>
          <w:sz w:val="24"/>
          <w:szCs w:val="24"/>
        </w:rPr>
        <w:t xml:space="preserve"> generico </w:t>
      </w:r>
      <w:r w:rsidR="005A79EC" w:rsidRPr="00A31CC1">
        <w:rPr>
          <w:rFonts w:cstheme="minorHAnsi"/>
          <w:sz w:val="24"/>
          <w:szCs w:val="24"/>
        </w:rPr>
        <w:t xml:space="preserve">ed è utilizzato come </w:t>
      </w:r>
      <w:r w:rsidR="00A35BC4">
        <w:rPr>
          <w:rFonts w:cstheme="minorHAnsi"/>
          <w:sz w:val="24"/>
          <w:szCs w:val="24"/>
        </w:rPr>
        <w:t xml:space="preserve">capsule molli </w:t>
      </w:r>
      <w:r w:rsidR="00FF0CE7" w:rsidRPr="00D55F57">
        <w:rPr>
          <w:rFonts w:cstheme="minorHAnsi"/>
          <w:sz w:val="24"/>
          <w:szCs w:val="24"/>
        </w:rPr>
        <w:t xml:space="preserve">nella stessa composizione </w:t>
      </w:r>
      <w:r w:rsidR="00DD29DC">
        <w:rPr>
          <w:rFonts w:cstheme="minorHAnsi"/>
          <w:sz w:val="24"/>
          <w:szCs w:val="24"/>
        </w:rPr>
        <w:t xml:space="preserve">in sostanza attiva </w:t>
      </w:r>
      <w:r w:rsidR="00FF0CE7" w:rsidRPr="00D55F57">
        <w:rPr>
          <w:rFonts w:cstheme="minorHAnsi"/>
          <w:sz w:val="24"/>
          <w:szCs w:val="24"/>
        </w:rPr>
        <w:t>del medicinale di rifermento</w:t>
      </w:r>
      <w:r w:rsidR="00FF0CE7">
        <w:rPr>
          <w:rFonts w:cstheme="minorHAnsi"/>
          <w:sz w:val="24"/>
          <w:szCs w:val="24"/>
        </w:rPr>
        <w:t xml:space="preserve"> </w:t>
      </w:r>
      <w:r w:rsidR="00A35BC4" w:rsidRPr="005A79EC">
        <w:rPr>
          <w:rFonts w:cstheme="minorHAnsi"/>
          <w:sz w:val="24"/>
          <w:szCs w:val="24"/>
        </w:rPr>
        <w:t xml:space="preserve">SEACOR </w:t>
      </w:r>
      <w:r w:rsidR="00FF0CE7">
        <w:rPr>
          <w:rFonts w:cstheme="minorHAnsi"/>
          <w:sz w:val="24"/>
          <w:szCs w:val="24"/>
        </w:rPr>
        <w:t>e</w:t>
      </w:r>
      <w:r w:rsidR="00DD29DC">
        <w:rPr>
          <w:rFonts w:cstheme="minorHAnsi"/>
          <w:sz w:val="24"/>
          <w:szCs w:val="24"/>
        </w:rPr>
        <w:t xml:space="preserve"> </w:t>
      </w:r>
      <w:r w:rsidR="005A79EC" w:rsidRPr="005A79EC">
        <w:rPr>
          <w:rFonts w:cstheme="minorHAnsi"/>
          <w:sz w:val="24"/>
          <w:szCs w:val="24"/>
        </w:rPr>
        <w:t>risulta essenzialmente simile al medicinale di riferimento sulla base di studi comparativi in vitro</w:t>
      </w:r>
      <w:r w:rsidR="00FF0CE7">
        <w:rPr>
          <w:rFonts w:cstheme="minorHAnsi"/>
          <w:sz w:val="24"/>
          <w:szCs w:val="24"/>
        </w:rPr>
        <w:t xml:space="preserve">. </w:t>
      </w:r>
      <w:r w:rsidR="005A79EC">
        <w:rPr>
          <w:rFonts w:cstheme="minorHAnsi"/>
          <w:sz w:val="24"/>
          <w:szCs w:val="24"/>
        </w:rPr>
        <w:t>Pertanto,</w:t>
      </w:r>
      <w:r w:rsidR="005A79E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5A79EC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FF0CE7">
        <w:rPr>
          <w:rFonts w:cstheme="minorHAnsi"/>
          <w:sz w:val="24"/>
          <w:szCs w:val="24"/>
        </w:rPr>
        <w:t xml:space="preserve"> </w:t>
      </w:r>
      <w:r w:rsidR="00FF0CE7" w:rsidRPr="005A79EC">
        <w:rPr>
          <w:rFonts w:cstheme="minorHAnsi"/>
          <w:sz w:val="24"/>
          <w:szCs w:val="24"/>
        </w:rPr>
        <w:t xml:space="preserve">in accordo </w:t>
      </w:r>
      <w:r w:rsidR="00FF0CE7">
        <w:rPr>
          <w:rFonts w:cstheme="minorHAnsi"/>
          <w:sz w:val="24"/>
          <w:szCs w:val="24"/>
        </w:rPr>
        <w:t>alle linee guida applicabili per questo tipo di prodotto</w:t>
      </w:r>
      <w:r w:rsidR="005A79EC" w:rsidRPr="00A31CC1">
        <w:rPr>
          <w:rFonts w:cstheme="minorHAnsi"/>
          <w:sz w:val="24"/>
          <w:szCs w:val="24"/>
        </w:rPr>
        <w:t xml:space="preserve">. </w:t>
      </w:r>
    </w:p>
    <w:p w14:paraId="431359DA" w14:textId="77777777"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015353B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6B313E3B" w:rsidR="00BB2AF8" w:rsidRPr="00A31CC1" w:rsidRDefault="0086025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6C505D93" w14:textId="77777777" w:rsidR="00CE7FA7" w:rsidRDefault="00CE7FA7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14:paraId="73EE0BF4" w14:textId="30D149FD" w:rsidR="006B311C" w:rsidRPr="00A31CC1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860251">
        <w:rPr>
          <w:rFonts w:eastAsia="Calibri" w:cstheme="minorHAnsi"/>
          <w:sz w:val="24"/>
          <w:szCs w:val="24"/>
          <w:lang w:eastAsia="it-IT"/>
        </w:rPr>
        <w:t>BALIK</w:t>
      </w:r>
      <w:r w:rsidRPr="00CE7FA7">
        <w:rPr>
          <w:rFonts w:eastAsia="Calibri" w:cstheme="minorHAnsi"/>
          <w:sz w:val="24"/>
          <w:szCs w:val="24"/>
          <w:lang w:eastAsia="it-IT"/>
        </w:rPr>
        <w:t xml:space="preserve"> 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sono: </w:t>
      </w:r>
      <w:r w:rsidR="004F52B3" w:rsidRPr="004F52B3">
        <w:rPr>
          <w:rFonts w:eastAsia="Calibri" w:cstheme="minorHAnsi"/>
          <w:sz w:val="24"/>
          <w:szCs w:val="24"/>
          <w:lang w:eastAsia="it-IT"/>
        </w:rPr>
        <w:t>disturbi allo stomaco e/o all’intestino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; </w:t>
      </w:r>
      <w:r w:rsidR="004F52B3" w:rsidRPr="004F52B3">
        <w:rPr>
          <w:rFonts w:eastAsia="Calibri" w:cstheme="minorHAnsi"/>
          <w:sz w:val="24"/>
          <w:szCs w:val="24"/>
          <w:lang w:eastAsia="it-IT"/>
        </w:rPr>
        <w:t>ritmo cardiaco rapido, irregolare</w:t>
      </w:r>
      <w:r w:rsidR="00CE7FA7">
        <w:rPr>
          <w:rFonts w:eastAsia="Calibri" w:cstheme="minorHAnsi"/>
          <w:sz w:val="24"/>
          <w:szCs w:val="24"/>
          <w:lang w:eastAsia="it-IT"/>
        </w:rPr>
        <w:t>.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si rimanda al foglio illustrativo.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040EDE04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7906A8" w:rsidRPr="00A31CC1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6C99888E" w14:textId="219C091B" w:rsidR="00433C5F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4F52B3">
        <w:rPr>
          <w:rFonts w:eastAsia="Calibri" w:cstheme="minorHAnsi"/>
          <w:sz w:val="24"/>
          <w:szCs w:val="24"/>
          <w:lang w:eastAsia="it-IT"/>
        </w:rPr>
        <w:t>SEACOR</w:t>
      </w:r>
      <w:r w:rsidR="00A35BC4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</w:t>
      </w:r>
      <w:r w:rsidR="00433C5F">
        <w:rPr>
          <w:rFonts w:eastAsia="Calibri" w:cstheme="minorHAnsi"/>
          <w:sz w:val="24"/>
          <w:szCs w:val="24"/>
          <w:lang w:eastAsia="it-IT"/>
        </w:rPr>
        <w:t>uperiori ai rischi individuati. L’AIFA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(</w:t>
      </w:r>
      <w:r w:rsidR="004F52B3">
        <w:rPr>
          <w:rFonts w:eastAsia="Calibri" w:cstheme="minorHAnsi"/>
          <w:sz w:val="24"/>
          <w:szCs w:val="24"/>
          <w:lang w:eastAsia="it-IT"/>
        </w:rPr>
        <w:t>classe A</w:t>
      </w:r>
      <w:r w:rsidR="00433C5F">
        <w:rPr>
          <w:rFonts w:eastAsia="Calibri" w:cstheme="minorHAnsi"/>
          <w:sz w:val="24"/>
          <w:szCs w:val="24"/>
          <w:lang w:eastAsia="it-IT"/>
        </w:rPr>
        <w:t>).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60E7AA4E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0B843029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5F364323" w14:textId="77777777"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31AFD9FE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860251">
        <w:rPr>
          <w:rFonts w:eastAsia="Calibri" w:cstheme="minorHAnsi"/>
          <w:b/>
          <w:color w:val="000000"/>
          <w:sz w:val="24"/>
          <w:szCs w:val="24"/>
          <w:lang w:eastAsia="it-IT"/>
        </w:rPr>
        <w:t>BALIK</w:t>
      </w:r>
    </w:p>
    <w:p w14:paraId="317999E8" w14:textId="3BE48CCF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2A34ED">
        <w:rPr>
          <w:rFonts w:eastAsia="Calibri" w:cstheme="minorHAnsi"/>
          <w:b/>
          <w:bCs/>
          <w:iCs/>
          <w:sz w:val="24"/>
          <w:szCs w:val="24"/>
          <w:lang w:eastAsia="it-IT"/>
        </w:rPr>
        <w:t>28 novembre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bookmarkStart w:id="1" w:name="_GoBack"/>
      <w:bookmarkEnd w:id="1"/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lastRenderedPageBreak/>
        <w:t xml:space="preserve">La Relazione Pubblica di Valutazione completa segue questo Riassunto. </w:t>
      </w:r>
    </w:p>
    <w:p w14:paraId="6CC672B3" w14:textId="76AC3394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0" w:anchor="/it/" w:history="1">
        <w:r w:rsidR="007906A8" w:rsidRPr="00DB5B9F">
          <w:rPr>
            <w:rStyle w:val="Collegamentoipertestuale"/>
          </w:rPr>
          <w:t>https://medicinali.aifa.gov.it/it/#/it/</w:t>
        </w:r>
      </w:hyperlink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2F87D3C1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C20A0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C20A01" w:rsidRPr="00C20A01">
        <w:rPr>
          <w:rFonts w:eastAsia="Calibri" w:cstheme="minorHAnsi"/>
          <w:sz w:val="24"/>
          <w:szCs w:val="24"/>
          <w:lang w:eastAsia="it-IT"/>
        </w:rPr>
        <w:t>15</w:t>
      </w:r>
      <w:r w:rsidR="00433C5F" w:rsidRPr="00C20A01">
        <w:rPr>
          <w:rFonts w:eastAsia="Calibri" w:cstheme="minorHAnsi"/>
          <w:sz w:val="24"/>
          <w:szCs w:val="24"/>
          <w:lang w:eastAsia="it-IT"/>
        </w:rPr>
        <w:t>/0</w:t>
      </w:r>
      <w:r w:rsidR="007D5BBB" w:rsidRPr="00C20A01">
        <w:rPr>
          <w:rFonts w:eastAsia="Calibri" w:cstheme="minorHAnsi"/>
          <w:sz w:val="24"/>
          <w:szCs w:val="24"/>
          <w:lang w:eastAsia="it-IT"/>
        </w:rPr>
        <w:t>5</w:t>
      </w:r>
      <w:r w:rsidR="00433C5F" w:rsidRPr="00C20A01">
        <w:rPr>
          <w:rFonts w:eastAsia="Calibri" w:cstheme="minorHAnsi"/>
          <w:sz w:val="24"/>
          <w:szCs w:val="24"/>
          <w:lang w:eastAsia="it-IT"/>
        </w:rPr>
        <w:t>/2025.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4F435C1D" w:rsidR="000D2AEC" w:rsidRDefault="000D2AE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66319EBF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79CE014A" w:rsidR="002F4E1F" w:rsidRDefault="002F4E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F145A02" w14:textId="77777777" w:rsidR="00EF6711" w:rsidRPr="00A31CC1" w:rsidRDefault="00EF6711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E48478" w14:textId="6D123702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860251" w:rsidRPr="00860251">
        <w:rPr>
          <w:rFonts w:cstheme="minorHAnsi"/>
          <w:sz w:val="24"/>
          <w:szCs w:val="24"/>
        </w:rPr>
        <w:t xml:space="preserve">MEDINITALY </w:t>
      </w:r>
      <w:proofErr w:type="spellStart"/>
      <w:r w:rsidR="00860251" w:rsidRPr="00860251">
        <w:rPr>
          <w:rFonts w:cstheme="minorHAnsi"/>
          <w:sz w:val="24"/>
          <w:szCs w:val="24"/>
        </w:rPr>
        <w:t>Pharma</w:t>
      </w:r>
      <w:proofErr w:type="spellEnd"/>
      <w:r w:rsidR="00860251" w:rsidRPr="00860251">
        <w:rPr>
          <w:rFonts w:cstheme="minorHAnsi"/>
          <w:sz w:val="24"/>
          <w:szCs w:val="24"/>
        </w:rPr>
        <w:t xml:space="preserve"> Progress S.r.l.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>28 novembre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>.</w:t>
      </w:r>
      <w:r w:rsidRPr="00A31CC1">
        <w:rPr>
          <w:rFonts w:cstheme="minorHAnsi"/>
          <w:sz w:val="24"/>
          <w:szCs w:val="24"/>
        </w:rPr>
        <w:t xml:space="preserve">  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6F2DAEA9" w:rsidR="004E5A39" w:rsidRPr="00A31CC1" w:rsidRDefault="00860251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4F52B3">
        <w:rPr>
          <w:rFonts w:eastAsia="Calibri" w:cstheme="minorHAnsi"/>
          <w:color w:val="000000"/>
          <w:sz w:val="24"/>
          <w:szCs w:val="24"/>
          <w:lang w:eastAsia="it-IT"/>
        </w:rPr>
        <w:t>può essere ottenuto solo su prescrizione da parte del medico (ricetta ripetibile)</w:t>
      </w:r>
      <w:r w:rsidR="00433C5F">
        <w:rPr>
          <w:rFonts w:cstheme="minorHAnsi"/>
          <w:sz w:val="24"/>
          <w:szCs w:val="24"/>
        </w:rPr>
        <w:t>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7B5D477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33C5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generic</w:t>
      </w:r>
      <w:proofErr w:type="spellEnd"/>
      <w:r w:rsidR="00433C5F" w:rsidRPr="00433C5F">
        <w:rPr>
          <w:rFonts w:cstheme="minorHAnsi"/>
          <w:i/>
          <w:sz w:val="24"/>
          <w:szCs w:val="24"/>
        </w:rPr>
        <w:t xml:space="preserve"> 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A35BC4">
        <w:rPr>
          <w:rFonts w:cstheme="minorHAnsi"/>
          <w:sz w:val="24"/>
          <w:szCs w:val="24"/>
        </w:rPr>
        <w:t>.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3EDBBCCE" w:rsidR="004E5A39" w:rsidRPr="00A31CC1" w:rsidRDefault="00860251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(</w:t>
      </w:r>
      <w:r w:rsidR="00D55F57" w:rsidRPr="00860251">
        <w:rPr>
          <w:rFonts w:cstheme="minorHAnsi"/>
          <w:snapToGrid w:val="0"/>
          <w:sz w:val="24"/>
          <w:szCs w:val="24"/>
        </w:rPr>
        <w:t>Esteri etilici di acidi grassi polinsaturi</w:t>
      </w:r>
      <w:r w:rsidR="00A35BC4">
        <w:rPr>
          <w:rFonts w:cstheme="minorHAnsi"/>
          <w:snapToGrid w:val="0"/>
          <w:sz w:val="24"/>
          <w:szCs w:val="24"/>
        </w:rPr>
        <w:t>, i c.d. Omega-3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D55F57">
        <w:rPr>
          <w:rFonts w:eastAsia="Calibri" w:cstheme="minorHAnsi"/>
          <w:sz w:val="24"/>
          <w:szCs w:val="24"/>
          <w:lang w:eastAsia="it-IT"/>
        </w:rPr>
        <w:t>SEACOR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8470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734D424" w14:textId="77777777" w:rsidR="00D55F57" w:rsidRPr="00D55F57" w:rsidRDefault="00860251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D55F57" w:rsidRPr="00D55F57">
        <w:rPr>
          <w:rFonts w:cstheme="minorHAnsi"/>
          <w:sz w:val="24"/>
          <w:szCs w:val="24"/>
        </w:rPr>
        <w:t>C10AX06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D55F57" w:rsidRPr="00D55F57">
        <w:rPr>
          <w:rFonts w:eastAsia="Calibri" w:cstheme="minorHAnsi"/>
          <w:sz w:val="24"/>
          <w:szCs w:val="24"/>
          <w:lang w:eastAsia="it-IT"/>
        </w:rPr>
        <w:t xml:space="preserve">esteri etilici di acidi grassi polinsaturi (Omega-3) con un contenuto in acido </w:t>
      </w:r>
      <w:proofErr w:type="spellStart"/>
      <w:r w:rsidR="00D55F57" w:rsidRPr="00D55F57">
        <w:rPr>
          <w:rFonts w:eastAsia="Calibri" w:cstheme="minorHAnsi"/>
          <w:sz w:val="24"/>
          <w:szCs w:val="24"/>
          <w:lang w:eastAsia="it-IT"/>
        </w:rPr>
        <w:t>eicosapentaenoico</w:t>
      </w:r>
      <w:proofErr w:type="spellEnd"/>
      <w:r w:rsidR="00D55F57" w:rsidRPr="00D55F57">
        <w:rPr>
          <w:rFonts w:eastAsia="Calibri" w:cstheme="minorHAnsi"/>
          <w:sz w:val="24"/>
          <w:szCs w:val="24"/>
          <w:lang w:eastAsia="it-IT"/>
        </w:rPr>
        <w:t xml:space="preserve"> (EPA) e acido </w:t>
      </w:r>
      <w:proofErr w:type="spellStart"/>
      <w:r w:rsidR="00D55F57" w:rsidRPr="00D55F57">
        <w:rPr>
          <w:rFonts w:eastAsia="Calibri" w:cstheme="minorHAnsi"/>
          <w:sz w:val="24"/>
          <w:szCs w:val="24"/>
          <w:lang w:eastAsia="it-IT"/>
        </w:rPr>
        <w:t>docosaesaenoico</w:t>
      </w:r>
      <w:proofErr w:type="spellEnd"/>
      <w:r w:rsidR="00D55F57" w:rsidRPr="00D55F57">
        <w:rPr>
          <w:rFonts w:eastAsia="Calibri" w:cstheme="minorHAnsi"/>
          <w:sz w:val="24"/>
          <w:szCs w:val="24"/>
          <w:lang w:eastAsia="it-IT"/>
        </w:rPr>
        <w:t xml:space="preserve"> (DHA) non inferiore all’85% ed in rapporto fra loro di 0,9 - 1,5.</w:t>
      </w:r>
    </w:p>
    <w:p w14:paraId="00BB2E2B" w14:textId="77777777" w:rsidR="00D55F57" w:rsidRPr="00D55F57" w:rsidRDefault="00D55F57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55F57">
        <w:rPr>
          <w:rFonts w:eastAsia="Calibri" w:cstheme="minorHAnsi"/>
          <w:sz w:val="24"/>
          <w:szCs w:val="24"/>
          <w:lang w:eastAsia="it-IT"/>
        </w:rPr>
        <w:t xml:space="preserve">Una volta incorporato nei fosfolipidi di membrana, l’EPA fornito direttamente con il farmaco o formatosi dal DHA, compete con l’acido </w:t>
      </w:r>
      <w:proofErr w:type="spellStart"/>
      <w:r w:rsidRPr="00D55F57">
        <w:rPr>
          <w:rFonts w:eastAsia="Calibri" w:cstheme="minorHAnsi"/>
          <w:sz w:val="24"/>
          <w:szCs w:val="24"/>
          <w:lang w:eastAsia="it-IT"/>
        </w:rPr>
        <w:t>arachidonico</w:t>
      </w:r>
      <w:proofErr w:type="spellEnd"/>
      <w:r w:rsidRPr="00D55F57">
        <w:rPr>
          <w:rFonts w:eastAsia="Calibri" w:cstheme="minorHAnsi"/>
          <w:sz w:val="24"/>
          <w:szCs w:val="24"/>
          <w:lang w:eastAsia="it-IT"/>
        </w:rPr>
        <w:t xml:space="preserve"> come substrato di vari processi enzimatici nelle piastrine, nell’endotelio e nei leucociti, dando luogo a un maggiore rilassamento endoteliale, a una ridotta aggregabilità piastrinica e a un ridotto potenziale chemiotattico e </w:t>
      </w:r>
      <w:proofErr w:type="spellStart"/>
      <w:r w:rsidRPr="00D55F57">
        <w:rPr>
          <w:rFonts w:eastAsia="Calibri" w:cstheme="minorHAnsi"/>
          <w:sz w:val="24"/>
          <w:szCs w:val="24"/>
          <w:lang w:eastAsia="it-IT"/>
        </w:rPr>
        <w:t>proinfiammatorio</w:t>
      </w:r>
      <w:proofErr w:type="spellEnd"/>
      <w:r w:rsidRPr="00D55F57">
        <w:rPr>
          <w:rFonts w:eastAsia="Calibri" w:cstheme="minorHAnsi"/>
          <w:sz w:val="24"/>
          <w:szCs w:val="24"/>
          <w:lang w:eastAsia="it-IT"/>
        </w:rPr>
        <w:t xml:space="preserve">, manifestando pertanto un effetto </w:t>
      </w:r>
      <w:proofErr w:type="spellStart"/>
      <w:r w:rsidRPr="00D55F57">
        <w:rPr>
          <w:rFonts w:eastAsia="Calibri" w:cstheme="minorHAnsi"/>
          <w:sz w:val="24"/>
          <w:szCs w:val="24"/>
          <w:lang w:eastAsia="it-IT"/>
        </w:rPr>
        <w:t>antiaterosclerotico</w:t>
      </w:r>
      <w:proofErr w:type="spellEnd"/>
      <w:r w:rsidRPr="00D55F57">
        <w:rPr>
          <w:rFonts w:eastAsia="Calibri" w:cstheme="minorHAnsi"/>
          <w:sz w:val="24"/>
          <w:szCs w:val="24"/>
          <w:lang w:eastAsia="it-IT"/>
        </w:rPr>
        <w:t xml:space="preserve"> e antitrombotico.</w:t>
      </w:r>
    </w:p>
    <w:p w14:paraId="27E6C6DE" w14:textId="77777777" w:rsidR="00D55F57" w:rsidRPr="00D55F57" w:rsidRDefault="00D55F57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55F57">
        <w:rPr>
          <w:rFonts w:eastAsia="Calibri" w:cstheme="minorHAnsi"/>
          <w:sz w:val="24"/>
          <w:szCs w:val="24"/>
          <w:lang w:eastAsia="it-IT"/>
        </w:rPr>
        <w:t xml:space="preserve">L’EPA e il DHA, come altri acidi n-3 polinsaturi, manifestano, anche a basse dosi, un’azione antiaritmica, probabilmente tramite un diretto effetto stabilizzante sui </w:t>
      </w:r>
      <w:proofErr w:type="spellStart"/>
      <w:r w:rsidRPr="00D55F57">
        <w:rPr>
          <w:rFonts w:eastAsia="Calibri" w:cstheme="minorHAnsi"/>
          <w:sz w:val="24"/>
          <w:szCs w:val="24"/>
          <w:lang w:eastAsia="it-IT"/>
        </w:rPr>
        <w:t>cardiomiociti</w:t>
      </w:r>
      <w:proofErr w:type="spellEnd"/>
      <w:r w:rsidRPr="00D55F57">
        <w:rPr>
          <w:rFonts w:eastAsia="Calibri" w:cstheme="minorHAnsi"/>
          <w:sz w:val="24"/>
          <w:szCs w:val="24"/>
          <w:lang w:eastAsia="it-IT"/>
        </w:rPr>
        <w:t>.</w:t>
      </w:r>
    </w:p>
    <w:p w14:paraId="47F0C0D0" w14:textId="41B2B087" w:rsidR="00A01AB1" w:rsidRPr="00A31CC1" w:rsidRDefault="00D55F57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D55F57">
        <w:rPr>
          <w:rFonts w:eastAsia="Calibri" w:cstheme="minorHAnsi"/>
          <w:sz w:val="24"/>
          <w:szCs w:val="24"/>
          <w:lang w:eastAsia="it-IT"/>
        </w:rPr>
        <w:t>I favorevoli effetti cardiovascolari di EPA e DHA includono anche la riduzione dei livelli plasmatici di trigliceridi, di VLDL e di fibrinogeno e l’aumento della deformabilità eritrocitaria con conseguente ri</w:t>
      </w:r>
      <w:r>
        <w:rPr>
          <w:rFonts w:eastAsia="Calibri" w:cstheme="minorHAnsi"/>
          <w:sz w:val="24"/>
          <w:szCs w:val="24"/>
          <w:lang w:eastAsia="it-IT"/>
        </w:rPr>
        <w:t>duzione della viscosità ematica</w:t>
      </w:r>
      <w:r w:rsidR="00692F84" w:rsidRPr="00873571">
        <w:rPr>
          <w:rFonts w:cstheme="minorHAnsi"/>
          <w:sz w:val="24"/>
          <w:szCs w:val="24"/>
        </w:rPr>
        <w:t>.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EC4316" w14:textId="0683D18A" w:rsidR="00265B61" w:rsidRPr="00A31CC1" w:rsidRDefault="00860251" w:rsidP="007B6FC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692F84" w:rsidRPr="00873571">
        <w:rPr>
          <w:rFonts w:cstheme="minorHAnsi"/>
          <w:sz w:val="24"/>
          <w:szCs w:val="24"/>
        </w:rPr>
        <w:t xml:space="preserve">utilizzato </w:t>
      </w:r>
      <w:r w:rsidR="00D55F57">
        <w:rPr>
          <w:rFonts w:cstheme="minorHAnsi"/>
          <w:sz w:val="24"/>
          <w:szCs w:val="24"/>
        </w:rPr>
        <w:t xml:space="preserve">per la </w:t>
      </w:r>
      <w:proofErr w:type="spellStart"/>
      <w:r w:rsidR="00D55F57">
        <w:rPr>
          <w:rFonts w:cstheme="minorHAnsi"/>
          <w:sz w:val="24"/>
          <w:szCs w:val="24"/>
        </w:rPr>
        <w:t>i</w:t>
      </w:r>
      <w:r w:rsidR="00D55F57" w:rsidRPr="00D55F57">
        <w:rPr>
          <w:rFonts w:cstheme="minorHAnsi"/>
          <w:sz w:val="24"/>
          <w:szCs w:val="24"/>
        </w:rPr>
        <w:t>pertrigliceridemia</w:t>
      </w:r>
      <w:proofErr w:type="spellEnd"/>
      <w:r w:rsidR="00D55F57">
        <w:rPr>
          <w:rFonts w:cstheme="minorHAnsi"/>
          <w:sz w:val="24"/>
          <w:szCs w:val="24"/>
        </w:rPr>
        <w:t>: la</w:t>
      </w:r>
      <w:r w:rsidR="00D55F57" w:rsidRPr="00D55F57">
        <w:rPr>
          <w:rFonts w:cstheme="minorHAnsi"/>
          <w:sz w:val="24"/>
          <w:szCs w:val="24"/>
        </w:rPr>
        <w:t xml:space="preserve"> </w:t>
      </w:r>
      <w:r w:rsidR="00D55F57">
        <w:rPr>
          <w:rFonts w:cstheme="minorHAnsi"/>
          <w:sz w:val="24"/>
          <w:szCs w:val="24"/>
        </w:rPr>
        <w:t>r</w:t>
      </w:r>
      <w:r w:rsidR="00D55F57" w:rsidRPr="00D55F57">
        <w:rPr>
          <w:rFonts w:cstheme="minorHAnsi"/>
          <w:sz w:val="24"/>
          <w:szCs w:val="24"/>
        </w:rPr>
        <w:t>iduzione dei livelli elevati di trigliceridi quando la risposta alle diete e ad altre misure non farmacologiche da sole si sia dimostrata insufficiente (il trattamento deve essere sempre associat</w:t>
      </w:r>
      <w:r w:rsidR="00D55F57">
        <w:rPr>
          <w:rFonts w:cstheme="minorHAnsi"/>
          <w:sz w:val="24"/>
          <w:szCs w:val="24"/>
        </w:rPr>
        <w:t>o ad adeguato regime dietetico)</w:t>
      </w:r>
      <w:r w:rsidR="007B6FC1" w:rsidRPr="007B6FC1">
        <w:rPr>
          <w:rFonts w:cstheme="minorHAnsi"/>
          <w:sz w:val="24"/>
          <w:szCs w:val="24"/>
        </w:rPr>
        <w:t>.</w:t>
      </w:r>
    </w:p>
    <w:p w14:paraId="06F2C4FE" w14:textId="77777777" w:rsidR="00393F1F" w:rsidRDefault="00393F1F" w:rsidP="00F964B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6EB0E405" w14:textId="48697E27" w:rsidR="00F964BE" w:rsidRPr="00A31CC1" w:rsidRDefault="00D55F57" w:rsidP="00F964B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55F57">
        <w:rPr>
          <w:rFonts w:cstheme="minorHAnsi"/>
          <w:sz w:val="24"/>
          <w:szCs w:val="24"/>
        </w:rPr>
        <w:t xml:space="preserve">Poiché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D55F57">
        <w:rPr>
          <w:rFonts w:cstheme="minorHAnsi"/>
          <w:sz w:val="24"/>
          <w:szCs w:val="24"/>
        </w:rPr>
        <w:t>contiene un principio attivo noto, non sono stati forniti nuovi dati non clinici e clinici: questo approccio è accettabile poiché il medicinale di riferimento SEACOR è autorizza</w:t>
      </w:r>
      <w:r w:rsidR="00A35BC4">
        <w:rPr>
          <w:rFonts w:cstheme="minorHAnsi"/>
          <w:sz w:val="24"/>
          <w:szCs w:val="24"/>
        </w:rPr>
        <w:t xml:space="preserve">to in Italia da oltre 10 anni.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D55F57">
        <w:rPr>
          <w:rFonts w:cstheme="minorHAnsi"/>
          <w:sz w:val="24"/>
          <w:szCs w:val="24"/>
        </w:rPr>
        <w:t xml:space="preserve">è somministrato come capsule molli nella stessa composizione </w:t>
      </w:r>
      <w:r w:rsidR="00386429">
        <w:rPr>
          <w:rFonts w:cstheme="minorHAnsi"/>
          <w:sz w:val="24"/>
          <w:szCs w:val="24"/>
        </w:rPr>
        <w:t xml:space="preserve">in sostanza attiva </w:t>
      </w:r>
      <w:r w:rsidRPr="00D55F57">
        <w:rPr>
          <w:rFonts w:cstheme="minorHAnsi"/>
          <w:sz w:val="24"/>
          <w:szCs w:val="24"/>
        </w:rPr>
        <w:t>del medicinale di rifermento</w:t>
      </w:r>
      <w:r w:rsidR="00FF0CE7">
        <w:rPr>
          <w:rFonts w:cstheme="minorHAnsi"/>
          <w:sz w:val="24"/>
          <w:szCs w:val="24"/>
        </w:rPr>
        <w:t xml:space="preserve"> </w:t>
      </w:r>
      <w:r w:rsidR="00A35BC4" w:rsidRPr="005A79EC">
        <w:rPr>
          <w:rFonts w:cstheme="minorHAnsi"/>
          <w:sz w:val="24"/>
          <w:szCs w:val="24"/>
        </w:rPr>
        <w:t xml:space="preserve">SEACOR </w:t>
      </w:r>
      <w:r w:rsidR="00FF0CE7">
        <w:rPr>
          <w:rFonts w:cstheme="minorHAnsi"/>
          <w:sz w:val="24"/>
          <w:szCs w:val="24"/>
        </w:rPr>
        <w:t xml:space="preserve">e </w:t>
      </w:r>
      <w:r w:rsidR="00FF0CE7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FF0CE7" w:rsidRPr="00FF0CE7">
        <w:rPr>
          <w:rFonts w:cstheme="minorHAnsi"/>
          <w:i/>
          <w:sz w:val="24"/>
          <w:szCs w:val="24"/>
        </w:rPr>
        <w:t>in vitro</w:t>
      </w:r>
      <w:r w:rsidR="00FF0CE7">
        <w:rPr>
          <w:rFonts w:cstheme="minorHAnsi"/>
          <w:sz w:val="24"/>
          <w:szCs w:val="24"/>
        </w:rPr>
        <w:t xml:space="preserve">. Pertanto, </w:t>
      </w:r>
      <w:r w:rsidRPr="00D55F57">
        <w:rPr>
          <w:rFonts w:cstheme="minorHAnsi"/>
          <w:sz w:val="24"/>
          <w:szCs w:val="24"/>
        </w:rPr>
        <w:t>è stato possibile concedere l’esenzione dalla conduzione di studi clinici di confronto c</w:t>
      </w:r>
      <w:r>
        <w:rPr>
          <w:rFonts w:cstheme="minorHAnsi"/>
          <w:sz w:val="24"/>
          <w:szCs w:val="24"/>
        </w:rPr>
        <w:t>on il medicinale di riferimento sulla base delle linee guida applicabili</w:t>
      </w:r>
      <w:r w:rsidR="00F964BE" w:rsidRPr="00A31CC1">
        <w:rPr>
          <w:rFonts w:cstheme="minorHAnsi"/>
          <w:sz w:val="24"/>
          <w:szCs w:val="24"/>
        </w:rPr>
        <w:t>.</w:t>
      </w:r>
    </w:p>
    <w:p w14:paraId="1DB56BD5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4BC5C01" w14:textId="61FDD24D" w:rsidR="00692F8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692F84">
        <w:rPr>
          <w:rFonts w:cstheme="minorHAnsi"/>
          <w:sz w:val="24"/>
          <w:szCs w:val="24"/>
        </w:rPr>
        <w:t xml:space="preserve"> Sono previste misure addizionali del rischio nella forma di una comunicazione ai professionisti </w:t>
      </w:r>
      <w:r w:rsidR="002A7EF7">
        <w:rPr>
          <w:rFonts w:cstheme="minorHAnsi"/>
          <w:sz w:val="24"/>
          <w:szCs w:val="24"/>
        </w:rPr>
        <w:t xml:space="preserve">sanitari </w:t>
      </w:r>
      <w:r w:rsidR="00692F84">
        <w:rPr>
          <w:rFonts w:cstheme="minorHAnsi"/>
          <w:sz w:val="24"/>
          <w:szCs w:val="24"/>
        </w:rPr>
        <w:t xml:space="preserve">(DHPC, </w:t>
      </w:r>
      <w:r w:rsidR="00692F84" w:rsidRPr="00692F84">
        <w:rPr>
          <w:rFonts w:cstheme="minorHAnsi"/>
          <w:sz w:val="24"/>
          <w:szCs w:val="24"/>
        </w:rPr>
        <w:t>“</w:t>
      </w:r>
      <w:r w:rsidR="00692F84" w:rsidRPr="002F4E1F">
        <w:rPr>
          <w:rFonts w:cstheme="minorHAnsi"/>
          <w:i/>
          <w:sz w:val="24"/>
          <w:szCs w:val="24"/>
        </w:rPr>
        <w:t xml:space="preserve">Direct Healthcare </w:t>
      </w:r>
      <w:proofErr w:type="spellStart"/>
      <w:r w:rsidR="00692F84" w:rsidRPr="002F4E1F">
        <w:rPr>
          <w:rFonts w:cstheme="minorHAnsi"/>
          <w:i/>
          <w:sz w:val="24"/>
          <w:szCs w:val="24"/>
        </w:rPr>
        <w:t>Professionals</w:t>
      </w:r>
      <w:proofErr w:type="spellEnd"/>
      <w:r w:rsidR="00692F84" w:rsidRPr="002F4E1F">
        <w:rPr>
          <w:rFonts w:cstheme="minorHAnsi"/>
          <w:i/>
          <w:sz w:val="24"/>
          <w:szCs w:val="24"/>
        </w:rPr>
        <w:t xml:space="preserve"> </w:t>
      </w:r>
      <w:proofErr w:type="spellStart"/>
      <w:r w:rsidR="00692F84" w:rsidRPr="002F4E1F">
        <w:rPr>
          <w:rFonts w:cstheme="minorHAnsi"/>
          <w:i/>
          <w:sz w:val="24"/>
          <w:szCs w:val="24"/>
        </w:rPr>
        <w:t>Communication</w:t>
      </w:r>
      <w:proofErr w:type="spellEnd"/>
      <w:r w:rsidR="00692F84" w:rsidRPr="00692F84">
        <w:rPr>
          <w:rFonts w:cstheme="minorHAnsi"/>
          <w:sz w:val="24"/>
          <w:szCs w:val="24"/>
        </w:rPr>
        <w:t>”</w:t>
      </w:r>
      <w:r w:rsidR="002A7EF7">
        <w:rPr>
          <w:rFonts w:cstheme="minorHAnsi"/>
          <w:sz w:val="24"/>
          <w:szCs w:val="24"/>
        </w:rPr>
        <w:t>)</w:t>
      </w:r>
      <w:r w:rsidR="00D55F57">
        <w:rPr>
          <w:rFonts w:cstheme="minorHAnsi"/>
          <w:sz w:val="24"/>
          <w:szCs w:val="24"/>
        </w:rPr>
        <w:t xml:space="preserve"> con esonero di distribuzione della stessa</w:t>
      </w:r>
      <w:r w:rsidR="00125003">
        <w:rPr>
          <w:rFonts w:cstheme="minorHAnsi"/>
          <w:sz w:val="24"/>
          <w:szCs w:val="24"/>
        </w:rPr>
        <w:t>.</w:t>
      </w:r>
    </w:p>
    <w:p w14:paraId="35612D64" w14:textId="05E84EBE" w:rsidR="00B862CA" w:rsidRPr="00A31CC1" w:rsidRDefault="00B862C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620C01C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titolare di AIC ha presentato una adeguata giustificazione della non presentazione della Valutazione del Rischio ambientale; questo approccio è accettabile in quanto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2CEF6E2F" w14:textId="71C17B24" w:rsidR="00A046AC" w:rsidRPr="00A31CC1" w:rsidRDefault="00A046AC" w:rsidP="002A7E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45DE5277" w14:textId="269DF7BC" w:rsidR="00CC52A3" w:rsidRPr="00A31CC1" w:rsidRDefault="00CC52A3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7D0E7D57" w14:textId="5F73100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</w:p>
    <w:p w14:paraId="4830720D" w14:textId="4967E61E" w:rsidR="00D55F57" w:rsidRPr="0066421D" w:rsidRDefault="00D55F57" w:rsidP="00D55F57">
      <w:pPr>
        <w:spacing w:after="0" w:line="240" w:lineRule="auto"/>
        <w:jc w:val="both"/>
        <w:rPr>
          <w:rFonts w:ascii="Calibri" w:hAnsi="Calibri"/>
        </w:rPr>
      </w:pPr>
      <w:r w:rsidRPr="0066421D">
        <w:rPr>
          <w:rFonts w:ascii="Calibri" w:hAnsi="Calibri"/>
          <w:u w:val="single"/>
        </w:rPr>
        <w:t>Denominazione</w:t>
      </w:r>
      <w:r w:rsidR="00742CC4">
        <w:rPr>
          <w:rFonts w:ascii="Calibri" w:hAnsi="Calibri"/>
          <w:u w:val="single"/>
        </w:rPr>
        <w:t xml:space="preserve"> chimica</w:t>
      </w:r>
      <w:r w:rsidRPr="0066421D">
        <w:rPr>
          <w:rFonts w:ascii="Calibri" w:hAnsi="Calibri"/>
        </w:rPr>
        <w:t xml:space="preserve">: acidi </w:t>
      </w:r>
      <w:r>
        <w:rPr>
          <w:rFonts w:ascii="Calibri" w:hAnsi="Calibri"/>
        </w:rPr>
        <w:t>(Omega-3)</w:t>
      </w:r>
      <w:r w:rsidRPr="0066421D">
        <w:rPr>
          <w:rFonts w:ascii="Calibri" w:hAnsi="Calibri"/>
        </w:rPr>
        <w:t xml:space="preserve"> esteri etilici 90.</w:t>
      </w:r>
    </w:p>
    <w:p w14:paraId="059429AE" w14:textId="77777777" w:rsidR="00D55F57" w:rsidRPr="0066421D" w:rsidRDefault="00D55F57" w:rsidP="00D55F57">
      <w:pPr>
        <w:spacing w:after="0" w:line="240" w:lineRule="auto"/>
        <w:jc w:val="both"/>
        <w:rPr>
          <w:rFonts w:ascii="Calibri" w:hAnsi="Calibri"/>
        </w:rPr>
      </w:pPr>
      <w:r w:rsidRPr="0066421D">
        <w:rPr>
          <w:rFonts w:ascii="Calibri" w:hAnsi="Calibri"/>
          <w:u w:val="single"/>
        </w:rPr>
        <w:t>Aspetto</w:t>
      </w:r>
      <w:r w:rsidRPr="0066421D">
        <w:rPr>
          <w:rFonts w:ascii="Calibri" w:hAnsi="Calibri"/>
        </w:rPr>
        <w:t>: liquido giallo</w:t>
      </w:r>
      <w:r>
        <w:rPr>
          <w:rFonts w:ascii="Calibri" w:hAnsi="Calibri"/>
        </w:rPr>
        <w:t xml:space="preserve"> chiaro</w:t>
      </w:r>
      <w:r w:rsidRPr="0066421D">
        <w:rPr>
          <w:rFonts w:ascii="Calibri" w:hAnsi="Calibri"/>
        </w:rPr>
        <w:t>.</w:t>
      </w:r>
    </w:p>
    <w:p w14:paraId="200F9A3B" w14:textId="77777777" w:rsidR="00D55F57" w:rsidRPr="0066421D" w:rsidRDefault="00D55F57" w:rsidP="00D55F57">
      <w:pPr>
        <w:spacing w:after="0" w:line="240" w:lineRule="auto"/>
        <w:jc w:val="both"/>
        <w:rPr>
          <w:rFonts w:ascii="Calibri" w:hAnsi="Calibri"/>
        </w:rPr>
      </w:pPr>
      <w:r w:rsidRPr="0066421D">
        <w:rPr>
          <w:rFonts w:ascii="Calibri" w:hAnsi="Calibri"/>
          <w:u w:val="single"/>
        </w:rPr>
        <w:t>Solubilità</w:t>
      </w:r>
      <w:r w:rsidRPr="0066421D">
        <w:rPr>
          <w:rFonts w:ascii="Calibri" w:hAnsi="Calibri"/>
        </w:rPr>
        <w:t xml:space="preserve">: praticamente insolubile in acqua, molto solubile in acetone, etanolo (96%), eptano e metanolo. </w:t>
      </w:r>
    </w:p>
    <w:p w14:paraId="119C8EBF" w14:textId="77777777" w:rsidR="00D55F57" w:rsidRPr="0066421D" w:rsidRDefault="00D55F57" w:rsidP="00D55F57">
      <w:pPr>
        <w:spacing w:after="0" w:line="240" w:lineRule="auto"/>
        <w:jc w:val="both"/>
        <w:rPr>
          <w:rFonts w:ascii="Calibri" w:hAnsi="Calibri"/>
        </w:rPr>
      </w:pPr>
    </w:p>
    <w:p w14:paraId="3E1CE98A" w14:textId="77777777" w:rsidR="00D55F57" w:rsidRPr="0066421D" w:rsidRDefault="00D55F57" w:rsidP="00D55F57">
      <w:pPr>
        <w:pStyle w:val="CorpoA"/>
        <w:spacing w:after="0" w:line="240" w:lineRule="auto"/>
        <w:jc w:val="both"/>
        <w:rPr>
          <w:color w:val="auto"/>
        </w:rPr>
      </w:pPr>
      <w:r w:rsidRPr="0066421D">
        <w:rPr>
          <w:rStyle w:val="NessunoA"/>
          <w:color w:val="auto"/>
        </w:rPr>
        <w:t xml:space="preserve">Il principio attivo </w:t>
      </w:r>
      <w:r>
        <w:rPr>
          <w:color w:val="auto"/>
        </w:rPr>
        <w:t>a</w:t>
      </w:r>
      <w:r w:rsidRPr="0066421D">
        <w:rPr>
          <w:color w:val="auto"/>
        </w:rPr>
        <w:t xml:space="preserve">cidi </w:t>
      </w:r>
      <w:r>
        <w:rPr>
          <w:color w:val="auto"/>
        </w:rPr>
        <w:t>(Omega-3)</w:t>
      </w:r>
      <w:r w:rsidRPr="0066421D">
        <w:rPr>
          <w:color w:val="auto"/>
        </w:rPr>
        <w:t xml:space="preserve"> esteri etilici 90 </w:t>
      </w:r>
      <w:r w:rsidRPr="0066421D">
        <w:rPr>
          <w:rStyle w:val="NessunoA"/>
          <w:color w:val="auto"/>
        </w:rPr>
        <w:t xml:space="preserve">è presente in Farmacopea Europea e il </w:t>
      </w:r>
      <w:proofErr w:type="spellStart"/>
      <w:r w:rsidRPr="0066421D">
        <w:rPr>
          <w:rStyle w:val="NessunoA"/>
          <w:color w:val="auto"/>
        </w:rPr>
        <w:t>Direttorato</w:t>
      </w:r>
      <w:proofErr w:type="spellEnd"/>
      <w:r w:rsidRPr="0066421D">
        <w:rPr>
          <w:rStyle w:val="NessunoA"/>
          <w:color w:val="auto"/>
        </w:rPr>
        <w:t xml:space="preserve"> Europeo per la Qualità dei Medicinali (</w:t>
      </w:r>
      <w:proofErr w:type="spellStart"/>
      <w:r w:rsidRPr="0066421D">
        <w:rPr>
          <w:rStyle w:val="Nessuno"/>
          <w:i/>
          <w:iCs/>
          <w:color w:val="auto"/>
        </w:rPr>
        <w:t>European</w:t>
      </w:r>
      <w:proofErr w:type="spellEnd"/>
      <w:r w:rsidRPr="0066421D">
        <w:rPr>
          <w:rStyle w:val="Nessuno"/>
          <w:i/>
          <w:iCs/>
          <w:color w:val="auto"/>
        </w:rPr>
        <w:t xml:space="preserve"> </w:t>
      </w:r>
      <w:proofErr w:type="spellStart"/>
      <w:r w:rsidRPr="0066421D">
        <w:rPr>
          <w:rStyle w:val="Nessuno"/>
          <w:i/>
          <w:iCs/>
          <w:color w:val="auto"/>
        </w:rPr>
        <w:t>Directorate</w:t>
      </w:r>
      <w:proofErr w:type="spellEnd"/>
      <w:r w:rsidRPr="0066421D">
        <w:rPr>
          <w:rStyle w:val="Nessuno"/>
          <w:i/>
          <w:iCs/>
          <w:color w:val="auto"/>
        </w:rPr>
        <w:t xml:space="preserve"> for </w:t>
      </w:r>
      <w:proofErr w:type="spellStart"/>
      <w:r w:rsidRPr="0066421D">
        <w:rPr>
          <w:rStyle w:val="Nessuno"/>
          <w:i/>
          <w:iCs/>
          <w:color w:val="auto"/>
        </w:rPr>
        <w:t>Quality</w:t>
      </w:r>
      <w:proofErr w:type="spellEnd"/>
      <w:r w:rsidRPr="0066421D">
        <w:rPr>
          <w:rStyle w:val="Nessuno"/>
          <w:i/>
          <w:iCs/>
          <w:color w:val="auto"/>
        </w:rPr>
        <w:t xml:space="preserve"> of </w:t>
      </w:r>
      <w:proofErr w:type="spellStart"/>
      <w:r w:rsidRPr="0066421D">
        <w:rPr>
          <w:rStyle w:val="Nessuno"/>
          <w:i/>
          <w:iCs/>
          <w:color w:val="auto"/>
        </w:rPr>
        <w:t>Medicinals</w:t>
      </w:r>
      <w:proofErr w:type="spellEnd"/>
      <w:r w:rsidRPr="0066421D">
        <w:rPr>
          <w:rStyle w:val="NessunoA"/>
          <w:color w:val="auto"/>
        </w:rPr>
        <w:t xml:space="preserve"> – EDQM) ha rilasciato a</w:t>
      </w:r>
      <w:r>
        <w:rPr>
          <w:rStyle w:val="NessunoA"/>
          <w:color w:val="auto"/>
        </w:rPr>
        <w:t xml:space="preserve">i </w:t>
      </w:r>
      <w:r w:rsidRPr="0066421D">
        <w:rPr>
          <w:rStyle w:val="NessunoA"/>
          <w:color w:val="auto"/>
        </w:rPr>
        <w:t>produttor</w:t>
      </w:r>
      <w:r>
        <w:rPr>
          <w:rStyle w:val="NessunoA"/>
          <w:color w:val="auto"/>
        </w:rPr>
        <w:t>i</w:t>
      </w:r>
      <w:r w:rsidRPr="0066421D">
        <w:rPr>
          <w:rStyle w:val="NessunoA"/>
          <w:color w:val="auto"/>
        </w:rPr>
        <w:t xml:space="preserve"> propost</w:t>
      </w:r>
      <w:r>
        <w:rPr>
          <w:rStyle w:val="NessunoA"/>
          <w:color w:val="auto"/>
        </w:rPr>
        <w:t>i</w:t>
      </w:r>
      <w:r w:rsidRPr="0066421D">
        <w:rPr>
          <w:rStyle w:val="NessunoA"/>
          <w:color w:val="auto"/>
        </w:rPr>
        <w:t xml:space="preserve"> il certificato di conformità alla Farmacopea Europea.</w:t>
      </w:r>
    </w:p>
    <w:p w14:paraId="763816CA" w14:textId="77777777" w:rsidR="00D55F57" w:rsidRPr="0066421D" w:rsidRDefault="00D55F57" w:rsidP="00D55F57">
      <w:pPr>
        <w:pStyle w:val="CorpoA"/>
        <w:spacing w:after="0" w:line="240" w:lineRule="auto"/>
        <w:jc w:val="both"/>
        <w:rPr>
          <w:color w:val="auto"/>
        </w:rPr>
      </w:pPr>
      <w:r w:rsidRPr="0066421D">
        <w:rPr>
          <w:rStyle w:val="NessunoA"/>
          <w:color w:val="auto"/>
        </w:rPr>
        <w:t>Tutti gli aspetti di produzione e controllo sono coperti dal certificato di conformità alla Farmacopea Europea.</w:t>
      </w:r>
    </w:p>
    <w:p w14:paraId="60CF4468" w14:textId="7355446F" w:rsidR="00D55F57" w:rsidRPr="0066421D" w:rsidRDefault="00D55F57" w:rsidP="00D55F57">
      <w:pPr>
        <w:spacing w:after="0" w:line="240" w:lineRule="auto"/>
        <w:jc w:val="both"/>
        <w:rPr>
          <w:rFonts w:ascii="Calibri" w:hAnsi="Calibri"/>
        </w:rPr>
      </w:pPr>
      <w:r w:rsidRPr="0012623C">
        <w:rPr>
          <w:rFonts w:ascii="Calibri" w:hAnsi="Calibri"/>
        </w:rPr>
        <w:t xml:space="preserve">Il periodo di </w:t>
      </w:r>
      <w:proofErr w:type="spellStart"/>
      <w:r w:rsidRPr="0012623C">
        <w:rPr>
          <w:rFonts w:ascii="Calibri" w:hAnsi="Calibri"/>
          <w:i/>
        </w:rPr>
        <w:t>retest</w:t>
      </w:r>
      <w:proofErr w:type="spellEnd"/>
      <w:r w:rsidRPr="0012623C">
        <w:rPr>
          <w:rFonts w:ascii="Calibri" w:hAnsi="Calibri"/>
        </w:rPr>
        <w:t xml:space="preserve"> è definito in 24 mesi per la sostanza fornita da un produttore, quando conservato sotto atmosfera di azoto in contenitore di ferro rivestito con vernice </w:t>
      </w:r>
      <w:proofErr w:type="spellStart"/>
      <w:r w:rsidRPr="0012623C">
        <w:rPr>
          <w:rFonts w:ascii="Calibri" w:hAnsi="Calibri"/>
        </w:rPr>
        <w:t>epossi</w:t>
      </w:r>
      <w:proofErr w:type="spellEnd"/>
      <w:r w:rsidRPr="0012623C">
        <w:rPr>
          <w:rFonts w:ascii="Calibri" w:hAnsi="Calibri"/>
        </w:rPr>
        <w:t xml:space="preserve">-fenolica, e in 36 mesi per la sostanza fornita da un altro produttore, quando conservato sotto atmosfera di azoto in fustini in acciaio a tenuta d’aria o in fustini di acciaio a tenuta d’aria </w:t>
      </w:r>
      <w:r w:rsidR="007906A8" w:rsidRPr="0012623C">
        <w:rPr>
          <w:rFonts w:ascii="Calibri" w:hAnsi="Calibri"/>
        </w:rPr>
        <w:t>rivestiti</w:t>
      </w:r>
      <w:r w:rsidRPr="0012623C">
        <w:rPr>
          <w:rFonts w:ascii="Calibri" w:hAnsi="Calibri"/>
        </w:rPr>
        <w:t xml:space="preserve"> con vernice </w:t>
      </w:r>
      <w:proofErr w:type="spellStart"/>
      <w:r w:rsidRPr="0012623C">
        <w:rPr>
          <w:rFonts w:ascii="Calibri" w:hAnsi="Calibri"/>
        </w:rPr>
        <w:t>epossi</w:t>
      </w:r>
      <w:proofErr w:type="spellEnd"/>
      <w:r w:rsidRPr="0012623C">
        <w:rPr>
          <w:rFonts w:ascii="Calibri" w:hAnsi="Calibri"/>
        </w:rPr>
        <w:t>-fenolica.</w:t>
      </w:r>
    </w:p>
    <w:p w14:paraId="54F2DF62" w14:textId="6C710DEF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51579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1579">
        <w:rPr>
          <w:rFonts w:cstheme="minorHAnsi"/>
          <w:b/>
          <w:sz w:val="24"/>
          <w:szCs w:val="24"/>
        </w:rPr>
        <w:t>Descrizione e composizione</w:t>
      </w:r>
    </w:p>
    <w:p w14:paraId="0A17D9DC" w14:textId="76E40EBF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eastAsia="Calibri" w:cstheme="minorHAnsi"/>
          <w:color w:val="000000"/>
          <w:sz w:val="24"/>
          <w:szCs w:val="24"/>
          <w:lang w:eastAsia="it-IT"/>
        </w:rPr>
        <w:t xml:space="preserve">BALIK </w:t>
      </w:r>
      <w:r w:rsidRPr="00A51579">
        <w:rPr>
          <w:rFonts w:ascii="Calibri" w:eastAsia="Calibri" w:hAnsi="Calibri" w:cs="Calibri"/>
          <w:sz w:val="24"/>
          <w:szCs w:val="24"/>
        </w:rPr>
        <w:t xml:space="preserve">è disponibile in capsule molli contenenti 1000 mg di esteri </w:t>
      </w:r>
      <w:proofErr w:type="spellStart"/>
      <w:r w:rsidRPr="00A51579">
        <w:rPr>
          <w:rFonts w:ascii="Calibri" w:eastAsia="Calibri" w:hAnsi="Calibri" w:cs="Calibri"/>
          <w:sz w:val="24"/>
          <w:szCs w:val="24"/>
        </w:rPr>
        <w:t>esteri</w:t>
      </w:r>
      <w:proofErr w:type="spellEnd"/>
      <w:r w:rsidRPr="00A51579">
        <w:rPr>
          <w:rFonts w:ascii="Calibri" w:eastAsia="Calibri" w:hAnsi="Calibri" w:cs="Calibri"/>
          <w:sz w:val="24"/>
          <w:szCs w:val="24"/>
        </w:rPr>
        <w:t xml:space="preserve"> etilici</w:t>
      </w:r>
      <w:r w:rsidR="0012623C" w:rsidRPr="00A51579">
        <w:rPr>
          <w:rFonts w:ascii="Calibri" w:eastAsia="Calibri" w:hAnsi="Calibri" w:cs="Calibri"/>
          <w:sz w:val="24"/>
          <w:szCs w:val="24"/>
        </w:rPr>
        <w:t xml:space="preserve"> 90</w:t>
      </w:r>
      <w:r w:rsidRPr="00A51579">
        <w:rPr>
          <w:rFonts w:ascii="Calibri" w:eastAsia="Calibri" w:hAnsi="Calibri" w:cs="Calibri"/>
          <w:sz w:val="24"/>
          <w:szCs w:val="24"/>
        </w:rPr>
        <w:t xml:space="preserve"> di acidi grassi polinsaturi (Omega-3)</w:t>
      </w:r>
      <w:r w:rsidRPr="00A51579">
        <w:rPr>
          <w:sz w:val="24"/>
          <w:szCs w:val="24"/>
        </w:rPr>
        <w:t xml:space="preserve"> </w:t>
      </w:r>
      <w:r w:rsidRPr="00A51579">
        <w:rPr>
          <w:rFonts w:ascii="Calibri" w:hAnsi="Calibri"/>
          <w:sz w:val="24"/>
          <w:szCs w:val="24"/>
        </w:rPr>
        <w:t xml:space="preserve">con un contenuto in acido </w:t>
      </w:r>
      <w:proofErr w:type="spellStart"/>
      <w:r w:rsidRPr="00A51579">
        <w:rPr>
          <w:rFonts w:ascii="Calibri" w:hAnsi="Calibri"/>
          <w:sz w:val="24"/>
          <w:szCs w:val="24"/>
        </w:rPr>
        <w:t>eicosapentaenoico</w:t>
      </w:r>
      <w:proofErr w:type="spellEnd"/>
      <w:r w:rsidRPr="00A51579">
        <w:rPr>
          <w:rFonts w:ascii="Calibri" w:hAnsi="Calibri"/>
          <w:sz w:val="24"/>
          <w:szCs w:val="24"/>
        </w:rPr>
        <w:t xml:space="preserve"> (EPA) e acido </w:t>
      </w:r>
      <w:proofErr w:type="spellStart"/>
      <w:r w:rsidRPr="00A51579">
        <w:rPr>
          <w:rFonts w:ascii="Calibri" w:hAnsi="Calibri"/>
          <w:sz w:val="24"/>
          <w:szCs w:val="24"/>
        </w:rPr>
        <w:t>docosaesaenoico</w:t>
      </w:r>
      <w:proofErr w:type="spellEnd"/>
      <w:r w:rsidRPr="00A51579">
        <w:rPr>
          <w:rFonts w:ascii="Calibri" w:hAnsi="Calibri"/>
          <w:sz w:val="24"/>
          <w:szCs w:val="24"/>
        </w:rPr>
        <w:t xml:space="preserve"> (DHA) non inferiore all’85% ed in rapporto fra loro di 0,9 - 1,5</w:t>
      </w:r>
      <w:r w:rsidRPr="00A51579">
        <w:rPr>
          <w:rFonts w:ascii="Calibri" w:eastAsia="Calibri" w:hAnsi="Calibri" w:cs="Calibri"/>
          <w:sz w:val="24"/>
          <w:szCs w:val="24"/>
        </w:rPr>
        <w:t>)</w:t>
      </w:r>
      <w:r w:rsidRPr="00A51579">
        <w:rPr>
          <w:rFonts w:ascii="Calibri" w:hAnsi="Calibri"/>
          <w:sz w:val="24"/>
          <w:szCs w:val="24"/>
        </w:rPr>
        <w:t>.</w:t>
      </w:r>
    </w:p>
    <w:p w14:paraId="500D72D6" w14:textId="2616AEB3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Gli eccipienti all’interno della capsula sono: alfa-</w:t>
      </w:r>
      <w:r w:rsidRPr="00A51579">
        <w:rPr>
          <w:rStyle w:val="Hyperlink0"/>
          <w:rFonts w:ascii="Calibri" w:hAnsi="Calibri"/>
          <w:sz w:val="24"/>
          <w:szCs w:val="24"/>
        </w:rPr>
        <w:t>tocoferolo (nel principio attivo). Gli eccipienti che compongono l’involucro della capsula sono gelatina e glicerolo. Sono possibili tracce di acqua purificata e trigliceridi a catena media.</w:t>
      </w:r>
    </w:p>
    <w:p w14:paraId="2EFB5223" w14:textId="77C94705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Tutti gli eccipienti sono conformi alle relative monografie</w:t>
      </w:r>
      <w:r w:rsidR="0012623C" w:rsidRPr="00A51579">
        <w:rPr>
          <w:rFonts w:ascii="Calibri" w:hAnsi="Calibri"/>
          <w:sz w:val="24"/>
          <w:szCs w:val="24"/>
        </w:rPr>
        <w:t xml:space="preserve"> di Farmacopea Europea</w:t>
      </w:r>
      <w:r w:rsidRPr="00A51579">
        <w:rPr>
          <w:rStyle w:val="Hyperlink0"/>
          <w:rFonts w:ascii="Calibri" w:hAnsi="Calibri"/>
          <w:sz w:val="24"/>
          <w:szCs w:val="24"/>
        </w:rPr>
        <w:t xml:space="preserve">.  </w:t>
      </w:r>
    </w:p>
    <w:p w14:paraId="7A8ACCBF" w14:textId="7FB677E9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Il solo eccipiente di origine animale è la gelatina.</w:t>
      </w:r>
      <w:r w:rsidRPr="00A51579">
        <w:rPr>
          <w:rStyle w:val="Hyperlink0"/>
          <w:rFonts w:ascii="Calibri" w:hAnsi="Calibri"/>
          <w:sz w:val="24"/>
          <w:szCs w:val="24"/>
        </w:rPr>
        <w:t xml:space="preserve"> I produttori di gelatina utilizzati garantiscono che non è usato materiale di origine bovina o suscettibile di trasmissione BSE</w:t>
      </w:r>
      <w:r w:rsidRPr="00A51579">
        <w:rPr>
          <w:rFonts w:ascii="Calibri" w:hAnsi="Calibri"/>
          <w:sz w:val="24"/>
          <w:szCs w:val="24"/>
        </w:rPr>
        <w:t xml:space="preserve">. </w:t>
      </w:r>
    </w:p>
    <w:p w14:paraId="39DDB8E4" w14:textId="77777777" w:rsidR="00D55F57" w:rsidRPr="00A51579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Nessun eccipiente è ottenuto da organismi geneticamente modificati; non sono presenti eccipienti mai utilizzati nell’uomo.</w:t>
      </w:r>
    </w:p>
    <w:p w14:paraId="0A0AE643" w14:textId="77777777" w:rsidR="00D55F57" w:rsidRPr="00A51579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</w:p>
    <w:p w14:paraId="5F304D3D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A51579">
        <w:rPr>
          <w:rFonts w:ascii="Calibri" w:hAnsi="Calibri"/>
          <w:b/>
          <w:sz w:val="24"/>
          <w:szCs w:val="24"/>
        </w:rPr>
        <w:t>Sviluppo farmaceutico</w:t>
      </w:r>
    </w:p>
    <w:p w14:paraId="5B100024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Sono stati forniti dettagli dello sviluppo farmaceutico e questi sono stati ritenuti soddisfacenti.</w:t>
      </w:r>
    </w:p>
    <w:p w14:paraId="0FE23CE6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7546F288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A51579">
        <w:rPr>
          <w:rFonts w:ascii="Calibri" w:hAnsi="Calibri"/>
          <w:b/>
          <w:sz w:val="24"/>
          <w:szCs w:val="24"/>
        </w:rPr>
        <w:t xml:space="preserve">Produzione </w:t>
      </w:r>
    </w:p>
    <w:p w14:paraId="3DD34757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 xml:space="preserve">Sono stati forniti una descrizione del metodo di produzione e il relativo </w:t>
      </w:r>
      <w:r w:rsidRPr="00A51579">
        <w:rPr>
          <w:rFonts w:ascii="Calibri" w:hAnsi="Calibri"/>
          <w:i/>
          <w:sz w:val="24"/>
          <w:szCs w:val="24"/>
        </w:rPr>
        <w:t>flow-chart</w:t>
      </w:r>
      <w:r w:rsidRPr="00A51579">
        <w:rPr>
          <w:rFonts w:ascii="Calibri" w:hAnsi="Calibri"/>
          <w:sz w:val="24"/>
          <w:szCs w:val="24"/>
        </w:rPr>
        <w:t>.</w:t>
      </w:r>
    </w:p>
    <w:p w14:paraId="6D6498DD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7494255" w14:textId="77777777" w:rsidR="00D55F57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4A6F5C3B" w14:textId="77777777" w:rsidR="007906A8" w:rsidRDefault="007906A8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0BE080A9" w14:textId="77777777" w:rsidR="007906A8" w:rsidRPr="00A51579" w:rsidRDefault="007906A8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60828E05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A51579">
        <w:rPr>
          <w:rFonts w:ascii="Calibri" w:hAnsi="Calibri"/>
          <w:b/>
          <w:sz w:val="24"/>
          <w:szCs w:val="24"/>
        </w:rPr>
        <w:lastRenderedPageBreak/>
        <w:t>Specifiche del prodotto finito</w:t>
      </w:r>
    </w:p>
    <w:p w14:paraId="0B8F392D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10912148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14:paraId="2AB687E5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A51579">
        <w:rPr>
          <w:rFonts w:ascii="Calibri" w:hAnsi="Calibri"/>
          <w:b/>
          <w:sz w:val="24"/>
          <w:szCs w:val="24"/>
        </w:rPr>
        <w:t>Contenitore</w:t>
      </w:r>
    </w:p>
    <w:p w14:paraId="378833A2" w14:textId="292F5794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eastAsia="Calibri" w:cstheme="minorHAnsi"/>
          <w:color w:val="000000"/>
          <w:sz w:val="24"/>
          <w:szCs w:val="24"/>
          <w:lang w:eastAsia="it-IT"/>
        </w:rPr>
        <w:t xml:space="preserve">BALIK </w:t>
      </w:r>
      <w:r w:rsidRPr="00A51579">
        <w:rPr>
          <w:rFonts w:ascii="Calibri" w:hAnsi="Calibri"/>
          <w:sz w:val="24"/>
          <w:szCs w:val="24"/>
        </w:rPr>
        <w:t>è disponibile in una confezione da 20 o 30 capsule da 1000 mg in blister bianchi opachi in PVC/PVDC-alluminio.</w:t>
      </w:r>
    </w:p>
    <w:p w14:paraId="7F31A6B7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2ED5A4A8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551A8358" w14:textId="77777777" w:rsidR="00D55F57" w:rsidRPr="00A51579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A51579">
        <w:rPr>
          <w:rFonts w:ascii="Calibri" w:hAnsi="Calibri"/>
          <w:b/>
          <w:sz w:val="24"/>
          <w:szCs w:val="24"/>
        </w:rPr>
        <w:t>Stabilità</w:t>
      </w:r>
    </w:p>
    <w:p w14:paraId="3AFA76FF" w14:textId="4B261129" w:rsidR="004E5A39" w:rsidRPr="00A51579" w:rsidRDefault="00D55F57" w:rsidP="00D55F5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1579">
        <w:rPr>
          <w:rFonts w:ascii="Calibri" w:hAnsi="Calibr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 è stato autorizzato un periodo di validità per il prodotto integro pari a </w:t>
      </w:r>
      <w:r w:rsidR="00F866D1" w:rsidRPr="00A51579">
        <w:rPr>
          <w:rFonts w:ascii="Calibri" w:hAnsi="Calibri"/>
          <w:sz w:val="24"/>
          <w:szCs w:val="24"/>
        </w:rPr>
        <w:t>2</w:t>
      </w:r>
      <w:r w:rsidRPr="00A51579">
        <w:rPr>
          <w:rFonts w:ascii="Calibri" w:hAnsi="Calibri"/>
          <w:sz w:val="24"/>
          <w:szCs w:val="24"/>
        </w:rPr>
        <w:t xml:space="preserve"> anni, con l’indicazione di conservare a temperatura non superiore a 30 °C, nei blister per proteggere dalla luce.</w:t>
      </w:r>
    </w:p>
    <w:p w14:paraId="35B3E197" w14:textId="77777777" w:rsidR="004E5A39" w:rsidRPr="00A5157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51579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1579">
        <w:rPr>
          <w:rFonts w:cstheme="minorHAnsi"/>
          <w:b/>
          <w:sz w:val="24"/>
          <w:szCs w:val="24"/>
        </w:rPr>
        <w:t>II.3</w:t>
      </w:r>
      <w:r w:rsidR="00AC3E39" w:rsidRPr="00A51579">
        <w:rPr>
          <w:rFonts w:cstheme="minorHAnsi"/>
          <w:b/>
          <w:sz w:val="24"/>
          <w:szCs w:val="24"/>
        </w:rPr>
        <w:t xml:space="preserve"> </w:t>
      </w:r>
      <w:r w:rsidRPr="00A51579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7977D6DC" w:rsidR="004E5A39" w:rsidRPr="00A51579" w:rsidRDefault="0012623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1579">
        <w:rPr>
          <w:rFonts w:cstheme="minorHAnsi"/>
          <w:sz w:val="24"/>
          <w:szCs w:val="24"/>
        </w:rPr>
        <w:t>La</w:t>
      </w:r>
      <w:r w:rsidR="004E5A39" w:rsidRPr="00A51579">
        <w:rPr>
          <w:rFonts w:cstheme="minorHAnsi"/>
          <w:sz w:val="24"/>
          <w:szCs w:val="24"/>
        </w:rPr>
        <w:t xml:space="preserve"> qualità di </w:t>
      </w:r>
      <w:r w:rsidR="00860251" w:rsidRPr="00A51579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0808A3" w:rsidRPr="00A51579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51579">
        <w:rPr>
          <w:rFonts w:cstheme="minorHAnsi"/>
          <w:sz w:val="24"/>
          <w:szCs w:val="24"/>
        </w:rPr>
        <w:t xml:space="preserve">è considerata adeguata. </w:t>
      </w:r>
      <w:r w:rsidR="00E42578" w:rsidRPr="00A51579">
        <w:rPr>
          <w:rFonts w:cstheme="minorHAnsi"/>
          <w:sz w:val="24"/>
          <w:szCs w:val="24"/>
        </w:rPr>
        <w:t>Pertanto</w:t>
      </w:r>
      <w:r w:rsidR="009F395B" w:rsidRPr="00A51579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51579">
        <w:rPr>
          <w:rFonts w:cstheme="minorHAnsi"/>
          <w:sz w:val="24"/>
          <w:szCs w:val="24"/>
        </w:rPr>
        <w:t>dal punto di vista chimico-farmaceutico</w:t>
      </w:r>
      <w:r w:rsidR="00610BAB" w:rsidRPr="00A51579">
        <w:rPr>
          <w:rFonts w:cstheme="minorHAnsi"/>
          <w:sz w:val="24"/>
          <w:szCs w:val="24"/>
        </w:rPr>
        <w:t xml:space="preserve"> </w:t>
      </w:r>
      <w:r w:rsidR="00860251" w:rsidRPr="00A51579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323648" w:rsidRPr="00A51579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51579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51579">
        <w:rPr>
          <w:rFonts w:cstheme="minorHAnsi"/>
          <w:sz w:val="24"/>
          <w:szCs w:val="24"/>
        </w:rPr>
        <w:t>.</w:t>
      </w:r>
      <w:r w:rsidR="00323648" w:rsidRPr="00A51579">
        <w:rPr>
          <w:rFonts w:cstheme="minorHAnsi"/>
          <w:sz w:val="24"/>
          <w:szCs w:val="24"/>
        </w:rPr>
        <w:t xml:space="preserve"> </w:t>
      </w:r>
    </w:p>
    <w:p w14:paraId="0448511C" w14:textId="77777777" w:rsidR="004E5A39" w:rsidRPr="00A5157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5157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69A2D479" w14:textId="200A233B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9041E2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presente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F866D1">
        <w:rPr>
          <w:rFonts w:eastAsia="Calibri" w:cstheme="minorHAnsi"/>
          <w:sz w:val="24"/>
          <w:szCs w:val="24"/>
          <w:lang w:eastAsia="it-IT"/>
        </w:rPr>
        <w:t>SEACOR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14:paraId="1F729AFB" w14:textId="77777777"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30E20FF4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26E0403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674AD919" w14:textId="0EE70700" w:rsidR="00853EC6" w:rsidRPr="00A31CC1" w:rsidRDefault="00860251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B6FC1">
        <w:rPr>
          <w:rFonts w:cstheme="minorHAnsi"/>
          <w:sz w:val="24"/>
          <w:szCs w:val="24"/>
        </w:rPr>
        <w:t xml:space="preserve">è </w:t>
      </w:r>
      <w:r w:rsidR="007B6FC1" w:rsidRPr="00873571">
        <w:rPr>
          <w:rFonts w:cstheme="minorHAnsi"/>
          <w:sz w:val="24"/>
          <w:szCs w:val="24"/>
        </w:rPr>
        <w:t xml:space="preserve">utilizzato </w:t>
      </w:r>
      <w:r w:rsidR="007B6FC1">
        <w:rPr>
          <w:rFonts w:cstheme="minorHAnsi"/>
          <w:sz w:val="24"/>
          <w:szCs w:val="24"/>
        </w:rPr>
        <w:t>p</w:t>
      </w:r>
      <w:r w:rsidR="007B6FC1" w:rsidRPr="007B6FC1">
        <w:rPr>
          <w:rFonts w:cstheme="minorHAnsi"/>
          <w:sz w:val="24"/>
          <w:szCs w:val="24"/>
        </w:rPr>
        <w:t xml:space="preserve">er </w:t>
      </w:r>
      <w:r w:rsidR="00F866D1" w:rsidRPr="00F866D1">
        <w:rPr>
          <w:rFonts w:cstheme="minorHAnsi"/>
          <w:sz w:val="24"/>
          <w:szCs w:val="24"/>
        </w:rPr>
        <w:t xml:space="preserve">utilizzato per </w:t>
      </w:r>
      <w:r w:rsidR="00F866D1">
        <w:rPr>
          <w:rFonts w:cstheme="minorHAnsi"/>
          <w:sz w:val="24"/>
          <w:szCs w:val="24"/>
        </w:rPr>
        <w:t xml:space="preserve">la </w:t>
      </w:r>
      <w:proofErr w:type="spellStart"/>
      <w:r w:rsidR="00F866D1">
        <w:rPr>
          <w:rFonts w:cstheme="minorHAnsi"/>
          <w:sz w:val="24"/>
          <w:szCs w:val="24"/>
        </w:rPr>
        <w:t>i</w:t>
      </w:r>
      <w:r w:rsidR="00F866D1" w:rsidRPr="00D55F57">
        <w:rPr>
          <w:rFonts w:cstheme="minorHAnsi"/>
          <w:sz w:val="24"/>
          <w:szCs w:val="24"/>
        </w:rPr>
        <w:t>pertrigliceridemia</w:t>
      </w:r>
      <w:proofErr w:type="spellEnd"/>
      <w:r w:rsidR="00F866D1">
        <w:rPr>
          <w:rFonts w:cstheme="minorHAnsi"/>
          <w:sz w:val="24"/>
          <w:szCs w:val="24"/>
        </w:rPr>
        <w:t>: la</w:t>
      </w:r>
      <w:r w:rsidR="00F866D1" w:rsidRPr="00D55F57">
        <w:rPr>
          <w:rFonts w:cstheme="minorHAnsi"/>
          <w:sz w:val="24"/>
          <w:szCs w:val="24"/>
        </w:rPr>
        <w:t xml:space="preserve"> </w:t>
      </w:r>
      <w:r w:rsidR="00F866D1" w:rsidRPr="00F866D1">
        <w:rPr>
          <w:rFonts w:cstheme="minorHAnsi"/>
          <w:sz w:val="24"/>
          <w:szCs w:val="24"/>
        </w:rPr>
        <w:t>riduzione dei livelli elevati di trigliceridi quando la risposta alle diete e ad altre misure non farmacologiche da sole si sia dimostrata insufficiente (il trattamento deve essere sempre associato ad adeguato regime dietetico)</w:t>
      </w:r>
      <w:r w:rsidR="00853EC6" w:rsidRPr="00A31CC1">
        <w:rPr>
          <w:rFonts w:cstheme="minorHAnsi"/>
          <w:sz w:val="24"/>
          <w:szCs w:val="24"/>
        </w:rPr>
        <w:t>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7B35D3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7B35D3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574E1866"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7B35D3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7B35D3">
        <w:rPr>
          <w:rFonts w:eastAsia="Calibri" w:cstheme="minorHAnsi"/>
          <w:sz w:val="24"/>
          <w:szCs w:val="24"/>
          <w:lang w:eastAsia="it-IT"/>
        </w:rPr>
        <w:t>(</w:t>
      </w:r>
      <w:hyperlink r:id="rId11" w:anchor="/it/" w:history="1">
        <w:r w:rsidR="007906A8" w:rsidRPr="00DB5B9F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Pr="007B35D3">
        <w:rPr>
          <w:rFonts w:eastAsia="Calibri" w:cstheme="minorHAnsi"/>
          <w:sz w:val="24"/>
          <w:szCs w:val="24"/>
          <w:lang w:eastAsia="it-IT"/>
        </w:rPr>
        <w:t>).</w:t>
      </w:r>
    </w:p>
    <w:p w14:paraId="7D9DD53A" w14:textId="77777777"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7B35D3">
        <w:rPr>
          <w:rFonts w:eastAsia="Times New Roman" w:cstheme="minorHAnsi"/>
          <w:b/>
          <w:sz w:val="24"/>
          <w:szCs w:val="24"/>
        </w:rPr>
        <w:t>Farmacologia clinica</w:t>
      </w:r>
    </w:p>
    <w:p w14:paraId="733783F7" w14:textId="38749771" w:rsidR="004631F3" w:rsidRDefault="004E5A39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F4E1F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F4E1F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7B35D3">
        <w:rPr>
          <w:rFonts w:cstheme="minorHAnsi"/>
          <w:sz w:val="24"/>
          <w:szCs w:val="24"/>
        </w:rPr>
        <w:t>SEACOR</w:t>
      </w:r>
      <w:r w:rsidR="00FF0CE7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="007B6F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</w:p>
    <w:p w14:paraId="3F924F8D" w14:textId="77777777" w:rsidR="007B6FC1" w:rsidRDefault="007B6FC1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4EBF78" w14:textId="77777777" w:rsidR="007906A8" w:rsidRDefault="007906A8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0EFD9D" w14:textId="77777777" w:rsidR="007906A8" w:rsidRPr="00A31CC1" w:rsidRDefault="007906A8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CE9A1C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Efficacia e sicurezza clinica</w:t>
      </w:r>
    </w:p>
    <w:p w14:paraId="474DF3C1" w14:textId="182BFB97" w:rsidR="002F4E1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6451B90A" w14:textId="6A5F8D38" w:rsidR="00FF0CE7" w:rsidRPr="00A31CC1" w:rsidRDefault="00FF0CE7" w:rsidP="00FF0CE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cstheme="minorHAnsi"/>
          <w:sz w:val="24"/>
          <w:szCs w:val="24"/>
        </w:rPr>
        <w:t xml:space="preserve"> </w:t>
      </w:r>
      <w:r w:rsidR="00386429" w:rsidRPr="00D55F57">
        <w:rPr>
          <w:rFonts w:cstheme="minorHAnsi"/>
          <w:sz w:val="24"/>
          <w:szCs w:val="24"/>
        </w:rPr>
        <w:t xml:space="preserve">è somministrato come capsule molli nella stessa composizione </w:t>
      </w:r>
      <w:r w:rsidR="00386429">
        <w:rPr>
          <w:rFonts w:cstheme="minorHAnsi"/>
          <w:sz w:val="24"/>
          <w:szCs w:val="24"/>
        </w:rPr>
        <w:t xml:space="preserve">in sostanza attiva </w:t>
      </w:r>
      <w:r w:rsidR="00386429" w:rsidRPr="00D55F57">
        <w:rPr>
          <w:rFonts w:cstheme="minorHAnsi"/>
          <w:sz w:val="24"/>
          <w:szCs w:val="24"/>
        </w:rPr>
        <w:t>del medicinale di rifermento</w:t>
      </w:r>
      <w:r w:rsidR="00386429">
        <w:rPr>
          <w:rFonts w:cstheme="minorHAnsi"/>
          <w:sz w:val="24"/>
          <w:szCs w:val="24"/>
        </w:rPr>
        <w:t xml:space="preserve"> e</w:t>
      </w:r>
      <w:r w:rsidR="00386429" w:rsidRPr="005A79EC">
        <w:rPr>
          <w:rFonts w:cstheme="minorHAnsi"/>
          <w:sz w:val="24"/>
          <w:szCs w:val="24"/>
        </w:rPr>
        <w:t xml:space="preserve"> </w:t>
      </w:r>
      <w:r w:rsidRPr="005A79EC">
        <w:rPr>
          <w:rFonts w:cstheme="minorHAnsi"/>
          <w:sz w:val="24"/>
          <w:szCs w:val="24"/>
        </w:rPr>
        <w:t xml:space="preserve">risulta essenzialmente simile al medicinale di riferimento SEACOR sulla base di studi comparativi </w:t>
      </w:r>
      <w:r w:rsidRPr="00FF0CE7">
        <w:rPr>
          <w:rFonts w:cstheme="minorHAnsi"/>
          <w:i/>
          <w:sz w:val="24"/>
          <w:szCs w:val="24"/>
        </w:rPr>
        <w:t>in vitro</w:t>
      </w:r>
      <w:r w:rsidRPr="005A79EC">
        <w:rPr>
          <w:rFonts w:cstheme="minorHAnsi"/>
          <w:sz w:val="24"/>
          <w:szCs w:val="24"/>
        </w:rPr>
        <w:t xml:space="preserve"> c</w:t>
      </w:r>
      <w:r w:rsidR="00386429">
        <w:rPr>
          <w:rFonts w:cstheme="minorHAnsi"/>
          <w:sz w:val="24"/>
          <w:szCs w:val="24"/>
        </w:rPr>
        <w:t>on il medicinale di riferimento</w:t>
      </w:r>
      <w:r>
        <w:rPr>
          <w:rFonts w:cstheme="minorHAnsi"/>
          <w:sz w:val="24"/>
          <w:szCs w:val="24"/>
        </w:rPr>
        <w:t>. Pertanto,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386429">
        <w:rPr>
          <w:rFonts w:cstheme="minorHAnsi"/>
          <w:sz w:val="24"/>
          <w:szCs w:val="24"/>
        </w:rPr>
        <w:t xml:space="preserve"> </w:t>
      </w:r>
      <w:r w:rsidR="00386429" w:rsidRPr="005A79EC">
        <w:rPr>
          <w:rFonts w:cstheme="minorHAnsi"/>
          <w:sz w:val="24"/>
          <w:szCs w:val="24"/>
        </w:rPr>
        <w:t>in accordo al documento EMA/618604/2008 Rev. 13 “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Questions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 &amp; 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Answers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: positions on 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specific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 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questions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 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addressed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 to the 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Pharmacokinetics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 </w:t>
      </w:r>
      <w:proofErr w:type="spellStart"/>
      <w:r w:rsidR="00386429" w:rsidRPr="00FF0CE7">
        <w:rPr>
          <w:rFonts w:cstheme="minorHAnsi"/>
          <w:i/>
          <w:sz w:val="24"/>
          <w:szCs w:val="24"/>
        </w:rPr>
        <w:t>Working</w:t>
      </w:r>
      <w:proofErr w:type="spellEnd"/>
      <w:r w:rsidR="00386429" w:rsidRPr="00FF0CE7">
        <w:rPr>
          <w:rFonts w:cstheme="minorHAnsi"/>
          <w:i/>
          <w:sz w:val="24"/>
          <w:szCs w:val="24"/>
        </w:rPr>
        <w:t xml:space="preserve"> Party (PKWP)</w:t>
      </w:r>
      <w:r w:rsidR="00386429" w:rsidRPr="005A79EC">
        <w:rPr>
          <w:rFonts w:cstheme="minorHAnsi"/>
          <w:sz w:val="24"/>
          <w:szCs w:val="24"/>
        </w:rPr>
        <w:t>”, in particolare in accordo alla Q&amp;A n. 12 relativa alle capsule molli di gelatina contenenti omega-3</w:t>
      </w:r>
      <w:r w:rsidRPr="00A31CC1">
        <w:rPr>
          <w:rFonts w:cstheme="minorHAnsi"/>
          <w:sz w:val="24"/>
          <w:szCs w:val="24"/>
        </w:rPr>
        <w:t xml:space="preserve">. </w:t>
      </w:r>
    </w:p>
    <w:p w14:paraId="17FAF5EC" w14:textId="5F691ABA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F355D9" w14:textId="77777777"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183F88FB" w:rsidR="004E5A39" w:rsidRPr="00A31CC1" w:rsidRDefault="007906A8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344"/>
        <w:gridCol w:w="6510"/>
      </w:tblGrid>
      <w:tr w:rsidR="00AF1AFD" w:rsidRPr="006222F7" w14:paraId="22971590" w14:textId="77777777" w:rsidTr="00742CC4">
        <w:trPr>
          <w:jc w:val="center"/>
        </w:trPr>
        <w:tc>
          <w:tcPr>
            <w:tcW w:w="1697" w:type="pct"/>
            <w:shd w:val="clear" w:color="auto" w:fill="auto"/>
          </w:tcPr>
          <w:p w14:paraId="1F62F5AA" w14:textId="77777777" w:rsidR="00AF1AFD" w:rsidRPr="00AF1AFD" w:rsidRDefault="00AF1AFD" w:rsidP="00AF1AFD">
            <w:pPr>
              <w:spacing w:after="0" w:line="240" w:lineRule="auto"/>
              <w:rPr>
                <w:lang w:eastAsia="en-GB"/>
              </w:rPr>
            </w:pPr>
            <w:r w:rsidRPr="00AF1AFD">
              <w:rPr>
                <w:lang w:eastAsia="en-GB"/>
              </w:rPr>
              <w:t>Rischi importanti identificati</w:t>
            </w:r>
          </w:p>
        </w:tc>
        <w:tc>
          <w:tcPr>
            <w:tcW w:w="3303" w:type="pct"/>
            <w:shd w:val="clear" w:color="auto" w:fill="auto"/>
            <w:vAlign w:val="center"/>
          </w:tcPr>
          <w:p w14:paraId="32773773" w14:textId="18B9D6C7" w:rsidR="00AF1AFD" w:rsidRPr="00A31CC1" w:rsidRDefault="00AF1AFD" w:rsidP="00AF1A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lang w:eastAsia="en-GB"/>
              </w:rPr>
              <w:t>Fibrillazione atriale</w:t>
            </w:r>
          </w:p>
        </w:tc>
      </w:tr>
      <w:tr w:rsidR="00AF1AFD" w:rsidRPr="006222F7" w14:paraId="7C02AC11" w14:textId="77777777" w:rsidTr="00742CC4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AF1AFD" w:rsidRPr="00AF1AFD" w:rsidRDefault="00AF1AFD" w:rsidP="00AF1AFD">
            <w:pPr>
              <w:spacing w:after="0" w:line="240" w:lineRule="auto"/>
              <w:rPr>
                <w:lang w:eastAsia="en-GB"/>
              </w:rPr>
            </w:pPr>
            <w:r w:rsidRPr="00AF1AFD">
              <w:rPr>
                <w:lang w:eastAsia="en-GB"/>
              </w:rPr>
              <w:t>Rischi importanti potenziali</w:t>
            </w:r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BE8BB6" w14:textId="2C714C9D" w:rsidR="00AF1AFD" w:rsidRPr="00A31CC1" w:rsidRDefault="00AF1AFD" w:rsidP="00AF1AFD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>
              <w:rPr>
                <w:lang w:eastAsia="en-GB"/>
              </w:rPr>
              <w:t>Nessuno</w:t>
            </w:r>
          </w:p>
        </w:tc>
      </w:tr>
      <w:tr w:rsidR="00AF1AFD" w:rsidRPr="006222F7" w14:paraId="6C134585" w14:textId="77777777" w:rsidTr="00742CC4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AF1AFD" w:rsidRPr="00AF1AFD" w:rsidRDefault="00AF1AFD" w:rsidP="00AF1AFD">
            <w:pPr>
              <w:spacing w:after="0" w:line="240" w:lineRule="auto"/>
              <w:rPr>
                <w:lang w:eastAsia="en-GB"/>
              </w:rPr>
            </w:pPr>
            <w:r w:rsidRPr="00AF1AFD">
              <w:rPr>
                <w:lang w:eastAsia="en-GB"/>
              </w:rPr>
              <w:t>Informazioni mancanti</w:t>
            </w:r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1194DEFB" w:rsidR="00AF1AFD" w:rsidRPr="00A31CC1" w:rsidRDefault="00AF1AFD" w:rsidP="00AF1A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lang w:eastAsia="en-GB"/>
              </w:rPr>
              <w:t>Nessuna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09423528" w14:textId="50044E82" w:rsidR="009254CC" w:rsidRPr="00A31CC1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sono previste attività addizionali di minimizzazione del rischio</w:t>
      </w:r>
      <w:r w:rsidR="00125003">
        <w:rPr>
          <w:rFonts w:cstheme="minorHAnsi"/>
          <w:sz w:val="24"/>
          <w:szCs w:val="24"/>
        </w:rPr>
        <w:t xml:space="preserve"> nella forma di una comunicazione </w:t>
      </w:r>
      <w:r w:rsidR="00386429">
        <w:rPr>
          <w:rFonts w:cstheme="minorHAnsi"/>
          <w:sz w:val="24"/>
          <w:szCs w:val="24"/>
        </w:rPr>
        <w:t>diretta ai</w:t>
      </w:r>
      <w:r w:rsidR="00125003">
        <w:rPr>
          <w:rFonts w:cstheme="minorHAnsi"/>
          <w:sz w:val="24"/>
          <w:szCs w:val="24"/>
        </w:rPr>
        <w:t xml:space="preserve"> professionisti sanitari (DHPC, </w:t>
      </w:r>
      <w:r w:rsidR="00125003" w:rsidRPr="00692F84">
        <w:rPr>
          <w:rFonts w:cstheme="minorHAnsi"/>
          <w:sz w:val="24"/>
          <w:szCs w:val="24"/>
        </w:rPr>
        <w:t>“</w:t>
      </w:r>
      <w:r w:rsidR="00125003" w:rsidRPr="002F4E1F">
        <w:rPr>
          <w:rFonts w:cstheme="minorHAnsi"/>
          <w:i/>
          <w:sz w:val="24"/>
          <w:szCs w:val="24"/>
        </w:rPr>
        <w:t xml:space="preserve">Direct Healthcare </w:t>
      </w:r>
      <w:proofErr w:type="spellStart"/>
      <w:r w:rsidR="00125003" w:rsidRPr="002F4E1F">
        <w:rPr>
          <w:rFonts w:cstheme="minorHAnsi"/>
          <w:i/>
          <w:sz w:val="24"/>
          <w:szCs w:val="24"/>
        </w:rPr>
        <w:t>Professionals</w:t>
      </w:r>
      <w:proofErr w:type="spellEnd"/>
      <w:r w:rsidR="00125003" w:rsidRPr="002F4E1F">
        <w:rPr>
          <w:rFonts w:cstheme="minorHAnsi"/>
          <w:i/>
          <w:sz w:val="24"/>
          <w:szCs w:val="24"/>
        </w:rPr>
        <w:t xml:space="preserve"> </w:t>
      </w:r>
      <w:proofErr w:type="spellStart"/>
      <w:r w:rsidR="00125003" w:rsidRPr="002F4E1F">
        <w:rPr>
          <w:rFonts w:cstheme="minorHAnsi"/>
          <w:i/>
          <w:sz w:val="24"/>
          <w:szCs w:val="24"/>
        </w:rPr>
        <w:t>Communication</w:t>
      </w:r>
      <w:proofErr w:type="spellEnd"/>
      <w:r w:rsidR="00125003" w:rsidRPr="00692F84">
        <w:rPr>
          <w:rFonts w:cstheme="minorHAnsi"/>
          <w:sz w:val="24"/>
          <w:szCs w:val="24"/>
        </w:rPr>
        <w:t>”</w:t>
      </w:r>
      <w:r w:rsidR="00125003">
        <w:rPr>
          <w:rFonts w:cstheme="minorHAnsi"/>
          <w:sz w:val="24"/>
          <w:szCs w:val="24"/>
        </w:rPr>
        <w:t>)</w:t>
      </w:r>
      <w:r w:rsidR="00386429">
        <w:rPr>
          <w:rFonts w:cstheme="minorHAnsi"/>
          <w:sz w:val="24"/>
          <w:szCs w:val="24"/>
        </w:rPr>
        <w:t xml:space="preserve"> </w:t>
      </w:r>
      <w:r w:rsidR="00935D15">
        <w:rPr>
          <w:rFonts w:cstheme="minorHAnsi"/>
          <w:sz w:val="24"/>
          <w:szCs w:val="24"/>
        </w:rPr>
        <w:t>c</w:t>
      </w:r>
      <w:r w:rsidR="00386429">
        <w:rPr>
          <w:rFonts w:cstheme="minorHAnsi"/>
          <w:sz w:val="24"/>
          <w:szCs w:val="24"/>
        </w:rPr>
        <w:t>on esonero di distribuzione della stessa, per in</w:t>
      </w:r>
      <w:r w:rsidR="00386429" w:rsidRPr="00386429">
        <w:rPr>
          <w:rFonts w:cstheme="minorHAnsi"/>
          <w:sz w:val="24"/>
          <w:szCs w:val="24"/>
        </w:rPr>
        <w:t>formare gli operatori sanitari sull'aumento del rischio dose-dipendente di fibrillazione atriale nei pazienti con malattie cardiovascolari accertate o fattori di rischio cardiovascolare trattati con medicinali a base di esteri etilici degli acidi omega-3.</w:t>
      </w:r>
      <w:r w:rsidR="009254CC" w:rsidRPr="00A31CC1">
        <w:rPr>
          <w:rFonts w:cstheme="minorHAnsi"/>
          <w:sz w:val="24"/>
          <w:szCs w:val="24"/>
        </w:rPr>
        <w:t xml:space="preserve"> 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6512036B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2F4E1F">
        <w:rPr>
          <w:rFonts w:cstheme="minorHAnsi"/>
          <w:i/>
          <w:sz w:val="24"/>
          <w:szCs w:val="24"/>
        </w:rPr>
        <w:t>Summary</w:t>
      </w:r>
      <w:proofErr w:type="spellEnd"/>
      <w:r w:rsidR="009568D6" w:rsidRPr="002F4E1F">
        <w:rPr>
          <w:rFonts w:cstheme="minorHAnsi"/>
          <w:i/>
          <w:sz w:val="24"/>
          <w:szCs w:val="24"/>
        </w:rPr>
        <w:t xml:space="preserve"> </w:t>
      </w:r>
      <w:r w:rsidRPr="002F4E1F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700FC2DC" w14:textId="1242E48A"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2425BA6D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4A1BC8F3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7050AF48" w14:textId="7F5F9AAF" w:rsidR="003974FD" w:rsidRPr="00A31CC1" w:rsidRDefault="003974FD" w:rsidP="003974F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</w:t>
      </w:r>
      <w:proofErr w:type="spellStart"/>
      <w:r w:rsidRPr="00935D15">
        <w:rPr>
          <w:rFonts w:cstheme="minorHAnsi"/>
          <w:i/>
          <w:sz w:val="24"/>
          <w:szCs w:val="24"/>
        </w:rPr>
        <w:t>bridging</w:t>
      </w:r>
      <w:proofErr w:type="spellEnd"/>
      <w:r w:rsidRPr="00A31CC1">
        <w:rPr>
          <w:rFonts w:cstheme="minorHAnsi"/>
          <w:sz w:val="24"/>
          <w:szCs w:val="24"/>
        </w:rPr>
        <w:t xml:space="preserve"> </w:t>
      </w:r>
      <w:r w:rsidRPr="00935D15">
        <w:rPr>
          <w:rFonts w:cstheme="minorHAnsi"/>
          <w:i/>
          <w:sz w:val="24"/>
          <w:szCs w:val="24"/>
        </w:rPr>
        <w:t>report</w:t>
      </w:r>
      <w:r w:rsidRPr="00A31CC1">
        <w:rPr>
          <w:rFonts w:cstheme="minorHAnsi"/>
          <w:sz w:val="24"/>
          <w:szCs w:val="24"/>
        </w:rPr>
        <w:t xml:space="preserve"> presentato dalla società è stato ritenuto accettabile </w:t>
      </w:r>
      <w:r>
        <w:rPr>
          <w:rFonts w:cstheme="minorHAnsi"/>
          <w:sz w:val="24"/>
          <w:szCs w:val="24"/>
        </w:rPr>
        <w:t xml:space="preserve">essendo stato confrontato con il foglio illustrativo del medicinale di riferimento avente </w:t>
      </w:r>
      <w:r w:rsidR="00386429">
        <w:rPr>
          <w:rFonts w:cstheme="minorHAnsi"/>
          <w:sz w:val="24"/>
          <w:szCs w:val="24"/>
        </w:rPr>
        <w:t xml:space="preserve">stesse informazioni </w:t>
      </w:r>
      <w:r>
        <w:rPr>
          <w:rFonts w:cstheme="minorHAnsi"/>
          <w:sz w:val="24"/>
          <w:szCs w:val="24"/>
        </w:rPr>
        <w:t xml:space="preserve">sull’efficacia e la sicurezza ed essendo le differenze su stile, </w:t>
      </w:r>
      <w:r w:rsidRPr="00935D15">
        <w:rPr>
          <w:rFonts w:cstheme="minorHAnsi"/>
          <w:i/>
          <w:sz w:val="24"/>
          <w:szCs w:val="24"/>
        </w:rPr>
        <w:t>font</w:t>
      </w:r>
      <w:r>
        <w:rPr>
          <w:rFonts w:cstheme="minorHAnsi"/>
          <w:sz w:val="24"/>
          <w:szCs w:val="24"/>
        </w:rPr>
        <w:t xml:space="preserve"> e </w:t>
      </w:r>
      <w:r w:rsidRPr="00935D15">
        <w:rPr>
          <w:rFonts w:cstheme="minorHAnsi"/>
          <w:i/>
          <w:sz w:val="24"/>
          <w:szCs w:val="24"/>
        </w:rPr>
        <w:t>layout</w:t>
      </w:r>
      <w:r>
        <w:rPr>
          <w:rFonts w:cstheme="minorHAnsi"/>
          <w:sz w:val="24"/>
          <w:szCs w:val="24"/>
        </w:rPr>
        <w:t xml:space="preserve"> non significative.</w:t>
      </w:r>
    </w:p>
    <w:p w14:paraId="5607478C" w14:textId="77777777" w:rsidR="003974FD" w:rsidRPr="00A31CC1" w:rsidRDefault="003974F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385D4" w14:textId="5876D235" w:rsidR="004631F3" w:rsidRPr="00A31CC1" w:rsidRDefault="004631F3" w:rsidP="0012500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EA1FE2B" w14:textId="77777777" w:rsidR="004E5A3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EB85C3" w14:textId="77777777" w:rsidR="007906A8" w:rsidRPr="00A31CC1" w:rsidRDefault="007906A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CONCLUSIONI, VALUTAZIONE DEL RAPPORTO BENEFICIO/RISCHIO E RACCOMANDAZIONI</w:t>
      </w:r>
    </w:p>
    <w:p w14:paraId="72FC8FF0" w14:textId="7400519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6ED2BE6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860251">
        <w:rPr>
          <w:rFonts w:eastAsia="Calibri" w:cstheme="minorHAnsi"/>
          <w:color w:val="000000"/>
          <w:sz w:val="24"/>
          <w:szCs w:val="24"/>
          <w:lang w:eastAsia="it-IT"/>
        </w:rPr>
        <w:t>BALIK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44512FD7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2" w:anchor="/it/" w:history="1">
        <w:r w:rsidR="007906A8" w:rsidRPr="00DB5B9F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BEC988A" w16cex:dateUtc="2025-05-21T1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481D93" w16cid:durableId="6BEC98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922C4" w14:textId="77777777" w:rsidR="004736C1" w:rsidRDefault="004736C1" w:rsidP="00C07183">
      <w:pPr>
        <w:spacing w:after="0" w:line="240" w:lineRule="auto"/>
      </w:pPr>
      <w:r>
        <w:separator/>
      </w:r>
    </w:p>
  </w:endnote>
  <w:endnote w:type="continuationSeparator" w:id="0">
    <w:p w14:paraId="1E76FFD6" w14:textId="77777777" w:rsidR="004736C1" w:rsidRDefault="004736C1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57A1B388" w:rsidR="00393F1F" w:rsidRDefault="009D462E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1312" behindDoc="1" locked="0" layoutInCell="1" allowOverlap="1" wp14:anchorId="2A485703" wp14:editId="13C915F0">
          <wp:simplePos x="0" y="0"/>
          <wp:positionH relativeFrom="page">
            <wp:posOffset>6149</wp:posOffset>
          </wp:positionH>
          <wp:positionV relativeFrom="page">
            <wp:posOffset>10022840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1C2A" w14:textId="77777777" w:rsidR="004736C1" w:rsidRDefault="004736C1" w:rsidP="00C07183">
      <w:pPr>
        <w:spacing w:after="0" w:line="240" w:lineRule="auto"/>
      </w:pPr>
      <w:r>
        <w:separator/>
      </w:r>
    </w:p>
  </w:footnote>
  <w:footnote w:type="continuationSeparator" w:id="0">
    <w:p w14:paraId="7D67B631" w14:textId="77777777" w:rsidR="004736C1" w:rsidRDefault="004736C1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1B04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B6D"/>
    <w:rsid w:val="00071E63"/>
    <w:rsid w:val="000759F6"/>
    <w:rsid w:val="000808A3"/>
    <w:rsid w:val="000A4BA1"/>
    <w:rsid w:val="000B2CB0"/>
    <w:rsid w:val="000B7AC8"/>
    <w:rsid w:val="000C1389"/>
    <w:rsid w:val="000D2AEC"/>
    <w:rsid w:val="000E1F86"/>
    <w:rsid w:val="000E4494"/>
    <w:rsid w:val="000E4A73"/>
    <w:rsid w:val="000F658F"/>
    <w:rsid w:val="00111E9E"/>
    <w:rsid w:val="00112B76"/>
    <w:rsid w:val="00125003"/>
    <w:rsid w:val="0012623C"/>
    <w:rsid w:val="00126BC8"/>
    <w:rsid w:val="001334B1"/>
    <w:rsid w:val="001460CA"/>
    <w:rsid w:val="00172AED"/>
    <w:rsid w:val="001A516D"/>
    <w:rsid w:val="001B2799"/>
    <w:rsid w:val="001B599D"/>
    <w:rsid w:val="001C15DF"/>
    <w:rsid w:val="001C4323"/>
    <w:rsid w:val="001F0D20"/>
    <w:rsid w:val="001F5E2F"/>
    <w:rsid w:val="00212092"/>
    <w:rsid w:val="0021736D"/>
    <w:rsid w:val="00245B04"/>
    <w:rsid w:val="00250B7A"/>
    <w:rsid w:val="00252FE8"/>
    <w:rsid w:val="002554FE"/>
    <w:rsid w:val="00265B61"/>
    <w:rsid w:val="00277A0E"/>
    <w:rsid w:val="00295EEA"/>
    <w:rsid w:val="00297F10"/>
    <w:rsid w:val="002A1800"/>
    <w:rsid w:val="002A34ED"/>
    <w:rsid w:val="002A7EF7"/>
    <w:rsid w:val="002B662A"/>
    <w:rsid w:val="002C2324"/>
    <w:rsid w:val="002C2D9F"/>
    <w:rsid w:val="002F2543"/>
    <w:rsid w:val="002F4000"/>
    <w:rsid w:val="002F4E1F"/>
    <w:rsid w:val="00300BEA"/>
    <w:rsid w:val="00305B55"/>
    <w:rsid w:val="003061E0"/>
    <w:rsid w:val="00323648"/>
    <w:rsid w:val="003238CF"/>
    <w:rsid w:val="00330DFA"/>
    <w:rsid w:val="00340DC4"/>
    <w:rsid w:val="00345EDF"/>
    <w:rsid w:val="003460E9"/>
    <w:rsid w:val="003544C6"/>
    <w:rsid w:val="00356175"/>
    <w:rsid w:val="00367CE0"/>
    <w:rsid w:val="00375039"/>
    <w:rsid w:val="00386429"/>
    <w:rsid w:val="00387CA8"/>
    <w:rsid w:val="00393F1F"/>
    <w:rsid w:val="003949F9"/>
    <w:rsid w:val="003974FD"/>
    <w:rsid w:val="003B0421"/>
    <w:rsid w:val="003B68D5"/>
    <w:rsid w:val="003C054E"/>
    <w:rsid w:val="003E1E83"/>
    <w:rsid w:val="0041387F"/>
    <w:rsid w:val="004214DB"/>
    <w:rsid w:val="0042214D"/>
    <w:rsid w:val="00423A97"/>
    <w:rsid w:val="004241AC"/>
    <w:rsid w:val="004300E2"/>
    <w:rsid w:val="00433C5F"/>
    <w:rsid w:val="00442A9D"/>
    <w:rsid w:val="00445DB2"/>
    <w:rsid w:val="004509BC"/>
    <w:rsid w:val="004532E2"/>
    <w:rsid w:val="004609F8"/>
    <w:rsid w:val="00461D93"/>
    <w:rsid w:val="004631F3"/>
    <w:rsid w:val="004736C1"/>
    <w:rsid w:val="00482C32"/>
    <w:rsid w:val="004933F6"/>
    <w:rsid w:val="004B20A8"/>
    <w:rsid w:val="004B5B15"/>
    <w:rsid w:val="004C7928"/>
    <w:rsid w:val="004E28E5"/>
    <w:rsid w:val="004E5A39"/>
    <w:rsid w:val="004E70F5"/>
    <w:rsid w:val="004F343B"/>
    <w:rsid w:val="004F52B3"/>
    <w:rsid w:val="00500ACA"/>
    <w:rsid w:val="005049A1"/>
    <w:rsid w:val="00504FC1"/>
    <w:rsid w:val="005250B6"/>
    <w:rsid w:val="005256F6"/>
    <w:rsid w:val="005527E7"/>
    <w:rsid w:val="00552DF6"/>
    <w:rsid w:val="0056372C"/>
    <w:rsid w:val="00567615"/>
    <w:rsid w:val="005744D4"/>
    <w:rsid w:val="00577746"/>
    <w:rsid w:val="00577DAC"/>
    <w:rsid w:val="005826A6"/>
    <w:rsid w:val="005950D6"/>
    <w:rsid w:val="005A466E"/>
    <w:rsid w:val="005A4BBD"/>
    <w:rsid w:val="005A79EC"/>
    <w:rsid w:val="005B4C97"/>
    <w:rsid w:val="005C2427"/>
    <w:rsid w:val="005C45B7"/>
    <w:rsid w:val="005C45FE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92F84"/>
    <w:rsid w:val="006A3A37"/>
    <w:rsid w:val="006B311C"/>
    <w:rsid w:val="006B3E12"/>
    <w:rsid w:val="006C0722"/>
    <w:rsid w:val="006C08B4"/>
    <w:rsid w:val="006C5811"/>
    <w:rsid w:val="006D7B8C"/>
    <w:rsid w:val="006F44C7"/>
    <w:rsid w:val="007040E0"/>
    <w:rsid w:val="00712DB3"/>
    <w:rsid w:val="00716DF5"/>
    <w:rsid w:val="007170D7"/>
    <w:rsid w:val="007221B6"/>
    <w:rsid w:val="007351FF"/>
    <w:rsid w:val="00742CC4"/>
    <w:rsid w:val="00745609"/>
    <w:rsid w:val="00747E46"/>
    <w:rsid w:val="00766E26"/>
    <w:rsid w:val="00776889"/>
    <w:rsid w:val="0078608F"/>
    <w:rsid w:val="0078680B"/>
    <w:rsid w:val="007906A8"/>
    <w:rsid w:val="00797416"/>
    <w:rsid w:val="007A1C0E"/>
    <w:rsid w:val="007A23BF"/>
    <w:rsid w:val="007B35D3"/>
    <w:rsid w:val="007B6FC1"/>
    <w:rsid w:val="007C0622"/>
    <w:rsid w:val="007D2539"/>
    <w:rsid w:val="007D5BBB"/>
    <w:rsid w:val="007E4E98"/>
    <w:rsid w:val="00811B01"/>
    <w:rsid w:val="00823F4C"/>
    <w:rsid w:val="008375CF"/>
    <w:rsid w:val="00853EC6"/>
    <w:rsid w:val="008547B3"/>
    <w:rsid w:val="00860251"/>
    <w:rsid w:val="00873571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D9E"/>
    <w:rsid w:val="008F117D"/>
    <w:rsid w:val="009041E2"/>
    <w:rsid w:val="00910397"/>
    <w:rsid w:val="00912AE1"/>
    <w:rsid w:val="009232AA"/>
    <w:rsid w:val="009254CC"/>
    <w:rsid w:val="00935D15"/>
    <w:rsid w:val="00943785"/>
    <w:rsid w:val="009565BA"/>
    <w:rsid w:val="009568D6"/>
    <w:rsid w:val="00957832"/>
    <w:rsid w:val="00963FDA"/>
    <w:rsid w:val="0098470E"/>
    <w:rsid w:val="0099120C"/>
    <w:rsid w:val="00995C46"/>
    <w:rsid w:val="00997646"/>
    <w:rsid w:val="00997F05"/>
    <w:rsid w:val="009A23DE"/>
    <w:rsid w:val="009A260F"/>
    <w:rsid w:val="009B03DB"/>
    <w:rsid w:val="009B1E44"/>
    <w:rsid w:val="009C3E8B"/>
    <w:rsid w:val="009D3446"/>
    <w:rsid w:val="009D462E"/>
    <w:rsid w:val="009E0140"/>
    <w:rsid w:val="009E2BC0"/>
    <w:rsid w:val="009F25D7"/>
    <w:rsid w:val="009F3867"/>
    <w:rsid w:val="009F395B"/>
    <w:rsid w:val="009F5439"/>
    <w:rsid w:val="009F584E"/>
    <w:rsid w:val="00A01AB1"/>
    <w:rsid w:val="00A03645"/>
    <w:rsid w:val="00A046AC"/>
    <w:rsid w:val="00A11FD6"/>
    <w:rsid w:val="00A150D9"/>
    <w:rsid w:val="00A247C5"/>
    <w:rsid w:val="00A31CC1"/>
    <w:rsid w:val="00A35BC4"/>
    <w:rsid w:val="00A40FF3"/>
    <w:rsid w:val="00A47604"/>
    <w:rsid w:val="00A51579"/>
    <w:rsid w:val="00A62D55"/>
    <w:rsid w:val="00A83AB4"/>
    <w:rsid w:val="00A84362"/>
    <w:rsid w:val="00A86F5A"/>
    <w:rsid w:val="00A908B9"/>
    <w:rsid w:val="00A90DD0"/>
    <w:rsid w:val="00A966D1"/>
    <w:rsid w:val="00AA516E"/>
    <w:rsid w:val="00AC3E39"/>
    <w:rsid w:val="00AC586B"/>
    <w:rsid w:val="00AD051C"/>
    <w:rsid w:val="00AD4BE6"/>
    <w:rsid w:val="00AF1AFD"/>
    <w:rsid w:val="00AF52E2"/>
    <w:rsid w:val="00B023E9"/>
    <w:rsid w:val="00B03E01"/>
    <w:rsid w:val="00B1186F"/>
    <w:rsid w:val="00B15135"/>
    <w:rsid w:val="00B30431"/>
    <w:rsid w:val="00B3391B"/>
    <w:rsid w:val="00B441D6"/>
    <w:rsid w:val="00B51571"/>
    <w:rsid w:val="00B66CC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0A01"/>
    <w:rsid w:val="00C2462C"/>
    <w:rsid w:val="00C2565A"/>
    <w:rsid w:val="00C344A5"/>
    <w:rsid w:val="00C35B02"/>
    <w:rsid w:val="00C42AAC"/>
    <w:rsid w:val="00C50582"/>
    <w:rsid w:val="00C51FF1"/>
    <w:rsid w:val="00C5359E"/>
    <w:rsid w:val="00C56FA9"/>
    <w:rsid w:val="00C66597"/>
    <w:rsid w:val="00C74500"/>
    <w:rsid w:val="00C801B0"/>
    <w:rsid w:val="00CC1489"/>
    <w:rsid w:val="00CC52A3"/>
    <w:rsid w:val="00CC7AFF"/>
    <w:rsid w:val="00CE62A1"/>
    <w:rsid w:val="00CE7FA7"/>
    <w:rsid w:val="00CF08A6"/>
    <w:rsid w:val="00D20170"/>
    <w:rsid w:val="00D212AA"/>
    <w:rsid w:val="00D36F9A"/>
    <w:rsid w:val="00D55AA0"/>
    <w:rsid w:val="00D55F57"/>
    <w:rsid w:val="00D60600"/>
    <w:rsid w:val="00D6711E"/>
    <w:rsid w:val="00D77291"/>
    <w:rsid w:val="00DB021E"/>
    <w:rsid w:val="00DB359A"/>
    <w:rsid w:val="00DC187E"/>
    <w:rsid w:val="00DD29DC"/>
    <w:rsid w:val="00DE56E9"/>
    <w:rsid w:val="00E10D6C"/>
    <w:rsid w:val="00E207B1"/>
    <w:rsid w:val="00E20E87"/>
    <w:rsid w:val="00E25D34"/>
    <w:rsid w:val="00E26828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6711"/>
    <w:rsid w:val="00F1246A"/>
    <w:rsid w:val="00F2054E"/>
    <w:rsid w:val="00F27C7F"/>
    <w:rsid w:val="00F35F38"/>
    <w:rsid w:val="00F6371C"/>
    <w:rsid w:val="00F66767"/>
    <w:rsid w:val="00F67DFC"/>
    <w:rsid w:val="00F70FE8"/>
    <w:rsid w:val="00F76F77"/>
    <w:rsid w:val="00F85989"/>
    <w:rsid w:val="00F866D1"/>
    <w:rsid w:val="00F90F1F"/>
    <w:rsid w:val="00F96473"/>
    <w:rsid w:val="00F964BE"/>
    <w:rsid w:val="00FA2702"/>
    <w:rsid w:val="00FA271D"/>
    <w:rsid w:val="00FB3BF5"/>
    <w:rsid w:val="00FB4181"/>
    <w:rsid w:val="00FC0183"/>
    <w:rsid w:val="00FD415D"/>
    <w:rsid w:val="00FF0CE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A">
    <w:name w:val="Nessuno A"/>
    <w:rsid w:val="00D55F57"/>
    <w:rPr>
      <w:lang w:val="it-IT"/>
    </w:rPr>
  </w:style>
  <w:style w:type="character" w:customStyle="1" w:styleId="Nessuno">
    <w:name w:val="Nessuno"/>
    <w:rsid w:val="00D55F57"/>
  </w:style>
  <w:style w:type="paragraph" w:customStyle="1" w:styleId="CorpoA">
    <w:name w:val="Corpo A"/>
    <w:rsid w:val="00D55F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Carpredefinitoparagrafo"/>
    <w:rsid w:val="00D55F57"/>
    <w:rPr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90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edicinali.aifa.gov.it/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1FC67-CA53-4A03-B1E1-04A36174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6</cp:revision>
  <dcterms:created xsi:type="dcterms:W3CDTF">2025-05-22T09:40:00Z</dcterms:created>
  <dcterms:modified xsi:type="dcterms:W3CDTF">2025-05-22T10:29:00Z</dcterms:modified>
</cp:coreProperties>
</file>