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E90B2" w14:textId="77777777" w:rsidR="004241AC" w:rsidRPr="00A31CC1" w:rsidRDefault="00AC586B" w:rsidP="004241AC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r w:rsidRPr="00A31CC1"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79E51031" wp14:editId="6AE9CDD9">
            <wp:simplePos x="0" y="0"/>
            <wp:positionH relativeFrom="character">
              <wp:posOffset>-1252220</wp:posOffset>
            </wp:positionH>
            <wp:positionV relativeFrom="line">
              <wp:posOffset>1270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1CC29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5E23663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Text15"/>
    </w:p>
    <w:p w14:paraId="224D2040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3DAF824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26E3C19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A043557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E7F3587" w14:textId="77777777" w:rsidR="00823F4C" w:rsidRPr="00A31CC1" w:rsidRDefault="008F117D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eastAsia="Calibri" w:cstheme="minorHAnsi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AB22D5" wp14:editId="74BD7E43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5560A" w14:textId="184EE4C6" w:rsidR="006C0722" w:rsidRPr="00DB4923" w:rsidRDefault="006C0722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Mod. 3</w:t>
                            </w:r>
                            <w:r w:rsidR="00FF2DE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6/14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5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proofErr w:type="gram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Data :</w:t>
                            </w:r>
                            <w:proofErr w:type="gram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FA271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18/11/2024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3AB22D5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" stroked="f">
                <v:textbox style="layout-flow:vertical;mso-layout-flow-alt:bottom-to-top">
                  <w:txbxContent>
                    <w:p w14:paraId="3F15560A" w14:textId="184EE4C6" w:rsidR="006C0722" w:rsidRPr="00DB4923" w:rsidRDefault="006C0722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proofErr w:type="spell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</w:t>
                      </w:r>
                      <w:proofErr w:type="spell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. 3</w:t>
                      </w:r>
                      <w:r w:rsidR="00FF2DE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0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6/14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5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proofErr w:type="gram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Data :</w:t>
                      </w:r>
                      <w:proofErr w:type="gram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</w:t>
                      </w:r>
                      <w:r w:rsidR="00FA271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18/11/2024</w:t>
                      </w:r>
                    </w:p>
                  </w:txbxContent>
                </v:textbox>
              </v:shape>
            </w:pict>
          </mc:Fallback>
        </mc:AlternateContent>
      </w:r>
      <w:r w:rsidR="00823F4C" w:rsidRPr="00A31CC1">
        <w:rPr>
          <w:rFonts w:cstheme="minorHAnsi"/>
          <w:b/>
          <w:sz w:val="24"/>
          <w:szCs w:val="24"/>
        </w:rPr>
        <w:t>Relazione Pubblica di Valutazione</w:t>
      </w:r>
    </w:p>
    <w:p w14:paraId="309297B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02D26E3F" w14:textId="77777777" w:rsidR="00823F4C" w:rsidRPr="00A31CC1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DDC0D8C" w14:textId="77777777"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E00A993" w14:textId="623AEA85" w:rsidR="00BF7A42" w:rsidRPr="00A31CC1" w:rsidRDefault="009028DD">
      <w:pPr>
        <w:widowControl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028DD">
        <w:rPr>
          <w:rFonts w:cstheme="minorHAnsi"/>
          <w:b/>
          <w:sz w:val="24"/>
          <w:szCs w:val="24"/>
        </w:rPr>
        <w:t>FAMOTIDINA DOC</w:t>
      </w:r>
    </w:p>
    <w:p w14:paraId="5A764497" w14:textId="77777777" w:rsidR="004609F8" w:rsidRPr="00A31CC1" w:rsidRDefault="004609F8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14:paraId="06324D0B" w14:textId="418FF963" w:rsidR="004241AC" w:rsidRDefault="004241AC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A31CC1">
        <w:rPr>
          <w:rFonts w:cstheme="minorHAnsi"/>
          <w:snapToGrid w:val="0"/>
          <w:sz w:val="24"/>
          <w:szCs w:val="24"/>
        </w:rPr>
        <w:t xml:space="preserve"> (</w:t>
      </w:r>
      <w:proofErr w:type="spellStart"/>
      <w:r w:rsidR="009028DD" w:rsidRPr="009028DD">
        <w:rPr>
          <w:rFonts w:cstheme="minorHAnsi"/>
          <w:snapToGrid w:val="0"/>
          <w:sz w:val="24"/>
          <w:szCs w:val="24"/>
        </w:rPr>
        <w:t>famotidina</w:t>
      </w:r>
      <w:proofErr w:type="spellEnd"/>
      <w:r w:rsidR="002A1800" w:rsidRPr="00A31CC1">
        <w:rPr>
          <w:rFonts w:cstheme="minorHAnsi"/>
          <w:snapToGrid w:val="0"/>
          <w:sz w:val="24"/>
          <w:szCs w:val="24"/>
        </w:rPr>
        <w:t xml:space="preserve">, </w:t>
      </w:r>
      <w:r w:rsidR="009028DD" w:rsidRPr="009028DD">
        <w:rPr>
          <w:rFonts w:cstheme="minorHAnsi"/>
          <w:snapToGrid w:val="0"/>
          <w:sz w:val="24"/>
          <w:szCs w:val="24"/>
        </w:rPr>
        <w:t>20 mg compresse rivestite con film</w:t>
      </w:r>
      <w:r w:rsidRPr="00A31CC1">
        <w:rPr>
          <w:rFonts w:cstheme="minorHAnsi"/>
          <w:snapToGrid w:val="0"/>
          <w:sz w:val="24"/>
          <w:szCs w:val="24"/>
        </w:rPr>
        <w:t>)</w:t>
      </w:r>
    </w:p>
    <w:p w14:paraId="4B5F3224" w14:textId="6CA3A7B7" w:rsidR="00C4720E" w:rsidRPr="00A31CC1" w:rsidRDefault="00C4720E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A31CC1">
        <w:rPr>
          <w:rFonts w:cstheme="minorHAnsi"/>
          <w:snapToGrid w:val="0"/>
          <w:sz w:val="24"/>
          <w:szCs w:val="24"/>
        </w:rPr>
        <w:t>(</w:t>
      </w:r>
      <w:proofErr w:type="spellStart"/>
      <w:r w:rsidRPr="009028DD">
        <w:rPr>
          <w:rFonts w:cstheme="minorHAnsi"/>
          <w:snapToGrid w:val="0"/>
          <w:sz w:val="24"/>
          <w:szCs w:val="24"/>
        </w:rPr>
        <w:t>famotidina</w:t>
      </w:r>
      <w:proofErr w:type="spellEnd"/>
      <w:r w:rsidRPr="00A31CC1">
        <w:rPr>
          <w:rFonts w:cstheme="minorHAnsi"/>
          <w:snapToGrid w:val="0"/>
          <w:sz w:val="24"/>
          <w:szCs w:val="24"/>
        </w:rPr>
        <w:t xml:space="preserve">, </w:t>
      </w:r>
      <w:r>
        <w:rPr>
          <w:rFonts w:cstheme="minorHAnsi"/>
          <w:snapToGrid w:val="0"/>
          <w:sz w:val="24"/>
          <w:szCs w:val="24"/>
        </w:rPr>
        <w:t>4</w:t>
      </w:r>
      <w:r w:rsidRPr="009028DD">
        <w:rPr>
          <w:rFonts w:cstheme="minorHAnsi"/>
          <w:snapToGrid w:val="0"/>
          <w:sz w:val="24"/>
          <w:szCs w:val="24"/>
        </w:rPr>
        <w:t>0 mg compresse rivestite con film</w:t>
      </w:r>
      <w:r w:rsidRPr="00A31CC1">
        <w:rPr>
          <w:rFonts w:cstheme="minorHAnsi"/>
          <w:snapToGrid w:val="0"/>
          <w:sz w:val="24"/>
          <w:szCs w:val="24"/>
        </w:rPr>
        <w:t>)</w:t>
      </w:r>
    </w:p>
    <w:p w14:paraId="52C25FF5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5E8265B" w14:textId="77777777"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6141733" w14:textId="4D4DBAB9" w:rsidR="00797416" w:rsidRPr="00A31CC1" w:rsidRDefault="009028DD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028DD">
        <w:rPr>
          <w:rFonts w:cstheme="minorHAnsi"/>
          <w:b/>
          <w:sz w:val="24"/>
          <w:szCs w:val="24"/>
        </w:rPr>
        <w:t>DOC Generici S.r.l.</w:t>
      </w:r>
    </w:p>
    <w:p w14:paraId="3BCAC476" w14:textId="77777777" w:rsidR="00EC3589" w:rsidRPr="00A31CC1" w:rsidRDefault="00BF7A42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 </w:t>
      </w:r>
    </w:p>
    <w:p w14:paraId="6CDFC0E6" w14:textId="77777777" w:rsidR="004609F8" w:rsidRPr="00A31CC1" w:rsidRDefault="004609F8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EF8362F" w14:textId="7D731181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Numero di AIC: </w:t>
      </w:r>
      <w:r w:rsidR="009028DD" w:rsidRPr="009028DD">
        <w:rPr>
          <w:rFonts w:cstheme="minorHAnsi"/>
          <w:b/>
          <w:sz w:val="24"/>
          <w:szCs w:val="24"/>
        </w:rPr>
        <w:t>050218</w:t>
      </w:r>
    </w:p>
    <w:p w14:paraId="73438203" w14:textId="77777777" w:rsidR="00797416" w:rsidRPr="00A31CC1" w:rsidRDefault="00797416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bookmarkEnd w:id="0"/>
    <w:p w14:paraId="7FDF9E3A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0C62210" w14:textId="77777777" w:rsidR="004E5A39" w:rsidRPr="00A31CC1" w:rsidRDefault="004E5A3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C15978F" w14:textId="77777777"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14:paraId="3363F0F6" w14:textId="77777777"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C1FE70F" w14:textId="3D6FD928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Public </w:t>
      </w:r>
      <w:proofErr w:type="spellStart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>Assessment</w:t>
      </w:r>
      <w:proofErr w:type="spellEnd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 Report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6C0722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In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sso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viene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spiega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come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stato valutato </w:t>
      </w:r>
      <w:r w:rsidR="000C1389" w:rsidRPr="00A31CC1">
        <w:rPr>
          <w:rFonts w:eastAsia="Calibri" w:cstheme="minorHAnsi"/>
          <w:color w:val="000000"/>
          <w:sz w:val="24"/>
          <w:szCs w:val="24"/>
          <w:lang w:eastAsia="it-IT"/>
        </w:rPr>
        <w:t>dall’AIFA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e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quali sono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le sue condizioni di impiego.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Il documento n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on intende fornire consigli pratici su come utilizzare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>.</w:t>
      </w:r>
    </w:p>
    <w:p w14:paraId="0EEFEE30" w14:textId="2FEA33F3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i pazienti devono consultare il foglio illustrativo o contattare il loro medico o il farmacista. </w:t>
      </w:r>
    </w:p>
    <w:p w14:paraId="259162B5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584873B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844B53A" w14:textId="5E4D9572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CHE COS’È </w:t>
      </w:r>
      <w:r w:rsidR="009028DD">
        <w:rPr>
          <w:rFonts w:eastAsia="Calibri" w:cstheme="minorHAnsi"/>
          <w:b/>
          <w:color w:val="000000"/>
          <w:sz w:val="24"/>
          <w:szCs w:val="24"/>
          <w:lang w:eastAsia="it-IT"/>
        </w:rPr>
        <w:t>FAMOTIDINA DOC</w:t>
      </w:r>
      <w:r w:rsidR="00797416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14:paraId="5EE96742" w14:textId="1D58FA38" w:rsidR="00797416" w:rsidRPr="00A31CC1" w:rsidRDefault="009028DD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>è un medicinale</w:t>
      </w:r>
      <w:r w:rsidR="009565B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contenente il principio attivo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famotidina</w:t>
      </w:r>
      <w:proofErr w:type="spellEnd"/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ed 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>è disponibile come</w:t>
      </w:r>
    </w:p>
    <w:p w14:paraId="3B2B2C1D" w14:textId="10989187" w:rsidR="00797416" w:rsidRPr="00A31CC1" w:rsidRDefault="00797416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compresse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 xml:space="preserve"> rivestite con film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contenent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20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mg di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principio attivo</w:t>
      </w:r>
      <w:r w:rsidR="00C4720E">
        <w:rPr>
          <w:rFonts w:eastAsia="Calibri" w:cstheme="minorHAnsi"/>
          <w:color w:val="000000"/>
          <w:sz w:val="24"/>
          <w:szCs w:val="24"/>
          <w:lang w:eastAsia="it-IT"/>
        </w:rPr>
        <w:t xml:space="preserve"> o </w:t>
      </w:r>
      <w:r w:rsidR="00A51A8C" w:rsidRPr="00A31CC1">
        <w:rPr>
          <w:rFonts w:eastAsia="Calibri" w:cstheme="minorHAnsi"/>
          <w:color w:val="000000"/>
          <w:sz w:val="24"/>
          <w:szCs w:val="24"/>
          <w:lang w:eastAsia="it-IT"/>
        </w:rPr>
        <w:t>compresse</w:t>
      </w:r>
      <w:r w:rsidR="00A51A8C">
        <w:rPr>
          <w:rFonts w:eastAsia="Calibri" w:cstheme="minorHAnsi"/>
          <w:color w:val="000000"/>
          <w:sz w:val="24"/>
          <w:szCs w:val="24"/>
          <w:lang w:eastAsia="it-IT"/>
        </w:rPr>
        <w:t xml:space="preserve"> rivestite con film</w:t>
      </w:r>
      <w:r w:rsidR="00A51A8C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contenenti </w:t>
      </w:r>
      <w:r w:rsidR="00C4720E">
        <w:rPr>
          <w:rFonts w:eastAsia="Calibri" w:cstheme="minorHAnsi"/>
          <w:color w:val="000000"/>
          <w:sz w:val="24"/>
          <w:szCs w:val="24"/>
          <w:lang w:eastAsia="it-IT"/>
        </w:rPr>
        <w:t>40 mg di principio attivo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;</w:t>
      </w:r>
    </w:p>
    <w:p w14:paraId="1A5E32AD" w14:textId="77777777" w:rsidR="00300BEA" w:rsidRPr="00A31CC1" w:rsidRDefault="00300BEA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2ACAD7E3" w14:textId="005A0AA4" w:rsidR="00B03E01" w:rsidRPr="00A31CC1" w:rsidRDefault="009028DD" w:rsidP="00B03E0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un “medicinale generico”, cioè è analogo ad un “medicinale di riferimento”,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FAMODIL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,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che</w:t>
      </w:r>
      <w:r w:rsidR="00C058E1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stato autorizzato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F76F77" w:rsidRPr="00A31CC1">
        <w:rPr>
          <w:rFonts w:eastAsia="Calibri" w:cstheme="minorHAnsi"/>
          <w:color w:val="000000"/>
          <w:sz w:val="24"/>
          <w:szCs w:val="24"/>
          <w:u w:val="single"/>
          <w:lang w:eastAsia="it-IT"/>
        </w:rPr>
        <w:t>in Italia</w:t>
      </w:r>
      <w:r w:rsidR="00A84362" w:rsidRPr="00A31CC1">
        <w:rPr>
          <w:rFonts w:eastAsia="Calibri" w:cstheme="minorHAnsi"/>
          <w:color w:val="000000"/>
          <w:sz w:val="24"/>
          <w:szCs w:val="24"/>
          <w:u w:val="single"/>
          <w:lang w:eastAsia="it-IT"/>
        </w:rPr>
        <w:t xml:space="preserve"> </w:t>
      </w:r>
      <w:r w:rsidR="00B03E01" w:rsidRPr="00A31CC1">
        <w:rPr>
          <w:rFonts w:eastAsia="Calibri" w:cstheme="minorHAnsi"/>
          <w:color w:val="000000"/>
          <w:sz w:val="24"/>
          <w:szCs w:val="24"/>
          <w:u w:val="single"/>
          <w:lang w:eastAsia="it-IT"/>
        </w:rPr>
        <w:t xml:space="preserve">da </w:t>
      </w:r>
      <w:r w:rsidR="00CC1489" w:rsidRPr="00A31CC1">
        <w:rPr>
          <w:rFonts w:eastAsia="Calibri" w:cstheme="minorHAnsi"/>
          <w:color w:val="000000"/>
          <w:sz w:val="24"/>
          <w:szCs w:val="24"/>
          <w:u w:val="single"/>
          <w:lang w:eastAsia="it-IT"/>
        </w:rPr>
        <w:t>almeno 8 anni</w:t>
      </w:r>
      <w:r>
        <w:rPr>
          <w:rFonts w:eastAsia="Calibri" w:cstheme="minorHAnsi"/>
          <w:color w:val="000000"/>
          <w:sz w:val="24"/>
          <w:szCs w:val="24"/>
          <w:lang w:eastAsia="it-IT"/>
        </w:rPr>
        <w:t>. FAMOTIDINA DOC</w:t>
      </w:r>
      <w:r w:rsidR="00B15135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15135" w:rsidRPr="00A31CC1">
        <w:rPr>
          <w:rFonts w:cstheme="minorHAnsi"/>
          <w:color w:val="000000"/>
          <w:sz w:val="24"/>
          <w:szCs w:val="24"/>
        </w:rPr>
        <w:t xml:space="preserve">può essere immesso in commercio solo dopo che sono trascorsi 10 anni dall'autorizzazione iniziale del medicinale di riferimento.  </w:t>
      </w:r>
    </w:p>
    <w:p w14:paraId="00323A67" w14:textId="77777777" w:rsidR="007A1C0E" w:rsidRPr="00A31CC1" w:rsidRDefault="007A1C0E" w:rsidP="007A1C0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7F93DA7B" w14:textId="77777777" w:rsidR="001C28F3" w:rsidRPr="001C28F3" w:rsidRDefault="001C28F3" w:rsidP="001C28F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1C28F3">
        <w:rPr>
          <w:rFonts w:eastAsia="Calibri" w:cstheme="minorHAnsi"/>
          <w:color w:val="000000"/>
          <w:sz w:val="24"/>
          <w:szCs w:val="24"/>
          <w:lang w:eastAsia="it-IT"/>
        </w:rPr>
        <w:tab/>
        <w:t>FAMOTIDINA DOC 20 mg compresse rivestite con film è indicato negli adulti per:</w:t>
      </w:r>
    </w:p>
    <w:p w14:paraId="6631A2AF" w14:textId="77777777" w:rsidR="001C28F3" w:rsidRPr="001C28F3" w:rsidRDefault="001C28F3" w:rsidP="001C28F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1C28F3">
        <w:rPr>
          <w:rFonts w:eastAsia="Calibri" w:cstheme="minorHAnsi"/>
          <w:color w:val="000000"/>
          <w:sz w:val="24"/>
          <w:szCs w:val="24"/>
          <w:lang w:eastAsia="it-IT"/>
        </w:rPr>
        <w:tab/>
        <w:t>- la prevenzione delle recidive delle ulcere duodenali</w:t>
      </w:r>
    </w:p>
    <w:p w14:paraId="193AF31C" w14:textId="77777777" w:rsidR="001C28F3" w:rsidRPr="001C28F3" w:rsidRDefault="001C28F3" w:rsidP="001C28F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1C28F3">
        <w:rPr>
          <w:rFonts w:eastAsia="Calibri" w:cstheme="minorHAnsi"/>
          <w:color w:val="000000"/>
          <w:sz w:val="24"/>
          <w:szCs w:val="24"/>
          <w:lang w:eastAsia="it-IT"/>
        </w:rPr>
        <w:tab/>
        <w:t>- il trattamento dell’ulcera duodenale</w:t>
      </w:r>
    </w:p>
    <w:p w14:paraId="058D435B" w14:textId="77777777" w:rsidR="001C28F3" w:rsidRPr="001C28F3" w:rsidRDefault="001C28F3" w:rsidP="001C28F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1C28F3">
        <w:rPr>
          <w:rFonts w:eastAsia="Calibri" w:cstheme="minorHAnsi"/>
          <w:color w:val="000000"/>
          <w:sz w:val="24"/>
          <w:szCs w:val="24"/>
          <w:lang w:eastAsia="it-IT"/>
        </w:rPr>
        <w:tab/>
        <w:t>- il trattamento dell’ulcera gastrica benigna</w:t>
      </w:r>
    </w:p>
    <w:p w14:paraId="175DA6CB" w14:textId="77777777" w:rsidR="001C28F3" w:rsidRPr="001C28F3" w:rsidRDefault="001C28F3" w:rsidP="00A51A8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1C28F3">
        <w:rPr>
          <w:rFonts w:eastAsia="Calibri" w:cstheme="minorHAnsi"/>
          <w:color w:val="000000"/>
          <w:sz w:val="24"/>
          <w:szCs w:val="24"/>
          <w:lang w:eastAsia="it-IT"/>
        </w:rPr>
        <w:tab/>
        <w:t>- il trattamento della sindrome di Zollinger-Ellison (si tratta di una condizione causata dalla produzione anomala dell'ormone gastrina, che provoca una sovrapproduzione di acido gastrico).</w:t>
      </w:r>
    </w:p>
    <w:p w14:paraId="7ED47E14" w14:textId="77777777" w:rsidR="001C28F3" w:rsidRPr="001C28F3" w:rsidRDefault="001C28F3" w:rsidP="00A51A8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1C28F3">
        <w:rPr>
          <w:rFonts w:eastAsia="Calibri" w:cstheme="minorHAnsi"/>
          <w:color w:val="000000"/>
          <w:sz w:val="24"/>
          <w:szCs w:val="24"/>
          <w:lang w:eastAsia="it-IT"/>
        </w:rPr>
        <w:lastRenderedPageBreak/>
        <w:tab/>
        <w:t>- il trattamento sintomatico dell’esofagite da reflusso (un’infiammazione dell'esofago) di grado lieve, come bruciori di stomaco</w:t>
      </w:r>
    </w:p>
    <w:p w14:paraId="38F5B848" w14:textId="77777777" w:rsidR="001C28F3" w:rsidRPr="001C28F3" w:rsidRDefault="001C28F3" w:rsidP="001C28F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1C28F3">
        <w:rPr>
          <w:rFonts w:eastAsia="Calibri" w:cstheme="minorHAnsi"/>
          <w:color w:val="000000"/>
          <w:sz w:val="24"/>
          <w:szCs w:val="24"/>
          <w:lang w:eastAsia="it-IT"/>
        </w:rPr>
        <w:tab/>
      </w:r>
    </w:p>
    <w:p w14:paraId="45AB751A" w14:textId="77777777" w:rsidR="001C28F3" w:rsidRPr="001C28F3" w:rsidRDefault="001C28F3" w:rsidP="001C28F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1C28F3">
        <w:rPr>
          <w:rFonts w:eastAsia="Calibri" w:cstheme="minorHAnsi"/>
          <w:color w:val="000000"/>
          <w:sz w:val="24"/>
          <w:szCs w:val="24"/>
          <w:lang w:eastAsia="it-IT"/>
        </w:rPr>
        <w:tab/>
        <w:t>FAMOTIDINA DOC 40 mg compresse rivestite con film è indicato negli adulti per:</w:t>
      </w:r>
    </w:p>
    <w:p w14:paraId="5DB84334" w14:textId="77777777" w:rsidR="001C28F3" w:rsidRPr="001C28F3" w:rsidRDefault="001C28F3" w:rsidP="001C28F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1C28F3">
        <w:rPr>
          <w:rFonts w:eastAsia="Calibri" w:cstheme="minorHAnsi"/>
          <w:color w:val="000000"/>
          <w:sz w:val="24"/>
          <w:szCs w:val="24"/>
          <w:lang w:eastAsia="it-IT"/>
        </w:rPr>
        <w:tab/>
        <w:t>- il trattamento dell’ulcera duodenale</w:t>
      </w:r>
    </w:p>
    <w:p w14:paraId="00F71D27" w14:textId="77777777" w:rsidR="001C28F3" w:rsidRPr="001C28F3" w:rsidRDefault="001C28F3" w:rsidP="001C28F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1C28F3">
        <w:rPr>
          <w:rFonts w:eastAsia="Calibri" w:cstheme="minorHAnsi"/>
          <w:color w:val="000000"/>
          <w:sz w:val="24"/>
          <w:szCs w:val="24"/>
          <w:lang w:eastAsia="it-IT"/>
        </w:rPr>
        <w:tab/>
        <w:t>- il trattamento dell’ulcera gastrica benigna</w:t>
      </w:r>
    </w:p>
    <w:p w14:paraId="23260CEE" w14:textId="77777777" w:rsidR="001C28F3" w:rsidRPr="001C28F3" w:rsidRDefault="001C28F3" w:rsidP="00A51A8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1C28F3">
        <w:rPr>
          <w:rFonts w:eastAsia="Calibri" w:cstheme="minorHAnsi"/>
          <w:color w:val="000000"/>
          <w:sz w:val="24"/>
          <w:szCs w:val="24"/>
          <w:lang w:eastAsia="it-IT"/>
        </w:rPr>
        <w:tab/>
        <w:t>- il trattamento della sindrome di Zollinger-Ellison (si tratta di una condizione causata dalla produzione anomala dell'ormone gastrina, che provoca una sovrapproduzione di acido gastrico)</w:t>
      </w:r>
    </w:p>
    <w:p w14:paraId="21F72190" w14:textId="05CABCF0" w:rsidR="00BB2AF8" w:rsidRPr="00A31CC1" w:rsidRDefault="001C28F3" w:rsidP="00A51A8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eastAsia="Calibri" w:cstheme="minorHAnsi"/>
          <w:b/>
          <w:bCs/>
          <w:i/>
          <w:color w:val="000000"/>
          <w:sz w:val="24"/>
          <w:szCs w:val="24"/>
          <w:lang w:eastAsia="it-IT"/>
        </w:rPr>
      </w:pPr>
      <w:r w:rsidRPr="001C28F3">
        <w:rPr>
          <w:rFonts w:eastAsia="Calibri" w:cstheme="minorHAnsi"/>
          <w:color w:val="000000"/>
          <w:sz w:val="24"/>
          <w:szCs w:val="24"/>
          <w:lang w:eastAsia="it-IT"/>
        </w:rPr>
        <w:tab/>
        <w:t>- il trattamento sintomatico dell’esofagite da reflusso (un’infiammazione dell'esofago) da lieve a moderata</w:t>
      </w:r>
      <w:r w:rsidR="009028DD" w:rsidRPr="009028DD">
        <w:rPr>
          <w:rFonts w:eastAsia="Calibri" w:cstheme="minorHAnsi"/>
          <w:sz w:val="24"/>
          <w:szCs w:val="24"/>
          <w:lang w:eastAsia="it-IT"/>
        </w:rPr>
        <w:t xml:space="preserve"> </w:t>
      </w:r>
      <w:r w:rsidR="00B03E01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20CF683C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14:paraId="4FDE7C45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14:paraId="25523EEE" w14:textId="5F3E0EC3" w:rsidR="00BB2AF8" w:rsidRPr="00A31CC1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2) COME </w:t>
      </w:r>
      <w:proofErr w:type="gramStart"/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E’</w:t>
      </w:r>
      <w:proofErr w:type="gramEnd"/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 PRESCRITTO/USATO </w:t>
      </w:r>
      <w:r w:rsidR="009028DD">
        <w:rPr>
          <w:rFonts w:eastAsia="Calibri" w:cstheme="minorHAnsi"/>
          <w:b/>
          <w:color w:val="000000"/>
          <w:sz w:val="24"/>
          <w:szCs w:val="24"/>
          <w:lang w:eastAsia="it-IT"/>
        </w:rPr>
        <w:t>FAMOTIDINA DOC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5F44FE76" w14:textId="77ED3779" w:rsidR="00300BEA" w:rsidRPr="00A31CC1" w:rsidRDefault="009028DD" w:rsidP="001C15DF">
      <w:pPr>
        <w:pStyle w:val="PreformattatoHTML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>
        <w:rPr>
          <w:rFonts w:asciiTheme="minorHAnsi" w:eastAsia="Calibri" w:hAnsiTheme="minorHAnsi" w:cstheme="minorHAnsi"/>
          <w:color w:val="000000"/>
          <w:sz w:val="24"/>
          <w:szCs w:val="24"/>
        </w:rPr>
        <w:t>FAMOTIDINA DOC</w:t>
      </w:r>
      <w:r w:rsidR="00300BEA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BB2AF8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può essere ottenuto </w:t>
      </w:r>
      <w:r w:rsidR="00300BEA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solo su prescrizione da parte </w:t>
      </w:r>
      <w:r w:rsidR="001C28F3">
        <w:rPr>
          <w:rFonts w:asciiTheme="minorHAnsi" w:eastAsia="Calibri" w:hAnsiTheme="minorHAnsi" w:cstheme="minorHAnsi"/>
          <w:color w:val="000000"/>
          <w:sz w:val="24"/>
          <w:szCs w:val="24"/>
        </w:rPr>
        <w:t>del medico (ricetta ripetibile).</w:t>
      </w:r>
    </w:p>
    <w:p w14:paraId="5A6DA150" w14:textId="77777777" w:rsidR="001C15DF" w:rsidRPr="00A31CC1" w:rsidRDefault="001C15DF" w:rsidP="001C15DF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B4C73AC" w14:textId="77777777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</w:rPr>
      </w:pPr>
      <w:r w:rsidRPr="001C28F3">
        <w:rPr>
          <w:rFonts w:cstheme="minorHAnsi"/>
          <w:sz w:val="24"/>
          <w:szCs w:val="24"/>
        </w:rPr>
        <w:t>La dose raccomandata dipende dalla gravità della malattia e dal dosaggio somministrato in trattamenti</w:t>
      </w:r>
    </w:p>
    <w:p w14:paraId="0EFE5259" w14:textId="41116B8C" w:rsid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</w:rPr>
      </w:pPr>
      <w:r w:rsidRPr="001C28F3">
        <w:rPr>
          <w:rFonts w:cstheme="minorHAnsi"/>
          <w:sz w:val="24"/>
          <w:szCs w:val="24"/>
        </w:rPr>
        <w:t xml:space="preserve">precedenti. Il medico deciderà quanto medicinale </w:t>
      </w:r>
      <w:r w:rsidR="003B10F5">
        <w:rPr>
          <w:rFonts w:cstheme="minorHAnsi"/>
          <w:sz w:val="24"/>
          <w:szCs w:val="24"/>
        </w:rPr>
        <w:t xml:space="preserve">si </w:t>
      </w:r>
      <w:r w:rsidRPr="001C28F3">
        <w:rPr>
          <w:rFonts w:cstheme="minorHAnsi"/>
          <w:sz w:val="24"/>
          <w:szCs w:val="24"/>
        </w:rPr>
        <w:t>deve prendere</w:t>
      </w:r>
      <w:r>
        <w:rPr>
          <w:rFonts w:cstheme="minorHAnsi"/>
          <w:sz w:val="24"/>
          <w:szCs w:val="24"/>
        </w:rPr>
        <w:t xml:space="preserve"> e per quanto tempo</w:t>
      </w:r>
      <w:r w:rsidRPr="001C28F3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Di seguito sono riportate le dosi giornaliere </w:t>
      </w:r>
      <w:r w:rsidR="00A51A8C">
        <w:rPr>
          <w:rFonts w:cstheme="minorHAnsi"/>
          <w:sz w:val="24"/>
          <w:szCs w:val="24"/>
        </w:rPr>
        <w:t xml:space="preserve">normalmente </w:t>
      </w:r>
      <w:r>
        <w:rPr>
          <w:rFonts w:cstheme="minorHAnsi"/>
          <w:sz w:val="24"/>
          <w:szCs w:val="24"/>
        </w:rPr>
        <w:t xml:space="preserve">raccomandate. </w:t>
      </w:r>
    </w:p>
    <w:p w14:paraId="0DB62CBC" w14:textId="42656E69" w:rsid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</w:rPr>
      </w:pPr>
    </w:p>
    <w:p w14:paraId="4C840AA8" w14:textId="77777777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  <w:u w:val="single"/>
        </w:rPr>
      </w:pPr>
      <w:r w:rsidRPr="001C28F3">
        <w:rPr>
          <w:rFonts w:cstheme="minorHAnsi"/>
          <w:sz w:val="24"/>
          <w:szCs w:val="24"/>
          <w:u w:val="single"/>
        </w:rPr>
        <w:t>Trattamento dei sintomi della malattia da reflusso (ad es. bruciori di stomaco)</w:t>
      </w:r>
    </w:p>
    <w:p w14:paraId="0099A654" w14:textId="77777777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  <w:u w:val="single"/>
        </w:rPr>
      </w:pPr>
      <w:r w:rsidRPr="001C28F3">
        <w:rPr>
          <w:rFonts w:cstheme="minorHAnsi"/>
          <w:sz w:val="24"/>
          <w:szCs w:val="24"/>
          <w:u w:val="single"/>
        </w:rPr>
        <w:t xml:space="preserve">20 mg di </w:t>
      </w:r>
      <w:proofErr w:type="spellStart"/>
      <w:r w:rsidRPr="001C28F3">
        <w:rPr>
          <w:rFonts w:cstheme="minorHAnsi"/>
          <w:sz w:val="24"/>
          <w:szCs w:val="24"/>
          <w:u w:val="single"/>
        </w:rPr>
        <w:t>famotidina</w:t>
      </w:r>
      <w:proofErr w:type="spellEnd"/>
      <w:r w:rsidRPr="001C28F3">
        <w:rPr>
          <w:rFonts w:cstheme="minorHAnsi"/>
          <w:sz w:val="24"/>
          <w:szCs w:val="24"/>
          <w:u w:val="single"/>
        </w:rPr>
        <w:t xml:space="preserve"> due volte al giorno.</w:t>
      </w:r>
    </w:p>
    <w:p w14:paraId="218E8915" w14:textId="2FD3C59C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</w:rPr>
      </w:pPr>
      <w:r w:rsidRPr="001C28F3">
        <w:rPr>
          <w:rFonts w:cstheme="minorHAnsi"/>
          <w:sz w:val="24"/>
          <w:szCs w:val="24"/>
        </w:rPr>
        <w:t>Il trattamento deve essere continuato per 6 settimane o, se necessario, per 12 settimane. Tuttavia, questo termine può essere abbreviato se viene accertata la guarigione della lesione.</w:t>
      </w:r>
    </w:p>
    <w:p w14:paraId="742DB6AE" w14:textId="77777777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</w:rPr>
      </w:pPr>
    </w:p>
    <w:p w14:paraId="18C62491" w14:textId="77777777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  <w:u w:val="single"/>
        </w:rPr>
      </w:pPr>
      <w:r w:rsidRPr="001C28F3">
        <w:rPr>
          <w:rFonts w:cstheme="minorHAnsi"/>
          <w:sz w:val="24"/>
          <w:szCs w:val="24"/>
          <w:u w:val="single"/>
        </w:rPr>
        <w:t>Trattamento dell’infiammazione all’esofago da lieve a moderata</w:t>
      </w:r>
    </w:p>
    <w:p w14:paraId="04758767" w14:textId="77777777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</w:rPr>
      </w:pPr>
      <w:r w:rsidRPr="001C28F3">
        <w:rPr>
          <w:rFonts w:cstheme="minorHAnsi"/>
          <w:sz w:val="24"/>
          <w:szCs w:val="24"/>
        </w:rPr>
        <w:t xml:space="preserve">40 mg di </w:t>
      </w:r>
      <w:proofErr w:type="spellStart"/>
      <w:r w:rsidRPr="001C28F3">
        <w:rPr>
          <w:rFonts w:cstheme="minorHAnsi"/>
          <w:sz w:val="24"/>
          <w:szCs w:val="24"/>
        </w:rPr>
        <w:t>famotidina</w:t>
      </w:r>
      <w:proofErr w:type="spellEnd"/>
      <w:r w:rsidRPr="001C28F3">
        <w:rPr>
          <w:rFonts w:cstheme="minorHAnsi"/>
          <w:sz w:val="24"/>
          <w:szCs w:val="24"/>
        </w:rPr>
        <w:t xml:space="preserve"> due volte al giorno.</w:t>
      </w:r>
    </w:p>
    <w:p w14:paraId="2BD81ACA" w14:textId="330DB489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</w:rPr>
      </w:pPr>
      <w:r w:rsidRPr="001C28F3">
        <w:rPr>
          <w:rFonts w:cstheme="minorHAnsi"/>
          <w:sz w:val="24"/>
          <w:szCs w:val="24"/>
        </w:rPr>
        <w:t>Il trattamento deve essere continuato per 6 settimane o, se necessario, per 12 settimane. Tuttavia, questo termine può essere abbreviato se viene accertata la guarigione della lesione</w:t>
      </w:r>
    </w:p>
    <w:p w14:paraId="1C887CD8" w14:textId="77777777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</w:rPr>
      </w:pPr>
    </w:p>
    <w:p w14:paraId="3B2A2C8E" w14:textId="77777777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  <w:u w:val="single"/>
        </w:rPr>
      </w:pPr>
      <w:r w:rsidRPr="001C28F3">
        <w:rPr>
          <w:rFonts w:cstheme="minorHAnsi"/>
          <w:sz w:val="24"/>
          <w:szCs w:val="24"/>
          <w:u w:val="single"/>
        </w:rPr>
        <w:t>Ulcere duodenali</w:t>
      </w:r>
    </w:p>
    <w:p w14:paraId="5BFC255E" w14:textId="5457A40A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</w:rPr>
      </w:pPr>
      <w:r w:rsidRPr="001C28F3">
        <w:rPr>
          <w:rFonts w:cstheme="minorHAnsi"/>
          <w:sz w:val="24"/>
          <w:szCs w:val="24"/>
        </w:rPr>
        <w:t xml:space="preserve">40 mg di </w:t>
      </w:r>
      <w:proofErr w:type="spellStart"/>
      <w:r w:rsidRPr="001C28F3">
        <w:rPr>
          <w:rFonts w:cstheme="minorHAnsi"/>
          <w:sz w:val="24"/>
          <w:szCs w:val="24"/>
        </w:rPr>
        <w:t>famotidina</w:t>
      </w:r>
      <w:proofErr w:type="spellEnd"/>
      <w:r w:rsidRPr="001C28F3">
        <w:rPr>
          <w:rFonts w:cstheme="minorHAnsi"/>
          <w:sz w:val="24"/>
          <w:szCs w:val="24"/>
        </w:rPr>
        <w:t>, la sera</w:t>
      </w:r>
      <w:r w:rsidR="003B10F5">
        <w:rPr>
          <w:rFonts w:cstheme="minorHAnsi"/>
          <w:sz w:val="24"/>
          <w:szCs w:val="24"/>
        </w:rPr>
        <w:t>.</w:t>
      </w:r>
    </w:p>
    <w:p w14:paraId="7332628F" w14:textId="77777777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</w:rPr>
      </w:pPr>
      <w:r w:rsidRPr="001C28F3">
        <w:rPr>
          <w:rFonts w:cstheme="minorHAnsi"/>
          <w:sz w:val="24"/>
          <w:szCs w:val="24"/>
        </w:rPr>
        <w:t>Il trattamento deve essere continuato per 4-8 settimane. Tuttavia, questo termine può essere abbreviato se il medico ritiene che l'ulcera si sia cicatrizzata (per esempio, tramite un esame endoscopico). Se l’esame rivela che l'ulcera non si è cicatrizzata, il trattamento deve essere prolungato per altre 4 settimane.</w:t>
      </w:r>
    </w:p>
    <w:p w14:paraId="6EFBF8DD" w14:textId="77777777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</w:rPr>
      </w:pPr>
    </w:p>
    <w:p w14:paraId="53872C4C" w14:textId="77777777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  <w:u w:val="single"/>
        </w:rPr>
      </w:pPr>
      <w:r w:rsidRPr="001C28F3">
        <w:rPr>
          <w:rFonts w:cstheme="minorHAnsi"/>
          <w:sz w:val="24"/>
          <w:szCs w:val="24"/>
          <w:u w:val="single"/>
        </w:rPr>
        <w:t>Ulcere gastriche benigne</w:t>
      </w:r>
    </w:p>
    <w:p w14:paraId="03BB3CC0" w14:textId="77777777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</w:rPr>
      </w:pPr>
      <w:r w:rsidRPr="001C28F3">
        <w:rPr>
          <w:rFonts w:cstheme="minorHAnsi"/>
          <w:sz w:val="24"/>
          <w:szCs w:val="24"/>
        </w:rPr>
        <w:t xml:space="preserve">40 mg di </w:t>
      </w:r>
      <w:proofErr w:type="spellStart"/>
      <w:r w:rsidRPr="001C28F3">
        <w:rPr>
          <w:rFonts w:cstheme="minorHAnsi"/>
          <w:sz w:val="24"/>
          <w:szCs w:val="24"/>
        </w:rPr>
        <w:t>famotidina</w:t>
      </w:r>
      <w:proofErr w:type="spellEnd"/>
      <w:r w:rsidRPr="001C28F3">
        <w:rPr>
          <w:rFonts w:cstheme="minorHAnsi"/>
          <w:sz w:val="24"/>
          <w:szCs w:val="24"/>
        </w:rPr>
        <w:t>, la sera</w:t>
      </w:r>
    </w:p>
    <w:p w14:paraId="41163CC2" w14:textId="77777777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</w:rPr>
      </w:pPr>
      <w:r w:rsidRPr="001C28F3">
        <w:rPr>
          <w:rFonts w:cstheme="minorHAnsi"/>
          <w:sz w:val="24"/>
          <w:szCs w:val="24"/>
        </w:rPr>
        <w:t>Il trattamento deve essere continuato per 6-8 settimane. Tuttavia, questo termine può essere abbreviato se il medico ritiene che l'ulcera si sia cicatrizzata (per esempio, tramite un esame endoscopico).</w:t>
      </w:r>
    </w:p>
    <w:p w14:paraId="0D25C25C" w14:textId="77777777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</w:rPr>
      </w:pPr>
    </w:p>
    <w:p w14:paraId="7C9DFBC4" w14:textId="77777777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  <w:u w:val="single"/>
        </w:rPr>
      </w:pPr>
      <w:r w:rsidRPr="001C28F3">
        <w:rPr>
          <w:rFonts w:cstheme="minorHAnsi"/>
          <w:sz w:val="24"/>
          <w:szCs w:val="24"/>
          <w:u w:val="single"/>
        </w:rPr>
        <w:t>Prevenzione delle ulcere duodenali ricorrenti</w:t>
      </w:r>
    </w:p>
    <w:p w14:paraId="53D07ED2" w14:textId="77777777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</w:rPr>
      </w:pPr>
      <w:r w:rsidRPr="001C28F3">
        <w:rPr>
          <w:rFonts w:cstheme="minorHAnsi"/>
          <w:sz w:val="24"/>
          <w:szCs w:val="24"/>
        </w:rPr>
        <w:t xml:space="preserve">20 mg di </w:t>
      </w:r>
      <w:proofErr w:type="spellStart"/>
      <w:r w:rsidRPr="001C28F3">
        <w:rPr>
          <w:rFonts w:cstheme="minorHAnsi"/>
          <w:sz w:val="24"/>
          <w:szCs w:val="24"/>
        </w:rPr>
        <w:t>famotidina</w:t>
      </w:r>
      <w:proofErr w:type="spellEnd"/>
      <w:r w:rsidRPr="001C28F3">
        <w:rPr>
          <w:rFonts w:cstheme="minorHAnsi"/>
          <w:sz w:val="24"/>
          <w:szCs w:val="24"/>
        </w:rPr>
        <w:t>, la sera.</w:t>
      </w:r>
    </w:p>
    <w:p w14:paraId="009E186F" w14:textId="77777777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</w:rPr>
      </w:pPr>
      <w:r w:rsidRPr="001C28F3">
        <w:rPr>
          <w:rFonts w:cstheme="minorHAnsi"/>
          <w:sz w:val="24"/>
          <w:szCs w:val="24"/>
        </w:rPr>
        <w:t>La dose di mantenimento raccomandata di 20 mg è stata somministrata continuativamente ed efficacemente nell’ambito di studi clinici della durata di 6 mesi.</w:t>
      </w:r>
    </w:p>
    <w:p w14:paraId="4C1BFB24" w14:textId="77777777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</w:rPr>
      </w:pPr>
    </w:p>
    <w:p w14:paraId="687E8358" w14:textId="77777777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  <w:u w:val="single"/>
        </w:rPr>
      </w:pPr>
      <w:r w:rsidRPr="001C28F3">
        <w:rPr>
          <w:rFonts w:cstheme="minorHAnsi"/>
          <w:sz w:val="24"/>
          <w:szCs w:val="24"/>
          <w:u w:val="single"/>
        </w:rPr>
        <w:t>Sindrome di Zollinger-Ellison</w:t>
      </w:r>
    </w:p>
    <w:p w14:paraId="48497834" w14:textId="68F2231B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</w:rPr>
      </w:pPr>
      <w:r w:rsidRPr="001C28F3">
        <w:rPr>
          <w:rFonts w:cstheme="minorHAnsi"/>
          <w:sz w:val="24"/>
          <w:szCs w:val="24"/>
        </w:rPr>
        <w:lastRenderedPageBreak/>
        <w:t xml:space="preserve">In assenza di una terapia precedente, il trattamento inizia con 20 mg di </w:t>
      </w:r>
      <w:proofErr w:type="spellStart"/>
      <w:r w:rsidRPr="001C28F3">
        <w:rPr>
          <w:rFonts w:cstheme="minorHAnsi"/>
          <w:sz w:val="24"/>
          <w:szCs w:val="24"/>
        </w:rPr>
        <w:t>famotidina</w:t>
      </w:r>
      <w:proofErr w:type="spellEnd"/>
      <w:r w:rsidRPr="001C28F3">
        <w:rPr>
          <w:rFonts w:cstheme="minorHAnsi"/>
          <w:sz w:val="24"/>
          <w:szCs w:val="24"/>
        </w:rPr>
        <w:t xml:space="preserve"> da somministrare ad</w:t>
      </w:r>
      <w:r>
        <w:rPr>
          <w:rFonts w:cstheme="minorHAnsi"/>
          <w:sz w:val="24"/>
          <w:szCs w:val="24"/>
        </w:rPr>
        <w:t xml:space="preserve"> </w:t>
      </w:r>
      <w:r w:rsidRPr="001C28F3">
        <w:rPr>
          <w:rFonts w:cstheme="minorHAnsi"/>
          <w:sz w:val="24"/>
          <w:szCs w:val="24"/>
        </w:rPr>
        <w:t>intervalli di 6 ore.</w:t>
      </w:r>
    </w:p>
    <w:p w14:paraId="77B23948" w14:textId="436F1FFE" w:rsidR="001C28F3" w:rsidRPr="001C28F3" w:rsidRDefault="001C28F3" w:rsidP="001C28F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9EF21DD" w14:textId="40ECC9C0" w:rsidR="001C28F3" w:rsidRPr="001C28F3" w:rsidRDefault="001C28F3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</w:rPr>
      </w:pPr>
      <w:r w:rsidRPr="001C28F3">
        <w:rPr>
          <w:rFonts w:cstheme="minorHAnsi"/>
          <w:sz w:val="24"/>
          <w:szCs w:val="24"/>
        </w:rPr>
        <w:t>Se la funzionalità dei reni è ridotta il medico può dimezzare la dose giornaliera. Lo stesso vale per pazienti dializzati. FAMOTIDINA DOC deve essere somministrata al termine della dialisi, o successivamente, dal momento che una parte di principio attivo viene rimossa tramite dialisi.</w:t>
      </w:r>
    </w:p>
    <w:p w14:paraId="1ADC5A08" w14:textId="38AE9662" w:rsidR="008A6FEC" w:rsidRPr="001C28F3" w:rsidRDefault="008A6FEC" w:rsidP="001C28F3">
      <w:pPr>
        <w:spacing w:after="0" w:line="240" w:lineRule="auto"/>
        <w:ind w:right="-2"/>
        <w:jc w:val="both"/>
        <w:rPr>
          <w:rFonts w:cstheme="minorHAnsi"/>
          <w:sz w:val="24"/>
          <w:szCs w:val="24"/>
        </w:rPr>
      </w:pPr>
    </w:p>
    <w:p w14:paraId="18A4797A" w14:textId="77777777" w:rsidR="001C28F3" w:rsidRPr="001C28F3" w:rsidRDefault="001C28F3" w:rsidP="001C28F3">
      <w:pPr>
        <w:suppressAutoHyphens/>
        <w:jc w:val="both"/>
        <w:rPr>
          <w:rFonts w:cstheme="minorHAnsi"/>
          <w:sz w:val="24"/>
          <w:szCs w:val="24"/>
        </w:rPr>
      </w:pPr>
      <w:r w:rsidRPr="001C28F3">
        <w:rPr>
          <w:rFonts w:cstheme="minorHAnsi"/>
          <w:sz w:val="24"/>
          <w:szCs w:val="24"/>
        </w:rPr>
        <w:t xml:space="preserve">Non esistono informazioni sufficienti relative alla sicurezza ed efficacia della </w:t>
      </w:r>
      <w:proofErr w:type="spellStart"/>
      <w:r w:rsidRPr="001C28F3">
        <w:rPr>
          <w:rFonts w:cstheme="minorHAnsi"/>
          <w:sz w:val="24"/>
          <w:szCs w:val="24"/>
        </w:rPr>
        <w:t>famotidina</w:t>
      </w:r>
      <w:proofErr w:type="spellEnd"/>
      <w:r w:rsidRPr="001C28F3">
        <w:rPr>
          <w:rFonts w:cstheme="minorHAnsi"/>
          <w:sz w:val="24"/>
          <w:szCs w:val="24"/>
        </w:rPr>
        <w:t xml:space="preserve"> nei bambini e negli adolescenti. Per questo motivo, i bambini e gli adolescenti non devono essere trattati con </w:t>
      </w:r>
      <w:proofErr w:type="spellStart"/>
      <w:r w:rsidRPr="001C28F3">
        <w:rPr>
          <w:rFonts w:cstheme="minorHAnsi"/>
          <w:sz w:val="24"/>
          <w:szCs w:val="24"/>
        </w:rPr>
        <w:t>famotidina</w:t>
      </w:r>
      <w:proofErr w:type="spellEnd"/>
      <w:r w:rsidRPr="001C28F3">
        <w:rPr>
          <w:rFonts w:cstheme="minorHAnsi"/>
          <w:sz w:val="24"/>
          <w:szCs w:val="24"/>
        </w:rPr>
        <w:t>.</w:t>
      </w:r>
    </w:p>
    <w:p w14:paraId="2CED1DB6" w14:textId="20D476D8" w:rsidR="0068646B" w:rsidRPr="008635DF" w:rsidRDefault="0068646B" w:rsidP="0068646B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8635DF">
        <w:rPr>
          <w:rFonts w:cstheme="minorHAnsi"/>
          <w:sz w:val="24"/>
          <w:szCs w:val="24"/>
        </w:rPr>
        <w:t>Le compresse rivestite con film di FAMOTIDINA DOC 20 mg devono essere deglutite intere con del liquido. Non necessitano di essere assunte con i pasti.</w:t>
      </w:r>
    </w:p>
    <w:p w14:paraId="3E7A2C15" w14:textId="65A3CB95" w:rsidR="0068646B" w:rsidRPr="008635DF" w:rsidRDefault="0068646B" w:rsidP="0068646B">
      <w:pPr>
        <w:suppressAutoHyphens/>
        <w:jc w:val="both"/>
        <w:rPr>
          <w:rFonts w:cstheme="minorHAnsi"/>
          <w:sz w:val="24"/>
          <w:szCs w:val="24"/>
        </w:rPr>
      </w:pPr>
      <w:r w:rsidRPr="008635DF">
        <w:rPr>
          <w:rFonts w:cstheme="minorHAnsi"/>
          <w:sz w:val="24"/>
          <w:szCs w:val="24"/>
        </w:rPr>
        <w:t>Le compresse rivestite con film di FAMOTIDINA DOC 40 mg devono essere deglutite con del liquido. La compressa può essere divisa in dosi uguali. Non necessitano di essere assunte con i pasti.</w:t>
      </w:r>
    </w:p>
    <w:p w14:paraId="5B80AC52" w14:textId="77777777" w:rsidR="00F96473" w:rsidRPr="00A31CC1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14:paraId="725FA40C" w14:textId="77777777" w:rsidR="00F96473" w:rsidRPr="00A31CC1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A254D87" w14:textId="20355635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3) COME FUNZIONA </w:t>
      </w:r>
      <w:r w:rsidR="009028DD">
        <w:rPr>
          <w:rFonts w:eastAsia="Calibri" w:cstheme="minorHAnsi"/>
          <w:b/>
          <w:color w:val="000000"/>
          <w:sz w:val="24"/>
          <w:szCs w:val="24"/>
          <w:lang w:eastAsia="it-IT"/>
        </w:rPr>
        <w:t>FAMOTIDINA DOC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? </w:t>
      </w:r>
    </w:p>
    <w:p w14:paraId="641C26E8" w14:textId="5D18E728" w:rsidR="00BB2AF8" w:rsidRPr="00A31CC1" w:rsidRDefault="009028DD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BB2AF8"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, il cui codice ATC è </w:t>
      </w:r>
      <w:r w:rsidR="000E5FEB" w:rsidRPr="000E5FEB">
        <w:rPr>
          <w:rFonts w:cstheme="minorHAnsi"/>
          <w:sz w:val="24"/>
          <w:szCs w:val="24"/>
        </w:rPr>
        <w:t>A02BA03</w:t>
      </w:r>
      <w:r w:rsidR="00BB2AF8" w:rsidRPr="00A31CC1">
        <w:rPr>
          <w:rFonts w:eastAsia="DejaVuSans"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contiene il principio attivo </w:t>
      </w:r>
      <w:proofErr w:type="spellStart"/>
      <w:r w:rsidR="000E5FEB">
        <w:rPr>
          <w:rFonts w:eastAsia="Calibri" w:cstheme="minorHAnsi"/>
          <w:color w:val="000000"/>
          <w:sz w:val="24"/>
          <w:szCs w:val="24"/>
          <w:lang w:eastAsia="it-IT"/>
        </w:rPr>
        <w:t>famotidina</w:t>
      </w:r>
      <w:proofErr w:type="spellEnd"/>
      <w:r w:rsidR="00F9647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DejaVuSans" w:cstheme="minorHAnsi"/>
          <w:sz w:val="24"/>
          <w:szCs w:val="24"/>
        </w:rPr>
        <w:t xml:space="preserve">che </w:t>
      </w:r>
      <w:r w:rsidR="00BB2AF8" w:rsidRPr="00A31CC1">
        <w:rPr>
          <w:rFonts w:cstheme="minorHAnsi"/>
          <w:sz w:val="24"/>
          <w:szCs w:val="24"/>
        </w:rPr>
        <w:t xml:space="preserve">appartiene alla classe </w:t>
      </w:r>
      <w:r w:rsidR="000E5FEB">
        <w:rPr>
          <w:rFonts w:cstheme="minorHAnsi"/>
          <w:sz w:val="24"/>
          <w:szCs w:val="24"/>
        </w:rPr>
        <w:t>degli inibitori della pompa protonica</w:t>
      </w:r>
      <w:r w:rsidR="00BB2AF8" w:rsidRPr="00A31CC1">
        <w:rPr>
          <w:rFonts w:cstheme="minorHAnsi"/>
          <w:sz w:val="24"/>
          <w:szCs w:val="24"/>
        </w:rPr>
        <w:t xml:space="preserve"> e agisce </w:t>
      </w:r>
      <w:r w:rsidR="000E5FEB" w:rsidRPr="000E5FEB">
        <w:rPr>
          <w:rFonts w:cstheme="minorHAnsi"/>
          <w:sz w:val="24"/>
          <w:szCs w:val="24"/>
        </w:rPr>
        <w:t xml:space="preserve">riducendo la quantità di acido prodotta dallo stomaco. Viene usato per trattare alcune condizioni causate da un eccesso di acido prodotto nello stomaco. </w:t>
      </w:r>
    </w:p>
    <w:p w14:paraId="270D7D95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A31CC1">
        <w:rPr>
          <w:rFonts w:cstheme="minorHAnsi"/>
          <w:color w:val="000000"/>
          <w:sz w:val="24"/>
          <w:szCs w:val="24"/>
          <w:shd w:val="clear" w:color="auto" w:fill="FFFFFF"/>
        </w:rPr>
        <w:br/>
      </w:r>
    </w:p>
    <w:p w14:paraId="4B9774CD" w14:textId="2CDD8A40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r w:rsidR="009028DD">
        <w:rPr>
          <w:rFonts w:eastAsia="Calibri" w:cstheme="minorHAnsi"/>
          <w:b/>
          <w:color w:val="000000"/>
          <w:sz w:val="24"/>
          <w:szCs w:val="24"/>
          <w:lang w:eastAsia="it-IT"/>
        </w:rPr>
        <w:t>FAMOTIDINA DOC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14:paraId="2154B6E8" w14:textId="1702B3A5" w:rsidR="00F96473" w:rsidRPr="00A31CC1" w:rsidRDefault="009028DD" w:rsidP="00F96473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F9647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F96473" w:rsidRPr="00A31CC1">
        <w:rPr>
          <w:rFonts w:cstheme="minorHAnsi"/>
          <w:sz w:val="24"/>
          <w:szCs w:val="24"/>
        </w:rPr>
        <w:t>è un medicinale generico</w:t>
      </w:r>
      <w:r w:rsidR="003C054E" w:rsidRPr="00A31CC1">
        <w:rPr>
          <w:rFonts w:cstheme="minorHAnsi"/>
          <w:sz w:val="24"/>
          <w:szCs w:val="24"/>
        </w:rPr>
        <w:t xml:space="preserve">. </w:t>
      </w:r>
      <w:r w:rsidR="00C56FA9" w:rsidRPr="00A31CC1">
        <w:rPr>
          <w:rFonts w:cstheme="minorHAnsi"/>
          <w:sz w:val="24"/>
          <w:szCs w:val="24"/>
        </w:rPr>
        <w:t xml:space="preserve">Poiché il profilo di sicurezza e l’efficacia del principio attivo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79157E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C56FA9" w:rsidRPr="00A31CC1">
        <w:rPr>
          <w:rFonts w:cstheme="minorHAnsi"/>
          <w:sz w:val="24"/>
          <w:szCs w:val="24"/>
        </w:rPr>
        <w:t xml:space="preserve">è ben conosciuto in quanto il medicinale di riferimento </w:t>
      </w:r>
      <w:r w:rsidR="00FB4181" w:rsidRPr="00A31CC1">
        <w:rPr>
          <w:rFonts w:cstheme="minorHAnsi"/>
          <w:sz w:val="24"/>
          <w:szCs w:val="24"/>
        </w:rPr>
        <w:t xml:space="preserve">è stato autorizzato </w:t>
      </w:r>
      <w:r w:rsidR="00C56FA9" w:rsidRPr="00A31CC1">
        <w:rPr>
          <w:rFonts w:cstheme="minorHAnsi"/>
          <w:sz w:val="24"/>
          <w:szCs w:val="24"/>
        </w:rPr>
        <w:t xml:space="preserve">da </w:t>
      </w:r>
      <w:r w:rsidR="00FB4181" w:rsidRPr="00A31CC1">
        <w:rPr>
          <w:rFonts w:cstheme="minorHAnsi"/>
          <w:sz w:val="24"/>
          <w:szCs w:val="24"/>
        </w:rPr>
        <w:t xml:space="preserve">almeno 8 </w:t>
      </w:r>
      <w:r w:rsidR="00C56FA9" w:rsidRPr="00A31CC1">
        <w:rPr>
          <w:rFonts w:cstheme="minorHAnsi"/>
          <w:sz w:val="24"/>
          <w:szCs w:val="24"/>
        </w:rPr>
        <w:t>anni</w:t>
      </w:r>
      <w:r w:rsidR="00F67DFC" w:rsidRPr="00A31CC1">
        <w:rPr>
          <w:rFonts w:cstheme="minorHAnsi"/>
          <w:sz w:val="24"/>
          <w:szCs w:val="24"/>
        </w:rPr>
        <w:t xml:space="preserve"> nell’Unione </w:t>
      </w:r>
      <w:r w:rsidR="00F67DFC" w:rsidRPr="0047045F">
        <w:rPr>
          <w:rFonts w:cstheme="minorHAnsi"/>
          <w:sz w:val="24"/>
          <w:szCs w:val="24"/>
        </w:rPr>
        <w:t>europea</w:t>
      </w:r>
      <w:r w:rsidR="00C56FA9" w:rsidRPr="0047045F">
        <w:rPr>
          <w:rFonts w:cstheme="minorHAnsi"/>
          <w:sz w:val="24"/>
          <w:szCs w:val="24"/>
        </w:rPr>
        <w:t xml:space="preserve">, </w:t>
      </w:r>
      <w:r w:rsidR="00577DAC" w:rsidRPr="0047045F">
        <w:rPr>
          <w:rFonts w:cstheme="minorHAnsi"/>
          <w:sz w:val="24"/>
          <w:szCs w:val="24"/>
        </w:rPr>
        <w:t xml:space="preserve">a supporto dell’efficacia e della sicurezza di </w:t>
      </w:r>
      <w:r w:rsidRPr="0047045F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577DAC" w:rsidRPr="0047045F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3B10F5" w:rsidRPr="0047045F">
        <w:rPr>
          <w:rFonts w:cstheme="minorHAnsi"/>
          <w:sz w:val="24"/>
          <w:szCs w:val="24"/>
        </w:rPr>
        <w:t xml:space="preserve">sono state effettuate prove cliniche di confronto di FAMOTIDINA DOC 40 mg con il medicinale PEPCID autorizzato nell’Unione Europea (analogo medicinale appartenente alla stessa </w:t>
      </w:r>
      <w:r w:rsidR="003B10F5" w:rsidRPr="0047045F">
        <w:rPr>
          <w:rFonts w:cstheme="minorHAnsi"/>
          <w:i/>
          <w:sz w:val="24"/>
          <w:szCs w:val="24"/>
        </w:rPr>
        <w:t xml:space="preserve">global marketing </w:t>
      </w:r>
      <w:proofErr w:type="spellStart"/>
      <w:r w:rsidR="003B10F5" w:rsidRPr="0047045F">
        <w:rPr>
          <w:rFonts w:cstheme="minorHAnsi"/>
          <w:i/>
          <w:sz w:val="24"/>
          <w:szCs w:val="24"/>
        </w:rPr>
        <w:t>authorisation</w:t>
      </w:r>
      <w:proofErr w:type="spellEnd"/>
      <w:r w:rsidR="003B10F5" w:rsidRPr="0047045F">
        <w:rPr>
          <w:rFonts w:cstheme="minorHAnsi"/>
          <w:sz w:val="24"/>
          <w:szCs w:val="24"/>
        </w:rPr>
        <w:t xml:space="preserve"> di FAMODIL), per determinare la bioequivalenza</w:t>
      </w:r>
      <w:r w:rsidR="000E5FEB" w:rsidRPr="0047045F">
        <w:rPr>
          <w:rFonts w:cstheme="minorHAnsi"/>
          <w:sz w:val="24"/>
          <w:szCs w:val="24"/>
        </w:rPr>
        <w:t>.</w:t>
      </w:r>
      <w:r w:rsidR="00F96473" w:rsidRPr="0047045F">
        <w:rPr>
          <w:rFonts w:cstheme="minorHAnsi"/>
          <w:sz w:val="24"/>
          <w:szCs w:val="24"/>
        </w:rPr>
        <w:t xml:space="preserve"> Due medicinali sono </w:t>
      </w:r>
      <w:proofErr w:type="spellStart"/>
      <w:r w:rsidR="00F96473" w:rsidRPr="0047045F">
        <w:rPr>
          <w:rFonts w:cstheme="minorHAnsi"/>
          <w:sz w:val="24"/>
          <w:szCs w:val="24"/>
        </w:rPr>
        <w:t>bioequivalenti</w:t>
      </w:r>
      <w:proofErr w:type="spellEnd"/>
      <w:r w:rsidR="00F96473" w:rsidRPr="0047045F">
        <w:rPr>
          <w:rFonts w:cstheme="minorHAnsi"/>
          <w:sz w:val="24"/>
          <w:szCs w:val="24"/>
        </w:rPr>
        <w:t xml:space="preserve"> quando producono gli stessi livelli di principio attivo nell’organismo. </w:t>
      </w:r>
      <w:r w:rsidR="0079157E" w:rsidRPr="0047045F">
        <w:rPr>
          <w:rFonts w:cstheme="minorHAnsi"/>
          <w:sz w:val="24"/>
          <w:szCs w:val="24"/>
        </w:rPr>
        <w:t>P</w:t>
      </w:r>
      <w:r w:rsidR="000E5FEB" w:rsidRPr="0047045F">
        <w:rPr>
          <w:rFonts w:cstheme="minorHAnsi"/>
          <w:sz w:val="24"/>
          <w:szCs w:val="24"/>
        </w:rPr>
        <w:t>er il dosaggio da 20 mg</w:t>
      </w:r>
      <w:r w:rsidR="0079157E" w:rsidRPr="0047045F">
        <w:rPr>
          <w:rFonts w:cstheme="minorHAnsi"/>
          <w:sz w:val="24"/>
          <w:szCs w:val="24"/>
        </w:rPr>
        <w:t xml:space="preserve"> non è stato necessario effettuare ulteriori prove cliniche di confronto con il medicinale di riferimento sulla base delle linee guida applicabili.</w:t>
      </w:r>
    </w:p>
    <w:p w14:paraId="49F9AB56" w14:textId="77777777" w:rsidR="008C75F9" w:rsidRPr="00A31CC1" w:rsidRDefault="008C75F9" w:rsidP="00F9647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1359DA" w14:textId="77777777" w:rsidR="006B311C" w:rsidRPr="00A31CC1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86ACECB" w14:textId="5C162ED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5) QUAL È IL RAPPORTO BENEFICIO/RISCHIO DI </w:t>
      </w:r>
      <w:r w:rsidR="009028DD">
        <w:rPr>
          <w:rFonts w:eastAsia="Calibri" w:cstheme="minorHAnsi"/>
          <w:b/>
          <w:color w:val="000000"/>
          <w:sz w:val="24"/>
          <w:szCs w:val="24"/>
          <w:lang w:eastAsia="it-IT"/>
        </w:rPr>
        <w:t>FAMOTIDINA DOC</w:t>
      </w:r>
      <w:r w:rsidRPr="00A31CC1">
        <w:rPr>
          <w:rFonts w:eastAsia="Calibri" w:cstheme="minorHAnsi"/>
          <w:b/>
          <w:sz w:val="24"/>
          <w:szCs w:val="24"/>
          <w:lang w:eastAsia="it-IT"/>
        </w:rPr>
        <w:t>?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61275757" w14:textId="2A28C414" w:rsidR="00BB2AF8" w:rsidRPr="00A31CC1" w:rsidRDefault="009028DD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7170D7" w:rsidRPr="00A31CC1">
        <w:rPr>
          <w:rFonts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è un medicinale generico ed è </w:t>
      </w:r>
      <w:proofErr w:type="spellStart"/>
      <w:r w:rsidR="00BB2AF8" w:rsidRPr="00A31CC1">
        <w:rPr>
          <w:rFonts w:eastAsia="Calibri" w:cstheme="minorHAnsi"/>
          <w:sz w:val="24"/>
          <w:szCs w:val="24"/>
          <w:lang w:eastAsia="it-IT"/>
        </w:rPr>
        <w:t>bioequivalente</w:t>
      </w:r>
      <w:proofErr w:type="spellEnd"/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al medicinale di riferimento; pertanto, i suoi benefici e rischi sono sovrapponibili a quelli del medicinale di riferimento. </w:t>
      </w:r>
    </w:p>
    <w:p w14:paraId="3D4E875D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EE7D68F" w14:textId="299DAB9C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6) PERCHE’ </w:t>
      </w:r>
      <w:r w:rsidR="009028DD">
        <w:rPr>
          <w:rFonts w:eastAsia="Calibri" w:cstheme="minorHAnsi"/>
          <w:b/>
          <w:color w:val="000000"/>
          <w:sz w:val="24"/>
          <w:szCs w:val="24"/>
          <w:lang w:eastAsia="it-IT"/>
        </w:rPr>
        <w:t>FAMOTIDINA DOC</w:t>
      </w:r>
      <w:r w:rsidR="007170D7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proofErr w:type="gramStart"/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>E’</w:t>
      </w:r>
      <w:proofErr w:type="gramEnd"/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 STATO APPROVATO? </w:t>
      </w:r>
    </w:p>
    <w:p w14:paraId="2F1F1380" w14:textId="58864507" w:rsidR="00BB2AF8" w:rsidRPr="00A31CC1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>A seguito dell’istruttoria condotta d</w:t>
      </w:r>
      <w:r w:rsidR="00330DFA">
        <w:rPr>
          <w:rFonts w:eastAsia="Calibri" w:cstheme="minorHAnsi"/>
          <w:sz w:val="24"/>
          <w:szCs w:val="24"/>
          <w:lang w:eastAsia="it-IT"/>
        </w:rPr>
        <w:t>a</w:t>
      </w:r>
      <w:r w:rsidRPr="00A31CC1">
        <w:rPr>
          <w:rFonts w:eastAsia="Calibri" w:cstheme="minorHAnsi"/>
          <w:sz w:val="24"/>
          <w:szCs w:val="24"/>
          <w:lang w:eastAsia="it-IT"/>
        </w:rPr>
        <w:t>ll’AIFA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, conformemente ai requisiti della normativa vigente, come nel caso del medicinale di riferimento</w:t>
      </w:r>
      <w:r w:rsidR="0079157E">
        <w:rPr>
          <w:rFonts w:eastAsia="Calibri" w:cstheme="minorHAnsi"/>
          <w:sz w:val="24"/>
          <w:szCs w:val="24"/>
          <w:lang w:eastAsia="it-IT"/>
        </w:rPr>
        <w:t xml:space="preserve"> FAMODIL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, i benefici di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7170D7" w:rsidRPr="00A31CC1">
        <w:rPr>
          <w:rFonts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sono superiori ai rischi individuati. La CS</w:t>
      </w:r>
      <w:r w:rsidR="00C50582">
        <w:rPr>
          <w:rFonts w:eastAsia="Calibri" w:cstheme="minorHAnsi"/>
          <w:sz w:val="24"/>
          <w:szCs w:val="24"/>
          <w:lang w:eastAsia="it-IT"/>
        </w:rPr>
        <w:t>E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ha, inoltre, </w:t>
      </w:r>
      <w:r w:rsidR="00BB2AF8" w:rsidRPr="008635DF">
        <w:rPr>
          <w:rFonts w:eastAsia="Calibri" w:cstheme="minorHAnsi"/>
          <w:sz w:val="24"/>
          <w:szCs w:val="24"/>
          <w:lang w:eastAsia="it-IT"/>
        </w:rPr>
        <w:t>definito le modalità di prescrizione di cui al punto 2) di questo Riassunto e la classe di rimborsabilità del medicinale</w:t>
      </w:r>
      <w:r w:rsidR="007170D7" w:rsidRPr="008635DF">
        <w:rPr>
          <w:rFonts w:eastAsia="Calibri" w:cstheme="minorHAnsi"/>
          <w:sz w:val="24"/>
          <w:szCs w:val="24"/>
          <w:lang w:eastAsia="it-IT"/>
        </w:rPr>
        <w:t xml:space="preserve"> </w:t>
      </w:r>
      <w:r w:rsidR="00F76F77" w:rsidRPr="008635DF">
        <w:rPr>
          <w:rFonts w:eastAsia="Calibri" w:cstheme="minorHAnsi"/>
          <w:sz w:val="24"/>
          <w:szCs w:val="24"/>
          <w:lang w:eastAsia="it-IT"/>
        </w:rPr>
        <w:t xml:space="preserve">(C </w:t>
      </w:r>
      <w:r w:rsidR="0079157E" w:rsidRPr="008635DF">
        <w:rPr>
          <w:rFonts w:eastAsia="Calibri" w:cstheme="minorHAnsi"/>
          <w:sz w:val="24"/>
          <w:szCs w:val="24"/>
          <w:lang w:eastAsia="it-IT"/>
        </w:rPr>
        <w:t xml:space="preserve">per la confezione 20 mg da 20 compresse; </w:t>
      </w:r>
      <w:proofErr w:type="spellStart"/>
      <w:r w:rsidR="0079157E" w:rsidRPr="008635DF">
        <w:rPr>
          <w:rFonts w:eastAsia="Calibri" w:cstheme="minorHAnsi"/>
          <w:sz w:val="24"/>
          <w:szCs w:val="24"/>
          <w:lang w:eastAsia="it-IT"/>
        </w:rPr>
        <w:t>Cnn</w:t>
      </w:r>
      <w:proofErr w:type="spellEnd"/>
      <w:r w:rsidR="0079157E" w:rsidRPr="008635DF">
        <w:rPr>
          <w:rFonts w:eastAsia="Calibri" w:cstheme="minorHAnsi"/>
          <w:sz w:val="24"/>
          <w:szCs w:val="24"/>
          <w:lang w:eastAsia="it-IT"/>
        </w:rPr>
        <w:t xml:space="preserve"> per le confezioni 40 mg da 20 compresse e da 40 compresse)</w:t>
      </w:r>
      <w:r w:rsidR="008635DF" w:rsidRPr="008635DF">
        <w:rPr>
          <w:rFonts w:eastAsia="Calibri" w:cstheme="minorHAnsi"/>
          <w:sz w:val="24"/>
          <w:szCs w:val="24"/>
          <w:lang w:eastAsia="it-IT"/>
        </w:rPr>
        <w:t>.</w:t>
      </w:r>
    </w:p>
    <w:p w14:paraId="563BF06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5481EC77" w14:textId="65CBFD4C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lastRenderedPageBreak/>
        <w:t xml:space="preserve">7) QUALI MISURE SONO STATE PRESE PER ASSICURARE LA SICUREZZA E L’EFFICACIA NELL’USO DI </w:t>
      </w:r>
      <w:r w:rsidR="009028DD">
        <w:rPr>
          <w:rFonts w:eastAsia="Calibri" w:cstheme="minorHAnsi"/>
          <w:b/>
          <w:color w:val="000000"/>
          <w:sz w:val="24"/>
          <w:szCs w:val="24"/>
          <w:lang w:eastAsia="it-IT"/>
        </w:rPr>
        <w:t>FAMOTIDINA DOC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17597DA8" w14:textId="5745CBEE" w:rsidR="004241AC" w:rsidRPr="00A31CC1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Il titolare 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>.</w:t>
      </w:r>
    </w:p>
    <w:p w14:paraId="3FBA7CE4" w14:textId="77777777" w:rsidR="00663BCD" w:rsidRPr="00A31CC1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7056153C" w14:textId="318B6C2E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r w:rsidR="009028DD">
        <w:rPr>
          <w:rFonts w:eastAsia="Calibri" w:cstheme="minorHAnsi"/>
          <w:b/>
          <w:color w:val="000000"/>
          <w:sz w:val="24"/>
          <w:szCs w:val="24"/>
          <w:lang w:eastAsia="it-IT"/>
        </w:rPr>
        <w:t>FAMOTIDINA DOC</w:t>
      </w:r>
    </w:p>
    <w:p w14:paraId="317999E8" w14:textId="4AE5323E" w:rsidR="004241AC" w:rsidRPr="00A31CC1" w:rsidRDefault="002137B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>
        <w:rPr>
          <w:rFonts w:eastAsia="Calibri" w:cstheme="minorHAnsi"/>
          <w:bCs/>
          <w:iCs/>
          <w:sz w:val="24"/>
          <w:szCs w:val="24"/>
          <w:lang w:eastAsia="it-IT"/>
        </w:rPr>
        <w:t>Il</w:t>
      </w:r>
      <w:r w:rsidR="004241AC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2137BD">
        <w:rPr>
          <w:rFonts w:eastAsia="Calibri" w:cstheme="minorHAnsi"/>
          <w:bCs/>
          <w:iCs/>
          <w:sz w:val="24"/>
          <w:szCs w:val="24"/>
          <w:lang w:eastAsia="it-IT"/>
        </w:rPr>
        <w:t>13 maggio 2025</w:t>
      </w:r>
      <w:r w:rsidR="008635DF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4241AC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l’AIFA ha rilasciato l’autorizzazione all’immissione in commercio di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4241AC" w:rsidRPr="00A31CC1">
        <w:rPr>
          <w:rFonts w:eastAsia="Calibri" w:cstheme="minorHAnsi"/>
          <w:bCs/>
          <w:sz w:val="24"/>
          <w:szCs w:val="24"/>
          <w:lang w:eastAsia="it-IT"/>
        </w:rPr>
        <w:t xml:space="preserve">. </w:t>
      </w:r>
    </w:p>
    <w:p w14:paraId="21121D8B" w14:textId="77777777"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F04232E" w14:textId="77777777"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</w:p>
    <w:p w14:paraId="6CC672B3" w14:textId="69A9992A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Per maggiori informazioni riguardo il trattamento con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7170D7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si può leggere il foglio illustrativo</w:t>
      </w:r>
      <w:r w:rsidR="00D20170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567615" w:rsidRPr="00A31CC1">
        <w:rPr>
          <w:rFonts w:eastAsia="Calibri" w:cstheme="minorHAnsi"/>
          <w:sz w:val="24"/>
          <w:szCs w:val="24"/>
          <w:lang w:eastAsia="it-IT"/>
        </w:rPr>
        <w:t>(</w:t>
      </w:r>
      <w:hyperlink r:id="rId9" w:anchor="/it/" w:history="1">
        <w:r w:rsidR="00A51A8C" w:rsidRPr="00F53A30">
          <w:rPr>
            <w:rStyle w:val="Collegamentoipertestuale"/>
            <w:rFonts w:eastAsia="Calibri" w:cstheme="minorHAnsi"/>
            <w:sz w:val="24"/>
            <w:szCs w:val="24"/>
            <w:lang w:eastAsia="it-IT"/>
          </w:rPr>
          <w:t>https://medicinali.aifa.gov.it/it/#/it/</w:t>
        </w:r>
      </w:hyperlink>
      <w:r w:rsidR="00567615" w:rsidRPr="00A31CC1">
        <w:rPr>
          <w:rFonts w:eastAsia="Calibri" w:cstheme="minorHAnsi"/>
          <w:sz w:val="24"/>
          <w:szCs w:val="24"/>
          <w:lang w:eastAsia="it-IT"/>
        </w:rPr>
        <w:t xml:space="preserve">)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o contattare il medico o </w:t>
      </w:r>
      <w:r w:rsidR="009B03DB" w:rsidRPr="00A31CC1">
        <w:rPr>
          <w:rFonts w:eastAsia="Calibri" w:cstheme="minorHAnsi"/>
          <w:sz w:val="24"/>
          <w:szCs w:val="24"/>
          <w:lang w:eastAsia="it-IT"/>
        </w:rPr>
        <w:t xml:space="preserve">il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farmacista. </w:t>
      </w:r>
    </w:p>
    <w:p w14:paraId="142B38D0" w14:textId="77777777"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92F39BC" w14:textId="2DA36FA2"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Questo riassunto è stato </w:t>
      </w:r>
      <w:r w:rsidRPr="00B9736B">
        <w:rPr>
          <w:rFonts w:eastAsia="Calibri" w:cstheme="minorHAnsi"/>
          <w:sz w:val="24"/>
          <w:szCs w:val="24"/>
          <w:lang w:eastAsia="it-IT"/>
        </w:rPr>
        <w:t xml:space="preserve">redatto in </w:t>
      </w:r>
      <w:r w:rsidR="00B1186F" w:rsidRPr="00B9736B">
        <w:rPr>
          <w:rFonts w:eastAsia="Calibri" w:cstheme="minorHAnsi"/>
          <w:sz w:val="24"/>
          <w:szCs w:val="24"/>
          <w:lang w:eastAsia="it-IT"/>
        </w:rPr>
        <w:t xml:space="preserve">data </w:t>
      </w:r>
      <w:r w:rsidR="00B9736B" w:rsidRPr="00B9736B">
        <w:rPr>
          <w:rFonts w:eastAsia="Calibri" w:cstheme="minorHAnsi"/>
          <w:sz w:val="24"/>
          <w:szCs w:val="24"/>
          <w:lang w:eastAsia="it-IT"/>
        </w:rPr>
        <w:t>17</w:t>
      </w:r>
      <w:r w:rsidR="00C4720E" w:rsidRPr="00B9736B">
        <w:rPr>
          <w:rFonts w:eastAsia="Calibri" w:cstheme="minorHAnsi"/>
          <w:sz w:val="24"/>
          <w:szCs w:val="24"/>
          <w:lang w:eastAsia="it-IT"/>
        </w:rPr>
        <w:t xml:space="preserve"> giugno 2025.</w:t>
      </w:r>
      <w:r w:rsidR="00C4720E">
        <w:rPr>
          <w:rFonts w:eastAsia="Calibri" w:cstheme="minorHAnsi"/>
          <w:sz w:val="24"/>
          <w:szCs w:val="24"/>
          <w:lang w:eastAsia="it-IT"/>
        </w:rPr>
        <w:t xml:space="preserve"> </w:t>
      </w:r>
      <w:r w:rsidR="007170D7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03C6C7A7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E609C9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3126618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3E38D26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BAAA9E5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D448DC9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A001875" w14:textId="77777777" w:rsidR="006222F7" w:rsidRDefault="006222F7" w:rsidP="00A31CC1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0B72270" w14:textId="77777777"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CB0E5AD" w14:textId="77777777"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967E029" w14:textId="77777777" w:rsidR="006222F7" w:rsidRPr="00A31CC1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10F5538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FFEC934" w14:textId="77777777" w:rsidR="008635DF" w:rsidRDefault="008635DF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04451466" w14:textId="2A372121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RELAZIONE PUBBLICA DI VALUTAZIONE</w:t>
      </w:r>
    </w:p>
    <w:p w14:paraId="692C325E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F952B85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8B37251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73587F0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ACB50F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INDICE</w:t>
      </w:r>
    </w:p>
    <w:p w14:paraId="2BAB0D77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306260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3AD60A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7321D51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14:paraId="189B848B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38935A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14:paraId="1279A8C8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4CC643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14:paraId="7C5EEEB9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F92F1C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14:paraId="52912168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24BB83A0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14:paraId="48B559BB" w14:textId="77777777" w:rsidR="004E5A39" w:rsidRPr="00A31CC1" w:rsidRDefault="004E5A39" w:rsidP="004E5A39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14:paraId="70403525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6A43C0F4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444E3BDD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6B5A3830" w14:textId="77777777" w:rsidR="00EF6711" w:rsidRPr="00A31CC1" w:rsidRDefault="00EF6711" w:rsidP="004E5A39">
      <w:pPr>
        <w:rPr>
          <w:rFonts w:cstheme="minorHAnsi"/>
          <w:sz w:val="24"/>
          <w:szCs w:val="24"/>
        </w:rPr>
      </w:pPr>
    </w:p>
    <w:p w14:paraId="7F2A67FE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14:paraId="18E48478" w14:textId="597AD690" w:rsidR="004E5A39" w:rsidRPr="00A31CC1" w:rsidRDefault="004E5A39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Sulla base dei dati di qualità, sicurezza ed efficacia, l’AIFA ha rilasciato a </w:t>
      </w:r>
      <w:r w:rsidR="008635DF" w:rsidRPr="008635DF">
        <w:rPr>
          <w:rFonts w:cstheme="minorHAnsi"/>
          <w:sz w:val="24"/>
          <w:szCs w:val="24"/>
        </w:rPr>
        <w:t xml:space="preserve">DOC Generici S.r.l. </w:t>
      </w:r>
      <w:r w:rsidR="00B1186F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l’autorizzazione all’immissione in commercio (AIC) per il medicinale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7170D7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8635DF" w:rsidRPr="002137BD">
        <w:rPr>
          <w:rFonts w:eastAsia="Calibri" w:cstheme="minorHAnsi"/>
          <w:bCs/>
          <w:iCs/>
          <w:sz w:val="24"/>
          <w:szCs w:val="24"/>
          <w:lang w:eastAsia="it-IT"/>
        </w:rPr>
        <w:t>13 maggio 2025</w:t>
      </w:r>
      <w:r w:rsidR="008635DF">
        <w:rPr>
          <w:rFonts w:eastAsia="Calibri" w:cstheme="minorHAnsi"/>
          <w:bCs/>
          <w:iCs/>
          <w:sz w:val="24"/>
          <w:szCs w:val="24"/>
          <w:lang w:eastAsia="it-IT"/>
        </w:rPr>
        <w:t>.</w:t>
      </w:r>
    </w:p>
    <w:p w14:paraId="11BAB98D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6D146A" w14:textId="2F661814" w:rsidR="004E5A39" w:rsidRPr="00A31CC1" w:rsidRDefault="009028DD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7170D7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EF6711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può essere </w:t>
      </w:r>
      <w:r w:rsidR="008635DF" w:rsidRPr="00A31CC1">
        <w:rPr>
          <w:rFonts w:eastAsia="Calibri" w:cstheme="minorHAnsi"/>
          <w:color w:val="000000"/>
          <w:sz w:val="24"/>
          <w:szCs w:val="24"/>
        </w:rPr>
        <w:t xml:space="preserve">può essere ottenuto solo su prescrizione da parte </w:t>
      </w:r>
      <w:r w:rsidR="008635DF">
        <w:rPr>
          <w:rFonts w:eastAsia="Calibri" w:cstheme="minorHAnsi"/>
          <w:color w:val="000000"/>
          <w:sz w:val="24"/>
          <w:szCs w:val="24"/>
        </w:rPr>
        <w:t>del medico (ricetta ripetibile).</w:t>
      </w:r>
    </w:p>
    <w:p w14:paraId="4AB4F735" w14:textId="77777777" w:rsidR="00EF6711" w:rsidRPr="00A31CC1" w:rsidRDefault="00EF6711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B7C77C9" w14:textId="2E7F6DC4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Questa procedura è stata presentata ai sensi dell’art. </w:t>
      </w:r>
      <w:r w:rsidR="008635DF">
        <w:rPr>
          <w:rFonts w:cstheme="minorHAnsi"/>
          <w:sz w:val="24"/>
          <w:szCs w:val="24"/>
        </w:rPr>
        <w:t>10(1)</w:t>
      </w:r>
      <w:r w:rsidRPr="00A31CC1">
        <w:rPr>
          <w:rFonts w:cstheme="minorHAnsi"/>
          <w:sz w:val="24"/>
          <w:szCs w:val="24"/>
        </w:rPr>
        <w:t xml:space="preserve"> della Direttiva 2001/83/EU </w:t>
      </w:r>
      <w:proofErr w:type="spellStart"/>
      <w:r w:rsidRPr="00A31CC1">
        <w:rPr>
          <w:rFonts w:cstheme="minorHAnsi"/>
          <w:sz w:val="24"/>
          <w:szCs w:val="24"/>
        </w:rPr>
        <w:t>s.m.i.</w:t>
      </w:r>
      <w:proofErr w:type="spellEnd"/>
      <w:r w:rsidR="00F964BE" w:rsidRPr="00A31CC1">
        <w:rPr>
          <w:rFonts w:cstheme="minorHAnsi"/>
          <w:sz w:val="24"/>
          <w:szCs w:val="24"/>
        </w:rPr>
        <w:t xml:space="preserve"> (</w:t>
      </w:r>
      <w:r w:rsidR="008635DF">
        <w:rPr>
          <w:rFonts w:cstheme="minorHAnsi"/>
          <w:sz w:val="24"/>
          <w:szCs w:val="24"/>
        </w:rPr>
        <w:t xml:space="preserve">c.d. </w:t>
      </w:r>
      <w:proofErr w:type="spellStart"/>
      <w:r w:rsidR="008635DF" w:rsidRPr="008635DF">
        <w:rPr>
          <w:rFonts w:cstheme="minorHAnsi"/>
          <w:i/>
          <w:sz w:val="24"/>
          <w:szCs w:val="24"/>
        </w:rPr>
        <w:t>generic</w:t>
      </w:r>
      <w:proofErr w:type="spellEnd"/>
      <w:r w:rsidR="008635DF" w:rsidRPr="008635DF">
        <w:rPr>
          <w:rFonts w:cstheme="minorHAnsi"/>
          <w:i/>
          <w:sz w:val="24"/>
          <w:szCs w:val="24"/>
        </w:rPr>
        <w:t xml:space="preserve"> </w:t>
      </w:r>
      <w:proofErr w:type="spellStart"/>
      <w:r w:rsidR="008635DF" w:rsidRPr="008635DF">
        <w:rPr>
          <w:rFonts w:cstheme="minorHAnsi"/>
          <w:i/>
          <w:sz w:val="24"/>
          <w:szCs w:val="24"/>
        </w:rPr>
        <w:t>application</w:t>
      </w:r>
      <w:proofErr w:type="spellEnd"/>
      <w:r w:rsidR="00F964BE" w:rsidRPr="00A31CC1">
        <w:rPr>
          <w:rFonts w:cstheme="minorHAnsi"/>
          <w:sz w:val="24"/>
          <w:szCs w:val="24"/>
        </w:rPr>
        <w:t>)</w:t>
      </w:r>
    </w:p>
    <w:p w14:paraId="110C1118" w14:textId="77777777" w:rsidR="0098470E" w:rsidRPr="00A31CC1" w:rsidRDefault="0098470E" w:rsidP="00EF671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6F88C9B" w14:textId="2A65D573" w:rsidR="004E5A39" w:rsidRPr="00A31CC1" w:rsidRDefault="009028DD" w:rsidP="00EF671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è un medicinale contenente </w:t>
      </w:r>
      <w:r w:rsidR="008635DF">
        <w:rPr>
          <w:rFonts w:eastAsia="Calibri" w:cstheme="minorHAnsi"/>
          <w:sz w:val="24"/>
          <w:szCs w:val="24"/>
          <w:lang w:eastAsia="it-IT"/>
        </w:rPr>
        <w:t>il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principio attivo</w:t>
      </w:r>
      <w:r w:rsidR="0099120C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8635DF">
        <w:rPr>
          <w:rFonts w:eastAsia="Calibri" w:cstheme="minorHAnsi"/>
          <w:sz w:val="24"/>
          <w:szCs w:val="24"/>
          <w:lang w:eastAsia="it-IT"/>
        </w:rPr>
        <w:t>famotidina</w:t>
      </w:r>
      <w:proofErr w:type="spellEnd"/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noto</w:t>
      </w:r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F964BE" w:rsidRPr="00A31CC1">
        <w:rPr>
          <w:rFonts w:eastAsia="Calibri" w:cstheme="minorHAnsi"/>
          <w:sz w:val="24"/>
          <w:szCs w:val="24"/>
          <w:lang w:eastAsia="it-IT"/>
        </w:rPr>
        <w:t xml:space="preserve">e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present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e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nel medicinale di riferimento </w:t>
      </w:r>
      <w:r w:rsidR="008635DF">
        <w:rPr>
          <w:rFonts w:eastAsia="Calibri" w:cstheme="minorHAnsi"/>
          <w:sz w:val="24"/>
          <w:szCs w:val="24"/>
          <w:lang w:eastAsia="it-IT"/>
        </w:rPr>
        <w:t>FAMODIL che è stato</w:t>
      </w:r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 aut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orizzato in Italia da più di </w:t>
      </w:r>
      <w:r w:rsidR="007D2539" w:rsidRPr="00A31CC1">
        <w:rPr>
          <w:rFonts w:eastAsia="Calibri" w:cstheme="minorHAnsi"/>
          <w:sz w:val="24"/>
          <w:szCs w:val="24"/>
          <w:lang w:eastAsia="it-IT"/>
        </w:rPr>
        <w:t xml:space="preserve">8 </w:t>
      </w:r>
      <w:r w:rsidR="004E5A39" w:rsidRPr="008635DF">
        <w:rPr>
          <w:rFonts w:eastAsia="Calibri" w:cstheme="minorHAnsi"/>
          <w:sz w:val="24"/>
          <w:szCs w:val="24"/>
          <w:lang w:eastAsia="it-IT"/>
        </w:rPr>
        <w:t>anni</w:t>
      </w:r>
      <w:r w:rsidR="00F76F77" w:rsidRPr="008635DF">
        <w:rPr>
          <w:rFonts w:eastAsia="Calibri" w:cstheme="minorHAnsi"/>
          <w:sz w:val="24"/>
          <w:szCs w:val="24"/>
          <w:lang w:eastAsia="it-IT"/>
        </w:rPr>
        <w:t>.</w:t>
      </w:r>
    </w:p>
    <w:p w14:paraId="5836C357" w14:textId="77777777" w:rsidR="004E5A39" w:rsidRPr="00C2507B" w:rsidRDefault="004E5A39" w:rsidP="00EF6711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01877A0F" w14:textId="1FC619F1" w:rsidR="00C2507B" w:rsidRDefault="009028DD" w:rsidP="00C2507B">
      <w:p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C2507B">
        <w:rPr>
          <w:rFonts w:eastAsia="Calibri" w:cstheme="minorHAnsi"/>
          <w:sz w:val="24"/>
          <w:szCs w:val="24"/>
          <w:lang w:eastAsia="it-IT"/>
        </w:rPr>
        <w:t>FAMOTIDINA DOC</w:t>
      </w:r>
      <w:r w:rsidR="004E5A39" w:rsidRPr="00C2507B">
        <w:rPr>
          <w:rFonts w:eastAsia="Calibri" w:cstheme="minorHAnsi"/>
          <w:sz w:val="24"/>
          <w:szCs w:val="24"/>
          <w:lang w:eastAsia="it-IT"/>
        </w:rPr>
        <w:t xml:space="preserve">, il cui codice ATC è </w:t>
      </w:r>
      <w:r w:rsidR="008635DF" w:rsidRPr="00C2507B">
        <w:rPr>
          <w:rFonts w:eastAsia="Calibri" w:cstheme="minorHAnsi"/>
          <w:sz w:val="24"/>
          <w:szCs w:val="24"/>
          <w:lang w:eastAsia="it-IT"/>
        </w:rPr>
        <w:t>A02BA03</w:t>
      </w:r>
      <w:r w:rsidR="004E5A39" w:rsidRPr="00C2507B">
        <w:rPr>
          <w:rFonts w:eastAsia="Calibri" w:cstheme="minorHAnsi"/>
          <w:sz w:val="24"/>
          <w:szCs w:val="24"/>
          <w:lang w:eastAsia="it-IT"/>
        </w:rPr>
        <w:t xml:space="preserve">,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contiene 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il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principi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o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attiv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o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8635DF">
        <w:rPr>
          <w:rFonts w:eastAsia="Calibri" w:cstheme="minorHAnsi"/>
          <w:sz w:val="24"/>
          <w:szCs w:val="24"/>
          <w:lang w:eastAsia="it-IT"/>
        </w:rPr>
        <w:t>famotidina</w:t>
      </w:r>
      <w:proofErr w:type="spellEnd"/>
      <w:r w:rsidR="00C2507B" w:rsidRPr="00C2507B">
        <w:rPr>
          <w:rFonts w:eastAsia="Calibri" w:cstheme="minorHAnsi"/>
          <w:sz w:val="24"/>
          <w:szCs w:val="24"/>
          <w:lang w:eastAsia="it-IT"/>
        </w:rPr>
        <w:t xml:space="preserve">. </w:t>
      </w:r>
      <w:proofErr w:type="spellStart"/>
      <w:r w:rsidR="00C2507B" w:rsidRPr="00C2507B">
        <w:rPr>
          <w:rFonts w:eastAsia="Calibri" w:cstheme="minorHAnsi"/>
          <w:sz w:val="24"/>
          <w:szCs w:val="24"/>
          <w:lang w:eastAsia="it-IT"/>
        </w:rPr>
        <w:t>Famotidina</w:t>
      </w:r>
      <w:proofErr w:type="spellEnd"/>
      <w:r w:rsidR="00C2507B" w:rsidRPr="00C2507B">
        <w:rPr>
          <w:rFonts w:eastAsia="Calibri" w:cstheme="minorHAnsi"/>
          <w:sz w:val="24"/>
          <w:szCs w:val="24"/>
          <w:lang w:eastAsia="it-IT"/>
        </w:rPr>
        <w:t xml:space="preserve"> è un antagonista competitivo dei recettori istaminergici H2, che porta all'inibizione della secrezione acida gastrica mediata dai recettori H2. Oltre a ridurre l'acidità gastrica, </w:t>
      </w:r>
      <w:proofErr w:type="spellStart"/>
      <w:r w:rsidR="00C2507B" w:rsidRPr="00C2507B">
        <w:rPr>
          <w:rFonts w:eastAsia="Calibri" w:cstheme="minorHAnsi"/>
          <w:sz w:val="24"/>
          <w:szCs w:val="24"/>
          <w:lang w:eastAsia="it-IT"/>
        </w:rPr>
        <w:t>famotidina</w:t>
      </w:r>
      <w:proofErr w:type="spellEnd"/>
      <w:r w:rsidR="00C2507B" w:rsidRPr="00C2507B">
        <w:rPr>
          <w:rFonts w:eastAsia="Calibri" w:cstheme="minorHAnsi"/>
          <w:sz w:val="24"/>
          <w:szCs w:val="24"/>
          <w:lang w:eastAsia="it-IT"/>
        </w:rPr>
        <w:t xml:space="preserve"> riduce il contenuto in pepsina e, in misura minore, il volume della secrezione gastrica basale e della secrezione gastrica ottenuta su stimolazione. Non sono stati osservati effetti farmacologici sul SNC, né sui sistemi immunitario, cardiovascolare e sui parametri respiratori.</w:t>
      </w:r>
    </w:p>
    <w:p w14:paraId="0DDDE73B" w14:textId="77777777" w:rsidR="00F26AE8" w:rsidRPr="00C2507B" w:rsidRDefault="00F26AE8" w:rsidP="00C2507B">
      <w:p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2B22AE87" w14:textId="77777777" w:rsidR="00C2507B" w:rsidRPr="00D817B3" w:rsidRDefault="00C2507B" w:rsidP="00C2507B">
      <w:pPr>
        <w:suppressAutoHyphens/>
        <w:spacing w:after="0" w:line="240" w:lineRule="auto"/>
        <w:ind w:left="567" w:hanging="567"/>
        <w:rPr>
          <w:rFonts w:eastAsia="Calibri" w:cstheme="minorHAnsi"/>
          <w:sz w:val="24"/>
          <w:szCs w:val="24"/>
          <w:lang w:eastAsia="it-IT"/>
        </w:rPr>
      </w:pPr>
      <w:r w:rsidRPr="00D817B3">
        <w:rPr>
          <w:rFonts w:eastAsia="Calibri" w:cstheme="minorHAnsi"/>
          <w:sz w:val="24"/>
          <w:szCs w:val="24"/>
          <w:lang w:eastAsia="it-IT"/>
        </w:rPr>
        <w:t>FAMOTIDINA DOC 20 mg compresse rivestite con film è indicato negli adulti per:</w:t>
      </w:r>
    </w:p>
    <w:p w14:paraId="6C8E4D47" w14:textId="77777777" w:rsidR="00C2507B" w:rsidRPr="00D817B3" w:rsidRDefault="00C2507B" w:rsidP="00C2507B">
      <w:pPr>
        <w:suppressAutoHyphens/>
        <w:spacing w:after="0" w:line="240" w:lineRule="auto"/>
        <w:ind w:left="567" w:hanging="567"/>
        <w:rPr>
          <w:rFonts w:eastAsia="Calibri" w:cstheme="minorHAnsi"/>
          <w:sz w:val="24"/>
          <w:szCs w:val="24"/>
          <w:lang w:eastAsia="it-IT"/>
        </w:rPr>
      </w:pPr>
      <w:r w:rsidRPr="00D817B3">
        <w:rPr>
          <w:rFonts w:eastAsia="Calibri" w:cstheme="minorHAnsi"/>
          <w:sz w:val="24"/>
          <w:szCs w:val="24"/>
          <w:lang w:eastAsia="it-IT"/>
        </w:rPr>
        <w:t>- la prevenzione delle recidive delle ulcere duodenali</w:t>
      </w:r>
    </w:p>
    <w:p w14:paraId="2A378DA3" w14:textId="77777777" w:rsidR="00C2507B" w:rsidRPr="00D817B3" w:rsidRDefault="00C2507B" w:rsidP="00C2507B">
      <w:pPr>
        <w:suppressAutoHyphens/>
        <w:spacing w:after="0" w:line="240" w:lineRule="auto"/>
        <w:ind w:left="567" w:hanging="567"/>
        <w:rPr>
          <w:rFonts w:eastAsia="Calibri" w:cstheme="minorHAnsi"/>
          <w:sz w:val="24"/>
          <w:szCs w:val="24"/>
          <w:lang w:eastAsia="it-IT"/>
        </w:rPr>
      </w:pPr>
      <w:r w:rsidRPr="00D817B3">
        <w:rPr>
          <w:rFonts w:eastAsia="Calibri" w:cstheme="minorHAnsi"/>
          <w:sz w:val="24"/>
          <w:szCs w:val="24"/>
          <w:lang w:eastAsia="it-IT"/>
        </w:rPr>
        <w:lastRenderedPageBreak/>
        <w:t>- il trattamento dell’ulcera duodenale</w:t>
      </w:r>
    </w:p>
    <w:p w14:paraId="30416EF9" w14:textId="77777777" w:rsidR="00C2507B" w:rsidRPr="00D817B3" w:rsidRDefault="00C2507B" w:rsidP="00C2507B">
      <w:pPr>
        <w:suppressAutoHyphens/>
        <w:spacing w:after="0" w:line="240" w:lineRule="auto"/>
        <w:ind w:left="567" w:hanging="567"/>
        <w:rPr>
          <w:rFonts w:eastAsia="Calibri" w:cstheme="minorHAnsi"/>
          <w:sz w:val="24"/>
          <w:szCs w:val="24"/>
          <w:lang w:eastAsia="it-IT"/>
        </w:rPr>
      </w:pPr>
      <w:r w:rsidRPr="00D817B3">
        <w:rPr>
          <w:rFonts w:eastAsia="Calibri" w:cstheme="minorHAnsi"/>
          <w:sz w:val="24"/>
          <w:szCs w:val="24"/>
          <w:lang w:eastAsia="it-IT"/>
        </w:rPr>
        <w:t>- il trattamento dell’ulcera gastrica benigna</w:t>
      </w:r>
    </w:p>
    <w:p w14:paraId="594B083E" w14:textId="77777777" w:rsidR="00C2507B" w:rsidRPr="00D817B3" w:rsidRDefault="00C2507B" w:rsidP="00C2507B">
      <w:pPr>
        <w:suppressAutoHyphens/>
        <w:spacing w:after="0" w:line="240" w:lineRule="auto"/>
        <w:ind w:left="567" w:hanging="567"/>
        <w:rPr>
          <w:rFonts w:eastAsia="Calibri" w:cstheme="minorHAnsi"/>
          <w:sz w:val="24"/>
          <w:szCs w:val="24"/>
          <w:lang w:eastAsia="it-IT"/>
        </w:rPr>
      </w:pPr>
      <w:r w:rsidRPr="00D817B3">
        <w:rPr>
          <w:rFonts w:eastAsia="Calibri" w:cstheme="minorHAnsi"/>
          <w:sz w:val="24"/>
          <w:szCs w:val="24"/>
          <w:lang w:eastAsia="it-IT"/>
        </w:rPr>
        <w:t>- il trattamento della sindrome di Zollinger-Ellison</w:t>
      </w:r>
    </w:p>
    <w:p w14:paraId="2E881ECC" w14:textId="77777777" w:rsidR="00C2507B" w:rsidRPr="00D817B3" w:rsidRDefault="00C2507B" w:rsidP="00C2507B">
      <w:pPr>
        <w:suppressAutoHyphens/>
        <w:spacing w:after="0" w:line="240" w:lineRule="auto"/>
        <w:rPr>
          <w:rFonts w:eastAsia="Calibri" w:cstheme="minorHAnsi"/>
          <w:sz w:val="24"/>
          <w:szCs w:val="24"/>
          <w:lang w:eastAsia="it-IT"/>
        </w:rPr>
      </w:pPr>
      <w:r w:rsidRPr="00D817B3">
        <w:rPr>
          <w:rFonts w:eastAsia="Calibri" w:cstheme="minorHAnsi"/>
          <w:sz w:val="24"/>
          <w:szCs w:val="24"/>
          <w:lang w:eastAsia="it-IT"/>
        </w:rPr>
        <w:t>- il trattamento sintomatico della esofagite da reflusso di grado lieve</w:t>
      </w:r>
    </w:p>
    <w:p w14:paraId="37123DA5" w14:textId="77777777" w:rsidR="00C2507B" w:rsidRPr="00D817B3" w:rsidRDefault="00C2507B" w:rsidP="00C2507B">
      <w:pPr>
        <w:suppressAutoHyphens/>
        <w:spacing w:after="0" w:line="240" w:lineRule="auto"/>
        <w:rPr>
          <w:rFonts w:eastAsia="Calibri" w:cstheme="minorHAnsi"/>
          <w:sz w:val="24"/>
          <w:szCs w:val="24"/>
          <w:lang w:eastAsia="it-IT"/>
        </w:rPr>
      </w:pPr>
    </w:p>
    <w:p w14:paraId="6CB227B1" w14:textId="77777777" w:rsidR="00C2507B" w:rsidRPr="00D817B3" w:rsidRDefault="00C2507B" w:rsidP="00C2507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  <w:lang w:eastAsia="it-IT"/>
        </w:rPr>
      </w:pPr>
      <w:r w:rsidRPr="00D817B3">
        <w:rPr>
          <w:rFonts w:eastAsia="Calibri" w:cstheme="minorHAnsi"/>
          <w:sz w:val="24"/>
          <w:szCs w:val="24"/>
          <w:lang w:eastAsia="it-IT"/>
        </w:rPr>
        <w:t>FAMOTIDINA DOC 40 mg compresse rivestite con film è indicato negli adulti per:</w:t>
      </w:r>
    </w:p>
    <w:p w14:paraId="09A9A0A6" w14:textId="77777777" w:rsidR="00C2507B" w:rsidRPr="00D817B3" w:rsidRDefault="00C2507B" w:rsidP="00C2507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  <w:lang w:eastAsia="it-IT"/>
        </w:rPr>
      </w:pPr>
      <w:r w:rsidRPr="00D817B3">
        <w:rPr>
          <w:rFonts w:eastAsia="Calibri" w:cstheme="minorHAnsi"/>
          <w:sz w:val="24"/>
          <w:szCs w:val="24"/>
          <w:lang w:eastAsia="it-IT"/>
        </w:rPr>
        <w:t>- il trattamento dell’ulcera duodenale</w:t>
      </w:r>
    </w:p>
    <w:p w14:paraId="4B84B0C8" w14:textId="77777777" w:rsidR="00C2507B" w:rsidRPr="00D817B3" w:rsidRDefault="00C2507B" w:rsidP="00C2507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  <w:lang w:eastAsia="it-IT"/>
        </w:rPr>
      </w:pPr>
      <w:r w:rsidRPr="00D817B3">
        <w:rPr>
          <w:rFonts w:eastAsia="Calibri" w:cstheme="minorHAnsi"/>
          <w:sz w:val="24"/>
          <w:szCs w:val="24"/>
          <w:lang w:eastAsia="it-IT"/>
        </w:rPr>
        <w:t>- il trattamento dell’ulcera gastrica benigna</w:t>
      </w:r>
    </w:p>
    <w:p w14:paraId="3C7ED680" w14:textId="77777777" w:rsidR="00C2507B" w:rsidRPr="00D817B3" w:rsidRDefault="00C2507B" w:rsidP="00C2507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  <w:lang w:eastAsia="it-IT"/>
        </w:rPr>
      </w:pPr>
      <w:r w:rsidRPr="00D817B3">
        <w:rPr>
          <w:rFonts w:eastAsia="Calibri" w:cstheme="minorHAnsi"/>
          <w:sz w:val="24"/>
          <w:szCs w:val="24"/>
          <w:lang w:eastAsia="it-IT"/>
        </w:rPr>
        <w:t>- il trattamento della sindrome di Zollinger-Ellison</w:t>
      </w:r>
    </w:p>
    <w:p w14:paraId="68F7D147" w14:textId="77777777" w:rsidR="00C2507B" w:rsidRPr="00D817B3" w:rsidRDefault="00C2507B" w:rsidP="00C2507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  <w:lang w:eastAsia="it-IT"/>
        </w:rPr>
      </w:pPr>
      <w:r w:rsidRPr="00D817B3">
        <w:rPr>
          <w:rFonts w:eastAsia="Calibri" w:cstheme="minorHAnsi"/>
          <w:sz w:val="24"/>
          <w:szCs w:val="24"/>
          <w:lang w:eastAsia="it-IT"/>
        </w:rPr>
        <w:t>- il trattamento sintomatico della esofagite da reflusso da lieve a moderata</w:t>
      </w:r>
    </w:p>
    <w:p w14:paraId="6371F79F" w14:textId="77777777" w:rsidR="00C2507B" w:rsidRPr="00D817B3" w:rsidRDefault="00C2507B" w:rsidP="0042214D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1D194AC" w14:textId="16DCF68B" w:rsidR="0042214D" w:rsidRPr="003B10F5" w:rsidRDefault="0042214D" w:rsidP="00D817B3">
      <w:p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D817B3">
        <w:rPr>
          <w:rFonts w:eastAsia="Calibri" w:cstheme="minorHAnsi"/>
          <w:sz w:val="24"/>
          <w:szCs w:val="24"/>
          <w:lang w:eastAsia="it-IT"/>
        </w:rPr>
        <w:t>La richiesta di</w:t>
      </w:r>
      <w:r w:rsidRPr="00A31CC1">
        <w:rPr>
          <w:rFonts w:cstheme="minorHAnsi"/>
          <w:sz w:val="24"/>
          <w:szCs w:val="24"/>
        </w:rPr>
        <w:t xml:space="preserve"> </w:t>
      </w:r>
      <w:r w:rsidRPr="00D817B3">
        <w:rPr>
          <w:rFonts w:eastAsia="Calibri" w:cstheme="minorHAnsi"/>
          <w:sz w:val="24"/>
          <w:szCs w:val="24"/>
          <w:lang w:eastAsia="it-IT"/>
        </w:rPr>
        <w:t xml:space="preserve">AIC è supportata da uno studio di bioequivalenza che ha confrontato i profili farmacocinetici del medicinale test </w:t>
      </w:r>
      <w:r w:rsidR="009028DD" w:rsidRPr="00D817B3">
        <w:rPr>
          <w:rFonts w:eastAsia="Calibri" w:cstheme="minorHAnsi"/>
          <w:sz w:val="24"/>
          <w:szCs w:val="24"/>
          <w:lang w:eastAsia="it-IT"/>
        </w:rPr>
        <w:t>FAMOTIDINA DOC</w:t>
      </w:r>
      <w:r w:rsidRPr="00D817B3">
        <w:rPr>
          <w:rFonts w:eastAsia="Calibri" w:cstheme="minorHAnsi"/>
          <w:sz w:val="24"/>
          <w:szCs w:val="24"/>
          <w:lang w:eastAsia="it-IT"/>
        </w:rPr>
        <w:t xml:space="preserve"> </w:t>
      </w:r>
      <w:r w:rsidR="003B10F5" w:rsidRPr="003B10F5">
        <w:rPr>
          <w:rFonts w:cstheme="minorHAnsi"/>
          <w:sz w:val="24"/>
          <w:szCs w:val="24"/>
        </w:rPr>
        <w:t xml:space="preserve">con il medicinale </w:t>
      </w:r>
      <w:r w:rsidR="0047045F">
        <w:rPr>
          <w:rFonts w:cstheme="minorHAnsi"/>
          <w:sz w:val="24"/>
          <w:szCs w:val="24"/>
        </w:rPr>
        <w:t>PEPCID autorizzato nell’Unione Europea</w:t>
      </w:r>
      <w:r w:rsidR="003B10F5" w:rsidRPr="003B10F5">
        <w:rPr>
          <w:rFonts w:cstheme="minorHAnsi"/>
          <w:sz w:val="24"/>
          <w:szCs w:val="24"/>
        </w:rPr>
        <w:t xml:space="preserve"> (analogo medicinale appartenente alla stessa </w:t>
      </w:r>
      <w:r w:rsidR="003B10F5" w:rsidRPr="003B10F5">
        <w:rPr>
          <w:rFonts w:cstheme="minorHAnsi"/>
          <w:i/>
          <w:sz w:val="24"/>
          <w:szCs w:val="24"/>
        </w:rPr>
        <w:t xml:space="preserve">global marketing </w:t>
      </w:r>
      <w:proofErr w:type="spellStart"/>
      <w:r w:rsidR="003B10F5" w:rsidRPr="003B10F5">
        <w:rPr>
          <w:rFonts w:cstheme="minorHAnsi"/>
          <w:i/>
          <w:sz w:val="24"/>
          <w:szCs w:val="24"/>
        </w:rPr>
        <w:t>authorisation</w:t>
      </w:r>
      <w:proofErr w:type="spellEnd"/>
      <w:r w:rsidR="003B10F5" w:rsidRPr="003B10F5">
        <w:rPr>
          <w:rFonts w:cstheme="minorHAnsi"/>
          <w:sz w:val="24"/>
          <w:szCs w:val="24"/>
        </w:rPr>
        <w:t xml:space="preserve"> d</w:t>
      </w:r>
      <w:r w:rsidR="003B10F5">
        <w:rPr>
          <w:rFonts w:cstheme="minorHAnsi"/>
          <w:sz w:val="24"/>
          <w:szCs w:val="24"/>
        </w:rPr>
        <w:t>el medicinale di riferimento</w:t>
      </w:r>
      <w:r w:rsidR="003B10F5" w:rsidRPr="003B10F5">
        <w:rPr>
          <w:rFonts w:cstheme="minorHAnsi"/>
          <w:sz w:val="24"/>
          <w:szCs w:val="24"/>
        </w:rPr>
        <w:t xml:space="preserve"> </w:t>
      </w:r>
      <w:r w:rsidR="003B10F5">
        <w:rPr>
          <w:rFonts w:cstheme="minorHAnsi"/>
          <w:sz w:val="24"/>
          <w:szCs w:val="24"/>
        </w:rPr>
        <w:t>FAMODIL</w:t>
      </w:r>
      <w:r w:rsidR="003B10F5" w:rsidRPr="003B10F5">
        <w:rPr>
          <w:rFonts w:cstheme="minorHAnsi"/>
          <w:sz w:val="24"/>
          <w:szCs w:val="24"/>
        </w:rPr>
        <w:t>)</w:t>
      </w:r>
      <w:r w:rsidR="00C2507B" w:rsidRPr="003B10F5">
        <w:rPr>
          <w:rFonts w:eastAsia="Calibri" w:cstheme="minorHAnsi"/>
          <w:sz w:val="24"/>
          <w:szCs w:val="24"/>
          <w:lang w:eastAsia="it-IT"/>
        </w:rPr>
        <w:t xml:space="preserve">. </w:t>
      </w:r>
      <w:r w:rsidR="00F964BE" w:rsidRPr="003B10F5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70417A0D" w14:textId="4DC34B3B" w:rsidR="0042214D" w:rsidRPr="00D817B3" w:rsidRDefault="0042214D" w:rsidP="00D817B3">
      <w:p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3B10F5">
        <w:rPr>
          <w:rFonts w:eastAsia="Calibri" w:cstheme="minorHAnsi"/>
          <w:sz w:val="24"/>
          <w:szCs w:val="24"/>
          <w:lang w:eastAsia="it-IT"/>
        </w:rPr>
        <w:t>Lo studio di bioequivalenza è stato condotto in conformità alle linee guida di Buona</w:t>
      </w:r>
      <w:r w:rsidRPr="00D817B3">
        <w:rPr>
          <w:rFonts w:eastAsia="Calibri" w:cstheme="minorHAnsi"/>
          <w:sz w:val="24"/>
          <w:szCs w:val="24"/>
          <w:lang w:eastAsia="it-IT"/>
        </w:rPr>
        <w:t xml:space="preserve"> Pratica Clinica (Good Clinical Practice</w:t>
      </w:r>
      <w:r w:rsidR="00C2507B" w:rsidRPr="00D817B3">
        <w:rPr>
          <w:rFonts w:eastAsia="Calibri" w:cstheme="minorHAnsi"/>
          <w:sz w:val="24"/>
          <w:szCs w:val="24"/>
          <w:lang w:eastAsia="it-IT"/>
        </w:rPr>
        <w:t xml:space="preserve"> - GCP)</w:t>
      </w:r>
      <w:r w:rsidRPr="00D817B3">
        <w:rPr>
          <w:rFonts w:eastAsia="Calibri" w:cstheme="minorHAnsi"/>
          <w:sz w:val="24"/>
          <w:szCs w:val="24"/>
          <w:lang w:eastAsia="it-IT"/>
        </w:rPr>
        <w:t>.</w:t>
      </w:r>
    </w:p>
    <w:p w14:paraId="5CF35397" w14:textId="77777777" w:rsidR="00C2507B" w:rsidRPr="00D817B3" w:rsidRDefault="00C2507B" w:rsidP="00D817B3">
      <w:p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D817B3">
        <w:rPr>
          <w:rFonts w:eastAsia="Calibri" w:cstheme="minorHAnsi"/>
          <w:sz w:val="24"/>
          <w:szCs w:val="24"/>
          <w:lang w:eastAsia="it-IT"/>
        </w:rPr>
        <w:t>Per il dosaggio da 20 mg non è stato necessario effettuare ulteriori prove cliniche di confronto con il medicinale di riferimento sulla base delle linee guida applicabili.</w:t>
      </w:r>
    </w:p>
    <w:p w14:paraId="5829F6F1" w14:textId="77777777" w:rsidR="00C2507B" w:rsidRPr="00D817B3" w:rsidRDefault="00C2507B" w:rsidP="00D817B3">
      <w:p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3F682F3" w14:textId="77777777" w:rsidR="004E5A39" w:rsidRPr="00D817B3" w:rsidRDefault="004E5A39" w:rsidP="00D817B3">
      <w:p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D817B3">
        <w:rPr>
          <w:rFonts w:eastAsia="Calibri" w:cstheme="minorHAnsi"/>
          <w:sz w:val="24"/>
          <w:szCs w:val="24"/>
          <w:lang w:eastAsia="it-IT"/>
        </w:rPr>
        <w:t>Le officine coinvolte nella produzione sono conformi alle linee guida di Buona Pratica di Fabbricazione (</w:t>
      </w:r>
      <w:r w:rsidRPr="00D817B3">
        <w:rPr>
          <w:rFonts w:eastAsia="Calibri" w:cstheme="minorHAnsi"/>
          <w:i/>
          <w:sz w:val="24"/>
          <w:szCs w:val="24"/>
          <w:lang w:eastAsia="it-IT"/>
        </w:rPr>
        <w:t>Good Manufacturing Practice</w:t>
      </w:r>
      <w:r w:rsidRPr="00D817B3">
        <w:rPr>
          <w:rFonts w:eastAsia="Calibri" w:cstheme="minorHAnsi"/>
          <w:sz w:val="24"/>
          <w:szCs w:val="24"/>
          <w:lang w:eastAsia="it-IT"/>
        </w:rPr>
        <w:t xml:space="preserve"> - GMP). </w:t>
      </w:r>
    </w:p>
    <w:p w14:paraId="330A8370" w14:textId="77777777" w:rsidR="004E5A39" w:rsidRPr="00D817B3" w:rsidRDefault="004E5A39" w:rsidP="00D817B3">
      <w:p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35612D64" w14:textId="7E949025" w:rsidR="00B862CA" w:rsidRPr="00D817B3" w:rsidRDefault="004E5A39" w:rsidP="00D817B3">
      <w:p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D817B3">
        <w:rPr>
          <w:rFonts w:eastAsia="Calibri" w:cstheme="minorHAnsi"/>
          <w:sz w:val="24"/>
          <w:szCs w:val="24"/>
          <w:lang w:eastAsia="it-IT"/>
        </w:rPr>
        <w:t xml:space="preserve">Il sistema di Farmacovigilanza descritto dal titolare dell’AIC è conforme ai requisiti previsti dalla normativa corrente. </w:t>
      </w:r>
      <w:proofErr w:type="gramStart"/>
      <w:r w:rsidRPr="00D817B3">
        <w:rPr>
          <w:rFonts w:eastAsia="Calibri" w:cstheme="minorHAnsi"/>
          <w:sz w:val="24"/>
          <w:szCs w:val="24"/>
          <w:lang w:eastAsia="it-IT"/>
        </w:rPr>
        <w:t>E’</w:t>
      </w:r>
      <w:proofErr w:type="gramEnd"/>
      <w:r w:rsidRPr="00D817B3">
        <w:rPr>
          <w:rFonts w:eastAsia="Calibri" w:cstheme="minorHAnsi"/>
          <w:sz w:val="24"/>
          <w:szCs w:val="24"/>
          <w:lang w:eastAsia="it-IT"/>
        </w:rPr>
        <w:t xml:space="preserve"> stato presentato un Piano di gestione del rischio (</w:t>
      </w:r>
      <w:r w:rsidRPr="00A51A8C">
        <w:rPr>
          <w:rFonts w:eastAsia="Calibri" w:cstheme="minorHAnsi"/>
          <w:i/>
          <w:sz w:val="24"/>
          <w:szCs w:val="24"/>
          <w:lang w:eastAsia="it-IT"/>
        </w:rPr>
        <w:t>Risk Management Plan</w:t>
      </w:r>
      <w:r w:rsidRPr="00D817B3">
        <w:rPr>
          <w:rFonts w:eastAsia="Calibri" w:cstheme="minorHAnsi"/>
          <w:sz w:val="24"/>
          <w:szCs w:val="24"/>
          <w:lang w:eastAsia="it-IT"/>
        </w:rPr>
        <w:t xml:space="preserve"> – RMP) accettabile.</w:t>
      </w:r>
      <w:r w:rsidR="00F964BE" w:rsidRPr="00D817B3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246ADB1F" w14:textId="77777777" w:rsidR="00C2507B" w:rsidRPr="00D817B3" w:rsidRDefault="00C2507B" w:rsidP="00D817B3">
      <w:p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6C1716AA" w14:textId="61FEFF00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titolare di AIC ha presentato una adeguata giustificazione della non presentazione della Valutazione del Rischio ambientale; questo approccio è accettabile in quanto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A046AC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265B61" w:rsidRPr="00A31CC1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principi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</w:t>
      </w:r>
      <w:r w:rsidR="00A51A8C">
        <w:rPr>
          <w:rFonts w:cstheme="minorHAnsi"/>
          <w:sz w:val="24"/>
          <w:szCs w:val="24"/>
        </w:rPr>
        <w:t xml:space="preserve">e </w:t>
      </w:r>
      <w:r w:rsidRPr="00A31CC1">
        <w:rPr>
          <w:rFonts w:cstheme="minorHAnsi"/>
          <w:sz w:val="24"/>
          <w:szCs w:val="24"/>
        </w:rPr>
        <w:t>present</w:t>
      </w:r>
      <w:r w:rsidR="00265B61" w:rsidRPr="00A31CC1">
        <w:rPr>
          <w:rFonts w:cstheme="minorHAnsi"/>
          <w:sz w:val="24"/>
          <w:szCs w:val="24"/>
        </w:rPr>
        <w:t>e</w:t>
      </w:r>
      <w:r w:rsidRPr="00A31CC1">
        <w:rPr>
          <w:rFonts w:cstheme="minorHAnsi"/>
          <w:sz w:val="24"/>
          <w:szCs w:val="24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4CCD6095" w14:textId="77777777" w:rsidR="009F584E" w:rsidRPr="00A31CC1" w:rsidRDefault="009F584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CEF6E2F" w14:textId="77777777" w:rsidR="00A046AC" w:rsidRPr="00A31CC1" w:rsidRDefault="00A046AC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862CD59" w14:textId="77777777" w:rsidR="00747E46" w:rsidRPr="00A31CC1" w:rsidRDefault="00747E4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16CCC17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14:paraId="7D0E7D57" w14:textId="3E6FA03E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II.1 PRINCIPIO ATTIVO </w:t>
      </w:r>
      <w:proofErr w:type="spellStart"/>
      <w:r w:rsidR="00C2507B">
        <w:rPr>
          <w:rFonts w:cstheme="minorHAnsi"/>
          <w:b/>
          <w:sz w:val="24"/>
          <w:szCs w:val="24"/>
        </w:rPr>
        <w:t>Famotidina</w:t>
      </w:r>
      <w:proofErr w:type="spellEnd"/>
    </w:p>
    <w:p w14:paraId="2FEB5D4E" w14:textId="190FBEF7" w:rsidR="004E5A39" w:rsidRPr="00A31CC1" w:rsidRDefault="00B51571" w:rsidP="00CC52A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u w:val="single"/>
        </w:rPr>
        <w:t>Denominazione</w:t>
      </w:r>
      <w:r w:rsidR="00C2507B">
        <w:rPr>
          <w:rFonts w:cstheme="minorHAnsi"/>
          <w:sz w:val="24"/>
          <w:szCs w:val="24"/>
          <w:u w:val="single"/>
        </w:rPr>
        <w:t xml:space="preserve"> chimica:</w:t>
      </w:r>
      <w:r w:rsidR="000E4494" w:rsidRPr="00A31CC1">
        <w:rPr>
          <w:rFonts w:cstheme="minorHAnsi"/>
          <w:i/>
          <w:iCs/>
          <w:sz w:val="24"/>
          <w:szCs w:val="24"/>
        </w:rPr>
        <w:t xml:space="preserve"> </w:t>
      </w:r>
      <w:r w:rsidR="00C2507B" w:rsidRPr="00C2507B">
        <w:rPr>
          <w:rFonts w:cstheme="minorHAnsi"/>
          <w:sz w:val="24"/>
          <w:szCs w:val="24"/>
        </w:rPr>
        <w:t>3-[[[2-[(Diaminomethylidene)</w:t>
      </w:r>
      <w:proofErr w:type="gramStart"/>
      <w:r w:rsidR="00C2507B" w:rsidRPr="00C2507B">
        <w:rPr>
          <w:rFonts w:cstheme="minorHAnsi"/>
          <w:sz w:val="24"/>
          <w:szCs w:val="24"/>
        </w:rPr>
        <w:t>amino]thiazol</w:t>
      </w:r>
      <w:proofErr w:type="gramEnd"/>
      <w:r w:rsidR="00C2507B" w:rsidRPr="00C2507B">
        <w:rPr>
          <w:rFonts w:cstheme="minorHAnsi"/>
          <w:sz w:val="24"/>
          <w:szCs w:val="24"/>
        </w:rPr>
        <w:t>-4-yl]methyl]sulfanyl]-N′-sulfamoylpropanimidamide</w:t>
      </w:r>
    </w:p>
    <w:p w14:paraId="736745F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Struttura</w:t>
      </w:r>
      <w:r w:rsidRPr="00A31CC1">
        <w:rPr>
          <w:rFonts w:cstheme="minorHAnsi"/>
          <w:sz w:val="24"/>
          <w:szCs w:val="24"/>
        </w:rPr>
        <w:t>:</w:t>
      </w:r>
    </w:p>
    <w:p w14:paraId="5BF4CDC8" w14:textId="0A916A09" w:rsidR="004E5A39" w:rsidRPr="00A31CC1" w:rsidRDefault="00C2507B" w:rsidP="00265B61">
      <w:pPr>
        <w:spacing w:after="0" w:line="240" w:lineRule="auto"/>
        <w:jc w:val="center"/>
        <w:rPr>
          <w:rFonts w:cstheme="minorHAnsi"/>
          <w:b/>
          <w:i/>
          <w:noProof/>
          <w:sz w:val="24"/>
          <w:szCs w:val="24"/>
          <w:highlight w:val="green"/>
          <w:lang w:eastAsia="it-IT"/>
        </w:rPr>
      </w:pPr>
      <w:r>
        <w:rPr>
          <w:noProof/>
          <w:lang w:eastAsia="it-IT"/>
        </w:rPr>
        <w:drawing>
          <wp:inline distT="0" distB="0" distL="0" distR="0" wp14:anchorId="079D95B8" wp14:editId="43855B08">
            <wp:extent cx="1513840" cy="680720"/>
            <wp:effectExtent l="0" t="0" r="0" b="508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7352" t="60063" r="37913" b="20162"/>
                    <a:stretch/>
                  </pic:blipFill>
                  <pic:spPr bwMode="auto">
                    <a:xfrm>
                      <a:off x="0" y="0"/>
                      <a:ext cx="1513840" cy="680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874799" w14:textId="77777777" w:rsidR="004E5A39" w:rsidRPr="00A31CC1" w:rsidRDefault="004E5A39" w:rsidP="00EF6711">
      <w:pPr>
        <w:spacing w:after="0" w:line="240" w:lineRule="auto"/>
        <w:jc w:val="center"/>
        <w:rPr>
          <w:rFonts w:cstheme="minorHAnsi"/>
          <w:sz w:val="24"/>
          <w:szCs w:val="24"/>
          <w:highlight w:val="yellow"/>
        </w:rPr>
      </w:pPr>
    </w:p>
    <w:p w14:paraId="35D29F89" w14:textId="560A93E1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Formula molecolare</w:t>
      </w:r>
      <w:r w:rsidRPr="00A31CC1">
        <w:rPr>
          <w:rFonts w:cstheme="minorHAnsi"/>
          <w:sz w:val="24"/>
          <w:szCs w:val="24"/>
        </w:rPr>
        <w:t>:</w:t>
      </w:r>
      <w:r w:rsidRPr="00A31CC1"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 w:rsidR="00134D7F" w:rsidRPr="00134D7F">
        <w:rPr>
          <w:rFonts w:cstheme="minorHAnsi"/>
          <w:sz w:val="24"/>
          <w:szCs w:val="24"/>
        </w:rPr>
        <w:t>C</w:t>
      </w:r>
      <w:r w:rsidR="00134D7F" w:rsidRPr="00134D7F">
        <w:rPr>
          <w:rFonts w:cstheme="minorHAnsi"/>
          <w:sz w:val="24"/>
          <w:szCs w:val="24"/>
          <w:vertAlign w:val="subscript"/>
        </w:rPr>
        <w:t>8</w:t>
      </w:r>
      <w:r w:rsidR="00134D7F" w:rsidRPr="00134D7F">
        <w:rPr>
          <w:rFonts w:cstheme="minorHAnsi"/>
          <w:sz w:val="24"/>
          <w:szCs w:val="24"/>
        </w:rPr>
        <w:t>H</w:t>
      </w:r>
      <w:r w:rsidR="00134D7F" w:rsidRPr="00134D7F">
        <w:rPr>
          <w:rFonts w:cstheme="minorHAnsi"/>
          <w:sz w:val="24"/>
          <w:szCs w:val="24"/>
          <w:vertAlign w:val="subscript"/>
        </w:rPr>
        <w:t>15</w:t>
      </w:r>
      <w:r w:rsidR="00134D7F" w:rsidRPr="00134D7F">
        <w:rPr>
          <w:rFonts w:cstheme="minorHAnsi"/>
          <w:sz w:val="24"/>
          <w:szCs w:val="24"/>
        </w:rPr>
        <w:t>N</w:t>
      </w:r>
      <w:r w:rsidR="00134D7F" w:rsidRPr="00134D7F">
        <w:rPr>
          <w:rFonts w:cstheme="minorHAnsi"/>
          <w:sz w:val="24"/>
          <w:szCs w:val="24"/>
          <w:vertAlign w:val="subscript"/>
        </w:rPr>
        <w:t>7</w:t>
      </w:r>
      <w:r w:rsidR="00134D7F" w:rsidRPr="00134D7F">
        <w:rPr>
          <w:rFonts w:cstheme="minorHAnsi"/>
          <w:sz w:val="24"/>
          <w:szCs w:val="24"/>
        </w:rPr>
        <w:t>O</w:t>
      </w:r>
      <w:r w:rsidR="00134D7F" w:rsidRPr="00134D7F">
        <w:rPr>
          <w:rFonts w:cstheme="minorHAnsi"/>
          <w:sz w:val="24"/>
          <w:szCs w:val="24"/>
          <w:vertAlign w:val="subscript"/>
        </w:rPr>
        <w:t>2</w:t>
      </w:r>
      <w:r w:rsidR="00134D7F" w:rsidRPr="00134D7F">
        <w:rPr>
          <w:rFonts w:cstheme="minorHAnsi"/>
          <w:sz w:val="24"/>
          <w:szCs w:val="24"/>
        </w:rPr>
        <w:t>S</w:t>
      </w:r>
      <w:r w:rsidR="00134D7F" w:rsidRPr="00134D7F">
        <w:rPr>
          <w:rFonts w:cstheme="minorHAnsi"/>
          <w:sz w:val="24"/>
          <w:szCs w:val="24"/>
          <w:vertAlign w:val="subscript"/>
        </w:rPr>
        <w:t>3</w:t>
      </w:r>
    </w:p>
    <w:p w14:paraId="6C3F1446" w14:textId="06EC738C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Peso molecolare</w:t>
      </w:r>
      <w:r w:rsidRPr="00A31CC1">
        <w:rPr>
          <w:rFonts w:cstheme="minorHAnsi"/>
          <w:sz w:val="24"/>
          <w:szCs w:val="24"/>
        </w:rPr>
        <w:t>:</w:t>
      </w:r>
      <w:r w:rsidRPr="00A31CC1"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 w:rsidR="00134D7F" w:rsidRPr="00134D7F">
        <w:rPr>
          <w:rFonts w:cstheme="minorHAnsi"/>
          <w:sz w:val="24"/>
          <w:szCs w:val="24"/>
        </w:rPr>
        <w:t>337.4</w:t>
      </w:r>
      <w:r w:rsidR="009A23DE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Style w:val="s1"/>
          <w:rFonts w:asciiTheme="minorHAnsi" w:hAnsiTheme="minorHAnsi" w:cstheme="minorHAnsi"/>
          <w:sz w:val="24"/>
          <w:szCs w:val="24"/>
        </w:rPr>
        <w:t>g/mol</w:t>
      </w:r>
    </w:p>
    <w:p w14:paraId="4AF9A289" w14:textId="0944BE26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CAS</w:t>
      </w:r>
      <w:r w:rsidRPr="00A31CC1">
        <w:rPr>
          <w:rFonts w:cstheme="minorHAnsi"/>
          <w:sz w:val="24"/>
          <w:szCs w:val="24"/>
        </w:rPr>
        <w:t xml:space="preserve">: </w:t>
      </w:r>
      <w:r w:rsidR="00CC52A3" w:rsidRPr="00A31CC1">
        <w:rPr>
          <w:rFonts w:cstheme="minorHAnsi"/>
          <w:sz w:val="24"/>
          <w:szCs w:val="24"/>
        </w:rPr>
        <w:t>[</w:t>
      </w:r>
      <w:r w:rsidR="00134D7F" w:rsidRPr="00134D7F">
        <w:rPr>
          <w:rFonts w:cstheme="minorHAnsi"/>
          <w:sz w:val="24"/>
          <w:szCs w:val="24"/>
        </w:rPr>
        <w:t>76824-35-6</w:t>
      </w:r>
      <w:r w:rsidR="00CC52A3" w:rsidRPr="00A31CC1">
        <w:rPr>
          <w:rFonts w:cstheme="minorHAnsi"/>
          <w:sz w:val="24"/>
          <w:szCs w:val="24"/>
        </w:rPr>
        <w:t>]</w:t>
      </w:r>
    </w:p>
    <w:p w14:paraId="65DD4B31" w14:textId="01F34B50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Aspetto</w:t>
      </w:r>
      <w:r w:rsidRPr="00A31CC1">
        <w:rPr>
          <w:rFonts w:cstheme="minorHAnsi"/>
          <w:sz w:val="24"/>
          <w:szCs w:val="24"/>
        </w:rPr>
        <w:t xml:space="preserve">: </w:t>
      </w:r>
      <w:r w:rsidR="00134D7F">
        <w:rPr>
          <w:rFonts w:cstheme="minorHAnsi"/>
          <w:sz w:val="24"/>
          <w:szCs w:val="24"/>
        </w:rPr>
        <w:t>polvere cristallina o cristalli bianchi o bianco-giallastri</w:t>
      </w:r>
    </w:p>
    <w:p w14:paraId="759A8671" w14:textId="3D04A2E0" w:rsidR="004E5A39" w:rsidRPr="00A31CC1" w:rsidRDefault="004E5A39" w:rsidP="00EF6711">
      <w:pPr>
        <w:spacing w:after="0" w:line="240" w:lineRule="auto"/>
        <w:jc w:val="both"/>
        <w:rPr>
          <w:rStyle w:val="s1"/>
          <w:rFonts w:asciiTheme="minorHAnsi" w:hAnsiTheme="minorHAnsi"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lastRenderedPageBreak/>
        <w:t>Solubilità</w:t>
      </w:r>
      <w:r w:rsidRPr="00A31CC1">
        <w:rPr>
          <w:rFonts w:cstheme="minorHAnsi"/>
          <w:sz w:val="24"/>
          <w:szCs w:val="24"/>
        </w:rPr>
        <w:t xml:space="preserve">: </w:t>
      </w:r>
      <w:r w:rsidR="00134D7F">
        <w:rPr>
          <w:rFonts w:cstheme="minorHAnsi"/>
          <w:sz w:val="24"/>
          <w:szCs w:val="24"/>
        </w:rPr>
        <w:t xml:space="preserve">molto poco solubile in acqua, molto solubile in acido acetico glaciale, molto poco solubile in etanolo anidro, </w:t>
      </w:r>
      <w:r w:rsidR="003B10F5">
        <w:rPr>
          <w:rFonts w:cstheme="minorHAnsi"/>
          <w:sz w:val="24"/>
          <w:szCs w:val="24"/>
        </w:rPr>
        <w:t>praticamente insolubile in etil</w:t>
      </w:r>
      <w:r w:rsidR="00134D7F">
        <w:rPr>
          <w:rFonts w:cstheme="minorHAnsi"/>
          <w:sz w:val="24"/>
          <w:szCs w:val="24"/>
        </w:rPr>
        <w:t xml:space="preserve">acetato. Si dissolve in acidi minerali diluiti. </w:t>
      </w:r>
    </w:p>
    <w:p w14:paraId="44248F9E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6E9A47C5" w14:textId="4B547F75" w:rsidR="000B7AC8" w:rsidRPr="00A31CC1" w:rsidRDefault="000B7AC8" w:rsidP="000B7AC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Il principio attivo è presente in Farmacopea Europea e il Direttorato Europeo per la Qualità dei Medicinali (</w:t>
      </w:r>
      <w:proofErr w:type="spellStart"/>
      <w:r w:rsidRPr="00A31CC1">
        <w:rPr>
          <w:rFonts w:cstheme="minorHAnsi"/>
          <w:i/>
          <w:sz w:val="24"/>
          <w:szCs w:val="24"/>
        </w:rPr>
        <w:t>European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</w:t>
      </w:r>
      <w:proofErr w:type="spellStart"/>
      <w:r w:rsidRPr="00A31CC1">
        <w:rPr>
          <w:rFonts w:cstheme="minorHAnsi"/>
          <w:i/>
          <w:sz w:val="24"/>
          <w:szCs w:val="24"/>
        </w:rPr>
        <w:t>Directorate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for </w:t>
      </w:r>
      <w:r w:rsidR="00747E46" w:rsidRPr="00A31CC1">
        <w:rPr>
          <w:rFonts w:cstheme="minorHAnsi"/>
          <w:i/>
          <w:sz w:val="24"/>
          <w:szCs w:val="24"/>
        </w:rPr>
        <w:t xml:space="preserve">the </w:t>
      </w:r>
      <w:r w:rsidRPr="00A31CC1">
        <w:rPr>
          <w:rFonts w:cstheme="minorHAnsi"/>
          <w:i/>
          <w:sz w:val="24"/>
          <w:szCs w:val="24"/>
        </w:rPr>
        <w:t>Quality of Medic</w:t>
      </w:r>
      <w:r w:rsidR="00747E46" w:rsidRPr="00A31CC1">
        <w:rPr>
          <w:rFonts w:cstheme="minorHAnsi"/>
          <w:i/>
          <w:sz w:val="24"/>
          <w:szCs w:val="24"/>
        </w:rPr>
        <w:t>ines</w:t>
      </w:r>
      <w:r w:rsidRPr="00A31CC1">
        <w:rPr>
          <w:rFonts w:cstheme="minorHAnsi"/>
          <w:sz w:val="24"/>
          <w:szCs w:val="24"/>
        </w:rPr>
        <w:t xml:space="preserve"> – EDQM) ha rilasciato al produttore il certificato di conformità alla Farmacopea Europea.</w:t>
      </w:r>
    </w:p>
    <w:p w14:paraId="2FC040E3" w14:textId="632E8A5A" w:rsidR="000B7AC8" w:rsidRPr="00A31CC1" w:rsidRDefault="000B7AC8" w:rsidP="000B7AC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Tutti gli aspetti di produzione e controllo sono coperti dal certificato di conformità alla Farmacopea Europea. Il periodo di </w:t>
      </w:r>
      <w:proofErr w:type="spellStart"/>
      <w:r w:rsidRPr="00A51A8C">
        <w:rPr>
          <w:rFonts w:cstheme="minorHAnsi"/>
          <w:i/>
          <w:sz w:val="24"/>
          <w:szCs w:val="24"/>
        </w:rPr>
        <w:t>retest</w:t>
      </w:r>
      <w:proofErr w:type="spellEnd"/>
      <w:r w:rsidRPr="00A31CC1">
        <w:rPr>
          <w:rFonts w:cstheme="minorHAnsi"/>
          <w:sz w:val="24"/>
          <w:szCs w:val="24"/>
        </w:rPr>
        <w:t xml:space="preserve"> è definito in </w:t>
      </w:r>
      <w:r w:rsidR="00C2507B">
        <w:rPr>
          <w:rFonts w:cstheme="minorHAnsi"/>
          <w:sz w:val="24"/>
          <w:szCs w:val="24"/>
        </w:rPr>
        <w:t>60</w:t>
      </w:r>
      <w:r w:rsidRPr="00A31CC1">
        <w:rPr>
          <w:rFonts w:cstheme="minorHAnsi"/>
          <w:sz w:val="24"/>
          <w:szCs w:val="24"/>
        </w:rPr>
        <w:t xml:space="preserve"> mesi, quando confezionato in </w:t>
      </w:r>
      <w:r w:rsidR="00C2507B">
        <w:rPr>
          <w:rFonts w:cstheme="minorHAnsi"/>
          <w:sz w:val="24"/>
          <w:szCs w:val="24"/>
        </w:rPr>
        <w:t>doppia sacca i</w:t>
      </w:r>
      <w:r w:rsidR="00A51A8C">
        <w:rPr>
          <w:rFonts w:cstheme="minorHAnsi"/>
          <w:sz w:val="24"/>
          <w:szCs w:val="24"/>
        </w:rPr>
        <w:t>n polietilene inserita dentro u</w:t>
      </w:r>
      <w:r w:rsidR="00C2507B">
        <w:rPr>
          <w:rFonts w:cstheme="minorHAnsi"/>
          <w:sz w:val="24"/>
          <w:szCs w:val="24"/>
        </w:rPr>
        <w:t>n</w:t>
      </w:r>
      <w:r w:rsidR="00A51A8C">
        <w:rPr>
          <w:rFonts w:cstheme="minorHAnsi"/>
          <w:sz w:val="24"/>
          <w:szCs w:val="24"/>
        </w:rPr>
        <w:t xml:space="preserve"> </w:t>
      </w:r>
      <w:r w:rsidR="00C2507B">
        <w:rPr>
          <w:rFonts w:cstheme="minorHAnsi"/>
          <w:sz w:val="24"/>
          <w:szCs w:val="24"/>
        </w:rPr>
        <w:t>fustino di polietilene</w:t>
      </w:r>
      <w:r w:rsidRPr="00A31CC1">
        <w:rPr>
          <w:rFonts w:cstheme="minorHAnsi"/>
          <w:sz w:val="24"/>
          <w:szCs w:val="24"/>
        </w:rPr>
        <w:t>.</w:t>
      </w:r>
    </w:p>
    <w:p w14:paraId="271BAA5F" w14:textId="77777777" w:rsidR="000B7AC8" w:rsidRPr="00A31CC1" w:rsidRDefault="000B7AC8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bookmarkStart w:id="1" w:name="_GoBack"/>
      <w:bookmarkEnd w:id="1"/>
    </w:p>
    <w:p w14:paraId="6B63BE20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II.2 PRODOTTO FINITO</w:t>
      </w:r>
    </w:p>
    <w:p w14:paraId="6C81B3A1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Descrizione e composizione</w:t>
      </w:r>
    </w:p>
    <w:p w14:paraId="46D517CE" w14:textId="6DA029B4" w:rsidR="004E5A39" w:rsidRPr="00134D7F" w:rsidRDefault="009028DD" w:rsidP="00134D7F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0B7AC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disponibile </w:t>
      </w:r>
      <w:r w:rsidR="00134D7F" w:rsidRPr="00A31CC1">
        <w:rPr>
          <w:rFonts w:eastAsia="Calibri" w:cstheme="minorHAnsi"/>
          <w:color w:val="000000"/>
          <w:sz w:val="24"/>
          <w:szCs w:val="24"/>
          <w:lang w:eastAsia="it-IT"/>
        </w:rPr>
        <w:t>come</w:t>
      </w:r>
      <w:r w:rsidR="00134D7F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134D7F" w:rsidRPr="00A31CC1">
        <w:rPr>
          <w:rFonts w:eastAsia="Calibri" w:cstheme="minorHAnsi"/>
          <w:color w:val="000000"/>
          <w:sz w:val="24"/>
          <w:szCs w:val="24"/>
          <w:lang w:eastAsia="it-IT"/>
        </w:rPr>
        <w:t>compresse</w:t>
      </w:r>
      <w:r w:rsidR="00134D7F">
        <w:rPr>
          <w:rFonts w:eastAsia="Calibri" w:cstheme="minorHAnsi"/>
          <w:color w:val="000000"/>
          <w:sz w:val="24"/>
          <w:szCs w:val="24"/>
          <w:lang w:eastAsia="it-IT"/>
        </w:rPr>
        <w:t xml:space="preserve"> rivestite con film</w:t>
      </w:r>
      <w:r w:rsidR="00134D7F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contenenti </w:t>
      </w:r>
      <w:r w:rsidR="00134D7F">
        <w:rPr>
          <w:rFonts w:eastAsia="Calibri" w:cstheme="minorHAnsi"/>
          <w:color w:val="000000"/>
          <w:sz w:val="24"/>
          <w:szCs w:val="24"/>
          <w:lang w:eastAsia="it-IT"/>
        </w:rPr>
        <w:t>20</w:t>
      </w:r>
      <w:r w:rsidR="00134D7F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mg di principio attivo</w:t>
      </w:r>
      <w:r w:rsidR="00134D7F">
        <w:rPr>
          <w:rFonts w:eastAsia="Calibri" w:cstheme="minorHAnsi"/>
          <w:color w:val="000000"/>
          <w:sz w:val="24"/>
          <w:szCs w:val="24"/>
          <w:lang w:eastAsia="it-IT"/>
        </w:rPr>
        <w:t xml:space="preserve"> o </w:t>
      </w:r>
      <w:r w:rsidR="00A51A8C" w:rsidRPr="00A31CC1">
        <w:rPr>
          <w:rFonts w:eastAsia="Calibri" w:cstheme="minorHAnsi"/>
          <w:color w:val="000000"/>
          <w:sz w:val="24"/>
          <w:szCs w:val="24"/>
          <w:lang w:eastAsia="it-IT"/>
        </w:rPr>
        <w:t>compresse</w:t>
      </w:r>
      <w:r w:rsidR="00A51A8C">
        <w:rPr>
          <w:rFonts w:eastAsia="Calibri" w:cstheme="minorHAnsi"/>
          <w:color w:val="000000"/>
          <w:sz w:val="24"/>
          <w:szCs w:val="24"/>
          <w:lang w:eastAsia="it-IT"/>
        </w:rPr>
        <w:t xml:space="preserve"> rivestite con film</w:t>
      </w:r>
      <w:r w:rsidR="00A51A8C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contenenti </w:t>
      </w:r>
      <w:r w:rsidR="00134D7F">
        <w:rPr>
          <w:rFonts w:eastAsia="Calibri" w:cstheme="minorHAnsi"/>
          <w:color w:val="000000"/>
          <w:sz w:val="24"/>
          <w:szCs w:val="24"/>
          <w:lang w:eastAsia="it-IT"/>
        </w:rPr>
        <w:t>40 mg di principio attivo.</w:t>
      </w:r>
    </w:p>
    <w:p w14:paraId="5EB3BC39" w14:textId="75E949B5" w:rsidR="00134D7F" w:rsidRDefault="004E5A39" w:rsidP="00134D7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Gli eccipienti</w:t>
      </w:r>
      <w:r w:rsidR="00134D7F">
        <w:rPr>
          <w:rFonts w:cstheme="minorHAnsi"/>
          <w:sz w:val="24"/>
          <w:szCs w:val="24"/>
        </w:rPr>
        <w:t xml:space="preserve"> di </w:t>
      </w:r>
      <w:r w:rsidR="00134D7F">
        <w:rPr>
          <w:rFonts w:eastAsia="Calibri" w:cstheme="minorHAnsi"/>
          <w:color w:val="000000"/>
          <w:sz w:val="24"/>
          <w:szCs w:val="24"/>
          <w:lang w:eastAsia="it-IT"/>
        </w:rPr>
        <w:t xml:space="preserve">FAMOTIDINA DOC 20 mg </w:t>
      </w:r>
      <w:r w:rsidR="00134D7F">
        <w:rPr>
          <w:rFonts w:cstheme="minorHAnsi"/>
          <w:sz w:val="24"/>
          <w:szCs w:val="24"/>
        </w:rPr>
        <w:t>nel nucleo della compressa</w:t>
      </w:r>
      <w:r w:rsidR="00A51A8C">
        <w:rPr>
          <w:rFonts w:cstheme="minorHAnsi"/>
          <w:sz w:val="24"/>
          <w:szCs w:val="24"/>
        </w:rPr>
        <w:t xml:space="preserve"> sono</w:t>
      </w:r>
      <w:r w:rsidR="00134D7F">
        <w:rPr>
          <w:rFonts w:cstheme="minorHAnsi"/>
          <w:sz w:val="24"/>
          <w:szCs w:val="24"/>
        </w:rPr>
        <w:t xml:space="preserve"> c</w:t>
      </w:r>
      <w:r w:rsidR="00134D7F" w:rsidRPr="00134D7F">
        <w:rPr>
          <w:rFonts w:cstheme="minorHAnsi"/>
          <w:sz w:val="24"/>
          <w:szCs w:val="24"/>
        </w:rPr>
        <w:t>ellulosa microcristallina</w:t>
      </w:r>
      <w:r w:rsidR="00134D7F">
        <w:rPr>
          <w:rFonts w:cstheme="minorHAnsi"/>
          <w:sz w:val="24"/>
          <w:szCs w:val="24"/>
        </w:rPr>
        <w:t>, a</w:t>
      </w:r>
      <w:r w:rsidR="00134D7F" w:rsidRPr="00134D7F">
        <w:rPr>
          <w:rFonts w:cstheme="minorHAnsi"/>
          <w:sz w:val="24"/>
          <w:szCs w:val="24"/>
        </w:rPr>
        <w:t xml:space="preserve">mido di mais </w:t>
      </w:r>
      <w:proofErr w:type="spellStart"/>
      <w:r w:rsidR="00134D7F" w:rsidRPr="00134D7F">
        <w:rPr>
          <w:rFonts w:cstheme="minorHAnsi"/>
          <w:sz w:val="24"/>
          <w:szCs w:val="24"/>
        </w:rPr>
        <w:t>pregelatinizzato</w:t>
      </w:r>
      <w:proofErr w:type="spellEnd"/>
      <w:r w:rsidR="00134D7F">
        <w:rPr>
          <w:rFonts w:cstheme="minorHAnsi"/>
          <w:sz w:val="24"/>
          <w:szCs w:val="24"/>
        </w:rPr>
        <w:t>, t</w:t>
      </w:r>
      <w:r w:rsidR="00134D7F" w:rsidRPr="00134D7F">
        <w:rPr>
          <w:rFonts w:cstheme="minorHAnsi"/>
          <w:sz w:val="24"/>
          <w:szCs w:val="24"/>
        </w:rPr>
        <w:t>alco</w:t>
      </w:r>
      <w:r w:rsidR="00134D7F">
        <w:rPr>
          <w:rFonts w:cstheme="minorHAnsi"/>
          <w:sz w:val="24"/>
          <w:szCs w:val="24"/>
        </w:rPr>
        <w:t>, m</w:t>
      </w:r>
      <w:r w:rsidR="00134D7F" w:rsidRPr="00134D7F">
        <w:rPr>
          <w:rFonts w:cstheme="minorHAnsi"/>
          <w:sz w:val="24"/>
          <w:szCs w:val="24"/>
        </w:rPr>
        <w:t>agnesio stearato</w:t>
      </w:r>
      <w:r w:rsidR="00134D7F">
        <w:rPr>
          <w:rFonts w:cstheme="minorHAnsi"/>
          <w:sz w:val="24"/>
          <w:szCs w:val="24"/>
        </w:rPr>
        <w:t>, o</w:t>
      </w:r>
      <w:r w:rsidR="00134D7F" w:rsidRPr="00134D7F">
        <w:rPr>
          <w:rFonts w:cstheme="minorHAnsi"/>
          <w:sz w:val="24"/>
          <w:szCs w:val="24"/>
        </w:rPr>
        <w:t>ssido di ferro rosso (E172)</w:t>
      </w:r>
      <w:r w:rsidR="00134D7F">
        <w:rPr>
          <w:rFonts w:cstheme="minorHAnsi"/>
          <w:sz w:val="24"/>
          <w:szCs w:val="24"/>
        </w:rPr>
        <w:t xml:space="preserve">; </w:t>
      </w:r>
      <w:r w:rsidR="00A51A8C">
        <w:rPr>
          <w:rFonts w:cstheme="minorHAnsi"/>
          <w:sz w:val="24"/>
          <w:szCs w:val="24"/>
        </w:rPr>
        <w:t xml:space="preserve">gli eccipienti </w:t>
      </w:r>
      <w:r w:rsidR="00134D7F">
        <w:rPr>
          <w:rFonts w:cstheme="minorHAnsi"/>
          <w:sz w:val="24"/>
          <w:szCs w:val="24"/>
        </w:rPr>
        <w:t>nel r</w:t>
      </w:r>
      <w:r w:rsidR="00134D7F" w:rsidRPr="00134D7F">
        <w:rPr>
          <w:rFonts w:cstheme="minorHAnsi"/>
          <w:sz w:val="24"/>
          <w:szCs w:val="24"/>
        </w:rPr>
        <w:t>ivestimento della compressa</w:t>
      </w:r>
      <w:r w:rsidR="00134D7F">
        <w:rPr>
          <w:rFonts w:cstheme="minorHAnsi"/>
          <w:sz w:val="24"/>
          <w:szCs w:val="24"/>
        </w:rPr>
        <w:t xml:space="preserve"> sono </w:t>
      </w:r>
      <w:proofErr w:type="spellStart"/>
      <w:r w:rsidR="00134D7F">
        <w:rPr>
          <w:rFonts w:cstheme="minorHAnsi"/>
          <w:sz w:val="24"/>
          <w:szCs w:val="24"/>
        </w:rPr>
        <w:t>Opadry</w:t>
      </w:r>
      <w:proofErr w:type="spellEnd"/>
      <w:r w:rsidR="00134D7F">
        <w:rPr>
          <w:rFonts w:cstheme="minorHAnsi"/>
          <w:sz w:val="24"/>
          <w:szCs w:val="24"/>
        </w:rPr>
        <w:t xml:space="preserve"> OY </w:t>
      </w:r>
      <w:proofErr w:type="spellStart"/>
      <w:r w:rsidR="00134D7F">
        <w:rPr>
          <w:rFonts w:cstheme="minorHAnsi"/>
          <w:sz w:val="24"/>
          <w:szCs w:val="24"/>
        </w:rPr>
        <w:t>Brown</w:t>
      </w:r>
      <w:proofErr w:type="spellEnd"/>
      <w:r w:rsidR="00134D7F">
        <w:rPr>
          <w:rFonts w:cstheme="minorHAnsi"/>
          <w:sz w:val="24"/>
          <w:szCs w:val="24"/>
        </w:rPr>
        <w:t xml:space="preserve"> (costituito da </w:t>
      </w:r>
      <w:proofErr w:type="spellStart"/>
      <w:r w:rsidR="00134D7F">
        <w:rPr>
          <w:rFonts w:cstheme="minorHAnsi"/>
          <w:sz w:val="24"/>
          <w:szCs w:val="24"/>
        </w:rPr>
        <w:t>i</w:t>
      </w:r>
      <w:r w:rsidR="00134D7F" w:rsidRPr="00134D7F">
        <w:rPr>
          <w:rFonts w:cstheme="minorHAnsi"/>
          <w:sz w:val="24"/>
          <w:szCs w:val="24"/>
        </w:rPr>
        <w:t>promellosa</w:t>
      </w:r>
      <w:proofErr w:type="spellEnd"/>
      <w:r w:rsidR="00134D7F">
        <w:rPr>
          <w:rFonts w:cstheme="minorHAnsi"/>
          <w:sz w:val="24"/>
          <w:szCs w:val="24"/>
        </w:rPr>
        <w:t>, t</w:t>
      </w:r>
      <w:r w:rsidR="00134D7F" w:rsidRPr="00134D7F">
        <w:rPr>
          <w:rFonts w:cstheme="minorHAnsi"/>
          <w:sz w:val="24"/>
          <w:szCs w:val="24"/>
        </w:rPr>
        <w:t>alco</w:t>
      </w:r>
      <w:r w:rsidR="00134D7F">
        <w:rPr>
          <w:rFonts w:cstheme="minorHAnsi"/>
          <w:sz w:val="24"/>
          <w:szCs w:val="24"/>
        </w:rPr>
        <w:t xml:space="preserve">, </w:t>
      </w:r>
      <w:proofErr w:type="spellStart"/>
      <w:r w:rsidR="00134D7F">
        <w:rPr>
          <w:rFonts w:cstheme="minorHAnsi"/>
          <w:sz w:val="24"/>
          <w:szCs w:val="24"/>
        </w:rPr>
        <w:t>macrogol</w:t>
      </w:r>
      <w:proofErr w:type="spellEnd"/>
      <w:r w:rsidR="00134D7F">
        <w:rPr>
          <w:rFonts w:cstheme="minorHAnsi"/>
          <w:sz w:val="24"/>
          <w:szCs w:val="24"/>
        </w:rPr>
        <w:t>, o</w:t>
      </w:r>
      <w:r w:rsidR="00134D7F" w:rsidRPr="00134D7F">
        <w:rPr>
          <w:rFonts w:cstheme="minorHAnsi"/>
          <w:sz w:val="24"/>
          <w:szCs w:val="24"/>
        </w:rPr>
        <w:t>ssido di ferro giallo (E172)</w:t>
      </w:r>
      <w:r w:rsidR="00134D7F">
        <w:rPr>
          <w:rFonts w:cstheme="minorHAnsi"/>
          <w:sz w:val="24"/>
          <w:szCs w:val="24"/>
        </w:rPr>
        <w:t>, ti</w:t>
      </w:r>
      <w:r w:rsidR="00134D7F" w:rsidRPr="00134D7F">
        <w:rPr>
          <w:rFonts w:cstheme="minorHAnsi"/>
          <w:sz w:val="24"/>
          <w:szCs w:val="24"/>
        </w:rPr>
        <w:t>tanio diossido</w:t>
      </w:r>
      <w:r w:rsidR="00134D7F">
        <w:rPr>
          <w:rFonts w:cstheme="minorHAnsi"/>
          <w:sz w:val="24"/>
          <w:szCs w:val="24"/>
        </w:rPr>
        <w:t>, o</w:t>
      </w:r>
      <w:r w:rsidR="00134D7F" w:rsidRPr="00134D7F">
        <w:rPr>
          <w:rFonts w:cstheme="minorHAnsi"/>
          <w:sz w:val="24"/>
          <w:szCs w:val="24"/>
        </w:rPr>
        <w:t>ssido di ferro rosso (E172)</w:t>
      </w:r>
      <w:r w:rsidR="00134D7F">
        <w:rPr>
          <w:rFonts w:cstheme="minorHAnsi"/>
          <w:sz w:val="24"/>
          <w:szCs w:val="24"/>
        </w:rPr>
        <w:t>).</w:t>
      </w:r>
    </w:p>
    <w:p w14:paraId="2616B107" w14:textId="77777777" w:rsidR="00134D7F" w:rsidRDefault="00134D7F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1D29AD0" w14:textId="11BD98E5" w:rsidR="00134D7F" w:rsidRDefault="00134D7F" w:rsidP="00134D7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Gli eccipienti</w:t>
      </w:r>
      <w:r>
        <w:rPr>
          <w:rFonts w:cstheme="minorHAnsi"/>
          <w:sz w:val="24"/>
          <w:szCs w:val="24"/>
        </w:rPr>
        <w:t xml:space="preserve">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FAMOTIDINA DOC 40 mg</w:t>
      </w:r>
      <w:r w:rsidRPr="00A31CC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nel nucleo della compressa</w:t>
      </w:r>
      <w:r w:rsidR="00A51A8C">
        <w:rPr>
          <w:rFonts w:cstheme="minorHAnsi"/>
          <w:sz w:val="24"/>
          <w:szCs w:val="24"/>
        </w:rPr>
        <w:t xml:space="preserve"> </w:t>
      </w:r>
      <w:r w:rsidR="00A51A8C" w:rsidRPr="00A31CC1">
        <w:rPr>
          <w:rFonts w:cstheme="minorHAnsi"/>
          <w:sz w:val="24"/>
          <w:szCs w:val="24"/>
        </w:rPr>
        <w:t>sono</w:t>
      </w:r>
      <w:r>
        <w:rPr>
          <w:rFonts w:cstheme="minorHAnsi"/>
          <w:sz w:val="24"/>
          <w:szCs w:val="24"/>
        </w:rPr>
        <w:t xml:space="preserve"> c</w:t>
      </w:r>
      <w:r w:rsidRPr="00134D7F">
        <w:rPr>
          <w:rFonts w:cstheme="minorHAnsi"/>
          <w:sz w:val="24"/>
          <w:szCs w:val="24"/>
        </w:rPr>
        <w:t>ellulosa microcristallina</w:t>
      </w:r>
      <w:r>
        <w:rPr>
          <w:rFonts w:cstheme="minorHAnsi"/>
          <w:sz w:val="24"/>
          <w:szCs w:val="24"/>
        </w:rPr>
        <w:t>, a</w:t>
      </w:r>
      <w:r w:rsidRPr="00134D7F">
        <w:rPr>
          <w:rFonts w:cstheme="minorHAnsi"/>
          <w:sz w:val="24"/>
          <w:szCs w:val="24"/>
        </w:rPr>
        <w:t xml:space="preserve">mido di mais </w:t>
      </w:r>
      <w:proofErr w:type="spellStart"/>
      <w:r w:rsidRPr="00134D7F">
        <w:rPr>
          <w:rFonts w:cstheme="minorHAnsi"/>
          <w:sz w:val="24"/>
          <w:szCs w:val="24"/>
        </w:rPr>
        <w:t>pregelatinizzato</w:t>
      </w:r>
      <w:proofErr w:type="spellEnd"/>
      <w:r>
        <w:rPr>
          <w:rFonts w:cstheme="minorHAnsi"/>
          <w:sz w:val="24"/>
          <w:szCs w:val="24"/>
        </w:rPr>
        <w:t>, t</w:t>
      </w:r>
      <w:r w:rsidRPr="00134D7F">
        <w:rPr>
          <w:rFonts w:cstheme="minorHAnsi"/>
          <w:sz w:val="24"/>
          <w:szCs w:val="24"/>
        </w:rPr>
        <w:t>alco</w:t>
      </w:r>
      <w:r>
        <w:rPr>
          <w:rFonts w:cstheme="minorHAnsi"/>
          <w:sz w:val="24"/>
          <w:szCs w:val="24"/>
        </w:rPr>
        <w:t>, m</w:t>
      </w:r>
      <w:r w:rsidRPr="00134D7F">
        <w:rPr>
          <w:rFonts w:cstheme="minorHAnsi"/>
          <w:sz w:val="24"/>
          <w:szCs w:val="24"/>
        </w:rPr>
        <w:t>agnesio stearato</w:t>
      </w:r>
      <w:r>
        <w:rPr>
          <w:rFonts w:cstheme="minorHAnsi"/>
          <w:sz w:val="24"/>
          <w:szCs w:val="24"/>
        </w:rPr>
        <w:t>, o</w:t>
      </w:r>
      <w:r w:rsidRPr="00134D7F">
        <w:rPr>
          <w:rFonts w:cstheme="minorHAnsi"/>
          <w:sz w:val="24"/>
          <w:szCs w:val="24"/>
        </w:rPr>
        <w:t>ssido di ferro rosso (E172)</w:t>
      </w:r>
      <w:r>
        <w:rPr>
          <w:rFonts w:cstheme="minorHAnsi"/>
          <w:sz w:val="24"/>
          <w:szCs w:val="24"/>
        </w:rPr>
        <w:t xml:space="preserve">; </w:t>
      </w:r>
      <w:r w:rsidR="00A51A8C">
        <w:rPr>
          <w:rFonts w:cstheme="minorHAnsi"/>
          <w:sz w:val="24"/>
          <w:szCs w:val="24"/>
        </w:rPr>
        <w:t xml:space="preserve">gli eccipienti </w:t>
      </w:r>
      <w:r>
        <w:rPr>
          <w:rFonts w:cstheme="minorHAnsi"/>
          <w:sz w:val="24"/>
          <w:szCs w:val="24"/>
        </w:rPr>
        <w:t>nel r</w:t>
      </w:r>
      <w:r w:rsidRPr="00134D7F">
        <w:rPr>
          <w:rFonts w:cstheme="minorHAnsi"/>
          <w:sz w:val="24"/>
          <w:szCs w:val="24"/>
        </w:rPr>
        <w:t>ivestimento della compressa</w:t>
      </w:r>
      <w:r w:rsidR="00A51A8C">
        <w:rPr>
          <w:rFonts w:cstheme="minorHAnsi"/>
          <w:sz w:val="24"/>
          <w:szCs w:val="24"/>
        </w:rPr>
        <w:t xml:space="preserve"> sono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Pr="00134D7F">
        <w:rPr>
          <w:rFonts w:cstheme="minorHAnsi"/>
          <w:sz w:val="24"/>
          <w:szCs w:val="24"/>
        </w:rPr>
        <w:t>Opadry</w:t>
      </w:r>
      <w:proofErr w:type="spellEnd"/>
      <w:r w:rsidRPr="00134D7F">
        <w:rPr>
          <w:rFonts w:cstheme="minorHAnsi"/>
          <w:sz w:val="24"/>
          <w:szCs w:val="24"/>
        </w:rPr>
        <w:t xml:space="preserve"> Pink</w:t>
      </w:r>
      <w:r>
        <w:rPr>
          <w:rFonts w:cstheme="minorHAnsi"/>
          <w:sz w:val="24"/>
          <w:szCs w:val="24"/>
        </w:rPr>
        <w:t xml:space="preserve"> (costituito da </w:t>
      </w:r>
      <w:proofErr w:type="spellStart"/>
      <w:r>
        <w:rPr>
          <w:rFonts w:cstheme="minorHAnsi"/>
          <w:sz w:val="24"/>
          <w:szCs w:val="24"/>
        </w:rPr>
        <w:t>i</w:t>
      </w:r>
      <w:r w:rsidRPr="00134D7F">
        <w:rPr>
          <w:rFonts w:cstheme="minorHAnsi"/>
          <w:sz w:val="24"/>
          <w:szCs w:val="24"/>
        </w:rPr>
        <w:t>promellosa</w:t>
      </w:r>
      <w:proofErr w:type="spellEnd"/>
      <w:r>
        <w:rPr>
          <w:rFonts w:cstheme="minorHAnsi"/>
          <w:sz w:val="24"/>
          <w:szCs w:val="24"/>
        </w:rPr>
        <w:t xml:space="preserve">, </w:t>
      </w:r>
      <w:proofErr w:type="spellStart"/>
      <w:r>
        <w:rPr>
          <w:rFonts w:cstheme="minorHAnsi"/>
          <w:sz w:val="24"/>
          <w:szCs w:val="24"/>
        </w:rPr>
        <w:t>m</w:t>
      </w:r>
      <w:r w:rsidRPr="00134D7F">
        <w:rPr>
          <w:rFonts w:cstheme="minorHAnsi"/>
          <w:sz w:val="24"/>
          <w:szCs w:val="24"/>
        </w:rPr>
        <w:t>acrogol</w:t>
      </w:r>
      <w:proofErr w:type="spellEnd"/>
      <w:r>
        <w:rPr>
          <w:rFonts w:cstheme="minorHAnsi"/>
          <w:sz w:val="24"/>
          <w:szCs w:val="24"/>
        </w:rPr>
        <w:t>, c</w:t>
      </w:r>
      <w:r w:rsidRPr="00134D7F">
        <w:rPr>
          <w:rFonts w:cstheme="minorHAnsi"/>
          <w:sz w:val="24"/>
          <w:szCs w:val="24"/>
        </w:rPr>
        <w:t xml:space="preserve">alcio </w:t>
      </w:r>
      <w:r>
        <w:rPr>
          <w:rFonts w:cstheme="minorHAnsi"/>
          <w:sz w:val="24"/>
          <w:szCs w:val="24"/>
        </w:rPr>
        <w:t>c</w:t>
      </w:r>
      <w:r w:rsidRPr="00134D7F">
        <w:rPr>
          <w:rFonts w:cstheme="minorHAnsi"/>
          <w:sz w:val="24"/>
          <w:szCs w:val="24"/>
        </w:rPr>
        <w:t>arbonato (E170)</w:t>
      </w:r>
      <w:r w:rsidR="000D40A9">
        <w:rPr>
          <w:rFonts w:cstheme="minorHAnsi"/>
          <w:sz w:val="24"/>
          <w:szCs w:val="24"/>
        </w:rPr>
        <w:t>, c</w:t>
      </w:r>
      <w:r w:rsidRPr="00134D7F">
        <w:rPr>
          <w:rFonts w:cstheme="minorHAnsi"/>
          <w:sz w:val="24"/>
          <w:szCs w:val="24"/>
        </w:rPr>
        <w:t>arminio (E120)</w:t>
      </w:r>
      <w:r w:rsidR="000D40A9">
        <w:rPr>
          <w:rFonts w:cstheme="minorHAnsi"/>
          <w:sz w:val="24"/>
          <w:szCs w:val="24"/>
        </w:rPr>
        <w:t>).</w:t>
      </w:r>
    </w:p>
    <w:p w14:paraId="491C1BFE" w14:textId="77777777" w:rsidR="00134D7F" w:rsidRPr="00A31CC1" w:rsidRDefault="00134D7F" w:rsidP="00EF6711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44E25E2B" w14:textId="133E3F86" w:rsidR="00607D39" w:rsidRDefault="000B7AC8" w:rsidP="00EF6711">
      <w:pPr>
        <w:spacing w:after="0" w:line="240" w:lineRule="auto"/>
        <w:ind w:right="13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Tutti gli eccipienti sono conformi alla relativa monografia di Farmacopea Europea, ad eccezione di </w:t>
      </w:r>
      <w:r w:rsidR="00607D39">
        <w:rPr>
          <w:rFonts w:cstheme="minorHAnsi"/>
          <w:sz w:val="24"/>
          <w:szCs w:val="24"/>
        </w:rPr>
        <w:t xml:space="preserve">ossido di ferro rosso, </w:t>
      </w:r>
      <w:r w:rsidRPr="00A31CC1">
        <w:rPr>
          <w:rFonts w:cstheme="minorHAnsi"/>
          <w:sz w:val="24"/>
          <w:szCs w:val="24"/>
        </w:rPr>
        <w:t>per i</w:t>
      </w:r>
      <w:r w:rsidR="003B10F5">
        <w:rPr>
          <w:rFonts w:cstheme="minorHAnsi"/>
          <w:sz w:val="24"/>
          <w:szCs w:val="24"/>
        </w:rPr>
        <w:t>l</w:t>
      </w:r>
      <w:r w:rsidRPr="00A31CC1">
        <w:rPr>
          <w:rFonts w:cstheme="minorHAnsi"/>
          <w:sz w:val="24"/>
          <w:szCs w:val="24"/>
        </w:rPr>
        <w:t xml:space="preserve"> qual</w:t>
      </w:r>
      <w:r w:rsidR="00607D39">
        <w:rPr>
          <w:rFonts w:cstheme="minorHAnsi"/>
          <w:sz w:val="24"/>
          <w:szCs w:val="24"/>
        </w:rPr>
        <w:t>e</w:t>
      </w:r>
      <w:r w:rsidR="003B10F5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>i</w:t>
      </w:r>
      <w:r w:rsidR="00C344A5">
        <w:rPr>
          <w:rFonts w:cstheme="minorHAnsi"/>
          <w:sz w:val="24"/>
          <w:szCs w:val="24"/>
        </w:rPr>
        <w:t>l</w:t>
      </w:r>
      <w:r w:rsidRPr="00A31CC1">
        <w:rPr>
          <w:rFonts w:cstheme="minorHAnsi"/>
          <w:sz w:val="24"/>
          <w:szCs w:val="24"/>
        </w:rPr>
        <w:t xml:space="preserve"> produttore ha proposto specifiche di controllo </w:t>
      </w:r>
      <w:r w:rsidR="000808A3" w:rsidRPr="00A31CC1">
        <w:rPr>
          <w:rFonts w:cstheme="minorHAnsi"/>
          <w:sz w:val="24"/>
          <w:szCs w:val="24"/>
        </w:rPr>
        <w:t>conformi alla monografia della Farmacopea Americana – USP</w:t>
      </w:r>
      <w:r w:rsidR="00607D39">
        <w:rPr>
          <w:rFonts w:cstheme="minorHAnsi"/>
          <w:sz w:val="24"/>
          <w:szCs w:val="24"/>
        </w:rPr>
        <w:t xml:space="preserve">, </w:t>
      </w:r>
      <w:proofErr w:type="spellStart"/>
      <w:r w:rsidR="00607D39">
        <w:rPr>
          <w:rFonts w:cstheme="minorHAnsi"/>
          <w:sz w:val="24"/>
          <w:szCs w:val="24"/>
        </w:rPr>
        <w:t>Opadry</w:t>
      </w:r>
      <w:proofErr w:type="spellEnd"/>
      <w:r w:rsidR="00607D39">
        <w:rPr>
          <w:rFonts w:cstheme="minorHAnsi"/>
          <w:sz w:val="24"/>
          <w:szCs w:val="24"/>
        </w:rPr>
        <w:t xml:space="preserve"> OY </w:t>
      </w:r>
      <w:proofErr w:type="spellStart"/>
      <w:r w:rsidR="00607D39">
        <w:rPr>
          <w:rFonts w:cstheme="minorHAnsi"/>
          <w:sz w:val="24"/>
          <w:szCs w:val="24"/>
        </w:rPr>
        <w:t>Brown</w:t>
      </w:r>
      <w:proofErr w:type="spellEnd"/>
      <w:r w:rsidR="00607D39">
        <w:rPr>
          <w:rFonts w:cstheme="minorHAnsi"/>
          <w:sz w:val="24"/>
          <w:szCs w:val="24"/>
        </w:rPr>
        <w:t xml:space="preserve"> e </w:t>
      </w:r>
      <w:proofErr w:type="spellStart"/>
      <w:r w:rsidR="00607D39" w:rsidRPr="00134D7F">
        <w:rPr>
          <w:rFonts w:cstheme="minorHAnsi"/>
          <w:sz w:val="24"/>
          <w:szCs w:val="24"/>
        </w:rPr>
        <w:t>Opadry</w:t>
      </w:r>
      <w:proofErr w:type="spellEnd"/>
      <w:r w:rsidR="00607D39" w:rsidRPr="00134D7F">
        <w:rPr>
          <w:rFonts w:cstheme="minorHAnsi"/>
          <w:sz w:val="24"/>
          <w:szCs w:val="24"/>
        </w:rPr>
        <w:t xml:space="preserve"> Pink</w:t>
      </w:r>
      <w:r w:rsidR="00607D39">
        <w:rPr>
          <w:rFonts w:cstheme="minorHAnsi"/>
          <w:sz w:val="24"/>
          <w:szCs w:val="24"/>
        </w:rPr>
        <w:t xml:space="preserve">, </w:t>
      </w:r>
      <w:r w:rsidR="00607D39" w:rsidRPr="00A31CC1">
        <w:rPr>
          <w:rFonts w:cstheme="minorHAnsi"/>
          <w:sz w:val="24"/>
          <w:szCs w:val="24"/>
        </w:rPr>
        <w:t>per i qual</w:t>
      </w:r>
      <w:r w:rsidR="00607D39">
        <w:rPr>
          <w:rFonts w:cstheme="minorHAnsi"/>
          <w:sz w:val="24"/>
          <w:szCs w:val="24"/>
        </w:rPr>
        <w:t>i</w:t>
      </w:r>
      <w:r w:rsidR="00607D39" w:rsidRPr="00A31CC1">
        <w:rPr>
          <w:rFonts w:cstheme="minorHAnsi"/>
          <w:sz w:val="24"/>
          <w:szCs w:val="24"/>
        </w:rPr>
        <w:t xml:space="preserve"> i</w:t>
      </w:r>
      <w:r w:rsidR="00607D39">
        <w:rPr>
          <w:rFonts w:cstheme="minorHAnsi"/>
          <w:sz w:val="24"/>
          <w:szCs w:val="24"/>
        </w:rPr>
        <w:t>l</w:t>
      </w:r>
      <w:r w:rsidR="00607D39" w:rsidRPr="00A31CC1">
        <w:rPr>
          <w:rFonts w:cstheme="minorHAnsi"/>
          <w:sz w:val="24"/>
          <w:szCs w:val="24"/>
        </w:rPr>
        <w:t xml:space="preserve"> produttore ha proposto specifiche di controllo</w:t>
      </w:r>
      <w:r w:rsidR="00607D39">
        <w:rPr>
          <w:rFonts w:cstheme="minorHAnsi"/>
          <w:sz w:val="24"/>
          <w:szCs w:val="24"/>
        </w:rPr>
        <w:t xml:space="preserve"> accettabili.</w:t>
      </w:r>
    </w:p>
    <w:p w14:paraId="27923474" w14:textId="77777777" w:rsidR="00607D39" w:rsidRDefault="00607D39" w:rsidP="00EF6711">
      <w:pPr>
        <w:spacing w:after="0" w:line="240" w:lineRule="auto"/>
        <w:ind w:right="13"/>
        <w:jc w:val="both"/>
        <w:rPr>
          <w:rFonts w:cstheme="minorHAnsi"/>
          <w:sz w:val="24"/>
          <w:szCs w:val="24"/>
        </w:rPr>
      </w:pPr>
    </w:p>
    <w:p w14:paraId="44A598BE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Nessun eccipiente è ottenuto da organismi geneticamente modificati; non sono presenti eccipienti mai utilizzati nell’uomo.</w:t>
      </w:r>
    </w:p>
    <w:p w14:paraId="1FE18E29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B178C4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Sviluppo farmaceutico</w:t>
      </w:r>
    </w:p>
    <w:p w14:paraId="416CF09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dettagli dello sviluppo farmaceutico e questi sono stati ritenuti soddisfacenti.</w:t>
      </w:r>
    </w:p>
    <w:p w14:paraId="0B5662D8" w14:textId="6A5DAE1D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dati comparativi rispetto al medicinale di riferimento</w:t>
      </w:r>
      <w:r w:rsidR="00A51A8C">
        <w:rPr>
          <w:rFonts w:cstheme="minorHAnsi"/>
          <w:sz w:val="24"/>
          <w:szCs w:val="24"/>
        </w:rPr>
        <w:t>.</w:t>
      </w:r>
      <w:r w:rsidR="00B30431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 I dati sono soddisfacenti.</w:t>
      </w:r>
    </w:p>
    <w:p w14:paraId="0C1A9C5D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3ED4F7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Produzione </w:t>
      </w:r>
    </w:p>
    <w:p w14:paraId="720F2E9F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Sono stati forniti una descrizione del metodo di produzione e la relativa </w:t>
      </w:r>
      <w:r w:rsidRPr="003B10F5">
        <w:rPr>
          <w:rFonts w:cstheme="minorHAnsi"/>
          <w:i/>
          <w:sz w:val="24"/>
          <w:szCs w:val="24"/>
        </w:rPr>
        <w:t>flow-chart</w:t>
      </w:r>
      <w:r w:rsidRPr="00A31CC1">
        <w:rPr>
          <w:rFonts w:cstheme="minorHAnsi"/>
          <w:sz w:val="24"/>
          <w:szCs w:val="24"/>
        </w:rPr>
        <w:t>.</w:t>
      </w:r>
    </w:p>
    <w:p w14:paraId="4B7C7D3A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1DCF07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401C94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Specifiche del prodotto finito</w:t>
      </w:r>
    </w:p>
    <w:p w14:paraId="23930CD9" w14:textId="245324E0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="000808A3" w:rsidRPr="00A31CC1">
        <w:rPr>
          <w:rFonts w:cstheme="minorHAnsi"/>
          <w:sz w:val="24"/>
          <w:szCs w:val="24"/>
        </w:rPr>
        <w:t>per i diversi dosaggi del prodott</w:t>
      </w:r>
      <w:r w:rsidR="008767B9">
        <w:rPr>
          <w:rFonts w:cstheme="minorHAnsi"/>
          <w:sz w:val="24"/>
          <w:szCs w:val="24"/>
        </w:rPr>
        <w:t>o</w:t>
      </w:r>
      <w:r w:rsidR="00607D39">
        <w:rPr>
          <w:rFonts w:cstheme="minorHAnsi"/>
          <w:sz w:val="24"/>
          <w:szCs w:val="24"/>
        </w:rPr>
        <w:t xml:space="preserve"> finito</w:t>
      </w:r>
      <w:r w:rsidRPr="00A31CC1">
        <w:rPr>
          <w:rFonts w:cstheme="minorHAnsi"/>
          <w:sz w:val="24"/>
          <w:szCs w:val="24"/>
        </w:rPr>
        <w:t xml:space="preserve">: questi dati dimostrano che i lotti prodotti sono in accordo alle specifiche proposte. Sono stati forniti, infine, </w:t>
      </w:r>
      <w:r w:rsidR="00A51A8C">
        <w:rPr>
          <w:rFonts w:cstheme="minorHAnsi"/>
          <w:sz w:val="24"/>
          <w:szCs w:val="24"/>
        </w:rPr>
        <w:t>dati adeguati</w:t>
      </w:r>
      <w:r w:rsidRPr="00A31CC1">
        <w:rPr>
          <w:rFonts w:cstheme="minorHAnsi"/>
          <w:sz w:val="24"/>
          <w:szCs w:val="24"/>
        </w:rPr>
        <w:t xml:space="preserve"> per gli standard di riferimento utilizzati.</w:t>
      </w:r>
    </w:p>
    <w:p w14:paraId="5B60B4D3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805F43F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Contenitore</w:t>
      </w:r>
    </w:p>
    <w:p w14:paraId="5F4CF3A7" w14:textId="5617BBB7" w:rsidR="00A51A8C" w:rsidRDefault="00607D39" w:rsidP="00A51A8C">
      <w:pPr>
        <w:suppressAutoHyphens/>
        <w:spacing w:after="0" w:line="240" w:lineRule="auto"/>
        <w:rPr>
          <w:rFonts w:cstheme="minorHAnsi"/>
          <w:sz w:val="24"/>
          <w:szCs w:val="24"/>
        </w:rPr>
      </w:pPr>
      <w:r w:rsidRPr="00A51A8C">
        <w:rPr>
          <w:rFonts w:cstheme="minorHAnsi"/>
          <w:sz w:val="24"/>
          <w:szCs w:val="24"/>
        </w:rPr>
        <w:t xml:space="preserve">FAMOTIDINA DOC 20 mg </w:t>
      </w:r>
      <w:r w:rsidRPr="00A31CC1">
        <w:rPr>
          <w:rFonts w:cstheme="minorHAnsi"/>
          <w:sz w:val="24"/>
          <w:szCs w:val="24"/>
        </w:rPr>
        <w:t xml:space="preserve">è confezionato in </w:t>
      </w:r>
      <w:r w:rsidRPr="00A51A8C">
        <w:rPr>
          <w:rFonts w:cstheme="minorHAnsi"/>
          <w:sz w:val="24"/>
          <w:szCs w:val="24"/>
        </w:rPr>
        <w:t xml:space="preserve">blister PVC/alluminio contenente 20 compresse rivestite con film. </w:t>
      </w:r>
    </w:p>
    <w:p w14:paraId="241491F5" w14:textId="6789329F" w:rsidR="00607D39" w:rsidRPr="00A51A8C" w:rsidRDefault="009028DD" w:rsidP="00A51A8C">
      <w:pPr>
        <w:suppressAutoHyphens/>
        <w:spacing w:after="0" w:line="240" w:lineRule="auto"/>
        <w:rPr>
          <w:rFonts w:cstheme="minorHAnsi"/>
          <w:sz w:val="24"/>
          <w:szCs w:val="24"/>
        </w:rPr>
      </w:pPr>
      <w:r w:rsidRPr="00A51A8C">
        <w:rPr>
          <w:rFonts w:cstheme="minorHAnsi"/>
          <w:sz w:val="24"/>
          <w:szCs w:val="24"/>
        </w:rPr>
        <w:t>FAMOTIDINA DOC</w:t>
      </w:r>
      <w:r w:rsidR="00607D39" w:rsidRPr="00A51A8C">
        <w:rPr>
          <w:rFonts w:cstheme="minorHAnsi"/>
          <w:sz w:val="24"/>
          <w:szCs w:val="24"/>
        </w:rPr>
        <w:t xml:space="preserve"> 40 mg</w:t>
      </w:r>
      <w:r w:rsidR="000808A3" w:rsidRPr="00A51A8C">
        <w:rPr>
          <w:rFonts w:cstheme="minorHAnsi"/>
          <w:sz w:val="24"/>
          <w:szCs w:val="24"/>
        </w:rPr>
        <w:t xml:space="preserve"> </w:t>
      </w:r>
      <w:r w:rsidR="004E5A39" w:rsidRPr="00A31CC1">
        <w:rPr>
          <w:rFonts w:cstheme="minorHAnsi"/>
          <w:sz w:val="24"/>
          <w:szCs w:val="24"/>
        </w:rPr>
        <w:t xml:space="preserve">è confezionato in </w:t>
      </w:r>
      <w:r w:rsidR="00607D39" w:rsidRPr="00A51A8C">
        <w:rPr>
          <w:rFonts w:cstheme="minorHAnsi"/>
          <w:sz w:val="24"/>
          <w:szCs w:val="24"/>
        </w:rPr>
        <w:t>blister PVC/alluminio contenente 10 o 20 compresse rivestite con film.</w:t>
      </w:r>
    </w:p>
    <w:p w14:paraId="1B6AD125" w14:textId="5A9BBFA9" w:rsidR="004E5A39" w:rsidRPr="00A31CC1" w:rsidRDefault="004E5A39" w:rsidP="00A51A8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state fornite specifiche e certificati analitici per tutti i componenti del confezionamento primario, che è adeguato per il medicinale.</w:t>
      </w:r>
    </w:p>
    <w:p w14:paraId="6BE64A56" w14:textId="77777777" w:rsidR="00BA0ACD" w:rsidRPr="00A31CC1" w:rsidRDefault="00BA0ACD" w:rsidP="00A51A8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BEB389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Stabilità</w:t>
      </w:r>
    </w:p>
    <w:p w14:paraId="675FCD06" w14:textId="4EECED80" w:rsidR="00607D39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Studi di stabilità sul prodotto finito sono stati condotti in accordo alle correnti linee guida e i risultati sono entro i limiti delle specifiche autorizzate. Sulla base di questi risultati, è stato autorizzato </w:t>
      </w:r>
      <w:r w:rsidR="00607D39">
        <w:rPr>
          <w:rFonts w:cstheme="minorHAnsi"/>
          <w:sz w:val="24"/>
          <w:szCs w:val="24"/>
        </w:rPr>
        <w:t xml:space="preserve">il seguente </w:t>
      </w:r>
      <w:r w:rsidRPr="00A31CC1">
        <w:rPr>
          <w:rFonts w:cstheme="minorHAnsi"/>
          <w:sz w:val="24"/>
          <w:szCs w:val="24"/>
        </w:rPr>
        <w:t>periodo di validità</w:t>
      </w:r>
      <w:r w:rsidR="00607D39">
        <w:rPr>
          <w:rFonts w:cstheme="minorHAnsi"/>
          <w:sz w:val="24"/>
          <w:szCs w:val="24"/>
        </w:rPr>
        <w:t>: per</w:t>
      </w:r>
      <w:r w:rsidRPr="00A31CC1">
        <w:rPr>
          <w:rFonts w:cstheme="minorHAnsi"/>
          <w:sz w:val="24"/>
          <w:szCs w:val="24"/>
        </w:rPr>
        <w:t xml:space="preserve"> </w:t>
      </w:r>
      <w:r w:rsidR="00607D39">
        <w:rPr>
          <w:rFonts w:eastAsia="Calibri" w:cstheme="minorHAnsi"/>
          <w:color w:val="000000"/>
          <w:sz w:val="24"/>
          <w:szCs w:val="24"/>
          <w:lang w:eastAsia="it-IT"/>
        </w:rPr>
        <w:t>FAMOTIDINA DOC 20 mg</w:t>
      </w:r>
      <w:r w:rsidR="004C6463">
        <w:rPr>
          <w:rFonts w:eastAsia="Calibri" w:cstheme="minorHAnsi"/>
          <w:color w:val="000000"/>
          <w:sz w:val="24"/>
          <w:szCs w:val="24"/>
          <w:lang w:eastAsia="it-IT"/>
        </w:rPr>
        <w:t xml:space="preserve"> un periodo di </w:t>
      </w:r>
      <w:r w:rsidR="00607D39">
        <w:rPr>
          <w:rFonts w:cstheme="minorHAnsi"/>
          <w:sz w:val="24"/>
          <w:szCs w:val="24"/>
        </w:rPr>
        <w:t xml:space="preserve">3 </w:t>
      </w:r>
      <w:r w:rsidR="00265B61" w:rsidRPr="00A31CC1">
        <w:rPr>
          <w:rFonts w:cstheme="minorHAnsi"/>
          <w:sz w:val="24"/>
          <w:szCs w:val="24"/>
        </w:rPr>
        <w:t>anni</w:t>
      </w:r>
      <w:r w:rsidRPr="00A31CC1">
        <w:rPr>
          <w:rFonts w:cstheme="minorHAnsi"/>
          <w:sz w:val="24"/>
          <w:szCs w:val="24"/>
        </w:rPr>
        <w:t xml:space="preserve"> senza nessuna condizione particolare di conservazione</w:t>
      </w:r>
      <w:r w:rsidR="00607D39">
        <w:rPr>
          <w:rFonts w:cstheme="minorHAnsi"/>
          <w:sz w:val="24"/>
          <w:szCs w:val="24"/>
        </w:rPr>
        <w:t xml:space="preserve">; per </w:t>
      </w:r>
      <w:r w:rsidR="00607D39">
        <w:rPr>
          <w:rFonts w:eastAsia="Calibri" w:cstheme="minorHAnsi"/>
          <w:color w:val="000000"/>
          <w:sz w:val="24"/>
          <w:szCs w:val="24"/>
          <w:lang w:eastAsia="it-IT"/>
        </w:rPr>
        <w:t xml:space="preserve">FAMOTIDINA DOC </w:t>
      </w:r>
      <w:r w:rsidR="00E8095D">
        <w:rPr>
          <w:rFonts w:eastAsia="Calibri" w:cstheme="minorHAnsi"/>
          <w:color w:val="000000"/>
          <w:sz w:val="24"/>
          <w:szCs w:val="24"/>
          <w:lang w:eastAsia="it-IT"/>
        </w:rPr>
        <w:t xml:space="preserve">40 </w:t>
      </w:r>
      <w:r w:rsidR="00607D39">
        <w:rPr>
          <w:rFonts w:eastAsia="Calibri" w:cstheme="minorHAnsi"/>
          <w:color w:val="000000"/>
          <w:sz w:val="24"/>
          <w:szCs w:val="24"/>
          <w:lang w:eastAsia="it-IT"/>
        </w:rPr>
        <w:t xml:space="preserve">mg </w:t>
      </w:r>
      <w:r w:rsidR="004C6463">
        <w:rPr>
          <w:rFonts w:eastAsia="Calibri" w:cstheme="minorHAnsi"/>
          <w:color w:val="000000"/>
          <w:sz w:val="24"/>
          <w:szCs w:val="24"/>
          <w:lang w:eastAsia="it-IT"/>
        </w:rPr>
        <w:t>un periodo di</w:t>
      </w:r>
      <w:r w:rsidR="00607D3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07D39">
        <w:rPr>
          <w:rFonts w:cstheme="minorHAnsi"/>
          <w:sz w:val="24"/>
          <w:szCs w:val="24"/>
        </w:rPr>
        <w:t xml:space="preserve">3 </w:t>
      </w:r>
      <w:r w:rsidR="00607D39" w:rsidRPr="00A31CC1">
        <w:rPr>
          <w:rFonts w:cstheme="minorHAnsi"/>
          <w:sz w:val="24"/>
          <w:szCs w:val="24"/>
        </w:rPr>
        <w:t>anni</w:t>
      </w:r>
      <w:r w:rsidR="00607D39" w:rsidRPr="00607D39">
        <w:rPr>
          <w:rFonts w:cstheme="minorHAnsi"/>
          <w:sz w:val="24"/>
          <w:szCs w:val="24"/>
        </w:rPr>
        <w:t xml:space="preserve"> </w:t>
      </w:r>
      <w:r w:rsidR="00607D39" w:rsidRPr="00A31CC1">
        <w:rPr>
          <w:rFonts w:cstheme="minorHAnsi"/>
          <w:sz w:val="24"/>
          <w:szCs w:val="24"/>
        </w:rPr>
        <w:t>con conservazione a temperatura non superiore a</w:t>
      </w:r>
      <w:r w:rsidR="00607D39">
        <w:rPr>
          <w:rFonts w:cstheme="minorHAnsi"/>
          <w:sz w:val="24"/>
          <w:szCs w:val="24"/>
        </w:rPr>
        <w:t xml:space="preserve"> 25°C. </w:t>
      </w:r>
    </w:p>
    <w:p w14:paraId="35B3E19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E2263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II.3</w:t>
      </w:r>
      <w:r w:rsidR="00AC3E39">
        <w:rPr>
          <w:rFonts w:cstheme="minorHAnsi"/>
          <w:b/>
          <w:sz w:val="24"/>
          <w:szCs w:val="24"/>
        </w:rPr>
        <w:t xml:space="preserve"> </w:t>
      </w:r>
      <w:r w:rsidRPr="00A31CC1">
        <w:rPr>
          <w:rFonts w:cstheme="minorHAnsi"/>
          <w:b/>
          <w:sz w:val="24"/>
          <w:szCs w:val="24"/>
        </w:rPr>
        <w:t>Discussione sugli aspetti di qualità</w:t>
      </w:r>
    </w:p>
    <w:p w14:paraId="0EE1B779" w14:textId="22116545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Tutte le criticità evidenziate nel corso della valutazione sono state risolte e la qualità di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0808A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considerata adeguata. </w:t>
      </w:r>
      <w:r w:rsidR="00E42578">
        <w:rPr>
          <w:rFonts w:cstheme="minorHAnsi"/>
          <w:sz w:val="24"/>
          <w:szCs w:val="24"/>
        </w:rPr>
        <w:t>Pertanto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dal punto di vista chimico-farmaceutico</w:t>
      </w:r>
      <w:r w:rsidR="00610BAB" w:rsidRPr="00A31CC1">
        <w:rPr>
          <w:rFonts w:cstheme="minorHAnsi"/>
          <w:sz w:val="24"/>
          <w:szCs w:val="24"/>
        </w:rPr>
        <w:t xml:space="preserve">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32364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10BAB" w:rsidRPr="00A31CC1">
        <w:rPr>
          <w:rFonts w:cstheme="minorHAnsi"/>
          <w:sz w:val="24"/>
          <w:szCs w:val="24"/>
        </w:rPr>
        <w:t>è stato considerato accettabile per l’autorizzazione all’immissione in commercio</w:t>
      </w:r>
      <w:r w:rsidRPr="00A31CC1">
        <w:rPr>
          <w:rFonts w:cstheme="minorHAnsi"/>
          <w:sz w:val="24"/>
          <w:szCs w:val="24"/>
        </w:rPr>
        <w:t>.</w:t>
      </w:r>
      <w:r w:rsidR="00323648" w:rsidRPr="00A31CC1">
        <w:rPr>
          <w:rFonts w:cstheme="minorHAnsi"/>
          <w:sz w:val="24"/>
          <w:szCs w:val="24"/>
        </w:rPr>
        <w:t xml:space="preserve"> </w:t>
      </w:r>
    </w:p>
    <w:p w14:paraId="0448511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55C62D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448600B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14:paraId="69A2D479" w14:textId="5F8BE549" w:rsidR="00F27C7F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Non sono stati </w:t>
      </w:r>
      <w:r w:rsidR="00F27C7F" w:rsidRPr="00A31CC1">
        <w:rPr>
          <w:rFonts w:cstheme="minorHAnsi"/>
          <w:sz w:val="24"/>
          <w:szCs w:val="24"/>
        </w:rPr>
        <w:t>presentati nuovi</w:t>
      </w:r>
      <w:r w:rsidRPr="00A31CC1">
        <w:rPr>
          <w:rFonts w:cstheme="minorHAnsi"/>
          <w:sz w:val="24"/>
          <w:szCs w:val="24"/>
        </w:rPr>
        <w:t xml:space="preserve"> studi non clinici, in quanto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D817B3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principi</w:t>
      </w:r>
      <w:r w:rsidR="00D817B3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D817B3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D817B3">
        <w:rPr>
          <w:rFonts w:cstheme="minorHAnsi"/>
          <w:sz w:val="24"/>
          <w:szCs w:val="24"/>
        </w:rPr>
        <w:t xml:space="preserve">o </w:t>
      </w:r>
      <w:r w:rsidR="00BA0ACD" w:rsidRPr="00A31CC1">
        <w:rPr>
          <w:rFonts w:cstheme="minorHAnsi"/>
          <w:sz w:val="24"/>
          <w:szCs w:val="24"/>
        </w:rPr>
        <w:t>presente nel medicinale di riferimento</w:t>
      </w:r>
      <w:r w:rsidRPr="00A31CC1">
        <w:rPr>
          <w:rFonts w:cstheme="minorHAnsi"/>
          <w:sz w:val="24"/>
          <w:szCs w:val="24"/>
        </w:rPr>
        <w:t xml:space="preserve">: questo approccio è accettabile </w:t>
      </w:r>
      <w:r w:rsidRPr="003B10F5">
        <w:rPr>
          <w:rFonts w:cstheme="minorHAnsi"/>
          <w:sz w:val="24"/>
          <w:szCs w:val="24"/>
        </w:rPr>
        <w:t xml:space="preserve">poiché il medicinale di riferimento </w:t>
      </w:r>
      <w:r w:rsidR="00607D39" w:rsidRPr="003B10F5">
        <w:rPr>
          <w:rFonts w:eastAsia="Calibri" w:cstheme="minorHAnsi"/>
          <w:sz w:val="24"/>
          <w:szCs w:val="24"/>
          <w:lang w:eastAsia="it-IT"/>
        </w:rPr>
        <w:t>FAMODIL</w:t>
      </w:r>
      <w:r w:rsidR="009F395B" w:rsidRPr="003B10F5">
        <w:rPr>
          <w:rFonts w:cstheme="minorHAnsi"/>
          <w:sz w:val="24"/>
          <w:szCs w:val="24"/>
        </w:rPr>
        <w:t xml:space="preserve"> </w:t>
      </w:r>
      <w:r w:rsidRPr="003B10F5">
        <w:rPr>
          <w:rFonts w:cstheme="minorHAnsi"/>
          <w:sz w:val="24"/>
          <w:szCs w:val="24"/>
        </w:rPr>
        <w:t>è</w:t>
      </w:r>
      <w:r w:rsidR="00607D39" w:rsidRPr="003B10F5">
        <w:rPr>
          <w:rFonts w:cstheme="minorHAnsi"/>
          <w:sz w:val="24"/>
          <w:szCs w:val="24"/>
        </w:rPr>
        <w:t xml:space="preserve"> stato</w:t>
      </w:r>
      <w:r w:rsidRPr="003B10F5">
        <w:rPr>
          <w:rFonts w:cstheme="minorHAnsi"/>
          <w:sz w:val="24"/>
          <w:szCs w:val="24"/>
        </w:rPr>
        <w:t xml:space="preserve"> autorizzato in Italia da oltre 10 anni</w:t>
      </w:r>
      <w:r w:rsidR="000808A3" w:rsidRPr="003B10F5">
        <w:rPr>
          <w:rFonts w:cstheme="minorHAnsi"/>
          <w:sz w:val="24"/>
          <w:szCs w:val="24"/>
        </w:rPr>
        <w:t>.</w:t>
      </w:r>
      <w:r w:rsidR="009F395B" w:rsidRPr="00A31CC1">
        <w:rPr>
          <w:rFonts w:cstheme="minorHAnsi"/>
          <w:sz w:val="24"/>
          <w:szCs w:val="24"/>
        </w:rPr>
        <w:t xml:space="preserve"> </w:t>
      </w:r>
    </w:p>
    <w:p w14:paraId="0B05275A" w14:textId="77777777" w:rsidR="009F584E" w:rsidRPr="00A31CC1" w:rsidRDefault="009F584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C36D74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14:paraId="0CE0E01F" w14:textId="77777777" w:rsidR="00F26AE8" w:rsidRPr="00D817B3" w:rsidRDefault="00F26AE8" w:rsidP="00853EC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46928F87" w14:textId="77777777" w:rsidR="00F26AE8" w:rsidRPr="00D817B3" w:rsidRDefault="00F26AE8" w:rsidP="00F26AE8">
      <w:pPr>
        <w:suppressAutoHyphens/>
        <w:spacing w:after="0" w:line="240" w:lineRule="auto"/>
        <w:ind w:left="567" w:hanging="567"/>
        <w:rPr>
          <w:rFonts w:cstheme="minorHAnsi"/>
          <w:sz w:val="24"/>
          <w:szCs w:val="24"/>
        </w:rPr>
      </w:pPr>
      <w:r w:rsidRPr="00D817B3">
        <w:rPr>
          <w:rFonts w:cstheme="minorHAnsi"/>
          <w:sz w:val="24"/>
          <w:szCs w:val="24"/>
        </w:rPr>
        <w:t>FAMOTIDINA DOC 20 mg compresse rivestite con film è indicato negli adulti per:</w:t>
      </w:r>
    </w:p>
    <w:p w14:paraId="7F991571" w14:textId="77777777" w:rsidR="00F26AE8" w:rsidRPr="00D817B3" w:rsidRDefault="00F26AE8" w:rsidP="00F26AE8">
      <w:pPr>
        <w:suppressAutoHyphens/>
        <w:spacing w:after="0" w:line="240" w:lineRule="auto"/>
        <w:ind w:left="567" w:hanging="567"/>
        <w:rPr>
          <w:rFonts w:cstheme="minorHAnsi"/>
          <w:sz w:val="24"/>
          <w:szCs w:val="24"/>
        </w:rPr>
      </w:pPr>
      <w:r w:rsidRPr="00D817B3">
        <w:rPr>
          <w:rFonts w:cstheme="minorHAnsi"/>
          <w:sz w:val="24"/>
          <w:szCs w:val="24"/>
        </w:rPr>
        <w:t>- la prevenzione delle recidive delle ulcere duodenali</w:t>
      </w:r>
    </w:p>
    <w:p w14:paraId="2ED8835E" w14:textId="77777777" w:rsidR="00F26AE8" w:rsidRPr="00D817B3" w:rsidRDefault="00F26AE8" w:rsidP="00F26AE8">
      <w:pPr>
        <w:suppressAutoHyphens/>
        <w:spacing w:after="0" w:line="240" w:lineRule="auto"/>
        <w:ind w:left="567" w:hanging="567"/>
        <w:rPr>
          <w:rFonts w:cstheme="minorHAnsi"/>
          <w:sz w:val="24"/>
          <w:szCs w:val="24"/>
        </w:rPr>
      </w:pPr>
      <w:r w:rsidRPr="00D817B3">
        <w:rPr>
          <w:rFonts w:cstheme="minorHAnsi"/>
          <w:sz w:val="24"/>
          <w:szCs w:val="24"/>
        </w:rPr>
        <w:t>- il trattamento dell’ulcera duodenale</w:t>
      </w:r>
    </w:p>
    <w:p w14:paraId="4334759B" w14:textId="77777777" w:rsidR="00F26AE8" w:rsidRPr="00D817B3" w:rsidRDefault="00F26AE8" w:rsidP="00F26AE8">
      <w:pPr>
        <w:suppressAutoHyphens/>
        <w:spacing w:after="0" w:line="240" w:lineRule="auto"/>
        <w:ind w:left="567" w:hanging="567"/>
        <w:rPr>
          <w:rFonts w:cstheme="minorHAnsi"/>
          <w:sz w:val="24"/>
          <w:szCs w:val="24"/>
        </w:rPr>
      </w:pPr>
      <w:r w:rsidRPr="00D817B3">
        <w:rPr>
          <w:rFonts w:cstheme="minorHAnsi"/>
          <w:sz w:val="24"/>
          <w:szCs w:val="24"/>
        </w:rPr>
        <w:t>- il trattamento dell’ulcera gastrica benigna</w:t>
      </w:r>
    </w:p>
    <w:p w14:paraId="4E908796" w14:textId="77777777" w:rsidR="00F26AE8" w:rsidRPr="00D817B3" w:rsidRDefault="00F26AE8" w:rsidP="00F26AE8">
      <w:pPr>
        <w:suppressAutoHyphens/>
        <w:spacing w:after="0" w:line="240" w:lineRule="auto"/>
        <w:ind w:left="567" w:hanging="567"/>
        <w:rPr>
          <w:rFonts w:cstheme="minorHAnsi"/>
          <w:sz w:val="24"/>
          <w:szCs w:val="24"/>
        </w:rPr>
      </w:pPr>
      <w:r w:rsidRPr="00D817B3">
        <w:rPr>
          <w:rFonts w:cstheme="minorHAnsi"/>
          <w:sz w:val="24"/>
          <w:szCs w:val="24"/>
        </w:rPr>
        <w:t>- il trattamento della sindrome di Zollinger-Ellison</w:t>
      </w:r>
    </w:p>
    <w:p w14:paraId="19AE5BE3" w14:textId="77777777" w:rsidR="00F26AE8" w:rsidRPr="00D817B3" w:rsidRDefault="00F26AE8" w:rsidP="00F26AE8">
      <w:pPr>
        <w:suppressAutoHyphens/>
        <w:spacing w:after="0" w:line="240" w:lineRule="auto"/>
        <w:rPr>
          <w:rFonts w:cstheme="minorHAnsi"/>
          <w:sz w:val="24"/>
          <w:szCs w:val="24"/>
        </w:rPr>
      </w:pPr>
      <w:r w:rsidRPr="00D817B3">
        <w:rPr>
          <w:rFonts w:cstheme="minorHAnsi"/>
          <w:sz w:val="24"/>
          <w:szCs w:val="24"/>
        </w:rPr>
        <w:t>- il trattamento sintomatico della esofagite da reflusso di grado lieve</w:t>
      </w:r>
    </w:p>
    <w:p w14:paraId="5107D780" w14:textId="77777777" w:rsidR="00F26AE8" w:rsidRPr="00D817B3" w:rsidRDefault="00F26AE8" w:rsidP="00F26AE8">
      <w:pPr>
        <w:suppressAutoHyphens/>
        <w:spacing w:after="0" w:line="240" w:lineRule="auto"/>
        <w:rPr>
          <w:rFonts w:cstheme="minorHAnsi"/>
          <w:sz w:val="24"/>
          <w:szCs w:val="24"/>
        </w:rPr>
      </w:pPr>
    </w:p>
    <w:p w14:paraId="34E320A5" w14:textId="77777777" w:rsidR="00F26AE8" w:rsidRPr="00C2507B" w:rsidRDefault="00F26AE8" w:rsidP="00F26AE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C2507B">
        <w:rPr>
          <w:rFonts w:cstheme="minorHAnsi"/>
          <w:sz w:val="24"/>
          <w:szCs w:val="24"/>
        </w:rPr>
        <w:t>FAMOTIDINA DOC 40 mg compresse rivestite con film è indicato negli adulti per:</w:t>
      </w:r>
    </w:p>
    <w:p w14:paraId="086816F0" w14:textId="77777777" w:rsidR="00F26AE8" w:rsidRPr="00C2507B" w:rsidRDefault="00F26AE8" w:rsidP="00F26AE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C2507B">
        <w:rPr>
          <w:rFonts w:cstheme="minorHAnsi"/>
          <w:sz w:val="24"/>
          <w:szCs w:val="24"/>
        </w:rPr>
        <w:t>- il trattamento dell’ulcera duodenale</w:t>
      </w:r>
    </w:p>
    <w:p w14:paraId="1C44A31F" w14:textId="77777777" w:rsidR="00F26AE8" w:rsidRPr="00C2507B" w:rsidRDefault="00F26AE8" w:rsidP="00F26AE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C2507B">
        <w:rPr>
          <w:rFonts w:cstheme="minorHAnsi"/>
          <w:sz w:val="24"/>
          <w:szCs w:val="24"/>
        </w:rPr>
        <w:t>- il trattamento dell’ulcera gastrica benigna</w:t>
      </w:r>
    </w:p>
    <w:p w14:paraId="10329D01" w14:textId="77777777" w:rsidR="00F26AE8" w:rsidRPr="00C2507B" w:rsidRDefault="00F26AE8" w:rsidP="00F26AE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C2507B">
        <w:rPr>
          <w:rFonts w:cstheme="minorHAnsi"/>
          <w:sz w:val="24"/>
          <w:szCs w:val="24"/>
        </w:rPr>
        <w:t>- il trattamento della sindrome di Zollinger-Ellison</w:t>
      </w:r>
    </w:p>
    <w:p w14:paraId="00BDE072" w14:textId="77777777" w:rsidR="00F26AE8" w:rsidRPr="00C2507B" w:rsidRDefault="00F26AE8" w:rsidP="00F26AE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C2507B">
        <w:rPr>
          <w:rFonts w:cstheme="minorHAnsi"/>
          <w:sz w:val="24"/>
          <w:szCs w:val="24"/>
        </w:rPr>
        <w:t>- il trattamento sintomatico della esofagite da reflusso da lieve a moderata</w:t>
      </w:r>
    </w:p>
    <w:p w14:paraId="0F5827EB" w14:textId="77777777" w:rsidR="00F26AE8" w:rsidRDefault="00F26AE8" w:rsidP="00F26AE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54DB7A7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Posologia e modalità di somministrazione</w:t>
      </w:r>
    </w:p>
    <w:p w14:paraId="218B71EA" w14:textId="0A8507B8" w:rsidR="004E5A39" w:rsidRPr="00A31CC1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AIFA </w:t>
      </w:r>
      <w:r w:rsidR="00D817B3" w:rsidRPr="00A31CC1">
        <w:rPr>
          <w:rFonts w:eastAsia="Calibri" w:cstheme="minorHAnsi"/>
          <w:sz w:val="24"/>
          <w:szCs w:val="24"/>
          <w:lang w:eastAsia="it-IT"/>
        </w:rPr>
        <w:t>(</w:t>
      </w:r>
      <w:hyperlink r:id="rId11" w:anchor="/it/" w:history="1">
        <w:r w:rsidR="00D817B3" w:rsidRPr="00F53A30">
          <w:rPr>
            <w:rStyle w:val="Collegamentoipertestuale"/>
            <w:rFonts w:eastAsia="Calibri" w:cstheme="minorHAnsi"/>
            <w:sz w:val="24"/>
            <w:szCs w:val="24"/>
            <w:lang w:eastAsia="it-IT"/>
          </w:rPr>
          <w:t>https://medicinali.aifa.gov.it/it/#/it/</w:t>
        </w:r>
      </w:hyperlink>
      <w:r w:rsidR="00D817B3" w:rsidRPr="00A31CC1">
        <w:rPr>
          <w:rFonts w:eastAsia="Calibri" w:cstheme="minorHAnsi"/>
          <w:sz w:val="24"/>
          <w:szCs w:val="24"/>
          <w:lang w:eastAsia="it-IT"/>
        </w:rPr>
        <w:t>)</w:t>
      </w:r>
      <w:r w:rsidRPr="00A31CC1">
        <w:rPr>
          <w:rFonts w:eastAsia="Calibri" w:cstheme="minorHAnsi"/>
          <w:sz w:val="24"/>
          <w:szCs w:val="24"/>
          <w:lang w:eastAsia="it-IT"/>
        </w:rPr>
        <w:t>.</w:t>
      </w:r>
    </w:p>
    <w:p w14:paraId="7D9DD53A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</w:p>
    <w:p w14:paraId="065F4963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eastAsia="Times New Roman" w:cstheme="minorHAnsi"/>
          <w:b/>
          <w:sz w:val="24"/>
          <w:szCs w:val="24"/>
        </w:rPr>
      </w:pPr>
      <w:r w:rsidRPr="00A31CC1">
        <w:rPr>
          <w:rFonts w:eastAsia="Times New Roman" w:cstheme="minorHAnsi"/>
          <w:b/>
          <w:sz w:val="24"/>
          <w:szCs w:val="24"/>
        </w:rPr>
        <w:t>Farmacologia clinica</w:t>
      </w:r>
    </w:p>
    <w:p w14:paraId="108F0620" w14:textId="76ECEE58" w:rsidR="00BE7CDB" w:rsidRPr="00A31CC1" w:rsidRDefault="004E5A39" w:rsidP="00BE7C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farmacologia clinica di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è ben conosciuta.</w:t>
      </w:r>
      <w:r w:rsidRPr="00A31CC1">
        <w:rPr>
          <w:rFonts w:cstheme="minorHAnsi"/>
          <w:sz w:val="24"/>
          <w:szCs w:val="24"/>
        </w:rPr>
        <w:t xml:space="preserve">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D817B3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principi</w:t>
      </w:r>
      <w:r w:rsidR="00D817B3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D817B3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D817B3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</w:t>
      </w:r>
      <w:r w:rsidR="00745609" w:rsidRPr="00A31CC1">
        <w:rPr>
          <w:rFonts w:cstheme="minorHAnsi"/>
          <w:sz w:val="24"/>
          <w:szCs w:val="24"/>
        </w:rPr>
        <w:t xml:space="preserve">e </w:t>
      </w:r>
      <w:r w:rsidRPr="00A31CC1">
        <w:rPr>
          <w:rFonts w:cstheme="minorHAnsi"/>
          <w:sz w:val="24"/>
          <w:szCs w:val="24"/>
        </w:rPr>
        <w:t>present</w:t>
      </w:r>
      <w:r w:rsidR="00D817B3">
        <w:rPr>
          <w:rFonts w:cstheme="minorHAnsi"/>
          <w:sz w:val="24"/>
          <w:szCs w:val="24"/>
        </w:rPr>
        <w:t xml:space="preserve">e </w:t>
      </w:r>
      <w:r w:rsidRPr="00A31CC1">
        <w:rPr>
          <w:rFonts w:cstheme="minorHAnsi"/>
          <w:sz w:val="24"/>
          <w:szCs w:val="24"/>
        </w:rPr>
        <w:t xml:space="preserve">nel medicinale </w:t>
      </w:r>
      <w:r w:rsidR="00BA0ACD" w:rsidRPr="00A31CC1">
        <w:rPr>
          <w:rFonts w:cstheme="minorHAnsi"/>
          <w:sz w:val="24"/>
          <w:szCs w:val="24"/>
        </w:rPr>
        <w:t xml:space="preserve">di riferimento </w:t>
      </w:r>
      <w:r w:rsidR="00D817B3">
        <w:rPr>
          <w:rFonts w:cstheme="minorHAnsi"/>
          <w:sz w:val="24"/>
          <w:szCs w:val="24"/>
        </w:rPr>
        <w:t>FAMODI</w:t>
      </w:r>
      <w:r w:rsidR="004C6463">
        <w:rPr>
          <w:rFonts w:cstheme="minorHAnsi"/>
          <w:sz w:val="24"/>
          <w:szCs w:val="24"/>
        </w:rPr>
        <w:t>L</w:t>
      </w:r>
      <w:r w:rsidR="00D817B3">
        <w:rPr>
          <w:rFonts w:cstheme="minorHAnsi"/>
          <w:sz w:val="24"/>
          <w:szCs w:val="24"/>
        </w:rPr>
        <w:t>, che è stato</w:t>
      </w:r>
      <w:r w:rsidR="00C56FA9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autorizzato in Italia da più </w:t>
      </w:r>
      <w:r w:rsidRPr="00A31CC1">
        <w:rPr>
          <w:rFonts w:cstheme="minorHAnsi"/>
          <w:sz w:val="24"/>
          <w:szCs w:val="24"/>
        </w:rPr>
        <w:lastRenderedPageBreak/>
        <w:t xml:space="preserve">di </w:t>
      </w:r>
      <w:r w:rsidR="00AD051C" w:rsidRPr="00A31CC1">
        <w:rPr>
          <w:rFonts w:cstheme="minorHAnsi"/>
          <w:sz w:val="24"/>
          <w:szCs w:val="24"/>
        </w:rPr>
        <w:t xml:space="preserve">8 </w:t>
      </w:r>
      <w:r w:rsidRPr="00A31CC1">
        <w:rPr>
          <w:rFonts w:cstheme="minorHAnsi"/>
          <w:sz w:val="24"/>
          <w:szCs w:val="24"/>
        </w:rPr>
        <w:t>anni.</w:t>
      </w:r>
      <w:r w:rsidR="006727BD" w:rsidRPr="00A31CC1">
        <w:rPr>
          <w:rFonts w:cstheme="minorHAnsi"/>
          <w:sz w:val="24"/>
          <w:szCs w:val="24"/>
        </w:rPr>
        <w:t xml:space="preserve"> </w:t>
      </w:r>
      <w:r w:rsidR="00BE7CDB" w:rsidRPr="00A31CC1">
        <w:rPr>
          <w:rFonts w:cstheme="minorHAnsi"/>
          <w:sz w:val="24"/>
          <w:szCs w:val="24"/>
        </w:rPr>
        <w:t>Con l’eccezione dello studio di bioequivalenza, non sono stati condotti nuovi studi clinici di farmacodinamica e farmacocinetica</w:t>
      </w:r>
      <w:r w:rsidR="00AD051C" w:rsidRPr="00A31CC1">
        <w:rPr>
          <w:rFonts w:cstheme="minorHAnsi"/>
          <w:sz w:val="24"/>
          <w:szCs w:val="24"/>
        </w:rPr>
        <w:t>.</w:t>
      </w:r>
    </w:p>
    <w:p w14:paraId="59EAC514" w14:textId="77777777" w:rsidR="00AD051C" w:rsidRPr="00A31CC1" w:rsidRDefault="00AD051C" w:rsidP="00BE7CD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E9766BC" w14:textId="77777777" w:rsidR="006727BD" w:rsidRPr="00A31CC1" w:rsidRDefault="006727BD" w:rsidP="006727BD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Studio di bioequivalenza</w:t>
      </w:r>
    </w:p>
    <w:p w14:paraId="314D054D" w14:textId="68B19322" w:rsidR="005049A1" w:rsidRPr="0047045F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B10F5">
        <w:rPr>
          <w:rFonts w:cstheme="minorHAnsi"/>
          <w:sz w:val="24"/>
          <w:szCs w:val="24"/>
        </w:rPr>
        <w:t xml:space="preserve">La richiesta di AIC è supportata da uno studio di bioequivalenza che ha confrontato i profili farmacocinetici di </w:t>
      </w:r>
      <w:r w:rsidR="009028DD" w:rsidRPr="003B10F5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C56FA9" w:rsidRPr="003B10F5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3B10F5">
        <w:rPr>
          <w:rFonts w:cstheme="minorHAnsi"/>
          <w:sz w:val="24"/>
          <w:szCs w:val="24"/>
        </w:rPr>
        <w:t xml:space="preserve">e quelli del medicinale di riferimento </w:t>
      </w:r>
      <w:r w:rsidR="003B10F5">
        <w:rPr>
          <w:rFonts w:cstheme="minorHAnsi"/>
          <w:sz w:val="24"/>
          <w:szCs w:val="24"/>
        </w:rPr>
        <w:t xml:space="preserve">PEPCID autorizzato nell’Unione </w:t>
      </w:r>
      <w:r w:rsidR="003B10F5" w:rsidRPr="0047045F">
        <w:rPr>
          <w:rFonts w:cstheme="minorHAnsi"/>
          <w:sz w:val="24"/>
          <w:szCs w:val="24"/>
        </w:rPr>
        <w:t xml:space="preserve">Europea (analogo medicinale appartenente alla stessa </w:t>
      </w:r>
      <w:r w:rsidR="003B10F5" w:rsidRPr="0047045F">
        <w:rPr>
          <w:rFonts w:cstheme="minorHAnsi"/>
          <w:i/>
          <w:sz w:val="24"/>
          <w:szCs w:val="24"/>
        </w:rPr>
        <w:t xml:space="preserve">global marketing </w:t>
      </w:r>
      <w:proofErr w:type="spellStart"/>
      <w:r w:rsidR="003B10F5" w:rsidRPr="0047045F">
        <w:rPr>
          <w:rFonts w:cstheme="minorHAnsi"/>
          <w:i/>
          <w:sz w:val="24"/>
          <w:szCs w:val="24"/>
        </w:rPr>
        <w:t>authorisation</w:t>
      </w:r>
      <w:proofErr w:type="spellEnd"/>
      <w:r w:rsidR="003B10F5" w:rsidRPr="0047045F">
        <w:rPr>
          <w:rFonts w:cstheme="minorHAnsi"/>
          <w:sz w:val="24"/>
          <w:szCs w:val="24"/>
        </w:rPr>
        <w:t xml:space="preserve"> di FAMODIL)</w:t>
      </w:r>
      <w:r w:rsidR="00D817B3" w:rsidRPr="0047045F">
        <w:rPr>
          <w:rFonts w:cstheme="minorHAnsi"/>
          <w:sz w:val="24"/>
          <w:szCs w:val="24"/>
        </w:rPr>
        <w:t xml:space="preserve">. </w:t>
      </w:r>
    </w:p>
    <w:p w14:paraId="72D12DFE" w14:textId="77777777" w:rsidR="005049A1" w:rsidRPr="00A31CC1" w:rsidRDefault="005049A1" w:rsidP="005049A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47045F">
        <w:rPr>
          <w:rFonts w:cstheme="minorHAnsi"/>
          <w:sz w:val="24"/>
          <w:szCs w:val="24"/>
        </w:rPr>
        <w:t>Lo studio era caratterizzato</w:t>
      </w:r>
      <w:r w:rsidRPr="00A31CC1">
        <w:rPr>
          <w:rFonts w:cstheme="minorHAnsi"/>
          <w:sz w:val="24"/>
          <w:szCs w:val="24"/>
        </w:rPr>
        <w:t xml:space="preserve"> da un appropriato disegno ed è stato condotto in accordo ai principi GCP.</w:t>
      </w:r>
    </w:p>
    <w:p w14:paraId="5DDE4D00" w14:textId="77777777" w:rsidR="005049A1" w:rsidRPr="00A31CC1" w:rsidRDefault="005049A1" w:rsidP="005049A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certificati analitici per medicinale test e medicinale di riferimento.</w:t>
      </w:r>
    </w:p>
    <w:p w14:paraId="6DFF9F94" w14:textId="77777777" w:rsidR="00D817B3" w:rsidRDefault="00D817B3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theme="minorHAnsi"/>
          <w:b w:val="0"/>
          <w:i/>
          <w:szCs w:val="24"/>
          <w:lang w:val="it-IT"/>
        </w:rPr>
      </w:pPr>
    </w:p>
    <w:p w14:paraId="20D82115" w14:textId="6B531954" w:rsidR="005049A1" w:rsidRPr="00A31CC1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theme="minorHAnsi"/>
          <w:b w:val="0"/>
          <w:szCs w:val="24"/>
          <w:lang w:val="it-IT"/>
        </w:rPr>
      </w:pPr>
      <w:r w:rsidRPr="00A31CC1">
        <w:rPr>
          <w:rFonts w:asciiTheme="minorHAnsi" w:hAnsiTheme="minorHAnsi" w:cstheme="minorHAnsi"/>
          <w:b w:val="0"/>
          <w:i/>
          <w:szCs w:val="24"/>
          <w:lang w:val="it-IT"/>
        </w:rPr>
        <w:t>Parametri farmacocinetici</w:t>
      </w:r>
      <w:r w:rsidRPr="00A31CC1">
        <w:rPr>
          <w:rFonts w:asciiTheme="minorHAnsi" w:hAnsiTheme="minorHAnsi" w:cstheme="minorHAnsi"/>
          <w:b w:val="0"/>
          <w:szCs w:val="24"/>
          <w:lang w:val="it-IT"/>
        </w:rPr>
        <w:t xml:space="preserve">. </w:t>
      </w:r>
    </w:p>
    <w:p w14:paraId="1E79F7D3" w14:textId="77777777" w:rsidR="005049A1" w:rsidRPr="00A31CC1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theme="minorHAnsi"/>
          <w:b w:val="0"/>
          <w:szCs w:val="24"/>
          <w:lang w:val="it-IT"/>
        </w:rPr>
      </w:pPr>
      <w:r w:rsidRPr="00A31CC1">
        <w:rPr>
          <w:rFonts w:asciiTheme="minorHAnsi" w:hAnsiTheme="minorHAnsi" w:cstheme="minorHAnsi"/>
          <w:b w:val="0"/>
          <w:szCs w:val="24"/>
          <w:lang w:val="it-IT"/>
        </w:rPr>
        <w:t>La sintesi dei risultati dello studio di bioequivalenza è riportata nella tabella che segue.</w:t>
      </w:r>
    </w:p>
    <w:p w14:paraId="48252149" w14:textId="77777777" w:rsidR="005049A1" w:rsidRPr="00A31CC1" w:rsidRDefault="005049A1" w:rsidP="005049A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519"/>
        <w:gridCol w:w="1615"/>
        <w:gridCol w:w="1596"/>
        <w:gridCol w:w="1537"/>
        <w:gridCol w:w="1675"/>
      </w:tblGrid>
      <w:tr w:rsidR="005049A1" w:rsidRPr="006222F7" w14:paraId="26397D60" w14:textId="77777777" w:rsidTr="00B247C8">
        <w:trPr>
          <w:jc w:val="center"/>
        </w:trPr>
        <w:tc>
          <w:tcPr>
            <w:tcW w:w="7942" w:type="dxa"/>
            <w:gridSpan w:val="5"/>
            <w:shd w:val="clear" w:color="auto" w:fill="auto"/>
            <w:vAlign w:val="bottom"/>
          </w:tcPr>
          <w:p w14:paraId="537AB9DF" w14:textId="7CD1434C" w:rsidR="005049A1" w:rsidRPr="00A31CC1" w:rsidRDefault="004C6463" w:rsidP="00C56FA9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famotidina</w:t>
            </w:r>
            <w:proofErr w:type="spellEnd"/>
          </w:p>
        </w:tc>
      </w:tr>
      <w:tr w:rsidR="005049A1" w:rsidRPr="006222F7" w14:paraId="398255CB" w14:textId="77777777" w:rsidTr="00B247C8">
        <w:trPr>
          <w:jc w:val="center"/>
        </w:trPr>
        <w:tc>
          <w:tcPr>
            <w:tcW w:w="1519" w:type="dxa"/>
            <w:vAlign w:val="bottom"/>
          </w:tcPr>
          <w:p w14:paraId="068B8BCB" w14:textId="77777777" w:rsidR="005049A1" w:rsidRPr="00B247C8" w:rsidRDefault="005049A1" w:rsidP="00C56FA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247C8">
              <w:rPr>
                <w:rFonts w:cstheme="minorHAnsi"/>
                <w:b/>
                <w:sz w:val="24"/>
                <w:szCs w:val="24"/>
              </w:rPr>
              <w:t>Parametro</w:t>
            </w:r>
          </w:p>
        </w:tc>
        <w:tc>
          <w:tcPr>
            <w:tcW w:w="1615" w:type="dxa"/>
            <w:vAlign w:val="bottom"/>
          </w:tcPr>
          <w:p w14:paraId="327E9BE6" w14:textId="77777777" w:rsidR="005049A1" w:rsidRPr="00B247C8" w:rsidRDefault="005049A1" w:rsidP="00C56FA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247C8">
              <w:rPr>
                <w:rFonts w:cstheme="minorHAnsi"/>
                <w:b/>
                <w:sz w:val="24"/>
                <w:szCs w:val="24"/>
              </w:rPr>
              <w:t>Test</w:t>
            </w:r>
          </w:p>
        </w:tc>
        <w:tc>
          <w:tcPr>
            <w:tcW w:w="1596" w:type="dxa"/>
            <w:vAlign w:val="bottom"/>
          </w:tcPr>
          <w:p w14:paraId="3E2FA663" w14:textId="77777777" w:rsidR="005049A1" w:rsidRPr="00A31CC1" w:rsidRDefault="005049A1" w:rsidP="00C56FA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31CC1">
              <w:rPr>
                <w:rFonts w:cstheme="minorHAnsi"/>
                <w:b/>
                <w:sz w:val="24"/>
                <w:szCs w:val="24"/>
              </w:rPr>
              <w:t>Reference</w:t>
            </w:r>
          </w:p>
        </w:tc>
        <w:tc>
          <w:tcPr>
            <w:tcW w:w="1537" w:type="dxa"/>
            <w:vAlign w:val="bottom"/>
          </w:tcPr>
          <w:p w14:paraId="450F0A04" w14:textId="18424D38" w:rsidR="005049A1" w:rsidRPr="00A31CC1" w:rsidRDefault="005049A1" w:rsidP="00C56FA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31CC1">
              <w:rPr>
                <w:rFonts w:cstheme="minorHAnsi"/>
                <w:b/>
                <w:sz w:val="24"/>
                <w:szCs w:val="24"/>
              </w:rPr>
              <w:t>T/R Ratio</w:t>
            </w:r>
            <w:r w:rsidR="00B247C8">
              <w:rPr>
                <w:rFonts w:cstheme="minorHAnsi"/>
                <w:b/>
                <w:sz w:val="24"/>
                <w:szCs w:val="24"/>
              </w:rPr>
              <w:t xml:space="preserve"> (%)</w:t>
            </w:r>
          </w:p>
        </w:tc>
        <w:tc>
          <w:tcPr>
            <w:tcW w:w="1675" w:type="dxa"/>
            <w:vAlign w:val="bottom"/>
          </w:tcPr>
          <w:p w14:paraId="6D00246D" w14:textId="77777777" w:rsidR="005049A1" w:rsidRPr="00A31CC1" w:rsidRDefault="005049A1" w:rsidP="00C56FA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31CC1">
              <w:rPr>
                <w:rFonts w:cstheme="minorHAnsi"/>
                <w:b/>
                <w:sz w:val="24"/>
                <w:szCs w:val="24"/>
              </w:rPr>
              <w:t>90% C.I.</w:t>
            </w:r>
          </w:p>
        </w:tc>
      </w:tr>
      <w:tr w:rsidR="005049A1" w:rsidRPr="006222F7" w14:paraId="3462841A" w14:textId="77777777" w:rsidTr="00B247C8">
        <w:trPr>
          <w:jc w:val="center"/>
        </w:trPr>
        <w:tc>
          <w:tcPr>
            <w:tcW w:w="1519" w:type="dxa"/>
            <w:vAlign w:val="bottom"/>
          </w:tcPr>
          <w:p w14:paraId="0B53C859" w14:textId="77777777" w:rsidR="004C6463" w:rsidRDefault="005049A1" w:rsidP="00C56FA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B247C8">
              <w:rPr>
                <w:rFonts w:cstheme="minorHAnsi"/>
                <w:b/>
                <w:sz w:val="24"/>
                <w:szCs w:val="24"/>
              </w:rPr>
              <w:t>AUC0-t</w:t>
            </w:r>
            <w:r w:rsidR="00B247C8" w:rsidRPr="00B247C8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582231AC" w14:textId="030FAC5B" w:rsidR="005049A1" w:rsidRPr="00B247C8" w:rsidRDefault="00B247C8" w:rsidP="00C56FA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B247C8">
              <w:rPr>
                <w:rFonts w:cstheme="minorHAnsi"/>
                <w:b/>
                <w:sz w:val="24"/>
                <w:szCs w:val="24"/>
              </w:rPr>
              <w:t>(</w:t>
            </w:r>
            <w:proofErr w:type="spellStart"/>
            <w:r w:rsidRPr="00B247C8">
              <w:rPr>
                <w:rFonts w:cstheme="minorHAnsi"/>
                <w:b/>
                <w:sz w:val="24"/>
                <w:szCs w:val="24"/>
              </w:rPr>
              <w:t>ng</w:t>
            </w:r>
            <w:proofErr w:type="spellEnd"/>
            <w:r w:rsidRPr="00B247C8">
              <w:rPr>
                <w:rFonts w:cstheme="minorHAnsi"/>
                <w:b/>
                <w:sz w:val="24"/>
                <w:szCs w:val="24"/>
              </w:rPr>
              <w:t xml:space="preserve"> h/</w:t>
            </w:r>
            <w:proofErr w:type="spellStart"/>
            <w:r w:rsidRPr="00B247C8">
              <w:rPr>
                <w:rFonts w:cstheme="minorHAnsi"/>
                <w:b/>
                <w:sz w:val="24"/>
                <w:szCs w:val="24"/>
              </w:rPr>
              <w:t>mL</w:t>
            </w:r>
            <w:proofErr w:type="spellEnd"/>
            <w:r w:rsidRPr="00B247C8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615" w:type="dxa"/>
            <w:vAlign w:val="bottom"/>
          </w:tcPr>
          <w:p w14:paraId="32D88706" w14:textId="6FFA4D2F" w:rsidR="005049A1" w:rsidRPr="00B247C8" w:rsidRDefault="00B247C8" w:rsidP="00C56F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247C8">
              <w:rPr>
                <w:rFonts w:cstheme="minorHAnsi"/>
                <w:sz w:val="24"/>
                <w:szCs w:val="24"/>
              </w:rPr>
              <w:t>1026.87</w:t>
            </w:r>
          </w:p>
        </w:tc>
        <w:tc>
          <w:tcPr>
            <w:tcW w:w="1596" w:type="dxa"/>
            <w:vAlign w:val="bottom"/>
          </w:tcPr>
          <w:p w14:paraId="37C0CE77" w14:textId="0E833B60" w:rsidR="005049A1" w:rsidRPr="00A31CC1" w:rsidRDefault="00B247C8" w:rsidP="00C56F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1029.09</w:t>
            </w:r>
          </w:p>
        </w:tc>
        <w:tc>
          <w:tcPr>
            <w:tcW w:w="1537" w:type="dxa"/>
            <w:vAlign w:val="bottom"/>
          </w:tcPr>
          <w:p w14:paraId="7ABD8A89" w14:textId="7D564317" w:rsidR="005049A1" w:rsidRPr="00A31CC1" w:rsidRDefault="00B247C8" w:rsidP="00C56F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99.78</w:t>
            </w:r>
          </w:p>
        </w:tc>
        <w:tc>
          <w:tcPr>
            <w:tcW w:w="1675" w:type="dxa"/>
            <w:vAlign w:val="bottom"/>
          </w:tcPr>
          <w:p w14:paraId="5478ABC5" w14:textId="5C4009BF" w:rsidR="005049A1" w:rsidRPr="00A31CC1" w:rsidRDefault="00B247C8" w:rsidP="00C56F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93.08-106.97</w:t>
            </w:r>
          </w:p>
        </w:tc>
      </w:tr>
      <w:tr w:rsidR="005049A1" w:rsidRPr="006222F7" w14:paraId="6656EC23" w14:textId="77777777" w:rsidTr="00B247C8">
        <w:trPr>
          <w:jc w:val="center"/>
        </w:trPr>
        <w:tc>
          <w:tcPr>
            <w:tcW w:w="1519" w:type="dxa"/>
            <w:vAlign w:val="bottom"/>
          </w:tcPr>
          <w:p w14:paraId="48E2D54E" w14:textId="77777777" w:rsidR="004C6463" w:rsidRDefault="005049A1" w:rsidP="00C56FA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B247C8">
              <w:rPr>
                <w:rFonts w:cstheme="minorHAnsi"/>
                <w:b/>
                <w:sz w:val="24"/>
                <w:szCs w:val="24"/>
              </w:rPr>
              <w:t>AUC0-∞</w:t>
            </w:r>
            <w:r w:rsidR="00B247C8" w:rsidRPr="00B247C8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4272A3A0" w14:textId="2839B509" w:rsidR="005049A1" w:rsidRPr="00B247C8" w:rsidRDefault="00B247C8" w:rsidP="00C56FA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B247C8">
              <w:rPr>
                <w:rFonts w:cstheme="minorHAnsi"/>
                <w:b/>
                <w:sz w:val="24"/>
                <w:szCs w:val="24"/>
              </w:rPr>
              <w:t>(</w:t>
            </w:r>
            <w:proofErr w:type="spellStart"/>
            <w:r w:rsidRPr="00B247C8">
              <w:rPr>
                <w:rFonts w:cstheme="minorHAnsi"/>
                <w:b/>
                <w:sz w:val="24"/>
                <w:szCs w:val="24"/>
              </w:rPr>
              <w:t>ng</w:t>
            </w:r>
            <w:proofErr w:type="spellEnd"/>
            <w:r w:rsidRPr="00B247C8">
              <w:rPr>
                <w:rFonts w:cstheme="minorHAnsi"/>
                <w:b/>
                <w:sz w:val="24"/>
                <w:szCs w:val="24"/>
              </w:rPr>
              <w:t xml:space="preserve"> h/</w:t>
            </w:r>
            <w:proofErr w:type="spellStart"/>
            <w:r w:rsidRPr="00B247C8">
              <w:rPr>
                <w:rFonts w:cstheme="minorHAnsi"/>
                <w:b/>
                <w:sz w:val="24"/>
                <w:szCs w:val="24"/>
              </w:rPr>
              <w:t>mL</w:t>
            </w:r>
            <w:proofErr w:type="spellEnd"/>
            <w:r w:rsidRPr="00B247C8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615" w:type="dxa"/>
            <w:vAlign w:val="bottom"/>
          </w:tcPr>
          <w:p w14:paraId="42FC0438" w14:textId="21EDFB8C" w:rsidR="005049A1" w:rsidRPr="00B247C8" w:rsidRDefault="00B247C8" w:rsidP="00C56F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247C8">
              <w:rPr>
                <w:rFonts w:cstheme="minorHAnsi"/>
                <w:sz w:val="24"/>
                <w:szCs w:val="24"/>
              </w:rPr>
              <w:t>1060.42</w:t>
            </w:r>
          </w:p>
        </w:tc>
        <w:tc>
          <w:tcPr>
            <w:tcW w:w="1596" w:type="dxa"/>
            <w:vAlign w:val="bottom"/>
          </w:tcPr>
          <w:p w14:paraId="593AC30A" w14:textId="09F381BB" w:rsidR="005049A1" w:rsidRPr="00A31CC1" w:rsidRDefault="00B247C8" w:rsidP="00C56F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1061.26</w:t>
            </w:r>
          </w:p>
        </w:tc>
        <w:tc>
          <w:tcPr>
            <w:tcW w:w="1537" w:type="dxa"/>
            <w:vAlign w:val="bottom"/>
          </w:tcPr>
          <w:p w14:paraId="3E5949A6" w14:textId="51BFA332" w:rsidR="005049A1" w:rsidRPr="00A31CC1" w:rsidRDefault="00B247C8" w:rsidP="00C56F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99.92</w:t>
            </w:r>
          </w:p>
        </w:tc>
        <w:tc>
          <w:tcPr>
            <w:tcW w:w="1675" w:type="dxa"/>
            <w:vAlign w:val="bottom"/>
          </w:tcPr>
          <w:p w14:paraId="026B382E" w14:textId="4C1A8038" w:rsidR="005049A1" w:rsidRPr="00A31CC1" w:rsidRDefault="00B247C8" w:rsidP="00C56F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93.29-107.2</w:t>
            </w:r>
          </w:p>
        </w:tc>
      </w:tr>
      <w:tr w:rsidR="005049A1" w:rsidRPr="006222F7" w14:paraId="52E93AE0" w14:textId="77777777" w:rsidTr="00B247C8">
        <w:trPr>
          <w:jc w:val="center"/>
        </w:trPr>
        <w:tc>
          <w:tcPr>
            <w:tcW w:w="1519" w:type="dxa"/>
            <w:vAlign w:val="bottom"/>
          </w:tcPr>
          <w:p w14:paraId="2FADFA19" w14:textId="0894B5C4" w:rsidR="005049A1" w:rsidRPr="00B247C8" w:rsidRDefault="005049A1" w:rsidP="00C56FA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B247C8">
              <w:rPr>
                <w:rFonts w:cstheme="minorHAnsi"/>
                <w:b/>
                <w:sz w:val="24"/>
                <w:szCs w:val="24"/>
              </w:rPr>
              <w:t>Cmax</w:t>
            </w:r>
            <w:proofErr w:type="spellEnd"/>
            <w:r w:rsidR="00B247C8" w:rsidRPr="00B247C8">
              <w:rPr>
                <w:rFonts w:cstheme="minorHAnsi"/>
                <w:b/>
                <w:sz w:val="24"/>
                <w:szCs w:val="24"/>
              </w:rPr>
              <w:t xml:space="preserve"> (</w:t>
            </w:r>
            <w:proofErr w:type="spellStart"/>
            <w:r w:rsidR="00B247C8" w:rsidRPr="00B247C8">
              <w:rPr>
                <w:rFonts w:cstheme="minorHAnsi"/>
                <w:b/>
                <w:sz w:val="24"/>
                <w:szCs w:val="24"/>
              </w:rPr>
              <w:t>ng</w:t>
            </w:r>
            <w:proofErr w:type="spellEnd"/>
            <w:r w:rsidR="00B247C8" w:rsidRPr="00B247C8">
              <w:rPr>
                <w:rFonts w:cstheme="minorHAnsi"/>
                <w:b/>
                <w:sz w:val="24"/>
                <w:szCs w:val="24"/>
              </w:rPr>
              <w:t>/</w:t>
            </w:r>
            <w:proofErr w:type="spellStart"/>
            <w:r w:rsidR="00B247C8" w:rsidRPr="00B247C8">
              <w:rPr>
                <w:rFonts w:cstheme="minorHAnsi"/>
                <w:b/>
                <w:sz w:val="24"/>
                <w:szCs w:val="24"/>
              </w:rPr>
              <w:t>mL</w:t>
            </w:r>
            <w:proofErr w:type="spellEnd"/>
            <w:r w:rsidR="00B247C8" w:rsidRPr="00B247C8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615" w:type="dxa"/>
            <w:vAlign w:val="bottom"/>
          </w:tcPr>
          <w:p w14:paraId="40605378" w14:textId="241127D1" w:rsidR="005049A1" w:rsidRPr="00B247C8" w:rsidRDefault="00B247C8" w:rsidP="00C56F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247C8">
              <w:rPr>
                <w:rFonts w:cstheme="minorHAnsi"/>
                <w:sz w:val="24"/>
                <w:szCs w:val="24"/>
              </w:rPr>
              <w:t>149.13</w:t>
            </w:r>
          </w:p>
        </w:tc>
        <w:tc>
          <w:tcPr>
            <w:tcW w:w="1596" w:type="dxa"/>
            <w:vAlign w:val="bottom"/>
          </w:tcPr>
          <w:p w14:paraId="4A6EF9E3" w14:textId="31259666" w:rsidR="005049A1" w:rsidRPr="00A31CC1" w:rsidRDefault="00B247C8" w:rsidP="00C56F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153.80</w:t>
            </w:r>
          </w:p>
        </w:tc>
        <w:tc>
          <w:tcPr>
            <w:tcW w:w="1537" w:type="dxa"/>
            <w:vAlign w:val="bottom"/>
          </w:tcPr>
          <w:p w14:paraId="1E754465" w14:textId="0F6CAB44" w:rsidR="005049A1" w:rsidRPr="00A31CC1" w:rsidRDefault="00B247C8" w:rsidP="00C56F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96.97</w:t>
            </w:r>
          </w:p>
        </w:tc>
        <w:tc>
          <w:tcPr>
            <w:tcW w:w="1675" w:type="dxa"/>
            <w:vAlign w:val="bottom"/>
          </w:tcPr>
          <w:p w14:paraId="13CDA2BF" w14:textId="6507304C" w:rsidR="005049A1" w:rsidRPr="00A31CC1" w:rsidRDefault="00B247C8" w:rsidP="00C56F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89.25-105.35</w:t>
            </w:r>
          </w:p>
        </w:tc>
      </w:tr>
    </w:tbl>
    <w:p w14:paraId="4728AF5C" w14:textId="77777777" w:rsidR="005049A1" w:rsidRPr="00A31CC1" w:rsidRDefault="005049A1" w:rsidP="005049A1">
      <w:pPr>
        <w:spacing w:after="0" w:line="240" w:lineRule="auto"/>
        <w:rPr>
          <w:rFonts w:cstheme="minorHAnsi"/>
          <w:i/>
          <w:sz w:val="24"/>
          <w:szCs w:val="24"/>
        </w:rPr>
      </w:pPr>
    </w:p>
    <w:p w14:paraId="7EDC26F9" w14:textId="77777777" w:rsidR="005049A1" w:rsidRPr="00A31CC1" w:rsidRDefault="005049A1" w:rsidP="005049A1">
      <w:pPr>
        <w:spacing w:after="0" w:line="240" w:lineRule="auto"/>
        <w:rPr>
          <w:rFonts w:cstheme="minorHAnsi"/>
          <w:sz w:val="24"/>
          <w:szCs w:val="24"/>
        </w:rPr>
      </w:pPr>
      <w:r w:rsidRPr="00A31CC1">
        <w:rPr>
          <w:rFonts w:cstheme="minorHAnsi"/>
          <w:i/>
          <w:sz w:val="24"/>
          <w:szCs w:val="24"/>
        </w:rPr>
        <w:t>Conclusioni sulla bioequivalenza</w:t>
      </w:r>
      <w:r w:rsidRPr="00A31CC1">
        <w:rPr>
          <w:rFonts w:cstheme="minorHAnsi"/>
          <w:sz w:val="24"/>
          <w:szCs w:val="24"/>
        </w:rPr>
        <w:t>.</w:t>
      </w:r>
    </w:p>
    <w:p w14:paraId="5ED01465" w14:textId="77777777" w:rsidR="005049A1" w:rsidRPr="00A31CC1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 risultati degli studi di bioequivalenza mostrano che gli intervalli di confidenza dei parametri farmacocinetici studiati cadono nel </w:t>
      </w:r>
      <w:r w:rsidRPr="003F4CBD">
        <w:rPr>
          <w:rFonts w:cstheme="minorHAnsi"/>
          <w:i/>
          <w:sz w:val="24"/>
          <w:szCs w:val="24"/>
        </w:rPr>
        <w:t>range</w:t>
      </w:r>
      <w:r w:rsidRPr="00A31CC1">
        <w:rPr>
          <w:rFonts w:cstheme="minorHAnsi"/>
          <w:sz w:val="24"/>
          <w:szCs w:val="24"/>
        </w:rPr>
        <w:t xml:space="preserve"> di accettabilità di 80-125%, in accordo con le linee guida correnti.</w:t>
      </w:r>
    </w:p>
    <w:p w14:paraId="4162F556" w14:textId="77777777" w:rsidR="00D817B3" w:rsidRDefault="00D817B3" w:rsidP="004631F3">
      <w:pPr>
        <w:spacing w:after="0" w:line="240" w:lineRule="auto"/>
        <w:jc w:val="both"/>
        <w:rPr>
          <w:rFonts w:eastAsia="Calibri" w:cstheme="minorHAnsi"/>
          <w:b/>
          <w:i/>
          <w:sz w:val="24"/>
          <w:szCs w:val="24"/>
          <w:lang w:eastAsia="it-IT"/>
        </w:rPr>
      </w:pPr>
    </w:p>
    <w:p w14:paraId="1232C50E" w14:textId="11EF5754" w:rsidR="004631F3" w:rsidRPr="00A31CC1" w:rsidRDefault="004631F3" w:rsidP="004631F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I risultati dello studio di bioequivalenza condotto con il dosaggio da </w:t>
      </w:r>
      <w:r w:rsidR="00D817B3">
        <w:rPr>
          <w:rFonts w:cstheme="minorHAnsi"/>
          <w:sz w:val="24"/>
          <w:szCs w:val="24"/>
        </w:rPr>
        <w:t xml:space="preserve">40 </w:t>
      </w:r>
      <w:r w:rsidRPr="00A31CC1">
        <w:rPr>
          <w:rFonts w:cstheme="minorHAnsi"/>
          <w:sz w:val="24"/>
          <w:szCs w:val="24"/>
        </w:rPr>
        <w:t xml:space="preserve">mg può essere estrapolato </w:t>
      </w:r>
      <w:r w:rsidR="00D817B3">
        <w:rPr>
          <w:rFonts w:cstheme="minorHAnsi"/>
          <w:sz w:val="24"/>
          <w:szCs w:val="24"/>
        </w:rPr>
        <w:t xml:space="preserve">al dosaggio da </w:t>
      </w:r>
      <w:r w:rsidR="004C6463">
        <w:rPr>
          <w:rFonts w:cstheme="minorHAnsi"/>
          <w:sz w:val="24"/>
          <w:szCs w:val="24"/>
        </w:rPr>
        <w:t>2</w:t>
      </w:r>
      <w:r w:rsidR="00D817B3">
        <w:rPr>
          <w:rFonts w:cstheme="minorHAnsi"/>
          <w:sz w:val="24"/>
          <w:szCs w:val="24"/>
        </w:rPr>
        <w:t>0 mg</w:t>
      </w:r>
      <w:r w:rsidRPr="00A31CC1">
        <w:rPr>
          <w:rFonts w:cstheme="minorHAnsi"/>
          <w:sz w:val="24"/>
          <w:szCs w:val="24"/>
        </w:rPr>
        <w:t xml:space="preserve">, </w:t>
      </w:r>
      <w:r w:rsidR="00F76F77" w:rsidRPr="00A31CC1">
        <w:rPr>
          <w:rFonts w:eastAsia="Times New Roman" w:cstheme="minorHAnsi"/>
          <w:bCs/>
          <w:color w:val="000000"/>
          <w:sz w:val="24"/>
          <w:szCs w:val="24"/>
          <w:lang w:eastAsia="it-IT"/>
        </w:rPr>
        <w:t xml:space="preserve">in quanto sono stati soddisfatti i requisiti per la concessione del </w:t>
      </w:r>
      <w:r w:rsidR="00F76F77" w:rsidRPr="004C6463">
        <w:rPr>
          <w:rFonts w:eastAsia="Times New Roman" w:cstheme="minorHAnsi"/>
          <w:bCs/>
          <w:i/>
          <w:color w:val="000000"/>
          <w:sz w:val="24"/>
          <w:szCs w:val="24"/>
          <w:lang w:eastAsia="it-IT"/>
        </w:rPr>
        <w:t>waiver</w:t>
      </w:r>
      <w:r w:rsidR="00F76F77" w:rsidRPr="00A31CC1">
        <w:rPr>
          <w:rFonts w:eastAsia="Times New Roman" w:cstheme="minorHAnsi"/>
          <w:bCs/>
          <w:color w:val="000000"/>
          <w:sz w:val="24"/>
          <w:szCs w:val="24"/>
          <w:lang w:eastAsia="it-IT"/>
        </w:rPr>
        <w:t xml:space="preserve"> di cui al paragrafo 4.1.6 della linea guida </w:t>
      </w:r>
      <w:proofErr w:type="spellStart"/>
      <w:r w:rsidR="00F76F77" w:rsidRPr="004C6463">
        <w:rPr>
          <w:rFonts w:cstheme="minorHAnsi"/>
          <w:i/>
          <w:sz w:val="24"/>
          <w:szCs w:val="24"/>
        </w:rPr>
        <w:t>Guideline</w:t>
      </w:r>
      <w:proofErr w:type="spellEnd"/>
      <w:r w:rsidR="00F76F77" w:rsidRPr="004C6463">
        <w:rPr>
          <w:rFonts w:cstheme="minorHAnsi"/>
          <w:i/>
          <w:sz w:val="24"/>
          <w:szCs w:val="24"/>
        </w:rPr>
        <w:t xml:space="preserve"> on the </w:t>
      </w:r>
      <w:proofErr w:type="spellStart"/>
      <w:r w:rsidR="00F76F77" w:rsidRPr="004C6463">
        <w:rPr>
          <w:rFonts w:cstheme="minorHAnsi"/>
          <w:i/>
          <w:sz w:val="24"/>
          <w:szCs w:val="24"/>
        </w:rPr>
        <w:t>Investigation</w:t>
      </w:r>
      <w:proofErr w:type="spellEnd"/>
      <w:r w:rsidR="00F76F77" w:rsidRPr="004C6463">
        <w:rPr>
          <w:rFonts w:cstheme="minorHAnsi"/>
          <w:i/>
          <w:sz w:val="24"/>
          <w:szCs w:val="24"/>
        </w:rPr>
        <w:t xml:space="preserve"> of </w:t>
      </w:r>
      <w:proofErr w:type="spellStart"/>
      <w:r w:rsidR="00F76F77" w:rsidRPr="004C6463">
        <w:rPr>
          <w:rFonts w:cstheme="minorHAnsi"/>
          <w:i/>
          <w:sz w:val="24"/>
          <w:szCs w:val="24"/>
        </w:rPr>
        <w:t>Bioequivalence</w:t>
      </w:r>
      <w:proofErr w:type="spellEnd"/>
      <w:r w:rsidR="00F76F77" w:rsidRPr="004C6463">
        <w:rPr>
          <w:rFonts w:cstheme="minorHAnsi"/>
          <w:i/>
          <w:sz w:val="24"/>
          <w:szCs w:val="24"/>
        </w:rPr>
        <w:t xml:space="preserve"> </w:t>
      </w:r>
      <w:r w:rsidR="004C6463" w:rsidRPr="004C6463">
        <w:rPr>
          <w:rFonts w:cstheme="minorHAnsi"/>
          <w:sz w:val="24"/>
          <w:szCs w:val="24"/>
        </w:rPr>
        <w:t>(</w:t>
      </w:r>
      <w:r w:rsidR="00F76F77" w:rsidRPr="004C6463">
        <w:rPr>
          <w:rFonts w:eastAsia="Times New Roman" w:cstheme="minorHAnsi"/>
          <w:bCs/>
          <w:color w:val="000000"/>
          <w:sz w:val="24"/>
          <w:szCs w:val="24"/>
          <w:lang w:eastAsia="it-IT"/>
        </w:rPr>
        <w:t>CPMP/EWP/QWP/98 rev.1/</w:t>
      </w:r>
      <w:proofErr w:type="spellStart"/>
      <w:r w:rsidR="00F76F77" w:rsidRPr="004C6463">
        <w:rPr>
          <w:rFonts w:eastAsia="Times New Roman" w:cstheme="minorHAnsi"/>
          <w:bCs/>
          <w:color w:val="000000"/>
          <w:sz w:val="24"/>
          <w:szCs w:val="24"/>
          <w:lang w:eastAsia="it-IT"/>
        </w:rPr>
        <w:t>Corr</w:t>
      </w:r>
      <w:proofErr w:type="spellEnd"/>
      <w:r w:rsidR="00F76F77" w:rsidRPr="004C6463">
        <w:rPr>
          <w:rFonts w:eastAsia="Times New Roman" w:cstheme="minorHAnsi"/>
          <w:bCs/>
          <w:color w:val="000000"/>
          <w:sz w:val="24"/>
          <w:szCs w:val="24"/>
          <w:lang w:eastAsia="it-IT"/>
        </w:rPr>
        <w:t>**</w:t>
      </w:r>
      <w:r w:rsidR="004C6463" w:rsidRPr="004C6463">
        <w:rPr>
          <w:rFonts w:eastAsia="Times New Roman" w:cstheme="minorHAnsi"/>
          <w:bCs/>
          <w:color w:val="000000"/>
          <w:sz w:val="24"/>
          <w:szCs w:val="24"/>
          <w:lang w:eastAsia="it-IT"/>
        </w:rPr>
        <w:t>).</w:t>
      </w:r>
    </w:p>
    <w:p w14:paraId="733783F7" w14:textId="0020F3F2" w:rsidR="004631F3" w:rsidRPr="00A31CC1" w:rsidRDefault="004631F3" w:rsidP="004C6463">
      <w:pPr>
        <w:spacing w:after="0" w:line="240" w:lineRule="auto"/>
        <w:ind w:right="6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 </w:t>
      </w:r>
    </w:p>
    <w:p w14:paraId="33CE9A1C" w14:textId="77777777" w:rsidR="005049A1" w:rsidRPr="00A31CC1" w:rsidRDefault="005049A1" w:rsidP="005049A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Efficacia e sicurezza clinica</w:t>
      </w:r>
    </w:p>
    <w:p w14:paraId="17FAF5EC" w14:textId="0F682EC6" w:rsidR="005049A1" w:rsidRPr="00A31CC1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Non sono stati presentati nuovi dati di efficacia e sicurezza clinica: il profilo di sicur</w:t>
      </w:r>
      <w:r w:rsidR="00F90F1F" w:rsidRPr="00A31CC1">
        <w:rPr>
          <w:rFonts w:cstheme="minorHAnsi"/>
          <w:sz w:val="24"/>
          <w:szCs w:val="24"/>
        </w:rPr>
        <w:t>ezza e l’efficacia del principi</w:t>
      </w:r>
      <w:r w:rsidR="0047045F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47045F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di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ben conosciuto. </w:t>
      </w:r>
    </w:p>
    <w:p w14:paraId="11B918BB" w14:textId="77777777" w:rsidR="006727BD" w:rsidRPr="00A31CC1" w:rsidRDefault="006727BD" w:rsidP="006727BD">
      <w:pPr>
        <w:spacing w:after="0" w:line="240" w:lineRule="auto"/>
        <w:ind w:right="6"/>
        <w:jc w:val="both"/>
        <w:rPr>
          <w:rFonts w:eastAsia="Calibri" w:cstheme="minorHAnsi"/>
          <w:b/>
          <w:i/>
          <w:sz w:val="24"/>
          <w:szCs w:val="24"/>
          <w:highlight w:val="green"/>
          <w:lang w:eastAsia="it-IT"/>
        </w:rPr>
      </w:pPr>
    </w:p>
    <w:p w14:paraId="00F355D9" w14:textId="77777777" w:rsidR="004B5B15" w:rsidRPr="00A31CC1" w:rsidRDefault="004B5B15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cyan"/>
        </w:rPr>
      </w:pPr>
    </w:p>
    <w:p w14:paraId="12311AE2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Piano di Valutazione del Rischio (</w:t>
      </w:r>
      <w:r w:rsidRPr="00A31CC1">
        <w:rPr>
          <w:rFonts w:cstheme="minorHAnsi"/>
          <w:b/>
          <w:i/>
          <w:sz w:val="24"/>
          <w:szCs w:val="24"/>
        </w:rPr>
        <w:t>Risk Management Plan</w:t>
      </w:r>
      <w:r w:rsidRPr="00A31CC1">
        <w:rPr>
          <w:rFonts w:cstheme="minorHAnsi"/>
          <w:b/>
          <w:sz w:val="24"/>
          <w:szCs w:val="24"/>
        </w:rPr>
        <w:t xml:space="preserve"> - RMP)</w:t>
      </w:r>
    </w:p>
    <w:p w14:paraId="00E11AA9" w14:textId="46B655B2" w:rsidR="004E5A39" w:rsidRPr="00A31CC1" w:rsidRDefault="004E5A39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proofErr w:type="gramStart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E’</w:t>
      </w:r>
      <w:proofErr w:type="gram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stato presentato un RMP in accordo a quanto previsto dalla Direttiva 2001/83/EU </w:t>
      </w:r>
      <w:proofErr w:type="spellStart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s.m.i.</w:t>
      </w:r>
      <w:proofErr w:type="spell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che descrive le attività di farmacovigilanza e gli interventi definiti al fine di identificare, caratterizzare, prevenire o minimizzare i rischi collegati all’uso di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56C87A1B" w14:textId="77777777" w:rsidR="00265B61" w:rsidRPr="00A31CC1" w:rsidRDefault="00265B61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Il riassunto delle problematiche di sicurezza è riportato nella tabella seguente.</w:t>
      </w:r>
    </w:p>
    <w:p w14:paraId="6401428D" w14:textId="77777777" w:rsidR="00265B61" w:rsidRPr="00A31CC1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3114"/>
        <w:gridCol w:w="5642"/>
      </w:tblGrid>
      <w:tr w:rsidR="00265B61" w:rsidRPr="006222F7" w14:paraId="22971590" w14:textId="77777777" w:rsidTr="00D817B3">
        <w:trPr>
          <w:jc w:val="center"/>
        </w:trPr>
        <w:tc>
          <w:tcPr>
            <w:tcW w:w="1778" w:type="pct"/>
            <w:shd w:val="clear" w:color="auto" w:fill="auto"/>
          </w:tcPr>
          <w:p w14:paraId="1F62F5AA" w14:textId="77777777" w:rsidR="00265B61" w:rsidRPr="00A31CC1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lastRenderedPageBreak/>
              <w:t>Rischi</w:t>
            </w:r>
            <w:proofErr w:type="spellEnd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identificati</w:t>
            </w:r>
            <w:proofErr w:type="spellEnd"/>
          </w:p>
        </w:tc>
        <w:tc>
          <w:tcPr>
            <w:tcW w:w="3222" w:type="pct"/>
            <w:shd w:val="clear" w:color="auto" w:fill="auto"/>
          </w:tcPr>
          <w:p w14:paraId="5129C435" w14:textId="77777777" w:rsidR="00B9736B" w:rsidRPr="00281199" w:rsidRDefault="00B9736B" w:rsidP="00B9736B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r w:rsidRPr="00281199">
              <w:rPr>
                <w:rFonts w:eastAsia="Times New Roman" w:cstheme="minorHAnsi"/>
                <w:sz w:val="24"/>
                <w:szCs w:val="24"/>
                <w:lang w:val="en-GB" w:eastAsia="en-GB"/>
              </w:rPr>
              <w:t>Ipersensibilità (reazioni allergiche, che includono sintomi di anafilassi e angioedema)</w:t>
            </w:r>
          </w:p>
          <w:p w14:paraId="4A591918" w14:textId="77777777" w:rsidR="00B9736B" w:rsidRPr="00B9736B" w:rsidRDefault="00B9736B" w:rsidP="00B9736B">
            <w:pPr>
              <w:pStyle w:val="TabletextrowsAgency"/>
              <w:numPr>
                <w:ilvl w:val="0"/>
                <w:numId w:val="8"/>
              </w:num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B9736B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Compromissione</w:t>
            </w:r>
            <w:proofErr w:type="spellEnd"/>
            <w:r w:rsidRPr="00B9736B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9736B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renale</w:t>
            </w:r>
            <w:proofErr w:type="spellEnd"/>
          </w:p>
          <w:p w14:paraId="57248083" w14:textId="77777777" w:rsidR="00B9736B" w:rsidRPr="00281199" w:rsidRDefault="00B9736B" w:rsidP="00B9736B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r w:rsidRPr="00281199">
              <w:rPr>
                <w:rFonts w:eastAsia="Times New Roman" w:cstheme="minorHAnsi"/>
                <w:sz w:val="24"/>
                <w:szCs w:val="24"/>
                <w:lang w:val="en-GB" w:eastAsia="en-GB"/>
              </w:rPr>
              <w:t>Uso in pazienti con compromissione renale</w:t>
            </w:r>
          </w:p>
          <w:p w14:paraId="2E6316C7" w14:textId="77777777" w:rsidR="00B9736B" w:rsidRPr="00B9736B" w:rsidRDefault="00B9736B" w:rsidP="00B9736B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proofErr w:type="spellStart"/>
            <w:r w:rsidRPr="00B9736B">
              <w:rPr>
                <w:rFonts w:eastAsia="Times New Roman" w:cstheme="minorHAnsi"/>
                <w:sz w:val="24"/>
                <w:szCs w:val="24"/>
                <w:lang w:val="en-GB" w:eastAsia="en-GB"/>
              </w:rPr>
              <w:t>Interazione</w:t>
            </w:r>
            <w:proofErr w:type="spellEnd"/>
            <w:r w:rsidRPr="00B9736B">
              <w:rPr>
                <w:rFonts w:eastAsia="Times New Roman" w:cstheme="minorHAnsi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B9736B">
              <w:rPr>
                <w:rFonts w:eastAsia="Times New Roman" w:cstheme="minorHAnsi"/>
                <w:sz w:val="24"/>
                <w:szCs w:val="24"/>
                <w:lang w:val="en-GB" w:eastAsia="en-GB"/>
              </w:rPr>
              <w:t>farmacologica</w:t>
            </w:r>
            <w:proofErr w:type="spellEnd"/>
          </w:p>
          <w:p w14:paraId="32773773" w14:textId="162158D0" w:rsidR="00265B61" w:rsidRPr="00B9736B" w:rsidRDefault="00B9736B" w:rsidP="00B9736B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Verdana" w:eastAsia="SimSun" w:hAnsi="Verdana" w:cs="Calibri"/>
                <w:sz w:val="18"/>
                <w:szCs w:val="18"/>
                <w:lang w:eastAsia="zh-CN"/>
              </w:rPr>
            </w:pPr>
            <w:proofErr w:type="spellStart"/>
            <w:r w:rsidRPr="00281199">
              <w:rPr>
                <w:rFonts w:eastAsia="Times New Roman" w:cstheme="minorHAnsi"/>
                <w:sz w:val="24"/>
                <w:szCs w:val="24"/>
                <w:lang w:val="en-GB" w:eastAsia="en-GB"/>
              </w:rPr>
              <w:t>Sindrome</w:t>
            </w:r>
            <w:proofErr w:type="spellEnd"/>
            <w:r w:rsidRPr="00281199">
              <w:rPr>
                <w:rFonts w:eastAsia="Times New Roman" w:cstheme="minorHAnsi"/>
                <w:sz w:val="24"/>
                <w:szCs w:val="24"/>
                <w:lang w:val="en-GB" w:eastAsia="en-GB"/>
              </w:rPr>
              <w:t xml:space="preserve"> di Stevens Johnson/</w:t>
            </w:r>
            <w:proofErr w:type="spellStart"/>
            <w:r w:rsidRPr="00281199">
              <w:rPr>
                <w:rFonts w:eastAsia="Times New Roman" w:cstheme="minorHAnsi"/>
                <w:sz w:val="24"/>
                <w:szCs w:val="24"/>
                <w:lang w:val="en-GB" w:eastAsia="en-GB"/>
              </w:rPr>
              <w:t>Necrolisi</w:t>
            </w:r>
            <w:proofErr w:type="spellEnd"/>
            <w:r w:rsidRPr="00281199">
              <w:rPr>
                <w:rFonts w:eastAsia="Times New Roman" w:cstheme="minorHAnsi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281199">
              <w:rPr>
                <w:rFonts w:eastAsia="Times New Roman" w:cstheme="minorHAnsi"/>
                <w:sz w:val="24"/>
                <w:szCs w:val="24"/>
                <w:lang w:val="en-GB" w:eastAsia="en-GB"/>
              </w:rPr>
              <w:t>epidermica</w:t>
            </w:r>
            <w:proofErr w:type="spellEnd"/>
            <w:r w:rsidRPr="00281199">
              <w:rPr>
                <w:rFonts w:eastAsia="Times New Roman" w:cstheme="minorHAnsi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281199">
              <w:rPr>
                <w:rFonts w:eastAsia="Times New Roman" w:cstheme="minorHAnsi"/>
                <w:sz w:val="24"/>
                <w:szCs w:val="24"/>
                <w:lang w:val="en-GB" w:eastAsia="en-GB"/>
              </w:rPr>
              <w:t>tossica</w:t>
            </w:r>
            <w:proofErr w:type="spellEnd"/>
          </w:p>
        </w:tc>
      </w:tr>
      <w:tr w:rsidR="00265B61" w:rsidRPr="006222F7" w14:paraId="7C02AC11" w14:textId="77777777" w:rsidTr="00D817B3">
        <w:trPr>
          <w:jc w:val="center"/>
        </w:trPr>
        <w:tc>
          <w:tcPr>
            <w:tcW w:w="1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23068A" w14:textId="77777777" w:rsidR="00265B61" w:rsidRPr="00A31CC1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potenziali</w:t>
            </w:r>
            <w:proofErr w:type="spellEnd"/>
          </w:p>
        </w:tc>
        <w:tc>
          <w:tcPr>
            <w:tcW w:w="3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80BCA3A" w14:textId="77777777" w:rsidR="00B9736B" w:rsidRPr="00B9736B" w:rsidRDefault="00B9736B" w:rsidP="00B9736B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r w:rsidRPr="00B9736B">
              <w:rPr>
                <w:rFonts w:eastAsia="Times New Roman" w:cstheme="minorHAnsi"/>
                <w:sz w:val="24"/>
                <w:szCs w:val="24"/>
                <w:lang w:val="en-GB" w:eastAsia="en-GB"/>
              </w:rPr>
              <w:t>Esposizione durante la gravidanza</w:t>
            </w:r>
          </w:p>
          <w:p w14:paraId="6FBE8BB6" w14:textId="700899B5" w:rsidR="00265B61" w:rsidRPr="00B9736B" w:rsidRDefault="00B9736B" w:rsidP="00B9736B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r w:rsidRPr="00B9736B">
              <w:rPr>
                <w:rFonts w:eastAsia="Times New Roman" w:cstheme="minorHAnsi"/>
                <w:sz w:val="24"/>
                <w:szCs w:val="24"/>
                <w:lang w:val="en-GB" w:eastAsia="en-GB"/>
              </w:rPr>
              <w:t>Uso in allattamento</w:t>
            </w:r>
          </w:p>
        </w:tc>
      </w:tr>
      <w:tr w:rsidR="00265B61" w:rsidRPr="006222F7" w14:paraId="6C134585" w14:textId="77777777" w:rsidTr="00D817B3">
        <w:trPr>
          <w:jc w:val="center"/>
        </w:trPr>
        <w:tc>
          <w:tcPr>
            <w:tcW w:w="177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8FF832" w14:textId="77777777" w:rsidR="00265B61" w:rsidRPr="00A31CC1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Informazioni</w:t>
            </w:r>
            <w:proofErr w:type="spellEnd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mancanti</w:t>
            </w:r>
            <w:proofErr w:type="spellEnd"/>
          </w:p>
        </w:tc>
        <w:tc>
          <w:tcPr>
            <w:tcW w:w="32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15EEB" w14:textId="5290E79A" w:rsidR="00265B61" w:rsidRPr="00281199" w:rsidRDefault="00B9736B" w:rsidP="00B9736B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r w:rsidRPr="00281199">
              <w:rPr>
                <w:rFonts w:eastAsia="Times New Roman" w:cstheme="minorHAnsi"/>
                <w:sz w:val="24"/>
                <w:szCs w:val="24"/>
                <w:lang w:val="en-GB" w:eastAsia="en-GB"/>
              </w:rPr>
              <w:t>Uso in bambini di età inferiore a 12 anni/Uso in popolazione pediatrica</w:t>
            </w:r>
          </w:p>
        </w:tc>
      </w:tr>
    </w:tbl>
    <w:p w14:paraId="3A5EEB97" w14:textId="77777777" w:rsidR="00265B61" w:rsidRPr="00A31CC1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6680C576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14:paraId="75243640" w14:textId="77777777" w:rsidR="00461D93" w:rsidRPr="00A31CC1" w:rsidRDefault="004E5A39" w:rsidP="009254C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Oltre le misure previste nel Riassunto delle caratteristiche del prodotto non sono previste attività addizionali di minimizzazione del rischio</w:t>
      </w:r>
      <w:r w:rsidR="009254CC" w:rsidRPr="00A31CC1">
        <w:rPr>
          <w:rFonts w:cstheme="minorHAnsi"/>
          <w:sz w:val="24"/>
          <w:szCs w:val="24"/>
        </w:rPr>
        <w:t xml:space="preserve">. </w:t>
      </w:r>
    </w:p>
    <w:p w14:paraId="4BFDF567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68BC6142" w14:textId="639FCDA7" w:rsidR="009568D6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maggiori dettagli circa le attività di farmacovigilanza previste per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si può consultare il</w:t>
      </w:r>
      <w:r w:rsidRPr="00A31CC1">
        <w:rPr>
          <w:rFonts w:cstheme="minorHAnsi"/>
          <w:sz w:val="24"/>
          <w:szCs w:val="24"/>
        </w:rPr>
        <w:t xml:space="preserve"> </w:t>
      </w:r>
      <w:r w:rsidR="009568D6" w:rsidRPr="00A31CC1">
        <w:rPr>
          <w:rFonts w:cstheme="minorHAnsi"/>
          <w:sz w:val="24"/>
          <w:szCs w:val="24"/>
        </w:rPr>
        <w:t>“</w:t>
      </w:r>
      <w:proofErr w:type="spellStart"/>
      <w:r w:rsidR="009568D6" w:rsidRPr="00D817B3">
        <w:rPr>
          <w:rFonts w:cstheme="minorHAnsi"/>
          <w:i/>
          <w:sz w:val="24"/>
          <w:szCs w:val="24"/>
        </w:rPr>
        <w:t>Summary</w:t>
      </w:r>
      <w:proofErr w:type="spellEnd"/>
      <w:r w:rsidR="009568D6" w:rsidRPr="00D817B3">
        <w:rPr>
          <w:rFonts w:cstheme="minorHAnsi"/>
          <w:i/>
          <w:sz w:val="24"/>
          <w:szCs w:val="24"/>
        </w:rPr>
        <w:t xml:space="preserve"> </w:t>
      </w:r>
      <w:r w:rsidRPr="00D817B3">
        <w:rPr>
          <w:rFonts w:cstheme="minorHAnsi"/>
          <w:i/>
          <w:sz w:val="24"/>
          <w:szCs w:val="24"/>
        </w:rPr>
        <w:t>RMP</w:t>
      </w:r>
      <w:r w:rsidR="009568D6" w:rsidRPr="00A31CC1">
        <w:rPr>
          <w:rFonts w:cstheme="minorHAnsi"/>
          <w:sz w:val="24"/>
          <w:szCs w:val="24"/>
        </w:rPr>
        <w:t>” allegato.</w:t>
      </w:r>
    </w:p>
    <w:p w14:paraId="3CC86D24" w14:textId="69A538BB" w:rsidR="00CF08A6" w:rsidRPr="00A31CC1" w:rsidRDefault="009254CC" w:rsidP="00D817B3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 </w:t>
      </w:r>
    </w:p>
    <w:p w14:paraId="700FC2DC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27B36863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</w:t>
      </w:r>
    </w:p>
    <w:p w14:paraId="28B85830" w14:textId="66425A9F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la richiesta di AIC di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sono state presentate sufficienti informazioni cliniche.</w:t>
      </w:r>
    </w:p>
    <w:p w14:paraId="431BE215" w14:textId="5969BDAE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di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considerato favorevole dal punto di vista clinico.</w:t>
      </w:r>
    </w:p>
    <w:p w14:paraId="1FBD25C2" w14:textId="77777777" w:rsidR="00F35F38" w:rsidRPr="00A31CC1" w:rsidRDefault="00F35F38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365E4D0F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5ABEFA29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14:paraId="6B8FDC32" w14:textId="027E4D0E" w:rsidR="004E5A39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A31CC1">
        <w:rPr>
          <w:rFonts w:cstheme="minorHAnsi"/>
          <w:sz w:val="24"/>
          <w:szCs w:val="24"/>
        </w:rPr>
        <w:t>s.m.i.</w:t>
      </w:r>
      <w:proofErr w:type="spellEnd"/>
      <w:r w:rsidRPr="00A31CC1">
        <w:rPr>
          <w:rFonts w:cstheme="minorHAnsi"/>
          <w:sz w:val="24"/>
          <w:szCs w:val="24"/>
        </w:rPr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425ED3E0" w14:textId="77777777" w:rsidR="00D817B3" w:rsidRPr="00A31CC1" w:rsidRDefault="00D817B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EA1FE2B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A07D87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72FC8FF0" w14:textId="08CC6CEE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qualità di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14:paraId="5E2AD99B" w14:textId="77777777" w:rsidR="00071E63" w:rsidRPr="00A31CC1" w:rsidRDefault="00071E6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CEAED0C" w14:textId="59AC3A2F" w:rsidR="00BE7CDB" w:rsidRPr="00A31CC1" w:rsidRDefault="00BE7CDB" w:rsidP="00BE7C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Lo studio di bioequivalenza e le sue conclusioni confermano che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071E6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e il medicinale di riferimento </w:t>
      </w:r>
      <w:r w:rsidR="00D817B3">
        <w:rPr>
          <w:rFonts w:cstheme="minorHAnsi"/>
          <w:sz w:val="24"/>
          <w:szCs w:val="24"/>
        </w:rPr>
        <w:t>FAMODIL</w:t>
      </w:r>
      <w:r w:rsidR="00071E63" w:rsidRPr="00A31CC1">
        <w:rPr>
          <w:rFonts w:cstheme="minorHAnsi"/>
          <w:sz w:val="24"/>
          <w:szCs w:val="24"/>
        </w:rPr>
        <w:t xml:space="preserve"> </w:t>
      </w:r>
      <w:r w:rsidR="00F90F1F" w:rsidRPr="00A31CC1">
        <w:rPr>
          <w:rFonts w:cstheme="minorHAnsi"/>
          <w:sz w:val="24"/>
          <w:szCs w:val="24"/>
        </w:rPr>
        <w:t xml:space="preserve">sono </w:t>
      </w:r>
      <w:proofErr w:type="spellStart"/>
      <w:r w:rsidR="00F90F1F" w:rsidRPr="00A31CC1">
        <w:rPr>
          <w:rFonts w:cstheme="minorHAnsi"/>
          <w:sz w:val="24"/>
          <w:szCs w:val="24"/>
        </w:rPr>
        <w:t>bioequivalenti</w:t>
      </w:r>
      <w:proofErr w:type="spellEnd"/>
      <w:r w:rsidRPr="00A31CC1">
        <w:rPr>
          <w:rFonts w:cstheme="minorHAnsi"/>
          <w:sz w:val="24"/>
          <w:szCs w:val="24"/>
        </w:rPr>
        <w:t>.</w:t>
      </w:r>
    </w:p>
    <w:p w14:paraId="4B94A1C0" w14:textId="77777777" w:rsidR="00071E63" w:rsidRPr="00A31CC1" w:rsidRDefault="00071E6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00E2C07" w14:textId="4A83CD82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</w:t>
      </w:r>
      <w:r w:rsidR="00071E63" w:rsidRPr="00A31CC1">
        <w:rPr>
          <w:rFonts w:cstheme="minorHAnsi"/>
          <w:sz w:val="24"/>
          <w:szCs w:val="24"/>
        </w:rPr>
        <w:t xml:space="preserve">di </w:t>
      </w:r>
      <w:r w:rsidR="009028DD">
        <w:rPr>
          <w:rFonts w:eastAsia="Calibri" w:cstheme="minorHAnsi"/>
          <w:color w:val="000000"/>
          <w:sz w:val="24"/>
          <w:szCs w:val="24"/>
          <w:lang w:eastAsia="it-IT"/>
        </w:rPr>
        <w:t>FAMOTIDINA DOC</w:t>
      </w:r>
      <w:r w:rsidR="00071E6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considerato </w:t>
      </w:r>
      <w:r w:rsidR="00071E63" w:rsidRPr="00A31CC1">
        <w:rPr>
          <w:rFonts w:cstheme="minorHAnsi"/>
          <w:sz w:val="24"/>
          <w:szCs w:val="24"/>
        </w:rPr>
        <w:t>favorevole per l’autorizzazione all’immis</w:t>
      </w:r>
      <w:r w:rsidR="00997F05" w:rsidRPr="00A31CC1">
        <w:rPr>
          <w:rFonts w:cstheme="minorHAnsi"/>
          <w:sz w:val="24"/>
          <w:szCs w:val="24"/>
        </w:rPr>
        <w:t>s</w:t>
      </w:r>
      <w:r w:rsidR="00071E63" w:rsidRPr="00A31CC1">
        <w:rPr>
          <w:rFonts w:cstheme="minorHAnsi"/>
          <w:sz w:val="24"/>
          <w:szCs w:val="24"/>
        </w:rPr>
        <w:t>ione in commercio</w:t>
      </w:r>
      <w:r w:rsidRPr="00A31CC1">
        <w:rPr>
          <w:rFonts w:cstheme="minorHAnsi"/>
          <w:sz w:val="24"/>
          <w:szCs w:val="24"/>
        </w:rPr>
        <w:t>.</w:t>
      </w:r>
    </w:p>
    <w:p w14:paraId="5ABBC3E3" w14:textId="77777777" w:rsidR="00071E63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lastRenderedPageBreak/>
        <w:t xml:space="preserve">Il riassunto delle caratteristiche del prodotto, il foglio illustrativo e le etichette sono in linea con le </w:t>
      </w:r>
      <w:r w:rsidR="00071E63" w:rsidRPr="00A31CC1">
        <w:rPr>
          <w:rFonts w:cstheme="minorHAnsi"/>
          <w:sz w:val="24"/>
          <w:szCs w:val="24"/>
        </w:rPr>
        <w:t xml:space="preserve">vigenti </w:t>
      </w:r>
      <w:r w:rsidRPr="00A31CC1">
        <w:rPr>
          <w:rFonts w:cstheme="minorHAnsi"/>
          <w:sz w:val="24"/>
          <w:szCs w:val="24"/>
        </w:rPr>
        <w:t>linee guida</w:t>
      </w:r>
      <w:r w:rsidR="00071E63" w:rsidRPr="00A31CC1">
        <w:rPr>
          <w:rFonts w:cstheme="minorHAnsi"/>
          <w:sz w:val="24"/>
          <w:szCs w:val="24"/>
        </w:rPr>
        <w:t xml:space="preserve"> e raccomandazioni italiane ed europee</w:t>
      </w:r>
      <w:r w:rsidRPr="00A31CC1">
        <w:rPr>
          <w:rFonts w:cstheme="minorHAnsi"/>
          <w:sz w:val="24"/>
          <w:szCs w:val="24"/>
        </w:rPr>
        <w:t xml:space="preserve">. </w:t>
      </w:r>
    </w:p>
    <w:p w14:paraId="7056AFE8" w14:textId="433C868A" w:rsidR="00CE62A1" w:rsidRPr="00A31CC1" w:rsidRDefault="004E5A39" w:rsidP="00EF6711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Questi documenti possono essere consultati sul sito istituzionale di AIFA </w:t>
      </w:r>
      <w:r w:rsidR="00D817B3" w:rsidRPr="00A31CC1">
        <w:rPr>
          <w:rFonts w:eastAsia="Calibri" w:cstheme="minorHAnsi"/>
          <w:sz w:val="24"/>
          <w:szCs w:val="24"/>
          <w:lang w:eastAsia="it-IT"/>
        </w:rPr>
        <w:t>(</w:t>
      </w:r>
      <w:hyperlink r:id="rId12" w:anchor="/it/" w:history="1">
        <w:r w:rsidR="00D817B3" w:rsidRPr="00F53A30">
          <w:rPr>
            <w:rStyle w:val="Collegamentoipertestuale"/>
            <w:rFonts w:eastAsia="Calibri" w:cstheme="minorHAnsi"/>
            <w:sz w:val="24"/>
            <w:szCs w:val="24"/>
            <w:lang w:eastAsia="it-IT"/>
          </w:rPr>
          <w:t>https://medicinali.aifa.gov.it/it/#/it/</w:t>
        </w:r>
      </w:hyperlink>
      <w:r w:rsidR="00D817B3" w:rsidRPr="00A31CC1">
        <w:rPr>
          <w:rFonts w:eastAsia="Calibri" w:cstheme="minorHAnsi"/>
          <w:sz w:val="24"/>
          <w:szCs w:val="24"/>
          <w:lang w:eastAsia="it-IT"/>
        </w:rPr>
        <w:t>).</w:t>
      </w:r>
    </w:p>
    <w:p w14:paraId="48A74C52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footerReference w:type="default" r:id="rId13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213CB" w14:textId="77777777" w:rsidR="00404566" w:rsidRDefault="00404566" w:rsidP="00C07183">
      <w:pPr>
        <w:spacing w:after="0" w:line="240" w:lineRule="auto"/>
      </w:pPr>
      <w:r>
        <w:separator/>
      </w:r>
    </w:p>
  </w:endnote>
  <w:endnote w:type="continuationSeparator" w:id="0">
    <w:p w14:paraId="6374E4CD" w14:textId="77777777" w:rsidR="00404566" w:rsidRDefault="00404566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CE743" w14:textId="524729FD" w:rsidR="006C0722" w:rsidRDefault="008E3450">
    <w:pPr>
      <w:pStyle w:val="Pidipagina"/>
    </w:pPr>
    <w:r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59264" behindDoc="1" locked="0" layoutInCell="1" allowOverlap="1" wp14:anchorId="0F22A4B5" wp14:editId="004C84D9">
          <wp:simplePos x="0" y="0"/>
          <wp:positionH relativeFrom="page">
            <wp:posOffset>-42545</wp:posOffset>
          </wp:positionH>
          <wp:positionV relativeFrom="page">
            <wp:posOffset>10040620</wp:posOffset>
          </wp:positionV>
          <wp:extent cx="7560310" cy="788035"/>
          <wp:effectExtent l="0" t="0" r="2540" b="0"/>
          <wp:wrapNone/>
          <wp:docPr id="7" name="Immagin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F4939" w14:textId="77777777" w:rsidR="00404566" w:rsidRDefault="00404566" w:rsidP="00C07183">
      <w:pPr>
        <w:spacing w:after="0" w:line="240" w:lineRule="auto"/>
      </w:pPr>
      <w:r>
        <w:separator/>
      </w:r>
    </w:p>
  </w:footnote>
  <w:footnote w:type="continuationSeparator" w:id="0">
    <w:p w14:paraId="20D3EAC1" w14:textId="77777777" w:rsidR="00404566" w:rsidRDefault="00404566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21815"/>
    <w:multiLevelType w:val="hybridMultilevel"/>
    <w:tmpl w:val="3D4CE6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478AF"/>
    <w:multiLevelType w:val="hybridMultilevel"/>
    <w:tmpl w:val="0EC4CB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0F5F"/>
    <w:rsid w:val="00013020"/>
    <w:rsid w:val="00014743"/>
    <w:rsid w:val="0002205E"/>
    <w:rsid w:val="00022511"/>
    <w:rsid w:val="00022F32"/>
    <w:rsid w:val="00023CEA"/>
    <w:rsid w:val="00035DB7"/>
    <w:rsid w:val="00050C7F"/>
    <w:rsid w:val="00050F6A"/>
    <w:rsid w:val="00062636"/>
    <w:rsid w:val="00071E63"/>
    <w:rsid w:val="000759F6"/>
    <w:rsid w:val="000808A3"/>
    <w:rsid w:val="000A4BA1"/>
    <w:rsid w:val="000B7AC8"/>
    <w:rsid w:val="000C1389"/>
    <w:rsid w:val="000D40A9"/>
    <w:rsid w:val="000E1F86"/>
    <w:rsid w:val="000E4494"/>
    <w:rsid w:val="000E4A73"/>
    <w:rsid w:val="000E5FEB"/>
    <w:rsid w:val="000F658F"/>
    <w:rsid w:val="00111E9E"/>
    <w:rsid w:val="00112B76"/>
    <w:rsid w:val="001267BE"/>
    <w:rsid w:val="00126BC8"/>
    <w:rsid w:val="001334B1"/>
    <w:rsid w:val="00134D7F"/>
    <w:rsid w:val="001460CA"/>
    <w:rsid w:val="00172AED"/>
    <w:rsid w:val="001A516D"/>
    <w:rsid w:val="001B2799"/>
    <w:rsid w:val="001B599D"/>
    <w:rsid w:val="001C15DF"/>
    <w:rsid w:val="001C28F3"/>
    <w:rsid w:val="001C4323"/>
    <w:rsid w:val="001D12C1"/>
    <w:rsid w:val="001F0D20"/>
    <w:rsid w:val="001F5E2F"/>
    <w:rsid w:val="002137BD"/>
    <w:rsid w:val="00214B09"/>
    <w:rsid w:val="0021736D"/>
    <w:rsid w:val="00245B04"/>
    <w:rsid w:val="00252FE8"/>
    <w:rsid w:val="002554FE"/>
    <w:rsid w:val="00265B61"/>
    <w:rsid w:val="00277A0E"/>
    <w:rsid w:val="00281199"/>
    <w:rsid w:val="00295EEA"/>
    <w:rsid w:val="00297F10"/>
    <w:rsid w:val="002A1800"/>
    <w:rsid w:val="002B662A"/>
    <w:rsid w:val="002C2324"/>
    <w:rsid w:val="002C2D9F"/>
    <w:rsid w:val="002F2543"/>
    <w:rsid w:val="002F4000"/>
    <w:rsid w:val="00300BEA"/>
    <w:rsid w:val="00305B55"/>
    <w:rsid w:val="003061E0"/>
    <w:rsid w:val="00316B03"/>
    <w:rsid w:val="00323648"/>
    <w:rsid w:val="003238CF"/>
    <w:rsid w:val="00330DFA"/>
    <w:rsid w:val="00340DC4"/>
    <w:rsid w:val="003460E9"/>
    <w:rsid w:val="003544C6"/>
    <w:rsid w:val="00367CE0"/>
    <w:rsid w:val="00387CA8"/>
    <w:rsid w:val="003949F9"/>
    <w:rsid w:val="003B0421"/>
    <w:rsid w:val="003B10F5"/>
    <w:rsid w:val="003B68D5"/>
    <w:rsid w:val="003C054E"/>
    <w:rsid w:val="003E1E83"/>
    <w:rsid w:val="003F4CBD"/>
    <w:rsid w:val="00404566"/>
    <w:rsid w:val="0041387F"/>
    <w:rsid w:val="004214DB"/>
    <w:rsid w:val="0042214D"/>
    <w:rsid w:val="00423A97"/>
    <w:rsid w:val="004241AC"/>
    <w:rsid w:val="00424ADE"/>
    <w:rsid w:val="00442A9D"/>
    <w:rsid w:val="00445DB2"/>
    <w:rsid w:val="004509BC"/>
    <w:rsid w:val="004532E2"/>
    <w:rsid w:val="004609F8"/>
    <w:rsid w:val="00461D93"/>
    <w:rsid w:val="004631F3"/>
    <w:rsid w:val="0047045F"/>
    <w:rsid w:val="00482C32"/>
    <w:rsid w:val="004B20A8"/>
    <w:rsid w:val="004B5B15"/>
    <w:rsid w:val="004C6463"/>
    <w:rsid w:val="004E28E5"/>
    <w:rsid w:val="004E5A39"/>
    <w:rsid w:val="004E70F5"/>
    <w:rsid w:val="004F343B"/>
    <w:rsid w:val="00500ACA"/>
    <w:rsid w:val="005049A1"/>
    <w:rsid w:val="00504FC1"/>
    <w:rsid w:val="005250B6"/>
    <w:rsid w:val="005256F6"/>
    <w:rsid w:val="0056372C"/>
    <w:rsid w:val="00567615"/>
    <w:rsid w:val="005744D4"/>
    <w:rsid w:val="00577746"/>
    <w:rsid w:val="00577DAC"/>
    <w:rsid w:val="005826A6"/>
    <w:rsid w:val="005950D6"/>
    <w:rsid w:val="005A466E"/>
    <w:rsid w:val="005A4BBD"/>
    <w:rsid w:val="005B4C97"/>
    <w:rsid w:val="005C2427"/>
    <w:rsid w:val="005C45B7"/>
    <w:rsid w:val="005D18E5"/>
    <w:rsid w:val="005F54B1"/>
    <w:rsid w:val="00607D39"/>
    <w:rsid w:val="00610BAB"/>
    <w:rsid w:val="00621AE2"/>
    <w:rsid w:val="006222F7"/>
    <w:rsid w:val="006231AC"/>
    <w:rsid w:val="00642D6A"/>
    <w:rsid w:val="0064646C"/>
    <w:rsid w:val="00652AE5"/>
    <w:rsid w:val="00654D9E"/>
    <w:rsid w:val="00663BCD"/>
    <w:rsid w:val="00664931"/>
    <w:rsid w:val="006727BD"/>
    <w:rsid w:val="0068646B"/>
    <w:rsid w:val="006A3A37"/>
    <w:rsid w:val="006B311C"/>
    <w:rsid w:val="006B3E12"/>
    <w:rsid w:val="006C0722"/>
    <w:rsid w:val="006C08B4"/>
    <w:rsid w:val="006C5811"/>
    <w:rsid w:val="006D7B8C"/>
    <w:rsid w:val="006F44C7"/>
    <w:rsid w:val="00712DB3"/>
    <w:rsid w:val="00716DF5"/>
    <w:rsid w:val="007170D7"/>
    <w:rsid w:val="007221B6"/>
    <w:rsid w:val="00745609"/>
    <w:rsid w:val="00747E46"/>
    <w:rsid w:val="00754A37"/>
    <w:rsid w:val="00766E26"/>
    <w:rsid w:val="0078608F"/>
    <w:rsid w:val="0078680B"/>
    <w:rsid w:val="0079157E"/>
    <w:rsid w:val="00797416"/>
    <w:rsid w:val="007A1C0E"/>
    <w:rsid w:val="007C0622"/>
    <w:rsid w:val="007C4012"/>
    <w:rsid w:val="007D2539"/>
    <w:rsid w:val="007E4E98"/>
    <w:rsid w:val="00811B01"/>
    <w:rsid w:val="00823F4C"/>
    <w:rsid w:val="008375CF"/>
    <w:rsid w:val="00853EC6"/>
    <w:rsid w:val="008547B3"/>
    <w:rsid w:val="008635DF"/>
    <w:rsid w:val="008767B9"/>
    <w:rsid w:val="008819D4"/>
    <w:rsid w:val="00881BCB"/>
    <w:rsid w:val="0088216F"/>
    <w:rsid w:val="00890A5C"/>
    <w:rsid w:val="008A6FEC"/>
    <w:rsid w:val="008B214E"/>
    <w:rsid w:val="008B46E3"/>
    <w:rsid w:val="008B60D7"/>
    <w:rsid w:val="008C3877"/>
    <w:rsid w:val="008C3D30"/>
    <w:rsid w:val="008C75F9"/>
    <w:rsid w:val="008D1529"/>
    <w:rsid w:val="008E3450"/>
    <w:rsid w:val="008E3D9E"/>
    <w:rsid w:val="008F117D"/>
    <w:rsid w:val="009028DD"/>
    <w:rsid w:val="009232AA"/>
    <w:rsid w:val="009254CC"/>
    <w:rsid w:val="00943785"/>
    <w:rsid w:val="009565BA"/>
    <w:rsid w:val="009568D6"/>
    <w:rsid w:val="00957832"/>
    <w:rsid w:val="0098470E"/>
    <w:rsid w:val="0099120C"/>
    <w:rsid w:val="00997646"/>
    <w:rsid w:val="00997F05"/>
    <w:rsid w:val="009A23DE"/>
    <w:rsid w:val="009A260F"/>
    <w:rsid w:val="009B03DB"/>
    <w:rsid w:val="009B1E44"/>
    <w:rsid w:val="009C3E8B"/>
    <w:rsid w:val="009D3446"/>
    <w:rsid w:val="009E0140"/>
    <w:rsid w:val="009E2BC0"/>
    <w:rsid w:val="009F3867"/>
    <w:rsid w:val="009F395B"/>
    <w:rsid w:val="009F5439"/>
    <w:rsid w:val="009F584E"/>
    <w:rsid w:val="00A01AB1"/>
    <w:rsid w:val="00A03645"/>
    <w:rsid w:val="00A046AC"/>
    <w:rsid w:val="00A11FD6"/>
    <w:rsid w:val="00A247C5"/>
    <w:rsid w:val="00A31CC1"/>
    <w:rsid w:val="00A40FF3"/>
    <w:rsid w:val="00A47604"/>
    <w:rsid w:val="00A51A8C"/>
    <w:rsid w:val="00A62D55"/>
    <w:rsid w:val="00A83AB4"/>
    <w:rsid w:val="00A84362"/>
    <w:rsid w:val="00A86F5A"/>
    <w:rsid w:val="00A908B9"/>
    <w:rsid w:val="00A966D1"/>
    <w:rsid w:val="00AA516E"/>
    <w:rsid w:val="00AB086A"/>
    <w:rsid w:val="00AC3E39"/>
    <w:rsid w:val="00AC586B"/>
    <w:rsid w:val="00AD051C"/>
    <w:rsid w:val="00AD15FA"/>
    <w:rsid w:val="00AD4BE6"/>
    <w:rsid w:val="00AF52E2"/>
    <w:rsid w:val="00B023E9"/>
    <w:rsid w:val="00B03E01"/>
    <w:rsid w:val="00B1186F"/>
    <w:rsid w:val="00B15135"/>
    <w:rsid w:val="00B247C8"/>
    <w:rsid w:val="00B30431"/>
    <w:rsid w:val="00B51571"/>
    <w:rsid w:val="00B862CA"/>
    <w:rsid w:val="00B9736B"/>
    <w:rsid w:val="00BA0ACD"/>
    <w:rsid w:val="00BB2AF8"/>
    <w:rsid w:val="00BB7B54"/>
    <w:rsid w:val="00BC561B"/>
    <w:rsid w:val="00BC74C2"/>
    <w:rsid w:val="00BD39EB"/>
    <w:rsid w:val="00BE7CDB"/>
    <w:rsid w:val="00BF55B9"/>
    <w:rsid w:val="00BF7A42"/>
    <w:rsid w:val="00C058E1"/>
    <w:rsid w:val="00C07183"/>
    <w:rsid w:val="00C17BE2"/>
    <w:rsid w:val="00C2462C"/>
    <w:rsid w:val="00C2507B"/>
    <w:rsid w:val="00C2565A"/>
    <w:rsid w:val="00C344A5"/>
    <w:rsid w:val="00C35B02"/>
    <w:rsid w:val="00C42AAC"/>
    <w:rsid w:val="00C4720E"/>
    <w:rsid w:val="00C50582"/>
    <w:rsid w:val="00C51FF1"/>
    <w:rsid w:val="00C56FA9"/>
    <w:rsid w:val="00C66597"/>
    <w:rsid w:val="00C74500"/>
    <w:rsid w:val="00CC1489"/>
    <w:rsid w:val="00CC52A3"/>
    <w:rsid w:val="00CC7AFF"/>
    <w:rsid w:val="00CE62A1"/>
    <w:rsid w:val="00CF08A6"/>
    <w:rsid w:val="00D20170"/>
    <w:rsid w:val="00D212AA"/>
    <w:rsid w:val="00D36F9A"/>
    <w:rsid w:val="00D60600"/>
    <w:rsid w:val="00D6711E"/>
    <w:rsid w:val="00D817B3"/>
    <w:rsid w:val="00DB021E"/>
    <w:rsid w:val="00DB359A"/>
    <w:rsid w:val="00DC187E"/>
    <w:rsid w:val="00E10D6C"/>
    <w:rsid w:val="00E207B1"/>
    <w:rsid w:val="00E20E87"/>
    <w:rsid w:val="00E25D34"/>
    <w:rsid w:val="00E26828"/>
    <w:rsid w:val="00E42578"/>
    <w:rsid w:val="00E43089"/>
    <w:rsid w:val="00E8095D"/>
    <w:rsid w:val="00E83F8D"/>
    <w:rsid w:val="00E8749D"/>
    <w:rsid w:val="00EB4398"/>
    <w:rsid w:val="00EB4F83"/>
    <w:rsid w:val="00EC3589"/>
    <w:rsid w:val="00ED19E3"/>
    <w:rsid w:val="00ED72E4"/>
    <w:rsid w:val="00EF062E"/>
    <w:rsid w:val="00EF6711"/>
    <w:rsid w:val="00F1246A"/>
    <w:rsid w:val="00F26AE8"/>
    <w:rsid w:val="00F27C7F"/>
    <w:rsid w:val="00F35F38"/>
    <w:rsid w:val="00F66767"/>
    <w:rsid w:val="00F67DFC"/>
    <w:rsid w:val="00F70FE8"/>
    <w:rsid w:val="00F76F77"/>
    <w:rsid w:val="00F85989"/>
    <w:rsid w:val="00F90F1F"/>
    <w:rsid w:val="00F96473"/>
    <w:rsid w:val="00F964BE"/>
    <w:rsid w:val="00FA2702"/>
    <w:rsid w:val="00FA271D"/>
    <w:rsid w:val="00FB3BF5"/>
    <w:rsid w:val="00FB4181"/>
    <w:rsid w:val="00FC0183"/>
    <w:rsid w:val="00FD415D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AD766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link w:val="TabletextrowsAgencyChar"/>
    <w:qFormat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  <w:style w:type="character" w:customStyle="1" w:styleId="TabletextrowsAgencyChar">
    <w:name w:val="Table text rows (Agency) Char"/>
    <w:link w:val="TabletextrowsAgency"/>
    <w:locked/>
    <w:rsid w:val="00B9736B"/>
    <w:rPr>
      <w:rFonts w:ascii="Verdana" w:eastAsia="Times New Roman" w:hAnsi="Verdana" w:cs="Verdana"/>
      <w:sz w:val="18"/>
      <w:szCs w:val="18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dicinali.aifa.gov.it/i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cinali.aifa.gov.it/it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medicinali.aifa.gov.it/it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AD781C-BB1B-454B-B405-C0F508229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3316</Words>
  <Characters>18902</Characters>
  <Application>Microsoft Office Word</Application>
  <DocSecurity>0</DocSecurity>
  <Lines>157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Eliseo Tommaso</cp:lastModifiedBy>
  <cp:revision>5</cp:revision>
  <dcterms:created xsi:type="dcterms:W3CDTF">2025-06-18T10:37:00Z</dcterms:created>
  <dcterms:modified xsi:type="dcterms:W3CDTF">2025-06-18T14:23:00Z</dcterms:modified>
</cp:coreProperties>
</file>