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3978C9" w14:textId="77777777" w:rsidR="004241AC" w:rsidRPr="002A3F14" w:rsidRDefault="00340DC4" w:rsidP="004241AC">
      <w:pPr>
        <w:spacing w:after="0" w:line="240" w:lineRule="auto"/>
        <w:jc w:val="center"/>
        <w:rPr>
          <w:lang w:val="en-US"/>
        </w:rPr>
      </w:pPr>
      <w:r>
        <w:rPr>
          <w:noProof/>
          <w:lang w:eastAsia="it-IT"/>
        </w:rPr>
        <w:drawing>
          <wp:inline distT="0" distB="0" distL="0" distR="0" wp14:anchorId="3F3FD001" wp14:editId="0E1B9E24">
            <wp:extent cx="2143125" cy="847725"/>
            <wp:effectExtent l="19050" t="0" r="9525" b="0"/>
            <wp:docPr id="1" name="Immagi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419" cy="849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DB6F24" w14:textId="77777777" w:rsidR="004241AC" w:rsidRDefault="004241AC" w:rsidP="004241AC">
      <w:pPr>
        <w:spacing w:after="0" w:line="240" w:lineRule="auto"/>
        <w:jc w:val="center"/>
        <w:rPr>
          <w:b/>
        </w:rPr>
      </w:pPr>
    </w:p>
    <w:bookmarkStart w:id="0" w:name="Text15"/>
    <w:p w14:paraId="3D4393CA" w14:textId="77777777" w:rsidR="00823F4C" w:rsidRDefault="008F117D" w:rsidP="00823F4C">
      <w:pPr>
        <w:spacing w:after="0" w:line="240" w:lineRule="auto"/>
        <w:jc w:val="center"/>
        <w:rPr>
          <w:b/>
          <w:sz w:val="28"/>
        </w:rPr>
      </w:pPr>
      <w:r>
        <w:rPr>
          <w:rFonts w:eastAsia="Calibri" w:cs="Calibri"/>
          <w:noProof/>
          <w:color w:val="000000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8E9482" wp14:editId="7CE4195D">
                <wp:simplePos x="0" y="0"/>
                <wp:positionH relativeFrom="column">
                  <wp:posOffset>-458470</wp:posOffset>
                </wp:positionH>
                <wp:positionV relativeFrom="paragraph">
                  <wp:posOffset>256540</wp:posOffset>
                </wp:positionV>
                <wp:extent cx="342900" cy="7121525"/>
                <wp:effectExtent l="0" t="0" r="0" b="3175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712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ADC0A5" w14:textId="77777777" w:rsidR="008F117D" w:rsidRPr="00DB4923" w:rsidRDefault="008F117D" w:rsidP="008F117D">
                            <w:pPr>
                              <w:ind w:left="708" w:firstLine="708"/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Mod</w:t>
                            </w:r>
                            <w:proofErr w:type="spellEnd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. 31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6/13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 w:rsidRPr="008F117D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Relazione Pubblica di Valutazione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Rev. 4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 </w:t>
                            </w:r>
                            <w:proofErr w:type="gramStart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Data :</w:t>
                            </w:r>
                            <w:proofErr w:type="gramEnd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7B2CF1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16/01/2023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48E948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-36.1pt;margin-top:20.2pt;width:27pt;height:56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" stroked="f">
                <v:textbox style="layout-flow:vertical;mso-layout-flow-alt:bottom-to-top">
                  <w:txbxContent>
                    <w:p w14:paraId="6FADC0A5" w14:textId="77777777" w:rsidR="008F117D" w:rsidRPr="00DB4923" w:rsidRDefault="008F117D" w:rsidP="008F117D">
                      <w:pPr>
                        <w:ind w:left="708" w:firstLine="708"/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</w:pPr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Mod. 31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6/13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 w:rsidRPr="008F117D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Relazione Pubblica di Valutazione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        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Rev. 4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 </w:t>
                      </w:r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Data :  </w:t>
                      </w:r>
                      <w:r w:rsidR="007B2CF1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16/01/2023</w:t>
                      </w:r>
                    </w:p>
                  </w:txbxContent>
                </v:textbox>
              </v:shape>
            </w:pict>
          </mc:Fallback>
        </mc:AlternateContent>
      </w:r>
      <w:r w:rsidR="00823F4C">
        <w:rPr>
          <w:b/>
          <w:sz w:val="28"/>
        </w:rPr>
        <w:t>Relazione Pubblica di Valutazione</w:t>
      </w:r>
    </w:p>
    <w:p w14:paraId="648992CF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0CD1F4A8" w14:textId="77777777" w:rsidR="00823F4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6DA38242" w14:textId="70E35E0C" w:rsidR="00A51C22" w:rsidRPr="00A51C22" w:rsidRDefault="00CC3E3D" w:rsidP="00A51C22">
      <w:pPr>
        <w:widowControl w:val="0"/>
        <w:spacing w:after="0" w:line="240" w:lineRule="auto"/>
        <w:jc w:val="center"/>
        <w:rPr>
          <w:snapToGrid w:val="0"/>
        </w:rPr>
      </w:pPr>
      <w:r>
        <w:rPr>
          <w:rFonts w:ascii="Calibri" w:eastAsia="Calibri" w:hAnsi="Calibri" w:cs="Times New Roman"/>
          <w:b/>
          <w:sz w:val="32"/>
        </w:rPr>
        <w:t>INDIFAXA</w:t>
      </w:r>
    </w:p>
    <w:p w14:paraId="34C904C7" w14:textId="77777777" w:rsidR="00A51C22" w:rsidRPr="00A51C22" w:rsidRDefault="00A51C22" w:rsidP="00A51C22">
      <w:pPr>
        <w:widowControl w:val="0"/>
        <w:spacing w:after="0" w:line="240" w:lineRule="auto"/>
        <w:jc w:val="center"/>
        <w:rPr>
          <w:snapToGrid w:val="0"/>
        </w:rPr>
      </w:pPr>
      <w:r w:rsidRPr="00A51C22">
        <w:rPr>
          <w:snapToGrid w:val="0"/>
        </w:rPr>
        <w:t xml:space="preserve"> (</w:t>
      </w:r>
      <w:proofErr w:type="spellStart"/>
      <w:r w:rsidRPr="00A51C22">
        <w:rPr>
          <w:snapToGrid w:val="0"/>
        </w:rPr>
        <w:t>Rivaroxaban</w:t>
      </w:r>
      <w:proofErr w:type="spellEnd"/>
      <w:r w:rsidR="0028146C">
        <w:rPr>
          <w:snapToGrid w:val="0"/>
        </w:rPr>
        <w:t xml:space="preserve">, </w:t>
      </w:r>
      <w:r w:rsidR="0028146C" w:rsidRPr="0028146C">
        <w:rPr>
          <w:snapToGrid w:val="0"/>
        </w:rPr>
        <w:t>compresse rivestite con film</w:t>
      </w:r>
      <w:r w:rsidR="0028146C">
        <w:rPr>
          <w:snapToGrid w:val="0"/>
        </w:rPr>
        <w:t>,</w:t>
      </w:r>
      <w:r w:rsidR="004A301A">
        <w:rPr>
          <w:snapToGrid w:val="0"/>
        </w:rPr>
        <w:t xml:space="preserve"> </w:t>
      </w:r>
      <w:r w:rsidR="0028146C" w:rsidRPr="0028146C">
        <w:rPr>
          <w:snapToGrid w:val="0"/>
        </w:rPr>
        <w:t>10 mg</w:t>
      </w:r>
      <w:r w:rsidR="0028146C">
        <w:rPr>
          <w:snapToGrid w:val="0"/>
        </w:rPr>
        <w:t xml:space="preserve"> -</w:t>
      </w:r>
      <w:r w:rsidR="0028146C" w:rsidRPr="0028146C">
        <w:rPr>
          <w:snapToGrid w:val="0"/>
        </w:rPr>
        <w:t xml:space="preserve"> 15 mg </w:t>
      </w:r>
      <w:r w:rsidR="0028146C">
        <w:rPr>
          <w:snapToGrid w:val="0"/>
        </w:rPr>
        <w:t>-</w:t>
      </w:r>
      <w:r w:rsidR="0028146C" w:rsidRPr="0028146C">
        <w:rPr>
          <w:snapToGrid w:val="0"/>
        </w:rPr>
        <w:t xml:space="preserve"> 20 mg</w:t>
      </w:r>
      <w:r w:rsidRPr="00A51C22">
        <w:rPr>
          <w:snapToGrid w:val="0"/>
        </w:rPr>
        <w:t>)</w:t>
      </w:r>
    </w:p>
    <w:p w14:paraId="1EC9283A" w14:textId="77777777" w:rsidR="00A51C22" w:rsidRPr="00A51C22" w:rsidRDefault="00A51C22" w:rsidP="00A51C22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2618FC0F" w14:textId="77777777" w:rsidR="00A51C22" w:rsidRPr="00A51C22" w:rsidRDefault="00A51C22" w:rsidP="00A51C22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278A8DC3" w14:textId="77777777" w:rsidR="00A51C22" w:rsidRPr="00A51C22" w:rsidRDefault="00A51C22" w:rsidP="00A51C22">
      <w:pPr>
        <w:spacing w:after="0" w:line="240" w:lineRule="auto"/>
        <w:jc w:val="center"/>
        <w:rPr>
          <w:b/>
        </w:rPr>
      </w:pPr>
      <w:r w:rsidRPr="00A51C22">
        <w:rPr>
          <w:b/>
        </w:rPr>
        <w:t xml:space="preserve">Ditta </w:t>
      </w:r>
    </w:p>
    <w:p w14:paraId="096D422B" w14:textId="76B41EA5" w:rsidR="00A51C22" w:rsidRPr="00A51C22" w:rsidRDefault="00CC3E3D" w:rsidP="00A51C22">
      <w:pPr>
        <w:spacing w:after="0" w:line="240" w:lineRule="auto"/>
        <w:jc w:val="center"/>
        <w:rPr>
          <w:b/>
        </w:rPr>
      </w:pPr>
      <w:proofErr w:type="spellStart"/>
      <w:r>
        <w:rPr>
          <w:b/>
        </w:rPr>
        <w:t>Errekappa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Euroterapeutici</w:t>
      </w:r>
      <w:proofErr w:type="spellEnd"/>
      <w:r>
        <w:rPr>
          <w:b/>
        </w:rPr>
        <w:t xml:space="preserve"> S</w:t>
      </w:r>
      <w:r w:rsidR="00A51C22" w:rsidRPr="00A51C22">
        <w:rPr>
          <w:b/>
        </w:rPr>
        <w:t>.</w:t>
      </w:r>
      <w:r>
        <w:rPr>
          <w:b/>
        </w:rPr>
        <w:t>p.A.</w:t>
      </w:r>
      <w:r w:rsidR="00A51C22" w:rsidRPr="00A51C22">
        <w:rPr>
          <w:b/>
        </w:rPr>
        <w:t xml:space="preserve"> </w:t>
      </w:r>
    </w:p>
    <w:p w14:paraId="3F90144F" w14:textId="77777777" w:rsidR="00A51C22" w:rsidRPr="00A51C22" w:rsidRDefault="00A51C22" w:rsidP="00A51C22">
      <w:pPr>
        <w:spacing w:after="0" w:line="240" w:lineRule="auto"/>
        <w:jc w:val="center"/>
        <w:rPr>
          <w:b/>
        </w:rPr>
      </w:pPr>
    </w:p>
    <w:p w14:paraId="1567E661" w14:textId="77777777" w:rsidR="00A51C22" w:rsidRPr="00A51C22" w:rsidRDefault="00A51C22" w:rsidP="00A51C22">
      <w:pPr>
        <w:spacing w:after="0" w:line="240" w:lineRule="auto"/>
        <w:jc w:val="center"/>
        <w:rPr>
          <w:b/>
        </w:rPr>
      </w:pPr>
      <w:r w:rsidRPr="00A51C22">
        <w:rPr>
          <w:b/>
        </w:rPr>
        <w:t xml:space="preserve"> </w:t>
      </w:r>
    </w:p>
    <w:p w14:paraId="4DFDDC3F" w14:textId="77777777" w:rsidR="00A51C22" w:rsidRPr="00A51C22" w:rsidRDefault="00A51C22" w:rsidP="00A51C22">
      <w:pPr>
        <w:spacing w:after="0" w:line="240" w:lineRule="auto"/>
        <w:jc w:val="center"/>
        <w:rPr>
          <w:b/>
        </w:rPr>
      </w:pPr>
    </w:p>
    <w:p w14:paraId="1EF741E4" w14:textId="12EABA73" w:rsidR="00A51C22" w:rsidRPr="00A51C22" w:rsidRDefault="00A51C22" w:rsidP="00A51C22">
      <w:pPr>
        <w:spacing w:after="0" w:line="240" w:lineRule="auto"/>
        <w:jc w:val="center"/>
        <w:rPr>
          <w:rFonts w:cs="Helvetica"/>
          <w:b/>
        </w:rPr>
      </w:pPr>
      <w:r w:rsidRPr="00A51C22">
        <w:rPr>
          <w:b/>
        </w:rPr>
        <w:t xml:space="preserve">Numero di AIC: </w:t>
      </w:r>
      <w:r w:rsidRPr="00A51C22">
        <w:rPr>
          <w:rFonts w:cs="Helvetica"/>
          <w:b/>
        </w:rPr>
        <w:t>04</w:t>
      </w:r>
      <w:r w:rsidR="00CC3E3D">
        <w:rPr>
          <w:rFonts w:cs="Helvetica"/>
          <w:b/>
        </w:rPr>
        <w:t>8158</w:t>
      </w:r>
    </w:p>
    <w:p w14:paraId="0EA79BFA" w14:textId="77777777" w:rsidR="00A51C22" w:rsidRPr="00A51C22" w:rsidRDefault="00A51C22" w:rsidP="00A51C22">
      <w:pPr>
        <w:spacing w:after="0" w:line="240" w:lineRule="auto"/>
        <w:jc w:val="center"/>
        <w:rPr>
          <w:b/>
        </w:rPr>
      </w:pPr>
    </w:p>
    <w:p w14:paraId="4F17789F" w14:textId="77777777" w:rsidR="00A51C22" w:rsidRPr="00A51C22" w:rsidRDefault="00A51C22" w:rsidP="00A51C22">
      <w:pPr>
        <w:spacing w:after="0" w:line="240" w:lineRule="auto"/>
        <w:jc w:val="center"/>
        <w:rPr>
          <w:b/>
        </w:rPr>
      </w:pPr>
    </w:p>
    <w:p w14:paraId="527B4B72" w14:textId="77777777" w:rsidR="00A51C22" w:rsidRPr="00A51C22" w:rsidRDefault="00A51C22" w:rsidP="00A51C22">
      <w:pPr>
        <w:spacing w:after="0" w:line="240" w:lineRule="auto"/>
        <w:jc w:val="center"/>
        <w:rPr>
          <w:b/>
        </w:rPr>
      </w:pPr>
    </w:p>
    <w:p w14:paraId="5F0A2C87" w14:textId="77777777" w:rsidR="00A51C22" w:rsidRPr="00A51C22" w:rsidRDefault="00A51C22" w:rsidP="00A51C22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A51C22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14:paraId="245B2843" w14:textId="77777777" w:rsidR="00A51C22" w:rsidRPr="00A51C22" w:rsidRDefault="00A51C22" w:rsidP="00A51C2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5824576C" w14:textId="46A86949" w:rsidR="00A51C22" w:rsidRPr="00A51C22" w:rsidRDefault="00A51C22" w:rsidP="00A51C2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A51C22">
        <w:rPr>
          <w:rFonts w:eastAsia="Calibri" w:cs="Calibri"/>
          <w:color w:val="000000"/>
          <w:lang w:eastAsia="it-IT"/>
        </w:rPr>
        <w:t xml:space="preserve">Questa è la sintesi del </w:t>
      </w:r>
      <w:r w:rsidRPr="00A51C22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A51C22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A51C22">
        <w:rPr>
          <w:rFonts w:eastAsia="Calibri" w:cs="Calibri"/>
          <w:i/>
          <w:color w:val="000000"/>
          <w:lang w:eastAsia="it-IT"/>
        </w:rPr>
        <w:t xml:space="preserve"> Report</w:t>
      </w:r>
      <w:r w:rsidRPr="00A51C22">
        <w:rPr>
          <w:rFonts w:eastAsia="Calibri" w:cs="Calibri"/>
          <w:color w:val="000000"/>
          <w:lang w:eastAsia="it-IT"/>
        </w:rPr>
        <w:t xml:space="preserve"> (PAR) per </w:t>
      </w:r>
      <w:r w:rsidR="00CC3E3D">
        <w:rPr>
          <w:rFonts w:eastAsia="Calibri" w:cs="Calibri"/>
          <w:color w:val="000000"/>
          <w:lang w:eastAsia="it-IT"/>
        </w:rPr>
        <w:t>INDIFAXA</w:t>
      </w:r>
      <w:r w:rsidRPr="00A51C22">
        <w:rPr>
          <w:rFonts w:eastAsia="Calibri" w:cs="Calibri"/>
          <w:color w:val="000000"/>
          <w:lang w:eastAsia="it-IT"/>
        </w:rPr>
        <w:t>.</w:t>
      </w:r>
      <w:r w:rsidRPr="00A51C22">
        <w:rPr>
          <w:rFonts w:eastAsia="Calibri" w:cs="Calibri"/>
          <w:bCs/>
          <w:color w:val="000000"/>
          <w:lang w:eastAsia="it-IT"/>
        </w:rPr>
        <w:t xml:space="preserve"> </w:t>
      </w:r>
      <w:r w:rsidRPr="00A51C22">
        <w:rPr>
          <w:rFonts w:eastAsia="Calibri" w:cs="Calibri"/>
          <w:color w:val="000000"/>
          <w:lang w:eastAsia="it-IT"/>
        </w:rPr>
        <w:t xml:space="preserve">Esso spiega come </w:t>
      </w:r>
      <w:r w:rsidR="00CC3E3D">
        <w:rPr>
          <w:rFonts w:eastAsia="Calibri" w:cs="Calibri"/>
          <w:color w:val="000000"/>
          <w:lang w:eastAsia="it-IT"/>
        </w:rPr>
        <w:t>INDIFAXA</w:t>
      </w:r>
      <w:r w:rsidRPr="00A51C22">
        <w:rPr>
          <w:rFonts w:eastAsia="Calibri" w:cs="Calibri"/>
          <w:color w:val="000000"/>
          <w:lang w:eastAsia="it-IT"/>
        </w:rPr>
        <w:t xml:space="preserve"> è stato valutato dalla Commissione Tecnico-Scientifica (CTS) e le sue condizioni di impiego. Non intende fornire consigli pratici su come utilizzare </w:t>
      </w:r>
      <w:r w:rsidR="00CC3E3D">
        <w:rPr>
          <w:rFonts w:eastAsia="Calibri" w:cs="Calibri"/>
          <w:color w:val="000000"/>
          <w:lang w:eastAsia="it-IT"/>
        </w:rPr>
        <w:t>INDIFAXA</w:t>
      </w:r>
      <w:r w:rsidRPr="00A51C22">
        <w:rPr>
          <w:rFonts w:eastAsia="Calibri" w:cs="Calibri"/>
          <w:bCs/>
          <w:color w:val="000000"/>
          <w:lang w:eastAsia="it-IT"/>
        </w:rPr>
        <w:t>.</w:t>
      </w:r>
    </w:p>
    <w:p w14:paraId="053AB636" w14:textId="4E82E9EB" w:rsidR="00A51C22" w:rsidRPr="00A51C22" w:rsidRDefault="00A51C22" w:rsidP="00A51C2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A51C22">
        <w:rPr>
          <w:rFonts w:eastAsia="Calibri" w:cs="Calibri"/>
          <w:color w:val="000000"/>
          <w:lang w:eastAsia="it-IT"/>
        </w:rPr>
        <w:t>Per informazioni pratiche sull'utilizzo di</w:t>
      </w:r>
      <w:r w:rsidRPr="00A51C22">
        <w:rPr>
          <w:rFonts w:eastAsia="Calibri" w:cs="Calibri"/>
          <w:bCs/>
          <w:color w:val="000000"/>
          <w:lang w:eastAsia="it-IT"/>
        </w:rPr>
        <w:t xml:space="preserve"> </w:t>
      </w:r>
      <w:r w:rsidR="00CC3E3D">
        <w:rPr>
          <w:rFonts w:eastAsia="Calibri" w:cs="Calibri"/>
          <w:color w:val="000000"/>
          <w:lang w:eastAsia="it-IT"/>
        </w:rPr>
        <w:t>INDIFAXA</w:t>
      </w:r>
      <w:r w:rsidRPr="00A51C22">
        <w:rPr>
          <w:rFonts w:eastAsia="Calibri" w:cs="Calibri"/>
          <w:color w:val="000000"/>
          <w:lang w:eastAsia="it-IT"/>
        </w:rPr>
        <w:t xml:space="preserve"> i pazienti devono consultare il foglio illustrativo o contattare il loro medico o il farmacista. </w:t>
      </w:r>
    </w:p>
    <w:p w14:paraId="386CDF47" w14:textId="77777777" w:rsidR="00A51C22" w:rsidRPr="00A51C22" w:rsidRDefault="00A51C22" w:rsidP="00A51C2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43BE8055" w14:textId="77777777" w:rsidR="00A51C22" w:rsidRPr="00A51C22" w:rsidRDefault="00A51C22" w:rsidP="00A51C2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7E4E190A" w14:textId="6CEF2D28" w:rsidR="00A51C22" w:rsidRPr="00A51C22" w:rsidRDefault="00A51C22" w:rsidP="00A51C2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A51C22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CC3E3D">
        <w:rPr>
          <w:rFonts w:eastAsia="Calibri" w:cs="Calibri"/>
          <w:b/>
          <w:color w:val="000000"/>
          <w:lang w:eastAsia="it-IT"/>
        </w:rPr>
        <w:t>INDIFAXA</w:t>
      </w:r>
      <w:r w:rsidRPr="00A51C22">
        <w:rPr>
          <w:rFonts w:eastAsia="Calibri" w:cs="Calibri"/>
          <w:b/>
          <w:color w:val="000000"/>
          <w:lang w:eastAsia="it-IT"/>
        </w:rPr>
        <w:t xml:space="preserve"> </w:t>
      </w:r>
      <w:r w:rsidRPr="00A51C22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14:paraId="15237E82" w14:textId="7AE8010C" w:rsidR="00A51C22" w:rsidRPr="00A51C22" w:rsidRDefault="00CC3E3D" w:rsidP="00A51C22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INDIFAXA</w:t>
      </w:r>
      <w:r w:rsidR="00A51C22" w:rsidRPr="00A51C22">
        <w:rPr>
          <w:rFonts w:eastAsia="Calibri" w:cs="Calibri"/>
          <w:color w:val="000000"/>
          <w:lang w:eastAsia="it-IT"/>
        </w:rPr>
        <w:t xml:space="preserve"> è un medicinale contenente il principio attivo </w:t>
      </w:r>
      <w:proofErr w:type="spellStart"/>
      <w:r w:rsidR="00A51C22" w:rsidRPr="00A51C22">
        <w:rPr>
          <w:rFonts w:eastAsia="Calibri" w:cs="Calibri"/>
          <w:color w:val="000000"/>
          <w:lang w:eastAsia="it-IT"/>
        </w:rPr>
        <w:t>rivaroxaban</w:t>
      </w:r>
      <w:proofErr w:type="spellEnd"/>
      <w:r w:rsidR="00A51C22" w:rsidRPr="00A51C22">
        <w:rPr>
          <w:rFonts w:eastAsia="Calibri" w:cs="Calibri"/>
          <w:color w:val="000000"/>
          <w:lang w:eastAsia="it-IT"/>
        </w:rPr>
        <w:t xml:space="preserve"> ed è disponibile in </w:t>
      </w:r>
      <w:bookmarkStart w:id="1" w:name="_Hlk152754031"/>
      <w:r w:rsidR="00A51C22" w:rsidRPr="00A51C22">
        <w:rPr>
          <w:rFonts w:eastAsia="Calibri" w:cs="Calibri"/>
          <w:color w:val="000000"/>
          <w:lang w:eastAsia="it-IT"/>
        </w:rPr>
        <w:t xml:space="preserve">compresse rivestite con film contenenti 10 mg, 15 mg e 20 mg </w:t>
      </w:r>
      <w:bookmarkEnd w:id="1"/>
      <w:r w:rsidR="00A51C22" w:rsidRPr="00A51C22">
        <w:rPr>
          <w:rFonts w:eastAsia="Calibri" w:cs="Calibri"/>
          <w:color w:val="000000"/>
          <w:lang w:eastAsia="it-IT"/>
        </w:rPr>
        <w:t>di principio attivo.</w:t>
      </w:r>
    </w:p>
    <w:p w14:paraId="0DB90E08" w14:textId="77777777" w:rsidR="00A51C22" w:rsidRPr="00A51C22" w:rsidRDefault="00A51C22" w:rsidP="00A51C22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6EC4C5AA" w14:textId="7FA8EBD2" w:rsidR="00F74FD0" w:rsidRDefault="00CC3E3D" w:rsidP="00A51C22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INDIFAXA</w:t>
      </w:r>
      <w:r w:rsidR="00A51C22" w:rsidRPr="00A51C22">
        <w:rPr>
          <w:rFonts w:eastAsia="Calibri" w:cs="Calibri"/>
          <w:color w:val="000000"/>
          <w:lang w:eastAsia="it-IT"/>
        </w:rPr>
        <w:t xml:space="preserve"> è un “medicinale generico”, cioè è analogo ad un “medicinale di riferimento”, </w:t>
      </w:r>
      <w:proofErr w:type="spellStart"/>
      <w:r w:rsidR="00A51C22" w:rsidRPr="00A51C22">
        <w:rPr>
          <w:rFonts w:eastAsia="Calibri" w:cs="Calibri"/>
          <w:color w:val="000000"/>
          <w:lang w:eastAsia="it-IT"/>
        </w:rPr>
        <w:t>Xarelto</w:t>
      </w:r>
      <w:proofErr w:type="spellEnd"/>
      <w:r w:rsidR="00A51C22" w:rsidRPr="00A51C22">
        <w:rPr>
          <w:rFonts w:eastAsia="Calibri" w:cs="Calibri"/>
          <w:color w:val="000000"/>
          <w:lang w:eastAsia="it-IT"/>
        </w:rPr>
        <w:t xml:space="preserve"> già autorizzato in Italia </w:t>
      </w:r>
      <w:r w:rsidR="008618F4">
        <w:rPr>
          <w:rFonts w:eastAsia="Calibri" w:cs="Calibri"/>
          <w:color w:val="000000"/>
          <w:lang w:eastAsia="it-IT"/>
        </w:rPr>
        <w:t xml:space="preserve">da almeno 8 anni </w:t>
      </w:r>
      <w:r w:rsidR="00A51C22" w:rsidRPr="00A51C22">
        <w:rPr>
          <w:rFonts w:eastAsia="Calibri" w:cs="Calibri"/>
          <w:color w:val="000000"/>
          <w:lang w:eastAsia="it-IT"/>
        </w:rPr>
        <w:t>con una procedura centralizzata. L’</w:t>
      </w:r>
      <w:proofErr w:type="spellStart"/>
      <w:r w:rsidR="00A51C22" w:rsidRPr="00A51C22">
        <w:rPr>
          <w:rFonts w:eastAsia="Calibri" w:cs="Calibri"/>
          <w:i/>
          <w:color w:val="000000"/>
          <w:lang w:eastAsia="it-IT"/>
        </w:rPr>
        <w:t>European</w:t>
      </w:r>
      <w:proofErr w:type="spellEnd"/>
      <w:r w:rsidR="00A51C22" w:rsidRPr="00A51C22">
        <w:rPr>
          <w:rFonts w:eastAsia="Calibri" w:cs="Calibri"/>
          <w:color w:val="000000"/>
          <w:lang w:eastAsia="it-IT"/>
        </w:rPr>
        <w:t xml:space="preserve"> </w:t>
      </w:r>
      <w:r w:rsidR="00A51C22" w:rsidRPr="00A51C22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="00A51C22" w:rsidRPr="00A51C22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="00A51C22" w:rsidRPr="00A51C22">
        <w:rPr>
          <w:rFonts w:eastAsia="Calibri" w:cs="Calibri"/>
          <w:i/>
          <w:color w:val="000000"/>
          <w:lang w:eastAsia="it-IT"/>
        </w:rPr>
        <w:t xml:space="preserve"> Report</w:t>
      </w:r>
      <w:r w:rsidR="00A51C22" w:rsidRPr="00A51C22">
        <w:rPr>
          <w:rFonts w:eastAsia="Calibri" w:cs="Calibri"/>
          <w:color w:val="000000"/>
          <w:lang w:eastAsia="it-IT"/>
        </w:rPr>
        <w:t xml:space="preserve"> (EPAR) di </w:t>
      </w:r>
      <w:proofErr w:type="spellStart"/>
      <w:r w:rsidR="00A51C22" w:rsidRPr="00A51C22">
        <w:rPr>
          <w:rFonts w:eastAsia="Calibri" w:cs="Calibri"/>
          <w:color w:val="000000"/>
          <w:lang w:eastAsia="it-IT"/>
        </w:rPr>
        <w:t>Xarelto</w:t>
      </w:r>
      <w:proofErr w:type="spellEnd"/>
      <w:r w:rsidR="00A51C22" w:rsidRPr="00A51C22">
        <w:rPr>
          <w:rFonts w:eastAsia="Calibri" w:cs="Calibri"/>
          <w:color w:val="000000"/>
          <w:lang w:eastAsia="it-IT"/>
        </w:rPr>
        <w:t xml:space="preserve"> può essere consultato sul sito dell’Agenzia Europea dei medicinali (</w:t>
      </w:r>
      <w:proofErr w:type="spellStart"/>
      <w:r w:rsidR="00A51C22" w:rsidRPr="00A51C22">
        <w:rPr>
          <w:rFonts w:eastAsia="Calibri" w:cs="Calibri"/>
          <w:i/>
          <w:color w:val="000000"/>
          <w:lang w:eastAsia="it-IT"/>
        </w:rPr>
        <w:t>European</w:t>
      </w:r>
      <w:proofErr w:type="spellEnd"/>
      <w:r w:rsidR="00A51C22" w:rsidRPr="00A51C22">
        <w:rPr>
          <w:rFonts w:eastAsia="Calibri" w:cs="Calibri"/>
          <w:i/>
          <w:color w:val="000000"/>
          <w:lang w:eastAsia="it-IT"/>
        </w:rPr>
        <w:t xml:space="preserve"> </w:t>
      </w:r>
      <w:proofErr w:type="spellStart"/>
      <w:r w:rsidR="00A51C22" w:rsidRPr="00A51C22">
        <w:rPr>
          <w:rFonts w:eastAsia="Calibri" w:cs="Calibri"/>
          <w:i/>
          <w:color w:val="000000"/>
          <w:lang w:eastAsia="it-IT"/>
        </w:rPr>
        <w:t>Medicinal</w:t>
      </w:r>
      <w:proofErr w:type="spellEnd"/>
      <w:r w:rsidR="00A51C22" w:rsidRPr="00A51C22">
        <w:rPr>
          <w:rFonts w:eastAsia="Calibri" w:cs="Calibri"/>
          <w:i/>
          <w:color w:val="000000"/>
          <w:lang w:eastAsia="it-IT"/>
        </w:rPr>
        <w:t xml:space="preserve"> Agency</w:t>
      </w:r>
      <w:r w:rsidR="00A51C22" w:rsidRPr="00A51C22">
        <w:rPr>
          <w:rFonts w:eastAsia="Calibri" w:cs="Calibri"/>
          <w:color w:val="000000"/>
          <w:lang w:eastAsia="it-IT"/>
        </w:rPr>
        <w:t xml:space="preserve"> – EMA) (</w:t>
      </w:r>
      <w:hyperlink r:id="rId9" w:history="1">
        <w:r w:rsidR="00F74FD0" w:rsidRPr="005472B1">
          <w:rPr>
            <w:rStyle w:val="Collegamentoipertestuale"/>
            <w:rFonts w:eastAsia="Calibri" w:cs="Calibri"/>
            <w:lang w:eastAsia="it-IT"/>
          </w:rPr>
          <w:t>https://www.ema.europa.eu/en/medicines/human/EPAR/xarelto</w:t>
        </w:r>
      </w:hyperlink>
      <w:r w:rsidR="00F74FD0">
        <w:rPr>
          <w:rFonts w:eastAsia="Calibri" w:cs="Calibri"/>
          <w:color w:val="000000"/>
          <w:lang w:eastAsia="it-IT"/>
        </w:rPr>
        <w:t>).</w:t>
      </w:r>
    </w:p>
    <w:p w14:paraId="0F5C035B" w14:textId="349F478E" w:rsidR="00A51C22" w:rsidRPr="00A51C22" w:rsidRDefault="00A51C22" w:rsidP="00A51C22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57F9613F" w14:textId="77777777" w:rsidR="00A51C22" w:rsidRPr="00A51C22" w:rsidRDefault="00A51C22" w:rsidP="00A51C22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sz w:val="20"/>
          <w:highlight w:val="green"/>
        </w:rPr>
      </w:pPr>
    </w:p>
    <w:p w14:paraId="151487A7" w14:textId="1142E9A5" w:rsidR="00A51C22" w:rsidRPr="00A51C22" w:rsidRDefault="00F74FD0" w:rsidP="00A51C22">
      <w:pPr>
        <w:adjustRightInd w:val="0"/>
        <w:spacing w:after="0"/>
        <w:rPr>
          <w:rFonts w:eastAsia="Calibri" w:cs="Calibri"/>
          <w:bCs/>
          <w:color w:val="000000"/>
          <w:szCs w:val="24"/>
          <w:lang w:eastAsia="it-IT"/>
        </w:rPr>
      </w:pPr>
      <w:r>
        <w:rPr>
          <w:rFonts w:eastAsia="Calibri" w:cs="Calibri"/>
          <w:bCs/>
          <w:color w:val="000000"/>
          <w:szCs w:val="24"/>
          <w:u w:val="single"/>
          <w:lang w:eastAsia="it-IT"/>
        </w:rPr>
        <w:t>INDIFAXA</w:t>
      </w:r>
      <w:r w:rsidR="00A51C22" w:rsidRPr="00A51C22">
        <w:rPr>
          <w:rFonts w:eastAsia="Calibri" w:cs="Calibri"/>
          <w:bCs/>
          <w:color w:val="000000"/>
          <w:szCs w:val="24"/>
          <w:u w:val="single"/>
          <w:lang w:eastAsia="it-IT"/>
        </w:rPr>
        <w:t xml:space="preserve"> 10 mg compresse rivestite con film è usato negli adulti per</w:t>
      </w:r>
      <w:r w:rsidR="00A51C22" w:rsidRPr="00A51C22">
        <w:rPr>
          <w:rFonts w:eastAsia="Calibri" w:cs="Calibri"/>
          <w:bCs/>
          <w:color w:val="000000"/>
          <w:szCs w:val="24"/>
          <w:lang w:eastAsia="it-IT"/>
        </w:rPr>
        <w:t>:</w:t>
      </w:r>
    </w:p>
    <w:p w14:paraId="4FA4DC5F" w14:textId="68AB5443" w:rsidR="00A51C22" w:rsidRPr="00A51C22" w:rsidRDefault="00A51C22" w:rsidP="00A51C22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szCs w:val="24"/>
          <w:lang w:eastAsia="it-IT"/>
        </w:rPr>
      </w:pPr>
      <w:r w:rsidRPr="00A51C22">
        <w:rPr>
          <w:rFonts w:eastAsia="Calibri" w:cs="Calibri"/>
          <w:bCs/>
          <w:color w:val="000000"/>
          <w:szCs w:val="24"/>
          <w:lang w:eastAsia="it-IT"/>
        </w:rPr>
        <w:t xml:space="preserve">prevenire la formazione di coaguli nelle vene dopo un intervento di sostituzione di anca o di ginocchio. </w:t>
      </w:r>
      <w:r w:rsidR="00B566B6">
        <w:rPr>
          <w:rFonts w:eastAsia="Calibri" w:cs="Calibri"/>
          <w:bCs/>
          <w:color w:val="000000"/>
          <w:szCs w:val="24"/>
          <w:lang w:eastAsia="it-IT"/>
        </w:rPr>
        <w:t>Il medicinale viene prescri</w:t>
      </w:r>
      <w:r w:rsidR="001C0068">
        <w:rPr>
          <w:rFonts w:eastAsia="Calibri" w:cs="Calibri"/>
          <w:bCs/>
          <w:color w:val="000000"/>
          <w:szCs w:val="24"/>
          <w:lang w:eastAsia="it-IT"/>
        </w:rPr>
        <w:t xml:space="preserve">tto dal medico </w:t>
      </w:r>
      <w:r w:rsidRPr="00A51C22">
        <w:rPr>
          <w:rFonts w:eastAsia="Calibri" w:cs="Calibri"/>
          <w:bCs/>
          <w:color w:val="000000"/>
          <w:szCs w:val="24"/>
          <w:lang w:eastAsia="it-IT"/>
        </w:rPr>
        <w:t>perché, dopo un intervento chirurgico, aumenta il rischio che nel sangue si formino coaguli.</w:t>
      </w:r>
    </w:p>
    <w:p w14:paraId="02A70607" w14:textId="77777777" w:rsidR="00A51C22" w:rsidRPr="00A51C22" w:rsidRDefault="00A51C22" w:rsidP="00A51C22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szCs w:val="24"/>
          <w:lang w:eastAsia="it-IT"/>
        </w:rPr>
      </w:pPr>
      <w:r w:rsidRPr="00A51C22">
        <w:rPr>
          <w:rFonts w:eastAsia="Calibri" w:cs="Calibri"/>
          <w:bCs/>
          <w:color w:val="000000"/>
          <w:szCs w:val="24"/>
          <w:lang w:eastAsia="it-IT"/>
        </w:rPr>
        <w:t>trattare i coaguli di sangue nelle vene delle gambe (trombosi venosa profonda) e nei vasi sanguigni dei polmoni (embolia polmonare), e prevenire la ricomparsa di coaguli di sangue nei vasi sanguigni delle gambe e/o dei polmoni.</w:t>
      </w:r>
    </w:p>
    <w:p w14:paraId="5C9EE207" w14:textId="77777777" w:rsidR="00A51C22" w:rsidRPr="00A51C22" w:rsidRDefault="00A51C22" w:rsidP="00A51C2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</w:p>
    <w:p w14:paraId="56521C2F" w14:textId="62C2AD91" w:rsidR="00A51C22" w:rsidRPr="00A51C22" w:rsidRDefault="00D228EB" w:rsidP="00A51C22">
      <w:pPr>
        <w:adjustRightInd w:val="0"/>
        <w:spacing w:after="0"/>
        <w:rPr>
          <w:rFonts w:eastAsia="Calibri" w:cs="Calibri"/>
          <w:bCs/>
          <w:color w:val="000000"/>
          <w:szCs w:val="24"/>
          <w:lang w:eastAsia="it-IT"/>
        </w:rPr>
      </w:pPr>
      <w:r>
        <w:rPr>
          <w:rFonts w:eastAsia="Calibri" w:cs="Calibri"/>
          <w:bCs/>
          <w:color w:val="000000"/>
          <w:szCs w:val="24"/>
          <w:u w:val="single"/>
          <w:lang w:eastAsia="it-IT"/>
        </w:rPr>
        <w:t>INDIFAXA</w:t>
      </w:r>
      <w:r w:rsidR="00A51C22" w:rsidRPr="00A51C22">
        <w:rPr>
          <w:rFonts w:eastAsia="Calibri" w:cs="Calibri"/>
          <w:bCs/>
          <w:color w:val="000000"/>
          <w:szCs w:val="24"/>
          <w:u w:val="single"/>
          <w:lang w:eastAsia="it-IT"/>
        </w:rPr>
        <w:t xml:space="preserve"> 15 mg e 20 mg compresse rivestite con film si usano negli adulti per</w:t>
      </w:r>
      <w:r w:rsidR="00A51C22" w:rsidRPr="00A51C22">
        <w:rPr>
          <w:rFonts w:eastAsia="Calibri" w:cs="Calibri"/>
          <w:bCs/>
          <w:color w:val="000000"/>
          <w:szCs w:val="24"/>
          <w:lang w:eastAsia="it-IT"/>
        </w:rPr>
        <w:t>:</w:t>
      </w:r>
    </w:p>
    <w:p w14:paraId="2710084C" w14:textId="77777777" w:rsidR="00A51C22" w:rsidRPr="00A51C22" w:rsidRDefault="00A51C22" w:rsidP="00A51C2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szCs w:val="24"/>
          <w:lang w:eastAsia="it-IT"/>
        </w:rPr>
      </w:pPr>
      <w:r w:rsidRPr="00A51C22">
        <w:rPr>
          <w:rFonts w:eastAsia="Calibri" w:cs="Calibri"/>
          <w:bCs/>
          <w:color w:val="000000"/>
          <w:szCs w:val="24"/>
          <w:lang w:eastAsia="it-IT"/>
        </w:rPr>
        <w:t xml:space="preserve">prevenire la formazione di coaguli nel cervello (ictus) e in altri vasi sanguigni dell’organismo se ha </w:t>
      </w:r>
      <w:r w:rsidRPr="00A51C22">
        <w:rPr>
          <w:rFonts w:eastAsia="Calibri" w:cs="Calibri"/>
          <w:bCs/>
          <w:color w:val="000000"/>
          <w:szCs w:val="24"/>
          <w:lang w:eastAsia="it-IT"/>
        </w:rPr>
        <w:tab/>
        <w:t>un tipo di ritmo cardiaco irregolare denominato fibrillazione atriale non valvolare.</w:t>
      </w:r>
    </w:p>
    <w:p w14:paraId="2D1B218E" w14:textId="77777777" w:rsidR="00A51C22" w:rsidRPr="00A51C22" w:rsidRDefault="00A51C22" w:rsidP="00A51C2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szCs w:val="24"/>
          <w:lang w:eastAsia="it-IT"/>
        </w:rPr>
      </w:pPr>
      <w:r w:rsidRPr="00A51C22">
        <w:rPr>
          <w:rFonts w:eastAsia="Calibri" w:cs="Calibri"/>
          <w:bCs/>
          <w:color w:val="000000"/>
          <w:szCs w:val="24"/>
          <w:lang w:eastAsia="it-IT"/>
        </w:rPr>
        <w:lastRenderedPageBreak/>
        <w:t xml:space="preserve">trattare i coaguli di sangue nelle vene delle gambe (trombosi venosa profonda) e nei vasi sanguigni </w:t>
      </w:r>
      <w:r w:rsidRPr="00A51C22">
        <w:rPr>
          <w:rFonts w:eastAsia="Calibri" w:cs="Calibri"/>
          <w:bCs/>
          <w:color w:val="000000"/>
          <w:szCs w:val="24"/>
          <w:lang w:eastAsia="it-IT"/>
        </w:rPr>
        <w:tab/>
        <w:t xml:space="preserve">dei polmoni (embolia polmonare), e prevenire la ricomparsa di coaguli di sangue nei vasi sanguigni </w:t>
      </w:r>
      <w:r w:rsidRPr="00A51C22">
        <w:rPr>
          <w:rFonts w:eastAsia="Calibri" w:cs="Calibri"/>
          <w:bCs/>
          <w:color w:val="000000"/>
          <w:szCs w:val="24"/>
          <w:lang w:eastAsia="it-IT"/>
        </w:rPr>
        <w:tab/>
        <w:t>delle gambe e/o dei polmoni.</w:t>
      </w:r>
    </w:p>
    <w:p w14:paraId="04E3052E" w14:textId="77777777" w:rsidR="00A51C22" w:rsidRPr="00A51C22" w:rsidRDefault="00A51C22" w:rsidP="00A51C22">
      <w:pPr>
        <w:autoSpaceDE w:val="0"/>
        <w:autoSpaceDN w:val="0"/>
        <w:adjustRightInd w:val="0"/>
        <w:spacing w:after="0" w:line="240" w:lineRule="auto"/>
        <w:ind w:left="679"/>
        <w:jc w:val="both"/>
        <w:rPr>
          <w:rFonts w:eastAsia="Calibri" w:cs="Calibri"/>
          <w:bCs/>
          <w:color w:val="000000"/>
          <w:szCs w:val="24"/>
          <w:lang w:eastAsia="it-IT"/>
        </w:rPr>
      </w:pPr>
    </w:p>
    <w:p w14:paraId="144A58DB" w14:textId="547DDD20" w:rsidR="00A51C22" w:rsidRPr="00A51C22" w:rsidRDefault="00D228EB" w:rsidP="00A51C22">
      <w:pPr>
        <w:ind w:left="113" w:right="120"/>
      </w:pPr>
      <w:r>
        <w:t>INDIFAXA</w:t>
      </w:r>
      <w:r w:rsidR="00A51C22" w:rsidRPr="00A51C22">
        <w:t xml:space="preserve"> 15 mg e 20 mg compresse rivestite con film è usato nei bambini e negli adolescenti di età inferiore a 18 anni e di peso corporeo pari o superiore a 30 kg per:</w:t>
      </w:r>
    </w:p>
    <w:p w14:paraId="033F844E" w14:textId="77777777" w:rsidR="00A51C22" w:rsidRPr="00A51C22" w:rsidRDefault="00A51C22" w:rsidP="00A51C22">
      <w:pPr>
        <w:widowControl w:val="0"/>
        <w:numPr>
          <w:ilvl w:val="0"/>
          <w:numId w:val="11"/>
        </w:numPr>
        <w:tabs>
          <w:tab w:val="left" w:pos="680"/>
          <w:tab w:val="left" w:pos="681"/>
        </w:tabs>
        <w:autoSpaceDE w:val="0"/>
        <w:autoSpaceDN w:val="0"/>
        <w:spacing w:after="0" w:line="240" w:lineRule="auto"/>
        <w:ind w:right="231"/>
      </w:pPr>
      <w:r w:rsidRPr="00A51C22">
        <w:t>trattare i coaguli di sangue e impedirne la ricomparsa nelle vene o nei vasi sanguigni dei polmoni, dopo un trattamento iniziale di almeno 5 giorni con medicinali iniettabili usati per trattare i coaguli di sangue.</w:t>
      </w:r>
    </w:p>
    <w:p w14:paraId="36C36766" w14:textId="77777777" w:rsidR="00A51C22" w:rsidRPr="00A51C22" w:rsidRDefault="00A51C22" w:rsidP="00A51C2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14:paraId="01627D57" w14:textId="3B4D3B6D" w:rsidR="00A51C22" w:rsidRPr="00A51C22" w:rsidRDefault="00A51C22" w:rsidP="00A51C2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A51C22">
        <w:rPr>
          <w:rFonts w:eastAsia="Calibri" w:cs="Calibri"/>
          <w:b/>
          <w:bCs/>
          <w:color w:val="000000"/>
          <w:lang w:eastAsia="it-IT"/>
        </w:rPr>
        <w:t xml:space="preserve">2) COME </w:t>
      </w:r>
      <w:r w:rsidR="009225A2" w:rsidRPr="00A51C22">
        <w:rPr>
          <w:rFonts w:eastAsia="Calibri" w:cs="Calibri"/>
          <w:b/>
          <w:bCs/>
          <w:color w:val="000000"/>
          <w:lang w:eastAsia="it-IT"/>
        </w:rPr>
        <w:t>È</w:t>
      </w:r>
      <w:r w:rsidRPr="00A51C22">
        <w:rPr>
          <w:rFonts w:eastAsia="Calibri" w:cs="Calibri"/>
          <w:b/>
          <w:bCs/>
          <w:color w:val="000000"/>
          <w:lang w:eastAsia="it-IT"/>
        </w:rPr>
        <w:t xml:space="preserve"> PRESCRITTO/USATO </w:t>
      </w:r>
      <w:r w:rsidR="00D228EB">
        <w:rPr>
          <w:rFonts w:eastAsia="Calibri" w:cs="Calibri"/>
          <w:b/>
          <w:color w:val="000000"/>
          <w:lang w:eastAsia="it-IT"/>
        </w:rPr>
        <w:t>INDIFAXA</w:t>
      </w:r>
      <w:r w:rsidRPr="00A51C22">
        <w:rPr>
          <w:rFonts w:eastAsia="Calibri" w:cs="Calibri"/>
          <w:b/>
          <w:bCs/>
          <w:color w:val="000000"/>
          <w:lang w:eastAsia="it-IT"/>
        </w:rPr>
        <w:t>?</w:t>
      </w:r>
    </w:p>
    <w:p w14:paraId="3A6F2F73" w14:textId="5023A108" w:rsidR="00A51C22" w:rsidRPr="00A51C22" w:rsidRDefault="00D228EB" w:rsidP="00A51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INDIFAXA</w:t>
      </w:r>
      <w:r w:rsidR="00A51C22" w:rsidRPr="00A51C22">
        <w:rPr>
          <w:rFonts w:eastAsia="Calibri" w:cs="Calibri"/>
          <w:color w:val="000000"/>
          <w:lang w:eastAsia="it-IT"/>
        </w:rPr>
        <w:t xml:space="preserve"> 10 mg compresse rivestite con film può essere ottenuto solo su prescrizione da parte di centri ospedalieri o di specialisti - ortopedico, fisiatra, cardiologo, internista, geriatra, chirurgo vascolare, cardiochirurgo, pneumologo, ematologo che lavora in centri di trombosi ed emostasi con ricetta limitativa ripetibile.</w:t>
      </w:r>
    </w:p>
    <w:p w14:paraId="567C1523" w14:textId="68D9336F" w:rsidR="00A51C22" w:rsidRPr="00A51C22" w:rsidRDefault="00A51C22" w:rsidP="00A51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7143B428" w14:textId="752F83F2" w:rsidR="00A51C22" w:rsidRPr="00A51C22" w:rsidRDefault="00D228EB" w:rsidP="00A51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INDIFAXA</w:t>
      </w:r>
      <w:r w:rsidR="00A51C22" w:rsidRPr="00A51C22">
        <w:rPr>
          <w:rFonts w:eastAsia="Calibri" w:cs="Calibri"/>
          <w:color w:val="000000"/>
          <w:lang w:eastAsia="it-IT"/>
        </w:rPr>
        <w:t xml:space="preserve"> 15 mg compresse rivestite con film può essere ottenuto solo su prescrizione da parte di centri ospedalieri o di specialisti - neurologo, cardiologo, internista, geriatra, chirurgo vascolare, cardiochirurgo, pneumologo, ematologo che lavora in centri di trombosi ed emostasi con ricetta limitativa ripetibile.</w:t>
      </w:r>
    </w:p>
    <w:p w14:paraId="4D635792" w14:textId="3AE5D4C0" w:rsidR="00A51C22" w:rsidRPr="00A51C22" w:rsidRDefault="00A51C22" w:rsidP="00A51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77234B63" w14:textId="55CA25BB" w:rsidR="00A51C22" w:rsidRPr="00A51C22" w:rsidRDefault="0048227B" w:rsidP="00A51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INDIFAXA</w:t>
      </w:r>
      <w:r w:rsidR="00A51C22" w:rsidRPr="00A51C22">
        <w:rPr>
          <w:rFonts w:eastAsia="Calibri" w:cs="Calibri"/>
          <w:color w:val="000000"/>
          <w:lang w:eastAsia="it-IT"/>
        </w:rPr>
        <w:t xml:space="preserve"> 20 mg compresse rivestite con film può essere ottenuto solo su prescrizione da parte di centri ospedalieri o di specialisti - neurologo, cardiologo, internista, geriatra, chirurgo vascolare, cardiochirurgo, pneumologo, ematologo che lavora in centri di trombosi ed emostasi con ricetta limitativa ripetibile.</w:t>
      </w:r>
    </w:p>
    <w:p w14:paraId="200FFC85" w14:textId="3652A77A" w:rsidR="00A51C22" w:rsidRPr="00A51C22" w:rsidRDefault="00A51C22" w:rsidP="00A51C22">
      <w:pPr>
        <w:tabs>
          <w:tab w:val="left" w:pos="0"/>
        </w:tabs>
        <w:spacing w:after="0" w:line="240" w:lineRule="auto"/>
        <w:jc w:val="both"/>
      </w:pPr>
    </w:p>
    <w:p w14:paraId="20572EFE" w14:textId="227FFFCB" w:rsidR="00A51C22" w:rsidRPr="00A51C22" w:rsidRDefault="00A51C22" w:rsidP="00A51C22">
      <w:pPr>
        <w:tabs>
          <w:tab w:val="left" w:pos="0"/>
        </w:tabs>
        <w:spacing w:after="0" w:line="240" w:lineRule="auto"/>
        <w:jc w:val="both"/>
      </w:pPr>
      <w:r w:rsidRPr="00A51C22">
        <w:t xml:space="preserve">La quantità di medicinale da utilizzare è stabilita dal medico in relazione al tipo di indicazione e allo stato del paziente. </w:t>
      </w:r>
    </w:p>
    <w:p w14:paraId="4BB29459" w14:textId="2D7B617B" w:rsidR="00A51C22" w:rsidRPr="00A51C22" w:rsidRDefault="00A51C22" w:rsidP="00A51C22">
      <w:pPr>
        <w:tabs>
          <w:tab w:val="left" w:pos="0"/>
        </w:tabs>
        <w:spacing w:after="0" w:line="240" w:lineRule="auto"/>
        <w:jc w:val="both"/>
      </w:pPr>
      <w:r w:rsidRPr="00A51C22">
        <w:t xml:space="preserve">La dose raccomandata </w:t>
      </w:r>
      <w:r w:rsidR="003D31D1">
        <w:t xml:space="preserve">negli adulti </w:t>
      </w:r>
      <w:r w:rsidRPr="00A51C22">
        <w:t xml:space="preserve">è una compressa di </w:t>
      </w:r>
      <w:r w:rsidR="0048227B">
        <w:t>INDIFAXA</w:t>
      </w:r>
      <w:r w:rsidRPr="00A51C22">
        <w:t xml:space="preserve"> da 10 mg una volta al giorno.</w:t>
      </w:r>
    </w:p>
    <w:p w14:paraId="1CF1FE83" w14:textId="7B1AA7A1" w:rsidR="00A51C22" w:rsidRPr="00A51C22" w:rsidRDefault="00A51C22" w:rsidP="00A51C22">
      <w:pPr>
        <w:tabs>
          <w:tab w:val="left" w:pos="0"/>
        </w:tabs>
        <w:spacing w:after="0" w:line="240" w:lineRule="auto"/>
        <w:jc w:val="both"/>
      </w:pPr>
      <w:r w:rsidRPr="00A51C22">
        <w:t xml:space="preserve">La dose raccomandata </w:t>
      </w:r>
      <w:r w:rsidR="003D31D1">
        <w:t xml:space="preserve">negli adulti </w:t>
      </w:r>
      <w:r w:rsidRPr="00A51C22">
        <w:t xml:space="preserve">è una compressa di </w:t>
      </w:r>
      <w:r w:rsidR="0048227B">
        <w:t>INDIFAXA</w:t>
      </w:r>
      <w:r w:rsidRPr="00A51C22">
        <w:t xml:space="preserve"> da 15 mg due volte al giorno.</w:t>
      </w:r>
    </w:p>
    <w:p w14:paraId="0ABDBBD0" w14:textId="0BE4320E" w:rsidR="00A51C22" w:rsidRPr="00A51C22" w:rsidRDefault="00A51C22" w:rsidP="00A51C22">
      <w:pPr>
        <w:tabs>
          <w:tab w:val="left" w:pos="0"/>
        </w:tabs>
        <w:spacing w:after="0" w:line="240" w:lineRule="auto"/>
        <w:jc w:val="both"/>
      </w:pPr>
      <w:r w:rsidRPr="00A51C22">
        <w:t xml:space="preserve">La dose raccomandata </w:t>
      </w:r>
      <w:r w:rsidR="003D31D1">
        <w:t xml:space="preserve">negli adulti </w:t>
      </w:r>
      <w:r w:rsidRPr="00A51C22">
        <w:t xml:space="preserve">è una compressa di </w:t>
      </w:r>
      <w:r w:rsidR="0048227B">
        <w:t>INDIFAXA</w:t>
      </w:r>
      <w:r w:rsidRPr="00A51C22">
        <w:t xml:space="preserve"> da 20 mg una volta al giorno.</w:t>
      </w:r>
    </w:p>
    <w:p w14:paraId="2BDAD455" w14:textId="77777777" w:rsidR="00A51C22" w:rsidRPr="00A51C22" w:rsidRDefault="00A51C22" w:rsidP="00A51C22">
      <w:pPr>
        <w:tabs>
          <w:tab w:val="left" w:pos="0"/>
        </w:tabs>
        <w:spacing w:after="0" w:line="240" w:lineRule="auto"/>
        <w:jc w:val="both"/>
      </w:pPr>
    </w:p>
    <w:p w14:paraId="05109C72" w14:textId="77777777" w:rsidR="00A51C22" w:rsidRPr="00A51C22" w:rsidRDefault="00A51C22" w:rsidP="00A51C22">
      <w:pPr>
        <w:tabs>
          <w:tab w:val="left" w:pos="0"/>
        </w:tabs>
        <w:spacing w:after="0" w:line="240" w:lineRule="auto"/>
        <w:jc w:val="both"/>
      </w:pPr>
      <w:r w:rsidRPr="00A51C22">
        <w:t>Questo medicinale deve essere usato con cautela nei pazienti con gravi problemi al rene e non deve essere utilizzato nei pazienti con gravi problemi al fegato.</w:t>
      </w:r>
    </w:p>
    <w:p w14:paraId="694E738A" w14:textId="77777777" w:rsidR="00A51C22" w:rsidRPr="00A51C22" w:rsidRDefault="00A51C22" w:rsidP="00A51C22">
      <w:pPr>
        <w:tabs>
          <w:tab w:val="left" w:pos="0"/>
        </w:tabs>
        <w:spacing w:after="0" w:line="240" w:lineRule="auto"/>
        <w:jc w:val="both"/>
      </w:pPr>
    </w:p>
    <w:p w14:paraId="55C7909D" w14:textId="77777777" w:rsidR="0048227B" w:rsidRDefault="0048227B" w:rsidP="00A51C2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iCs/>
        </w:rPr>
      </w:pPr>
      <w:r w:rsidRPr="0048227B">
        <w:rPr>
          <w:rFonts w:ascii="Calibri" w:eastAsia="Calibri" w:hAnsi="Calibri" w:cs="Times New Roman"/>
          <w:iCs/>
        </w:rPr>
        <w:t>INDIFAXA 10 mg compresse rivestite con film</w:t>
      </w:r>
      <w:r w:rsidR="00A51C22" w:rsidRPr="00A51C22">
        <w:rPr>
          <w:rFonts w:ascii="Calibri" w:eastAsia="Calibri" w:hAnsi="Calibri" w:cs="Times New Roman"/>
          <w:iCs/>
        </w:rPr>
        <w:t xml:space="preserve"> non è raccomandato nella popolazione pediatrica in quanto non sono disponibili dati sull’uso in questa fascia di età.</w:t>
      </w:r>
      <w:r>
        <w:rPr>
          <w:rFonts w:ascii="Calibri" w:eastAsia="Calibri" w:hAnsi="Calibri" w:cs="Times New Roman"/>
          <w:iCs/>
        </w:rPr>
        <w:t xml:space="preserve"> </w:t>
      </w:r>
    </w:p>
    <w:p w14:paraId="712B686A" w14:textId="1BEFD481" w:rsidR="00301B56" w:rsidRDefault="0048227B" w:rsidP="00A51C22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Calibri" w:eastAsia="Calibri" w:hAnsi="Calibri" w:cs="Times New Roman"/>
          <w:iCs/>
        </w:rPr>
        <w:t xml:space="preserve">INDIFAXA 15 mg </w:t>
      </w:r>
      <w:r w:rsidRPr="0048227B">
        <w:rPr>
          <w:rFonts w:ascii="Calibri" w:eastAsia="Calibri" w:hAnsi="Calibri" w:cs="Times New Roman"/>
          <w:iCs/>
        </w:rPr>
        <w:t xml:space="preserve">compresse rivestite con film </w:t>
      </w:r>
      <w:r>
        <w:t xml:space="preserve">non è raccomandato nei bambini </w:t>
      </w:r>
      <w:r w:rsidR="003908BD">
        <w:t xml:space="preserve">ed adolescenti </w:t>
      </w:r>
      <w:r w:rsidR="001C1DA3" w:rsidRPr="001C1DA3">
        <w:t>di età compresa tra 0 e &lt; 18 anni</w:t>
      </w:r>
      <w:r w:rsidR="001C1DA3">
        <w:t xml:space="preserve"> e con </w:t>
      </w:r>
      <w:r>
        <w:t xml:space="preserve">peso corporeo inferiore a 30 kg. </w:t>
      </w:r>
    </w:p>
    <w:p w14:paraId="35CFF564" w14:textId="5AB822E4" w:rsidR="00577855" w:rsidRPr="003C6973" w:rsidRDefault="001C1DA3" w:rsidP="00A51C2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eastAsia="Times New Roman" w:cstheme="minorHAnsi"/>
          <w:lang w:eastAsia="it-IT" w:bidi="it-IT"/>
        </w:rPr>
        <w:t xml:space="preserve">Bambini </w:t>
      </w:r>
      <w:r w:rsidR="005B7219">
        <w:rPr>
          <w:rFonts w:eastAsia="Times New Roman" w:cstheme="minorHAnsi"/>
          <w:lang w:eastAsia="it-IT" w:bidi="it-IT"/>
        </w:rPr>
        <w:t xml:space="preserve">ed adolescenti </w:t>
      </w:r>
      <w:r w:rsidRPr="001C1DA3">
        <w:rPr>
          <w:rFonts w:eastAsia="Times New Roman" w:cstheme="minorHAnsi"/>
          <w:lang w:eastAsia="it-IT" w:bidi="it-IT"/>
        </w:rPr>
        <w:t xml:space="preserve">di età compresa tra 0 e &lt; 18 anni e </w:t>
      </w:r>
      <w:r>
        <w:rPr>
          <w:rFonts w:eastAsia="Times New Roman" w:cstheme="minorHAnsi"/>
          <w:lang w:eastAsia="it-IT" w:bidi="it-IT"/>
        </w:rPr>
        <w:t>con p</w:t>
      </w:r>
      <w:r w:rsidR="00577855" w:rsidRPr="00B6550D">
        <w:rPr>
          <w:rFonts w:eastAsia="Times New Roman" w:cstheme="minorHAnsi"/>
          <w:lang w:eastAsia="it-IT" w:bidi="it-IT"/>
        </w:rPr>
        <w:t xml:space="preserve">eso corporeo da 30 a 50 kg: è raccomandata una dose di 15 mg di </w:t>
      </w:r>
      <w:proofErr w:type="spellStart"/>
      <w:r w:rsidR="00577855" w:rsidRPr="00B6550D">
        <w:rPr>
          <w:rFonts w:eastAsia="Times New Roman" w:cstheme="minorHAnsi"/>
          <w:lang w:eastAsia="it-IT" w:bidi="it-IT"/>
        </w:rPr>
        <w:t>rivaroxaban</w:t>
      </w:r>
      <w:proofErr w:type="spellEnd"/>
      <w:r w:rsidR="00577855" w:rsidRPr="00B6550D">
        <w:rPr>
          <w:rFonts w:eastAsia="Times New Roman" w:cstheme="minorHAnsi"/>
          <w:lang w:eastAsia="it-IT" w:bidi="it-IT"/>
        </w:rPr>
        <w:t xml:space="preserve"> una volta al giorno. Questa è la dose massima giornaliera.</w:t>
      </w:r>
    </w:p>
    <w:p w14:paraId="7975CA2D" w14:textId="77777777" w:rsidR="00301B56" w:rsidRDefault="00913CD0" w:rsidP="00577855">
      <w:pPr>
        <w:autoSpaceDE w:val="0"/>
        <w:autoSpaceDN w:val="0"/>
        <w:adjustRightInd w:val="0"/>
        <w:spacing w:after="0" w:line="240" w:lineRule="auto"/>
        <w:jc w:val="both"/>
      </w:pPr>
      <w:r>
        <w:t xml:space="preserve">INDIFAXA 20 mg </w:t>
      </w:r>
      <w:r w:rsidRPr="00913CD0">
        <w:rPr>
          <w:iCs/>
        </w:rPr>
        <w:t xml:space="preserve">compresse rivestite con film </w:t>
      </w:r>
      <w:r w:rsidRPr="00913CD0">
        <w:t>non è raccomandato nei bambin</w:t>
      </w:r>
      <w:r>
        <w:t>i di peso corporeo inferiore a 5</w:t>
      </w:r>
      <w:r w:rsidRPr="00913CD0">
        <w:t>0 kg.</w:t>
      </w:r>
      <w:r>
        <w:t xml:space="preserve"> </w:t>
      </w:r>
    </w:p>
    <w:p w14:paraId="3398A851" w14:textId="651F7059" w:rsidR="00577855" w:rsidRPr="00577855" w:rsidRDefault="001C1DA3" w:rsidP="00577855">
      <w:pPr>
        <w:autoSpaceDE w:val="0"/>
        <w:autoSpaceDN w:val="0"/>
        <w:adjustRightInd w:val="0"/>
        <w:spacing w:after="0" w:line="240" w:lineRule="auto"/>
        <w:jc w:val="both"/>
      </w:pPr>
      <w:r>
        <w:t xml:space="preserve">Bambini </w:t>
      </w:r>
      <w:r w:rsidR="005B7219">
        <w:t xml:space="preserve">ed adolescenti </w:t>
      </w:r>
      <w:r>
        <w:t xml:space="preserve">di </w:t>
      </w:r>
      <w:r w:rsidRPr="001C1DA3">
        <w:rPr>
          <w:lang w:bidi="it-IT"/>
        </w:rPr>
        <w:t xml:space="preserve">età compresa tra 0 e &lt; 18 anni e con </w:t>
      </w:r>
      <w:r>
        <w:rPr>
          <w:lang w:bidi="it-IT"/>
        </w:rPr>
        <w:t>p</w:t>
      </w:r>
      <w:r w:rsidR="00577855" w:rsidRPr="00577855">
        <w:t xml:space="preserve">eso corporeo pari o superiore a 50 kg: è raccomandata una dose di 20 mg di </w:t>
      </w:r>
      <w:proofErr w:type="spellStart"/>
      <w:r w:rsidR="00577855" w:rsidRPr="00577855">
        <w:t>rivaroxaban</w:t>
      </w:r>
      <w:proofErr w:type="spellEnd"/>
      <w:r w:rsidR="00577855" w:rsidRPr="00577855">
        <w:t xml:space="preserve"> una volta al giorno. Questa è la dose massima giornaliera. </w:t>
      </w:r>
    </w:p>
    <w:p w14:paraId="12671322" w14:textId="027DF8D5" w:rsidR="00577855" w:rsidRDefault="00577855" w:rsidP="00A51C22">
      <w:pPr>
        <w:autoSpaceDE w:val="0"/>
        <w:autoSpaceDN w:val="0"/>
        <w:adjustRightInd w:val="0"/>
        <w:spacing w:after="0" w:line="240" w:lineRule="auto"/>
        <w:jc w:val="both"/>
      </w:pPr>
    </w:p>
    <w:p w14:paraId="01B362D5" w14:textId="14BF853C" w:rsidR="00A51C22" w:rsidRPr="00A51C22" w:rsidRDefault="0048227B" w:rsidP="00A51C22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>
        <w:t>Non sono disponibili informazioni sufficienti sull’uso di INDIFAXA nei bambini e negli adolescenti nelle indicazioni degli adulti.</w:t>
      </w:r>
    </w:p>
    <w:p w14:paraId="59E335DB" w14:textId="77777777" w:rsidR="00A51C22" w:rsidRPr="00A51C22" w:rsidRDefault="00A51C22" w:rsidP="00A51C22">
      <w:pPr>
        <w:autoSpaceDE w:val="0"/>
        <w:autoSpaceDN w:val="0"/>
        <w:adjustRightInd w:val="0"/>
        <w:spacing w:after="0" w:line="240" w:lineRule="auto"/>
        <w:jc w:val="both"/>
      </w:pPr>
    </w:p>
    <w:p w14:paraId="7C960067" w14:textId="36A289C8" w:rsidR="00A51C22" w:rsidRPr="00A51C22" w:rsidRDefault="00A51C22" w:rsidP="00A51C22">
      <w:pPr>
        <w:tabs>
          <w:tab w:val="left" w:pos="284"/>
        </w:tabs>
        <w:spacing w:after="0" w:line="240" w:lineRule="auto"/>
        <w:jc w:val="both"/>
      </w:pPr>
      <w:r w:rsidRPr="00A51C22">
        <w:t xml:space="preserve">La compressa </w:t>
      </w:r>
      <w:r w:rsidR="00913CD0">
        <w:t xml:space="preserve">di INDIFAXA 10 mg </w:t>
      </w:r>
      <w:r w:rsidRPr="00A51C22">
        <w:t>deve essere ingerita intera preferibilmente con un po’ d’acqua indipendentemente dai pasti.</w:t>
      </w:r>
      <w:r w:rsidR="00913CD0">
        <w:t xml:space="preserve"> La compressa di INDIFAXA 15 mg o 20 mg </w:t>
      </w:r>
      <w:r w:rsidR="00913CD0" w:rsidRPr="00913CD0">
        <w:t>deve essere ingerita intera preferibilmente con un po’ d’acqua</w:t>
      </w:r>
      <w:r w:rsidR="00913CD0">
        <w:t xml:space="preserve"> in concomitanza di un pasto.</w:t>
      </w:r>
    </w:p>
    <w:p w14:paraId="219A6B34" w14:textId="77777777" w:rsidR="00A51C22" w:rsidRPr="00A51C22" w:rsidRDefault="00A51C22" w:rsidP="00A51C22">
      <w:pPr>
        <w:tabs>
          <w:tab w:val="left" w:pos="284"/>
        </w:tabs>
        <w:spacing w:after="0" w:line="240" w:lineRule="auto"/>
        <w:jc w:val="both"/>
      </w:pPr>
      <w:r w:rsidRPr="00A51C22">
        <w:t>Se si ha difficoltà a deglutire la compressa intera, le compresse possono essere frantumate e mescolate con un po’ d’acqua o come purea di mele immediatamente prima dell’assunzione.</w:t>
      </w:r>
    </w:p>
    <w:p w14:paraId="3C0F6010" w14:textId="77777777" w:rsidR="00A51C22" w:rsidRPr="00A51C22" w:rsidRDefault="00A51C22" w:rsidP="00A51C22">
      <w:pPr>
        <w:tabs>
          <w:tab w:val="left" w:pos="284"/>
        </w:tabs>
        <w:spacing w:after="0" w:line="240" w:lineRule="auto"/>
        <w:jc w:val="both"/>
      </w:pPr>
      <w:r w:rsidRPr="00A51C22">
        <w:lastRenderedPageBreak/>
        <w:t>Se necessario, il medico può somministrare la compressa frantumata attraverso un tubo inserito nello stomaco.</w:t>
      </w:r>
    </w:p>
    <w:p w14:paraId="34E52C2A" w14:textId="77777777" w:rsidR="00A51C22" w:rsidRPr="00A51C22" w:rsidRDefault="00A51C22" w:rsidP="00A51C22">
      <w:pPr>
        <w:autoSpaceDE w:val="0"/>
        <w:autoSpaceDN w:val="0"/>
        <w:adjustRightInd w:val="0"/>
        <w:spacing w:after="0" w:line="240" w:lineRule="auto"/>
        <w:jc w:val="both"/>
      </w:pPr>
    </w:p>
    <w:p w14:paraId="56DC25BE" w14:textId="3AA6351B" w:rsidR="00A51C22" w:rsidRPr="00A51C22" w:rsidRDefault="00A51C22" w:rsidP="00A51C2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A51C22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913CD0">
        <w:rPr>
          <w:rFonts w:eastAsia="Calibri" w:cs="Calibri"/>
          <w:b/>
          <w:color w:val="000000"/>
          <w:lang w:eastAsia="it-IT"/>
        </w:rPr>
        <w:t>INDIFAXA</w:t>
      </w:r>
      <w:r w:rsidRPr="00A51C22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14:paraId="56A0C5BC" w14:textId="208836D1" w:rsidR="00A51C22" w:rsidRPr="00A51C22" w:rsidRDefault="00913CD0" w:rsidP="00A51C2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szCs w:val="24"/>
          <w:lang w:eastAsia="it-IT"/>
        </w:rPr>
      </w:pPr>
      <w:r>
        <w:rPr>
          <w:rFonts w:eastAsia="Calibri" w:cs="Calibri"/>
          <w:color w:val="000000"/>
          <w:lang w:eastAsia="it-IT"/>
        </w:rPr>
        <w:t>INDIFAXA</w:t>
      </w:r>
      <w:r w:rsidR="00A51C22" w:rsidRPr="00A51C22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="00A51C22" w:rsidRPr="00A51C22">
        <w:t>B01AF01</w:t>
      </w:r>
      <w:r w:rsidR="00A51C22" w:rsidRPr="00A51C22">
        <w:rPr>
          <w:rFonts w:eastAsia="DejaVuSans" w:cs="DejaVuSans"/>
        </w:rPr>
        <w:t xml:space="preserve"> </w:t>
      </w:r>
      <w:r w:rsidR="00A51C22" w:rsidRPr="00A51C22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="00A51C22" w:rsidRPr="00A51C22">
        <w:rPr>
          <w:rFonts w:eastAsia="Calibri" w:cs="Calibri"/>
          <w:color w:val="000000"/>
          <w:lang w:eastAsia="it-IT"/>
        </w:rPr>
        <w:t>rivaroxaban</w:t>
      </w:r>
      <w:proofErr w:type="spellEnd"/>
      <w:r w:rsidR="00A51C22" w:rsidRPr="00A51C22">
        <w:rPr>
          <w:rFonts w:eastAsia="Calibri" w:cs="Calibri"/>
          <w:color w:val="000000"/>
          <w:lang w:eastAsia="it-IT"/>
        </w:rPr>
        <w:t xml:space="preserve"> </w:t>
      </w:r>
      <w:r w:rsidR="00A51C22" w:rsidRPr="00A51C22">
        <w:rPr>
          <w:rFonts w:eastAsia="DejaVuSans" w:cs="DejaVuSans"/>
        </w:rPr>
        <w:t xml:space="preserve">che </w:t>
      </w:r>
      <w:r w:rsidR="00A51C22" w:rsidRPr="00A51C22">
        <w:t xml:space="preserve">appartiene </w:t>
      </w:r>
      <w:r w:rsidR="00A51C22" w:rsidRPr="00A51C22">
        <w:rPr>
          <w:rFonts w:eastAsia="Calibri" w:cs="Calibri"/>
          <w:bCs/>
          <w:color w:val="000000"/>
          <w:szCs w:val="24"/>
          <w:lang w:eastAsia="it-IT"/>
        </w:rPr>
        <w:t>al gruppo di medicinali chiamati agenti antitrombotici</w:t>
      </w:r>
      <w:r w:rsidR="00A51C22" w:rsidRPr="00A51C22">
        <w:rPr>
          <w:rFonts w:eastAsia="Calibri" w:cs="Calibri"/>
          <w:bCs/>
          <w:i/>
          <w:color w:val="000000"/>
          <w:szCs w:val="24"/>
          <w:lang w:eastAsia="it-IT"/>
        </w:rPr>
        <w:t xml:space="preserve">. </w:t>
      </w:r>
      <w:r w:rsidR="00A51C22" w:rsidRPr="00A51C22">
        <w:rPr>
          <w:rFonts w:eastAsia="Calibri" w:cs="Calibri"/>
          <w:bCs/>
          <w:color w:val="000000"/>
          <w:szCs w:val="24"/>
          <w:lang w:eastAsia="it-IT"/>
        </w:rPr>
        <w:t xml:space="preserve">La sua azione è dovuta al blocco del fattore della coagulazione (Fattore </w:t>
      </w:r>
      <w:proofErr w:type="spellStart"/>
      <w:r w:rsidR="00A51C22" w:rsidRPr="00A51C22">
        <w:rPr>
          <w:rFonts w:eastAsia="Calibri" w:cs="Calibri"/>
          <w:bCs/>
          <w:color w:val="000000"/>
          <w:szCs w:val="24"/>
          <w:lang w:eastAsia="it-IT"/>
        </w:rPr>
        <w:t>Xa</w:t>
      </w:r>
      <w:proofErr w:type="spellEnd"/>
      <w:r w:rsidR="00A51C22" w:rsidRPr="00A51C22">
        <w:rPr>
          <w:rFonts w:eastAsia="Calibri" w:cs="Calibri"/>
          <w:bCs/>
          <w:color w:val="000000"/>
          <w:szCs w:val="24"/>
          <w:lang w:eastAsia="it-IT"/>
        </w:rPr>
        <w:t>) e quindi alla riduzione della tendenza del sangue a formare coaguli.</w:t>
      </w:r>
    </w:p>
    <w:p w14:paraId="70CEA3B9" w14:textId="77777777" w:rsidR="00A51C22" w:rsidRPr="00A51C22" w:rsidRDefault="00A51C22" w:rsidP="00A51C22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sz w:val="20"/>
        </w:rPr>
      </w:pPr>
    </w:p>
    <w:p w14:paraId="426BD5A9" w14:textId="5E4C862A" w:rsidR="00A51C22" w:rsidRPr="00A51C22" w:rsidRDefault="00A51C22" w:rsidP="00A51C2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A51C22">
        <w:rPr>
          <w:rFonts w:eastAsia="Calibri" w:cs="Calibri"/>
          <w:b/>
          <w:bCs/>
          <w:lang w:eastAsia="it-IT"/>
        </w:rPr>
        <w:t xml:space="preserve">4) COME È STATO STUDIATO </w:t>
      </w:r>
      <w:r w:rsidR="00B36584">
        <w:rPr>
          <w:rFonts w:eastAsia="Calibri" w:cs="Calibri"/>
          <w:b/>
          <w:color w:val="000000"/>
          <w:lang w:eastAsia="it-IT"/>
        </w:rPr>
        <w:t>INDIFAXA</w:t>
      </w:r>
      <w:r w:rsidRPr="00A51C22">
        <w:rPr>
          <w:rFonts w:eastAsia="Calibri" w:cs="Calibri"/>
          <w:b/>
          <w:bCs/>
          <w:lang w:eastAsia="it-IT"/>
        </w:rPr>
        <w:t xml:space="preserve">? </w:t>
      </w:r>
    </w:p>
    <w:p w14:paraId="3DF08C23" w14:textId="3FFBB317" w:rsidR="00A51C22" w:rsidRPr="009225A2" w:rsidRDefault="00B36584" w:rsidP="009225A2">
      <w:pPr>
        <w:spacing w:after="0" w:line="240" w:lineRule="auto"/>
        <w:jc w:val="both"/>
        <w:rPr>
          <w:rFonts w:ascii="Calibri" w:hAnsi="Calibri" w:cs="Arial"/>
        </w:rPr>
      </w:pPr>
      <w:r>
        <w:rPr>
          <w:rFonts w:eastAsia="Calibri" w:cs="Calibri"/>
          <w:color w:val="000000"/>
          <w:lang w:eastAsia="it-IT"/>
        </w:rPr>
        <w:t>INDIFAXA</w:t>
      </w:r>
      <w:r w:rsidR="009225A2" w:rsidRPr="00BB47E8">
        <w:rPr>
          <w:rFonts w:eastAsia="Calibri" w:cs="Calibri"/>
          <w:color w:val="000000"/>
          <w:lang w:eastAsia="it-IT"/>
        </w:rPr>
        <w:t xml:space="preserve"> è un medicinale generico. Poiché il profilo di sicurezza e l’efficacia del principio attivo di </w:t>
      </w:r>
      <w:r>
        <w:rPr>
          <w:rFonts w:eastAsia="Calibri" w:cs="Calibri"/>
          <w:color w:val="000000"/>
          <w:lang w:eastAsia="it-IT"/>
        </w:rPr>
        <w:t xml:space="preserve">INDIFAXA </w:t>
      </w:r>
      <w:r w:rsidR="009225A2" w:rsidRPr="00BB47E8">
        <w:rPr>
          <w:rFonts w:eastAsia="Calibri" w:cs="Calibri"/>
          <w:color w:val="000000"/>
          <w:lang w:eastAsia="it-IT"/>
        </w:rPr>
        <w:t>è ben conosciuto in quanto il medicinale di riferimento è autorizzato o è stato autorizzato da alme</w:t>
      </w:r>
      <w:r>
        <w:rPr>
          <w:rFonts w:eastAsia="Calibri" w:cs="Calibri"/>
          <w:color w:val="000000"/>
          <w:lang w:eastAsia="it-IT"/>
        </w:rPr>
        <w:t xml:space="preserve">no 8 anni nell’Unione Europea, </w:t>
      </w:r>
      <w:r w:rsidR="009225A2" w:rsidRPr="00BB47E8">
        <w:rPr>
          <w:rFonts w:eastAsia="Calibri" w:cs="Calibri"/>
          <w:color w:val="000000"/>
          <w:lang w:eastAsia="it-IT"/>
        </w:rPr>
        <w:t xml:space="preserve">a supporto dell’efficacia e della sicurezza di </w:t>
      </w:r>
      <w:r>
        <w:rPr>
          <w:rFonts w:eastAsia="Calibri" w:cs="Calibri"/>
          <w:color w:val="000000"/>
          <w:lang w:eastAsia="it-IT"/>
        </w:rPr>
        <w:t>INDIFAXA</w:t>
      </w:r>
      <w:r w:rsidR="009225A2" w:rsidRPr="00BB47E8">
        <w:rPr>
          <w:rFonts w:eastAsia="Calibri" w:cs="Calibri"/>
          <w:color w:val="000000"/>
          <w:lang w:eastAsia="it-IT"/>
        </w:rPr>
        <w:t xml:space="preserve"> sono state effettuate prove cliniche di confronto con il medicinale di riferimento per determinare la </w:t>
      </w:r>
      <w:proofErr w:type="spellStart"/>
      <w:r w:rsidR="009225A2" w:rsidRPr="00BB47E8">
        <w:rPr>
          <w:rFonts w:eastAsia="Calibri" w:cs="Calibri"/>
          <w:color w:val="000000"/>
          <w:lang w:eastAsia="it-IT"/>
        </w:rPr>
        <w:t>bioequivalenza</w:t>
      </w:r>
      <w:proofErr w:type="spellEnd"/>
      <w:r w:rsidR="009225A2" w:rsidRPr="00BB47E8">
        <w:rPr>
          <w:rFonts w:eastAsia="Calibri" w:cs="Calibri"/>
          <w:color w:val="000000"/>
          <w:lang w:eastAsia="it-IT"/>
        </w:rPr>
        <w:t xml:space="preserve"> rispetto al medicinale di riferimento </w:t>
      </w:r>
      <w:proofErr w:type="spellStart"/>
      <w:r w:rsidR="009225A2" w:rsidRPr="00BB47E8">
        <w:rPr>
          <w:rFonts w:eastAsia="Calibri" w:cs="Calibri"/>
          <w:color w:val="000000"/>
          <w:lang w:eastAsia="it-IT"/>
        </w:rPr>
        <w:t>Xarelto</w:t>
      </w:r>
      <w:proofErr w:type="spellEnd"/>
      <w:r w:rsidR="00BB47E8" w:rsidRPr="00BB47E8">
        <w:rPr>
          <w:rFonts w:eastAsia="Calibri" w:cs="Calibri"/>
          <w:color w:val="000000"/>
          <w:lang w:eastAsia="it-IT"/>
        </w:rPr>
        <w:t>.</w:t>
      </w:r>
      <w:r w:rsidR="009225A2" w:rsidRPr="00BB47E8">
        <w:rPr>
          <w:rFonts w:eastAsia="Calibri" w:cs="Calibri"/>
          <w:color w:val="000000"/>
          <w:lang w:eastAsia="it-IT"/>
        </w:rPr>
        <w:t xml:space="preserve"> </w:t>
      </w:r>
      <w:r w:rsidR="009225A2" w:rsidRPr="00BB47E8">
        <w:rPr>
          <w:rFonts w:cs="Arial"/>
        </w:rPr>
        <w:t>Due medicinali sono</w:t>
      </w:r>
      <w:r w:rsidR="009225A2" w:rsidRPr="00BB47E8">
        <w:rPr>
          <w:rFonts w:ascii="Calibri" w:hAnsi="Calibri" w:cs="Arial"/>
        </w:rPr>
        <w:t xml:space="preserve"> </w:t>
      </w:r>
      <w:proofErr w:type="spellStart"/>
      <w:r w:rsidR="009225A2" w:rsidRPr="00BB47E8">
        <w:rPr>
          <w:rFonts w:ascii="Calibri" w:hAnsi="Calibri" w:cs="Arial"/>
        </w:rPr>
        <w:t>bioequivalenti</w:t>
      </w:r>
      <w:proofErr w:type="spellEnd"/>
      <w:r w:rsidR="009225A2" w:rsidRPr="00BB47E8">
        <w:rPr>
          <w:rFonts w:ascii="Calibri" w:hAnsi="Calibri" w:cs="Arial"/>
        </w:rPr>
        <w:t xml:space="preserve"> quando producono gli stessi livelli di principio attivo nell’organismo.</w:t>
      </w:r>
      <w:r w:rsidR="009225A2" w:rsidRPr="004E389D">
        <w:rPr>
          <w:rFonts w:ascii="Calibri" w:hAnsi="Calibri" w:cs="Arial"/>
        </w:rPr>
        <w:t xml:space="preserve"> </w:t>
      </w:r>
    </w:p>
    <w:p w14:paraId="503CE917" w14:textId="77777777" w:rsidR="00A51C22" w:rsidRPr="00A51C22" w:rsidRDefault="00A51C22" w:rsidP="00A51C2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4BC6F10B" w14:textId="563C2368" w:rsidR="009225A2" w:rsidRPr="009225A2" w:rsidRDefault="00A51C22" w:rsidP="00A51C2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A51C22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B36584">
        <w:rPr>
          <w:rFonts w:eastAsia="Calibri" w:cs="Calibri"/>
          <w:b/>
          <w:color w:val="000000"/>
          <w:lang w:eastAsia="it-IT"/>
        </w:rPr>
        <w:t>INDIFAXA</w:t>
      </w:r>
      <w:r w:rsidRPr="00A51C22">
        <w:rPr>
          <w:rFonts w:eastAsia="Calibri" w:cs="Calibri"/>
          <w:b/>
          <w:lang w:eastAsia="it-IT"/>
        </w:rPr>
        <w:t>?</w:t>
      </w:r>
      <w:r w:rsidRPr="00A51C22">
        <w:rPr>
          <w:rFonts w:eastAsia="Calibri" w:cs="Calibri"/>
          <w:lang w:eastAsia="it-IT"/>
        </w:rPr>
        <w:t xml:space="preserve"> </w:t>
      </w:r>
    </w:p>
    <w:p w14:paraId="2A1A1D19" w14:textId="5605E848" w:rsidR="00A51C22" w:rsidRPr="00A51C22" w:rsidRDefault="00B36584" w:rsidP="00A51C2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INDIFAXA</w:t>
      </w:r>
      <w:r w:rsidR="00A51C22" w:rsidRPr="00A51C22">
        <w:rPr>
          <w:rFonts w:eastAsia="Calibri" w:cs="Calibri"/>
          <w:color w:val="000000"/>
          <w:lang w:eastAsia="it-IT"/>
        </w:rPr>
        <w:t xml:space="preserve"> </w:t>
      </w:r>
      <w:r w:rsidR="00A51C22" w:rsidRPr="00A51C22">
        <w:rPr>
          <w:rFonts w:eastAsia="Calibri" w:cs="Calibri"/>
          <w:lang w:eastAsia="it-IT"/>
        </w:rPr>
        <w:t xml:space="preserve">è un medicinale generico ed è </w:t>
      </w:r>
      <w:proofErr w:type="spellStart"/>
      <w:r w:rsidR="00A51C22" w:rsidRPr="00A51C22">
        <w:rPr>
          <w:rFonts w:eastAsia="Calibri" w:cs="Calibri"/>
          <w:lang w:eastAsia="it-IT"/>
        </w:rPr>
        <w:t>bioequivalente</w:t>
      </w:r>
      <w:proofErr w:type="spellEnd"/>
      <w:r w:rsidR="00A51C22" w:rsidRPr="00A51C22">
        <w:rPr>
          <w:rFonts w:eastAsia="Calibri" w:cs="Calibri"/>
          <w:lang w:eastAsia="it-IT"/>
        </w:rPr>
        <w:t xml:space="preserve"> al medicinale di riferimento; pertanto, i suoi benefici e rischi sono sovrapponibili a quelli del medicinale di riferimento. </w:t>
      </w:r>
    </w:p>
    <w:p w14:paraId="46DB035A" w14:textId="77777777" w:rsidR="00A51C22" w:rsidRPr="00A51C22" w:rsidRDefault="00A51C22" w:rsidP="00A51C2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5B1C612B" w14:textId="6C3F0562" w:rsidR="00A51C22" w:rsidRPr="00A51C22" w:rsidRDefault="00A51C22" w:rsidP="00A51C2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A51C22">
        <w:rPr>
          <w:rFonts w:eastAsia="Calibri" w:cs="Calibri"/>
          <w:b/>
          <w:bCs/>
          <w:lang w:eastAsia="it-IT"/>
        </w:rPr>
        <w:t xml:space="preserve">6) PERCHE’ </w:t>
      </w:r>
      <w:r w:rsidR="008E447C">
        <w:rPr>
          <w:rFonts w:eastAsia="Calibri" w:cs="Calibri"/>
          <w:b/>
          <w:color w:val="000000"/>
          <w:lang w:eastAsia="it-IT"/>
        </w:rPr>
        <w:t>INDIFAXA</w:t>
      </w:r>
      <w:r w:rsidRPr="00A51C22">
        <w:rPr>
          <w:rFonts w:eastAsia="Calibri" w:cs="Calibri"/>
          <w:b/>
          <w:color w:val="000000"/>
          <w:lang w:eastAsia="it-IT"/>
        </w:rPr>
        <w:t xml:space="preserve"> </w:t>
      </w:r>
      <w:r w:rsidR="009225A2" w:rsidRPr="00A51C22">
        <w:rPr>
          <w:rFonts w:eastAsia="Calibri" w:cs="Calibri"/>
          <w:b/>
          <w:bCs/>
          <w:lang w:eastAsia="it-IT"/>
        </w:rPr>
        <w:t>È</w:t>
      </w:r>
      <w:r w:rsidRPr="00A51C22">
        <w:rPr>
          <w:rFonts w:eastAsia="Calibri" w:cs="Calibri"/>
          <w:b/>
          <w:bCs/>
          <w:lang w:eastAsia="it-IT"/>
        </w:rPr>
        <w:t xml:space="preserve"> STATO APPROVATO? </w:t>
      </w:r>
    </w:p>
    <w:p w14:paraId="6AC8A7C7" w14:textId="45EED705" w:rsidR="00A51C22" w:rsidRPr="00A51C22" w:rsidRDefault="00A51C22" w:rsidP="00A51C2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iCs/>
          <w:lang w:eastAsia="it-IT"/>
        </w:rPr>
      </w:pPr>
      <w:r w:rsidRPr="00A51C22">
        <w:rPr>
          <w:rFonts w:eastAsia="Calibri" w:cs="Calibri"/>
          <w:lang w:eastAsia="it-IT"/>
        </w:rPr>
        <w:t xml:space="preserve">La </w:t>
      </w:r>
      <w:r w:rsidRPr="00A51C22">
        <w:rPr>
          <w:rFonts w:eastAsia="Calibri" w:cs="Calibri"/>
          <w:color w:val="000000"/>
          <w:lang w:eastAsia="it-IT"/>
        </w:rPr>
        <w:t>Commissione Tecnico-Scientifica (CTS)</w:t>
      </w:r>
      <w:r w:rsidRPr="00A51C22">
        <w:rPr>
          <w:rFonts w:eastAsia="Calibri" w:cs="Calibri"/>
          <w:lang w:eastAsia="it-IT"/>
        </w:rPr>
        <w:t>, nella riunione del</w:t>
      </w:r>
      <w:r w:rsidRPr="00A51C22">
        <w:rPr>
          <w:rFonts w:eastAsia="Calibri" w:cs="Calibri"/>
          <w:b/>
          <w:bCs/>
          <w:i/>
          <w:iCs/>
          <w:lang w:eastAsia="it-IT"/>
        </w:rPr>
        <w:t xml:space="preserve"> </w:t>
      </w:r>
      <w:r w:rsidR="00B36584">
        <w:rPr>
          <w:rFonts w:eastAsia="Calibri" w:cs="Calibri"/>
          <w:bCs/>
          <w:i/>
          <w:iCs/>
          <w:lang w:eastAsia="it-IT"/>
        </w:rPr>
        <w:t>10</w:t>
      </w:r>
      <w:r w:rsidRPr="00A51C22">
        <w:rPr>
          <w:rFonts w:eastAsia="Calibri" w:cs="Calibri"/>
          <w:bCs/>
          <w:i/>
          <w:iCs/>
          <w:lang w:eastAsia="it-IT"/>
        </w:rPr>
        <w:t xml:space="preserve">, </w:t>
      </w:r>
      <w:r w:rsidR="00B36584">
        <w:rPr>
          <w:rFonts w:eastAsia="Calibri" w:cs="Calibri"/>
          <w:bCs/>
          <w:i/>
          <w:iCs/>
          <w:lang w:eastAsia="it-IT"/>
        </w:rPr>
        <w:t>11, 12</w:t>
      </w:r>
      <w:r w:rsidRPr="00A51C22">
        <w:rPr>
          <w:rFonts w:eastAsia="Calibri" w:cs="Calibri"/>
          <w:bCs/>
          <w:i/>
          <w:iCs/>
          <w:lang w:eastAsia="it-IT"/>
        </w:rPr>
        <w:t xml:space="preserve"> e </w:t>
      </w:r>
      <w:r w:rsidR="00B36584">
        <w:rPr>
          <w:rFonts w:eastAsia="Calibri" w:cs="Calibri"/>
          <w:bCs/>
          <w:i/>
          <w:iCs/>
          <w:lang w:eastAsia="it-IT"/>
        </w:rPr>
        <w:t xml:space="preserve">15 </w:t>
      </w:r>
      <w:proofErr w:type="gramStart"/>
      <w:r w:rsidR="00B36584">
        <w:rPr>
          <w:rFonts w:eastAsia="Calibri" w:cs="Calibri"/>
          <w:bCs/>
          <w:i/>
          <w:iCs/>
          <w:lang w:eastAsia="it-IT"/>
        </w:rPr>
        <w:t>Maggio</w:t>
      </w:r>
      <w:proofErr w:type="gramEnd"/>
      <w:r w:rsidRPr="00A51C22">
        <w:rPr>
          <w:rFonts w:eastAsia="Calibri" w:cs="Calibri"/>
          <w:bCs/>
          <w:i/>
          <w:iCs/>
          <w:lang w:eastAsia="it-IT"/>
        </w:rPr>
        <w:t xml:space="preserve"> 2023 (Verbale CTS n</w:t>
      </w:r>
      <w:r w:rsidRPr="00A51C22">
        <w:rPr>
          <w:rFonts w:eastAsia="Calibri" w:cs="Calibri"/>
          <w:bCs/>
          <w:iCs/>
          <w:lang w:eastAsia="it-IT"/>
        </w:rPr>
        <w:t>. 8</w:t>
      </w:r>
      <w:r w:rsidR="00B36584">
        <w:rPr>
          <w:rFonts w:eastAsia="Calibri" w:cs="Calibri"/>
          <w:bCs/>
          <w:iCs/>
          <w:lang w:eastAsia="it-IT"/>
        </w:rPr>
        <w:t>9</w:t>
      </w:r>
      <w:r w:rsidRPr="00A51C22">
        <w:rPr>
          <w:rFonts w:eastAsia="Calibri" w:cs="Calibri"/>
          <w:bCs/>
          <w:iCs/>
          <w:lang w:eastAsia="it-IT"/>
        </w:rPr>
        <w:t>)</w:t>
      </w:r>
      <w:r w:rsidRPr="00A51C22">
        <w:rPr>
          <w:rFonts w:eastAsia="Calibri" w:cs="Calibri"/>
          <w:lang w:eastAsia="it-IT"/>
        </w:rPr>
        <w:t xml:space="preserve">, ha concluso che, conformemente ai requisiti della normativa vigente, come nel caso del medicinale di riferimento </w:t>
      </w:r>
      <w:proofErr w:type="spellStart"/>
      <w:r w:rsidRPr="00A51C22">
        <w:rPr>
          <w:rFonts w:eastAsia="Calibri" w:cs="Calibri"/>
          <w:lang w:eastAsia="it-IT"/>
        </w:rPr>
        <w:t>Xarelto</w:t>
      </w:r>
      <w:proofErr w:type="spellEnd"/>
      <w:r w:rsidRPr="00A51C22">
        <w:rPr>
          <w:rFonts w:eastAsia="Calibri" w:cs="Calibri"/>
          <w:lang w:eastAsia="it-IT"/>
        </w:rPr>
        <w:t xml:space="preserve">, i benefici di </w:t>
      </w:r>
      <w:r w:rsidR="00B36584">
        <w:rPr>
          <w:rFonts w:eastAsia="Calibri" w:cs="Calibri"/>
          <w:color w:val="000000"/>
          <w:lang w:eastAsia="it-IT"/>
        </w:rPr>
        <w:t>INDIFAXA</w:t>
      </w:r>
      <w:r w:rsidRPr="00A51C22">
        <w:rPr>
          <w:rFonts w:eastAsia="Calibri" w:cs="Calibri"/>
          <w:color w:val="000000"/>
          <w:lang w:eastAsia="it-IT"/>
        </w:rPr>
        <w:t xml:space="preserve"> </w:t>
      </w:r>
      <w:r w:rsidRPr="00A51C22">
        <w:rPr>
          <w:rFonts w:eastAsia="Calibri" w:cs="Calibri"/>
          <w:lang w:eastAsia="it-IT"/>
        </w:rPr>
        <w:t xml:space="preserve">fossero superiori ai rischi individuati. La CTS ha, inoltre, definito le modalità di prescrizione di cui al punto 2) di questo Riassunto e la classe di rimborsabilità del medicinale </w:t>
      </w:r>
      <w:r w:rsidRPr="00731800">
        <w:rPr>
          <w:rFonts w:eastAsia="Calibri" w:cs="Calibri"/>
          <w:lang w:eastAsia="it-IT"/>
        </w:rPr>
        <w:t xml:space="preserve">(classificazione </w:t>
      </w:r>
      <w:r w:rsidR="0071234F" w:rsidRPr="00731800">
        <w:rPr>
          <w:rFonts w:eastAsia="Calibri" w:cs="Calibri"/>
          <w:lang w:eastAsia="it-IT"/>
        </w:rPr>
        <w:t>A</w:t>
      </w:r>
      <w:r w:rsidRPr="00731800">
        <w:rPr>
          <w:rFonts w:eastAsia="Calibri" w:cs="Calibri"/>
          <w:lang w:eastAsia="it-IT"/>
        </w:rPr>
        <w:t>).</w:t>
      </w:r>
      <w:r w:rsidRPr="00A51C22">
        <w:rPr>
          <w:rFonts w:eastAsia="Calibri" w:cs="Calibri"/>
          <w:lang w:eastAsia="it-IT"/>
        </w:rPr>
        <w:t xml:space="preserve"> </w:t>
      </w:r>
    </w:p>
    <w:p w14:paraId="2ED9727B" w14:textId="77777777" w:rsidR="00A51C22" w:rsidRPr="00A51C22" w:rsidRDefault="00A51C22" w:rsidP="00A51C2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14:paraId="6709B5D1" w14:textId="77777777" w:rsidR="00A51C22" w:rsidRPr="00A51C22" w:rsidRDefault="00A51C22" w:rsidP="00A51C2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14:paraId="7A910AA8" w14:textId="30EF4F7C" w:rsidR="00A51C22" w:rsidRPr="00A51C22" w:rsidRDefault="00A51C22" w:rsidP="00A51C2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A51C22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B36584">
        <w:rPr>
          <w:rFonts w:eastAsia="Calibri" w:cs="Calibri"/>
          <w:b/>
          <w:color w:val="000000"/>
          <w:lang w:eastAsia="it-IT"/>
        </w:rPr>
        <w:t>INDIFAXA</w:t>
      </w:r>
      <w:r w:rsidRPr="00A51C22">
        <w:rPr>
          <w:rFonts w:eastAsia="Calibri" w:cs="Calibri"/>
          <w:b/>
          <w:bCs/>
          <w:color w:val="000000"/>
          <w:lang w:eastAsia="it-IT"/>
        </w:rPr>
        <w:t>?</w:t>
      </w:r>
    </w:p>
    <w:p w14:paraId="2952D947" w14:textId="33E32C8E" w:rsidR="00A51C22" w:rsidRPr="00A51C22" w:rsidRDefault="00A51C22" w:rsidP="00A51C2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A51C22">
        <w:rPr>
          <w:rFonts w:eastAsia="Calibri" w:cs="Calibri"/>
          <w:lang w:eastAsia="it-IT"/>
        </w:rPr>
        <w:t xml:space="preserve"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</w:t>
      </w:r>
      <w:bookmarkStart w:id="2" w:name="_GoBack"/>
      <w:bookmarkEnd w:id="2"/>
      <w:r w:rsidRPr="00A51C22">
        <w:rPr>
          <w:rFonts w:eastAsia="Calibri" w:cs="Calibri"/>
          <w:lang w:eastAsia="it-IT"/>
        </w:rPr>
        <w:t xml:space="preserve">correlati a </w:t>
      </w:r>
      <w:r w:rsidR="00B36584">
        <w:rPr>
          <w:rFonts w:eastAsia="Calibri" w:cs="Calibri"/>
          <w:color w:val="000000"/>
          <w:lang w:eastAsia="it-IT"/>
        </w:rPr>
        <w:t>INDIFAXA</w:t>
      </w:r>
      <w:r w:rsidRPr="00A51C22">
        <w:rPr>
          <w:rFonts w:eastAsia="Calibri" w:cs="Calibri"/>
          <w:lang w:eastAsia="it-IT"/>
        </w:rPr>
        <w:t>.</w:t>
      </w:r>
    </w:p>
    <w:p w14:paraId="6A663136" w14:textId="77777777" w:rsidR="00A51C22" w:rsidRPr="00A51C22" w:rsidRDefault="00A51C22" w:rsidP="00A51C2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6D7ADC33" w14:textId="77777777" w:rsidR="00A51C22" w:rsidRPr="00A51C22" w:rsidRDefault="00A51C22" w:rsidP="00A51C2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1D5E8CD6" w14:textId="203FDF88" w:rsidR="00A51C22" w:rsidRPr="00A51C22" w:rsidRDefault="00A51C22" w:rsidP="00A51C2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A51C22">
        <w:rPr>
          <w:rFonts w:eastAsia="Calibri" w:cs="Calibri"/>
          <w:b/>
          <w:bCs/>
          <w:lang w:eastAsia="it-IT"/>
        </w:rPr>
        <w:t xml:space="preserve">8) ALTRE INFORMAZIONI RELATIVE A </w:t>
      </w:r>
      <w:r w:rsidR="00B36584">
        <w:rPr>
          <w:rFonts w:eastAsia="Calibri" w:cs="Calibri"/>
          <w:b/>
          <w:color w:val="000000"/>
          <w:lang w:eastAsia="it-IT"/>
        </w:rPr>
        <w:t>INDIFAXA</w:t>
      </w:r>
      <w:r w:rsidRPr="00A51C22">
        <w:rPr>
          <w:rFonts w:eastAsia="Calibri" w:cs="Calibri"/>
          <w:b/>
          <w:color w:val="000000"/>
          <w:lang w:eastAsia="it-IT"/>
        </w:rPr>
        <w:t xml:space="preserve"> </w:t>
      </w:r>
    </w:p>
    <w:p w14:paraId="4F4DAE68" w14:textId="33919DA6" w:rsidR="00A51C22" w:rsidRPr="00A51C22" w:rsidRDefault="00A51C22" w:rsidP="00A51C2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A51C22">
        <w:rPr>
          <w:rFonts w:eastAsia="Calibri" w:cs="Calibri"/>
          <w:bCs/>
          <w:iCs/>
          <w:lang w:eastAsia="it-IT"/>
        </w:rPr>
        <w:t xml:space="preserve">Il </w:t>
      </w:r>
      <w:r w:rsidR="00F707AB" w:rsidRPr="00324344">
        <w:rPr>
          <w:rFonts w:eastAsia="Calibri" w:cs="Calibri"/>
          <w:b/>
          <w:bCs/>
          <w:iCs/>
          <w:lang w:eastAsia="it-IT"/>
        </w:rPr>
        <w:t>29/05/2024</w:t>
      </w:r>
      <w:r w:rsidR="00F707AB" w:rsidRPr="00A51C22">
        <w:rPr>
          <w:rFonts w:eastAsia="Calibri" w:cs="Calibri"/>
          <w:bCs/>
          <w:iCs/>
          <w:lang w:eastAsia="it-IT"/>
        </w:rPr>
        <w:t xml:space="preserve"> </w:t>
      </w:r>
      <w:r w:rsidRPr="00A51C22">
        <w:rPr>
          <w:rFonts w:eastAsia="Calibri" w:cs="Calibri"/>
          <w:bCs/>
          <w:iCs/>
          <w:lang w:eastAsia="it-IT"/>
        </w:rPr>
        <w:t xml:space="preserve">l’AIFA ha rilasciato l’autorizzazione all’immissione in commercio di </w:t>
      </w:r>
      <w:r w:rsidR="00B36584">
        <w:rPr>
          <w:rFonts w:eastAsia="Calibri" w:cs="Calibri"/>
          <w:color w:val="000000"/>
          <w:lang w:eastAsia="it-IT"/>
        </w:rPr>
        <w:t>INDIFAXA</w:t>
      </w:r>
      <w:r w:rsidRPr="00A51C22">
        <w:rPr>
          <w:rFonts w:eastAsia="Calibri" w:cs="Calibri"/>
          <w:bCs/>
          <w:lang w:eastAsia="it-IT"/>
        </w:rPr>
        <w:t xml:space="preserve">. </w:t>
      </w:r>
    </w:p>
    <w:p w14:paraId="72289C40" w14:textId="77777777" w:rsidR="00A51C22" w:rsidRPr="00A51C22" w:rsidRDefault="00A51C22" w:rsidP="00A51C2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1AFF469A" w14:textId="77777777" w:rsidR="00A51C22" w:rsidRPr="00A51C22" w:rsidRDefault="00A51C22" w:rsidP="00A51C2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A51C22">
        <w:rPr>
          <w:rFonts w:eastAsia="Calibri" w:cs="Calibri"/>
          <w:lang w:eastAsia="it-IT"/>
        </w:rPr>
        <w:t xml:space="preserve">La Relazione Pubblica di Valutazione completa segue questo Riassunto. </w:t>
      </w:r>
    </w:p>
    <w:p w14:paraId="1B8FF5F1" w14:textId="6BFA8BC3" w:rsidR="00B36584" w:rsidRDefault="00A51C22" w:rsidP="00A51C2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A51C22">
        <w:rPr>
          <w:rFonts w:eastAsia="Calibri" w:cs="Calibri"/>
          <w:lang w:eastAsia="it-IT"/>
        </w:rPr>
        <w:t xml:space="preserve">Per maggiori informazioni riguardo il trattamento con </w:t>
      </w:r>
      <w:r w:rsidR="00B36584">
        <w:rPr>
          <w:rFonts w:eastAsia="Calibri" w:cs="Calibri"/>
          <w:color w:val="000000"/>
          <w:lang w:eastAsia="it-IT"/>
        </w:rPr>
        <w:t>INDIFAXA</w:t>
      </w:r>
      <w:r w:rsidRPr="00A51C22">
        <w:rPr>
          <w:rFonts w:eastAsia="Calibri" w:cs="Calibri"/>
          <w:color w:val="000000"/>
          <w:lang w:eastAsia="it-IT"/>
        </w:rPr>
        <w:t xml:space="preserve"> </w:t>
      </w:r>
      <w:r w:rsidRPr="00A51C22">
        <w:rPr>
          <w:rFonts w:eastAsia="Calibri" w:cs="Calibri"/>
          <w:lang w:eastAsia="it-IT"/>
        </w:rPr>
        <w:t>si può leggere il foglio illustrativo (</w:t>
      </w:r>
      <w:hyperlink r:id="rId10" w:anchor="/it/" w:history="1">
        <w:r w:rsidR="00B36584" w:rsidRPr="005472B1">
          <w:rPr>
            <w:rStyle w:val="Collegamentoipertestuale"/>
            <w:rFonts w:eastAsia="Calibri" w:cs="Calibri"/>
            <w:lang w:eastAsia="it-IT"/>
          </w:rPr>
          <w:t>https://medicinali.aifa.gov.it/it/#/it/</w:t>
        </w:r>
      </w:hyperlink>
      <w:r w:rsidR="00B36584">
        <w:rPr>
          <w:rFonts w:eastAsia="Calibri" w:cs="Calibri"/>
          <w:lang w:eastAsia="it-IT"/>
        </w:rPr>
        <w:t>)</w:t>
      </w:r>
      <w:r w:rsidR="00B36584" w:rsidRPr="00B36584">
        <w:rPr>
          <w:rFonts w:eastAsia="Calibri" w:cs="Calibri"/>
          <w:lang w:eastAsia="it-IT"/>
        </w:rPr>
        <w:t xml:space="preserve"> o contattare il medico o il farmacista.</w:t>
      </w:r>
    </w:p>
    <w:p w14:paraId="4E444575" w14:textId="39D35DA6" w:rsidR="00A51C22" w:rsidRPr="00A51C22" w:rsidRDefault="00A51C22" w:rsidP="00A51C2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4B43BF46" w14:textId="438B67F3" w:rsidR="00A51C22" w:rsidRPr="00A51C22" w:rsidRDefault="00A51C22" w:rsidP="00A51C22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010DB21B" w14:textId="28AB290A" w:rsidR="00A51C22" w:rsidRPr="00A51C22" w:rsidRDefault="00A51C22" w:rsidP="00A51C22">
      <w:pPr>
        <w:spacing w:after="0" w:line="240" w:lineRule="auto"/>
        <w:jc w:val="both"/>
        <w:rPr>
          <w:rFonts w:eastAsia="Calibri" w:cs="Calibri"/>
          <w:lang w:eastAsia="it-IT"/>
        </w:rPr>
      </w:pPr>
      <w:r w:rsidRPr="00A51C22">
        <w:rPr>
          <w:rFonts w:eastAsia="Calibri" w:cs="Calibri"/>
          <w:lang w:eastAsia="it-IT"/>
        </w:rPr>
        <w:t xml:space="preserve">Questo riassunto è stato redatto in data </w:t>
      </w:r>
      <w:r w:rsidR="00B36584">
        <w:rPr>
          <w:rFonts w:eastAsia="Calibri" w:cs="Calibri"/>
          <w:lang w:eastAsia="it-IT"/>
        </w:rPr>
        <w:t>02</w:t>
      </w:r>
      <w:r w:rsidRPr="00F302F5">
        <w:rPr>
          <w:rFonts w:eastAsia="Calibri" w:cs="Calibri"/>
          <w:lang w:eastAsia="it-IT"/>
        </w:rPr>
        <w:t>/</w:t>
      </w:r>
      <w:r w:rsidR="00B36584">
        <w:rPr>
          <w:rFonts w:eastAsia="Calibri" w:cs="Calibri"/>
          <w:lang w:eastAsia="it-IT"/>
        </w:rPr>
        <w:t>04</w:t>
      </w:r>
      <w:r w:rsidRPr="00F302F5">
        <w:rPr>
          <w:rFonts w:eastAsia="Calibri" w:cs="Calibri"/>
          <w:lang w:eastAsia="it-IT"/>
        </w:rPr>
        <w:t>/202</w:t>
      </w:r>
      <w:r w:rsidR="00B36584">
        <w:rPr>
          <w:rFonts w:eastAsia="Calibri" w:cs="Calibri"/>
          <w:lang w:eastAsia="it-IT"/>
        </w:rPr>
        <w:t>5</w:t>
      </w:r>
      <w:r w:rsidRPr="00F302F5">
        <w:rPr>
          <w:rFonts w:eastAsia="Calibri" w:cs="Calibri"/>
          <w:lang w:eastAsia="it-IT"/>
        </w:rPr>
        <w:t>.</w:t>
      </w:r>
      <w:r w:rsidRPr="00A51C22">
        <w:rPr>
          <w:rFonts w:eastAsia="Calibri" w:cs="Calibri"/>
          <w:lang w:eastAsia="it-IT"/>
        </w:rPr>
        <w:t xml:space="preserve"> </w:t>
      </w:r>
    </w:p>
    <w:p w14:paraId="057668D7" w14:textId="77777777" w:rsidR="00A51C22" w:rsidRPr="00A51C22" w:rsidRDefault="00A51C22" w:rsidP="00A51C22">
      <w:pPr>
        <w:spacing w:after="0" w:line="240" w:lineRule="auto"/>
        <w:jc w:val="center"/>
        <w:rPr>
          <w:b/>
          <w:sz w:val="28"/>
        </w:rPr>
      </w:pPr>
    </w:p>
    <w:p w14:paraId="2AA0A7F8" w14:textId="77777777" w:rsidR="00A51C22" w:rsidRPr="00A51C22" w:rsidRDefault="00A51C22" w:rsidP="00A51C22">
      <w:pPr>
        <w:spacing w:after="0" w:line="240" w:lineRule="auto"/>
        <w:jc w:val="center"/>
        <w:rPr>
          <w:b/>
          <w:sz w:val="28"/>
        </w:rPr>
      </w:pPr>
    </w:p>
    <w:p w14:paraId="7058AC57" w14:textId="77777777" w:rsidR="00A51C22" w:rsidRPr="00A51C22" w:rsidRDefault="00A51C22" w:rsidP="00A51C22">
      <w:pPr>
        <w:spacing w:after="0" w:line="240" w:lineRule="auto"/>
        <w:jc w:val="center"/>
        <w:rPr>
          <w:b/>
          <w:sz w:val="28"/>
        </w:rPr>
      </w:pPr>
    </w:p>
    <w:p w14:paraId="14D87EF4" w14:textId="77777777" w:rsidR="00A51C22" w:rsidRPr="00A51C22" w:rsidRDefault="00A51C22" w:rsidP="00A51C22">
      <w:pPr>
        <w:spacing w:after="0" w:line="240" w:lineRule="auto"/>
        <w:jc w:val="center"/>
        <w:rPr>
          <w:b/>
          <w:sz w:val="28"/>
        </w:rPr>
      </w:pPr>
    </w:p>
    <w:p w14:paraId="508B23BE" w14:textId="77777777" w:rsidR="00A51C22" w:rsidRPr="00A51C22" w:rsidRDefault="00A51C22" w:rsidP="00A51C22">
      <w:pPr>
        <w:spacing w:after="0" w:line="240" w:lineRule="auto"/>
        <w:jc w:val="center"/>
        <w:rPr>
          <w:b/>
          <w:sz w:val="28"/>
        </w:rPr>
      </w:pPr>
    </w:p>
    <w:p w14:paraId="04E70658" w14:textId="77777777" w:rsidR="00A51C22" w:rsidRPr="00A51C22" w:rsidRDefault="00A51C22" w:rsidP="00A51C22">
      <w:pPr>
        <w:spacing w:after="0" w:line="240" w:lineRule="auto"/>
        <w:jc w:val="center"/>
        <w:rPr>
          <w:b/>
          <w:sz w:val="28"/>
        </w:rPr>
      </w:pPr>
    </w:p>
    <w:p w14:paraId="2DEB1B09" w14:textId="77777777" w:rsidR="00A51C22" w:rsidRPr="00A51C22" w:rsidRDefault="00A51C22" w:rsidP="00A51C22">
      <w:pPr>
        <w:spacing w:after="0" w:line="240" w:lineRule="auto"/>
        <w:jc w:val="center"/>
        <w:rPr>
          <w:b/>
          <w:sz w:val="28"/>
        </w:rPr>
      </w:pPr>
    </w:p>
    <w:p w14:paraId="2F790389" w14:textId="77777777" w:rsidR="00A51C22" w:rsidRPr="00A51C22" w:rsidRDefault="00A51C22" w:rsidP="00A51C22">
      <w:pPr>
        <w:spacing w:after="0" w:line="240" w:lineRule="auto"/>
        <w:jc w:val="center"/>
        <w:rPr>
          <w:b/>
          <w:sz w:val="28"/>
        </w:rPr>
      </w:pPr>
    </w:p>
    <w:p w14:paraId="50895B63" w14:textId="77777777" w:rsidR="00A51C22" w:rsidRPr="00A51C22" w:rsidRDefault="00A51C22" w:rsidP="00A51C22">
      <w:pPr>
        <w:spacing w:after="0" w:line="240" w:lineRule="auto"/>
        <w:jc w:val="center"/>
        <w:rPr>
          <w:b/>
          <w:sz w:val="28"/>
        </w:rPr>
      </w:pPr>
    </w:p>
    <w:p w14:paraId="4083BCC8" w14:textId="77777777" w:rsidR="00A51C22" w:rsidRPr="00A51C22" w:rsidRDefault="00A51C22" w:rsidP="00A51C22">
      <w:pPr>
        <w:spacing w:after="0" w:line="240" w:lineRule="auto"/>
        <w:jc w:val="center"/>
        <w:rPr>
          <w:b/>
          <w:sz w:val="28"/>
        </w:rPr>
      </w:pPr>
    </w:p>
    <w:p w14:paraId="18EE1A01" w14:textId="77777777" w:rsidR="00A51C22" w:rsidRPr="00A51C22" w:rsidRDefault="00A51C22" w:rsidP="00A51C22">
      <w:pPr>
        <w:spacing w:after="0" w:line="240" w:lineRule="auto"/>
        <w:jc w:val="center"/>
        <w:rPr>
          <w:b/>
          <w:sz w:val="28"/>
        </w:rPr>
      </w:pPr>
    </w:p>
    <w:p w14:paraId="01684792" w14:textId="77777777" w:rsidR="00A51C22" w:rsidRPr="00A51C22" w:rsidRDefault="00A51C22" w:rsidP="00A51C22">
      <w:pPr>
        <w:spacing w:after="0" w:line="240" w:lineRule="auto"/>
        <w:jc w:val="center"/>
        <w:rPr>
          <w:b/>
          <w:sz w:val="28"/>
        </w:rPr>
      </w:pPr>
    </w:p>
    <w:p w14:paraId="188E7027" w14:textId="77777777" w:rsidR="00A51C22" w:rsidRPr="00A51C22" w:rsidRDefault="00A51C22" w:rsidP="00A51C22">
      <w:pPr>
        <w:spacing w:after="0" w:line="240" w:lineRule="auto"/>
        <w:jc w:val="center"/>
        <w:rPr>
          <w:b/>
          <w:sz w:val="28"/>
        </w:rPr>
      </w:pPr>
    </w:p>
    <w:p w14:paraId="2B713FEB" w14:textId="77777777" w:rsidR="00A51C22" w:rsidRPr="00A51C22" w:rsidRDefault="00A51C22" w:rsidP="00A51C22">
      <w:pPr>
        <w:spacing w:after="0" w:line="240" w:lineRule="auto"/>
        <w:jc w:val="center"/>
        <w:rPr>
          <w:b/>
          <w:sz w:val="28"/>
        </w:rPr>
      </w:pPr>
    </w:p>
    <w:p w14:paraId="32ADDEBF" w14:textId="77777777" w:rsidR="00A51C22" w:rsidRPr="00A51C22" w:rsidRDefault="00A51C22" w:rsidP="00A51C22">
      <w:pPr>
        <w:spacing w:after="0" w:line="240" w:lineRule="auto"/>
        <w:jc w:val="center"/>
        <w:rPr>
          <w:b/>
          <w:sz w:val="28"/>
        </w:rPr>
      </w:pPr>
    </w:p>
    <w:p w14:paraId="53470257" w14:textId="77777777" w:rsidR="00A51C22" w:rsidRPr="00A51C22" w:rsidRDefault="00A51C22" w:rsidP="00A51C22">
      <w:pPr>
        <w:spacing w:after="0" w:line="240" w:lineRule="auto"/>
        <w:jc w:val="center"/>
        <w:rPr>
          <w:b/>
          <w:sz w:val="28"/>
        </w:rPr>
      </w:pPr>
    </w:p>
    <w:p w14:paraId="6631A798" w14:textId="77777777" w:rsidR="00A51C22" w:rsidRPr="00A51C22" w:rsidRDefault="00A51C22" w:rsidP="00A51C22">
      <w:pPr>
        <w:spacing w:after="0" w:line="240" w:lineRule="auto"/>
        <w:jc w:val="center"/>
        <w:rPr>
          <w:b/>
          <w:sz w:val="28"/>
        </w:rPr>
      </w:pPr>
    </w:p>
    <w:p w14:paraId="19F76E9A" w14:textId="77777777" w:rsidR="00A51C22" w:rsidRPr="00A51C22" w:rsidRDefault="00A51C22" w:rsidP="00A51C22">
      <w:pPr>
        <w:spacing w:after="0" w:line="240" w:lineRule="auto"/>
        <w:jc w:val="center"/>
        <w:rPr>
          <w:b/>
          <w:sz w:val="28"/>
        </w:rPr>
      </w:pPr>
      <w:r w:rsidRPr="00A51C22">
        <w:rPr>
          <w:b/>
          <w:sz w:val="28"/>
        </w:rPr>
        <w:t>RELAZIONE PUBBLICA DI VALUTAZIONE</w:t>
      </w:r>
    </w:p>
    <w:p w14:paraId="445AD180" w14:textId="77777777" w:rsidR="00A51C22" w:rsidRPr="00A51C22" w:rsidRDefault="00A51C22" w:rsidP="00A51C22">
      <w:pPr>
        <w:spacing w:after="0" w:line="240" w:lineRule="auto"/>
        <w:jc w:val="center"/>
        <w:rPr>
          <w:b/>
        </w:rPr>
      </w:pPr>
    </w:p>
    <w:p w14:paraId="6B24073F" w14:textId="77777777" w:rsidR="00A51C22" w:rsidRPr="00A51C22" w:rsidRDefault="00A51C22" w:rsidP="00A51C22">
      <w:pPr>
        <w:spacing w:after="0" w:line="240" w:lineRule="auto"/>
        <w:jc w:val="center"/>
        <w:rPr>
          <w:b/>
        </w:rPr>
      </w:pPr>
    </w:p>
    <w:p w14:paraId="6036DD5E" w14:textId="77777777" w:rsidR="00A51C22" w:rsidRPr="00A51C22" w:rsidRDefault="00A51C22" w:rsidP="00A51C22">
      <w:pPr>
        <w:spacing w:after="0" w:line="240" w:lineRule="auto"/>
        <w:jc w:val="center"/>
        <w:rPr>
          <w:b/>
        </w:rPr>
      </w:pPr>
    </w:p>
    <w:p w14:paraId="33D74520" w14:textId="77777777" w:rsidR="00A51C22" w:rsidRPr="00A51C22" w:rsidRDefault="00A51C22" w:rsidP="00A51C22">
      <w:pPr>
        <w:spacing w:after="0" w:line="240" w:lineRule="auto"/>
        <w:jc w:val="center"/>
        <w:rPr>
          <w:b/>
        </w:rPr>
      </w:pPr>
    </w:p>
    <w:p w14:paraId="6483BEA1" w14:textId="77777777" w:rsidR="00A51C22" w:rsidRPr="00A51C22" w:rsidRDefault="00A51C22" w:rsidP="00A51C22">
      <w:pPr>
        <w:spacing w:after="0" w:line="240" w:lineRule="auto"/>
        <w:jc w:val="center"/>
        <w:rPr>
          <w:b/>
        </w:rPr>
      </w:pPr>
      <w:r w:rsidRPr="00A51C22">
        <w:rPr>
          <w:b/>
        </w:rPr>
        <w:t>INDICE</w:t>
      </w:r>
    </w:p>
    <w:p w14:paraId="2D3516CF" w14:textId="77777777" w:rsidR="00A51C22" w:rsidRPr="00A51C22" w:rsidRDefault="00A51C22" w:rsidP="00A51C22">
      <w:pPr>
        <w:spacing w:after="0" w:line="240" w:lineRule="auto"/>
        <w:jc w:val="both"/>
      </w:pPr>
    </w:p>
    <w:p w14:paraId="68B8C163" w14:textId="77777777" w:rsidR="00A51C22" w:rsidRPr="00A51C22" w:rsidRDefault="00A51C22" w:rsidP="00A51C22">
      <w:pPr>
        <w:spacing w:after="0" w:line="240" w:lineRule="auto"/>
        <w:jc w:val="both"/>
      </w:pPr>
    </w:p>
    <w:p w14:paraId="12DFEA07" w14:textId="77777777" w:rsidR="00A51C22" w:rsidRPr="00A51C22" w:rsidRDefault="00A51C22" w:rsidP="00A51C22">
      <w:pPr>
        <w:spacing w:after="0" w:line="240" w:lineRule="auto"/>
        <w:jc w:val="both"/>
      </w:pPr>
    </w:p>
    <w:p w14:paraId="3321DA12" w14:textId="77777777" w:rsidR="00A51C22" w:rsidRPr="00A51C22" w:rsidRDefault="00A51C22" w:rsidP="00A51C22">
      <w:pPr>
        <w:numPr>
          <w:ilvl w:val="0"/>
          <w:numId w:val="1"/>
        </w:numPr>
        <w:spacing w:after="0" w:line="240" w:lineRule="auto"/>
        <w:contextualSpacing/>
        <w:rPr>
          <w:b/>
        </w:rPr>
      </w:pPr>
      <w:r w:rsidRPr="00A51C22">
        <w:rPr>
          <w:b/>
        </w:rPr>
        <w:t>INTRODUZIONE</w:t>
      </w:r>
    </w:p>
    <w:p w14:paraId="34B7C1FA" w14:textId="77777777" w:rsidR="00A51C22" w:rsidRPr="00A51C22" w:rsidRDefault="00A51C22" w:rsidP="00A51C22">
      <w:pPr>
        <w:spacing w:after="0" w:line="240" w:lineRule="auto"/>
        <w:jc w:val="both"/>
      </w:pPr>
    </w:p>
    <w:p w14:paraId="08995AB5" w14:textId="77777777" w:rsidR="00A51C22" w:rsidRPr="00A51C22" w:rsidRDefault="00A51C22" w:rsidP="00A51C22">
      <w:pPr>
        <w:numPr>
          <w:ilvl w:val="0"/>
          <w:numId w:val="1"/>
        </w:numPr>
        <w:spacing w:after="0" w:line="240" w:lineRule="auto"/>
        <w:contextualSpacing/>
        <w:jc w:val="both"/>
        <w:rPr>
          <w:b/>
        </w:rPr>
      </w:pPr>
      <w:r w:rsidRPr="00A51C22">
        <w:rPr>
          <w:b/>
        </w:rPr>
        <w:t>ASPETTI DI QUALITA’</w:t>
      </w:r>
    </w:p>
    <w:p w14:paraId="7E397EC8" w14:textId="77777777" w:rsidR="00A51C22" w:rsidRPr="00A51C22" w:rsidRDefault="00A51C22" w:rsidP="00A51C22">
      <w:pPr>
        <w:ind w:left="720"/>
        <w:contextualSpacing/>
        <w:rPr>
          <w:b/>
        </w:rPr>
      </w:pPr>
    </w:p>
    <w:p w14:paraId="7EC1C539" w14:textId="77777777" w:rsidR="00A51C22" w:rsidRPr="00A51C22" w:rsidRDefault="00A51C22" w:rsidP="00A51C22">
      <w:pPr>
        <w:numPr>
          <w:ilvl w:val="0"/>
          <w:numId w:val="1"/>
        </w:numPr>
        <w:spacing w:after="0" w:line="240" w:lineRule="auto"/>
        <w:contextualSpacing/>
        <w:jc w:val="both"/>
        <w:rPr>
          <w:b/>
        </w:rPr>
      </w:pPr>
      <w:r w:rsidRPr="00A51C22">
        <w:rPr>
          <w:b/>
        </w:rPr>
        <w:t>ASPETTI NON CLINICI</w:t>
      </w:r>
    </w:p>
    <w:p w14:paraId="6AB82499" w14:textId="77777777" w:rsidR="00A51C22" w:rsidRPr="00A51C22" w:rsidRDefault="00A51C22" w:rsidP="00A51C22">
      <w:pPr>
        <w:ind w:left="720"/>
        <w:contextualSpacing/>
        <w:rPr>
          <w:b/>
        </w:rPr>
      </w:pPr>
    </w:p>
    <w:p w14:paraId="3560FC64" w14:textId="77777777" w:rsidR="00A51C22" w:rsidRPr="00A51C22" w:rsidRDefault="00A51C22" w:rsidP="00A51C22">
      <w:pPr>
        <w:numPr>
          <w:ilvl w:val="0"/>
          <w:numId w:val="1"/>
        </w:numPr>
        <w:spacing w:after="0" w:line="240" w:lineRule="auto"/>
        <w:contextualSpacing/>
        <w:jc w:val="both"/>
        <w:rPr>
          <w:b/>
        </w:rPr>
      </w:pPr>
      <w:r w:rsidRPr="00A51C22">
        <w:rPr>
          <w:b/>
        </w:rPr>
        <w:t>ASPETTI CLINICI</w:t>
      </w:r>
    </w:p>
    <w:p w14:paraId="64BF5700" w14:textId="77777777" w:rsidR="00A51C22" w:rsidRPr="00A51C22" w:rsidRDefault="00A51C22" w:rsidP="00A51C22">
      <w:pPr>
        <w:ind w:left="720"/>
        <w:contextualSpacing/>
        <w:rPr>
          <w:b/>
        </w:rPr>
      </w:pPr>
    </w:p>
    <w:p w14:paraId="1B799091" w14:textId="77777777" w:rsidR="00A51C22" w:rsidRPr="00A51C22" w:rsidRDefault="00A51C22" w:rsidP="00A51C22">
      <w:pPr>
        <w:numPr>
          <w:ilvl w:val="0"/>
          <w:numId w:val="1"/>
        </w:numPr>
        <w:spacing w:after="0" w:line="240" w:lineRule="auto"/>
        <w:contextualSpacing/>
        <w:jc w:val="both"/>
        <w:rPr>
          <w:b/>
        </w:rPr>
      </w:pPr>
      <w:r w:rsidRPr="00A51C22">
        <w:rPr>
          <w:b/>
        </w:rPr>
        <w:t>CONSULTAZIONE SUL FOGLIO ILLUSTRATIVO</w:t>
      </w:r>
    </w:p>
    <w:p w14:paraId="21ABBDEE" w14:textId="77777777" w:rsidR="00A51C22" w:rsidRPr="00A51C22" w:rsidRDefault="00A51C22" w:rsidP="00A51C22">
      <w:pPr>
        <w:spacing w:after="0" w:line="240" w:lineRule="auto"/>
        <w:ind w:left="1080"/>
        <w:contextualSpacing/>
        <w:jc w:val="both"/>
        <w:rPr>
          <w:b/>
        </w:rPr>
      </w:pPr>
    </w:p>
    <w:p w14:paraId="54A2103A" w14:textId="77777777" w:rsidR="00A51C22" w:rsidRPr="00A51C22" w:rsidRDefault="00A51C22" w:rsidP="00A51C22">
      <w:pPr>
        <w:numPr>
          <w:ilvl w:val="0"/>
          <w:numId w:val="1"/>
        </w:numPr>
        <w:spacing w:after="0" w:line="240" w:lineRule="auto"/>
        <w:contextualSpacing/>
        <w:jc w:val="both"/>
        <w:rPr>
          <w:b/>
        </w:rPr>
      </w:pPr>
      <w:r w:rsidRPr="00A51C22">
        <w:rPr>
          <w:b/>
        </w:rPr>
        <w:t>CONCLUSIONI, VALUTAZIONE DEL RAPPORTO BENEFICIO/RISCHIO E RACCOMANDAZIONI</w:t>
      </w:r>
    </w:p>
    <w:p w14:paraId="685566D2" w14:textId="77777777" w:rsidR="00A51C22" w:rsidRPr="00A51C22" w:rsidRDefault="00A51C22" w:rsidP="00A51C22"/>
    <w:p w14:paraId="2F5679C1" w14:textId="77777777" w:rsidR="00A51C22" w:rsidRPr="00A51C22" w:rsidRDefault="00A51C22" w:rsidP="00A51C22"/>
    <w:p w14:paraId="2389B76F" w14:textId="77777777" w:rsidR="00A51C22" w:rsidRPr="00A51C22" w:rsidRDefault="00A51C22" w:rsidP="00A51C22"/>
    <w:p w14:paraId="754EDA63" w14:textId="77777777" w:rsidR="00A51C22" w:rsidRPr="00A51C22" w:rsidRDefault="00A51C22" w:rsidP="00A51C22"/>
    <w:p w14:paraId="6D1D0997" w14:textId="77777777" w:rsidR="00A51C22" w:rsidRPr="00A51C22" w:rsidRDefault="00A51C22" w:rsidP="00A51C22"/>
    <w:p w14:paraId="0E05C8FD" w14:textId="77777777" w:rsidR="00A51C22" w:rsidRPr="00A51C22" w:rsidRDefault="00A51C22" w:rsidP="00A51C22"/>
    <w:p w14:paraId="0EFC5161" w14:textId="77777777" w:rsidR="00A51C22" w:rsidRPr="00A51C22" w:rsidRDefault="00A51C22" w:rsidP="00A51C22"/>
    <w:p w14:paraId="00CAA3F3" w14:textId="77777777" w:rsidR="00A51C22" w:rsidRPr="00A51C22" w:rsidRDefault="00A51C22" w:rsidP="00A51C22"/>
    <w:p w14:paraId="79004D1B" w14:textId="77777777" w:rsidR="00A51C22" w:rsidRPr="00A51C22" w:rsidRDefault="00A51C22" w:rsidP="00A51C22"/>
    <w:p w14:paraId="1B9B0EFB" w14:textId="77777777" w:rsidR="00A51C22" w:rsidRPr="00A51C22" w:rsidRDefault="00A51C22" w:rsidP="00A51C22"/>
    <w:p w14:paraId="269A701A" w14:textId="77777777" w:rsidR="00A51C22" w:rsidRPr="00A51C22" w:rsidRDefault="00A51C22" w:rsidP="00A51C22"/>
    <w:p w14:paraId="0DCB62C6" w14:textId="77777777" w:rsidR="00A51C22" w:rsidRPr="00A51C22" w:rsidRDefault="00A51C22" w:rsidP="00A51C22"/>
    <w:p w14:paraId="4E990ACA" w14:textId="77777777" w:rsidR="00A51C22" w:rsidRPr="00A51C22" w:rsidRDefault="00A51C22" w:rsidP="00A51C22"/>
    <w:p w14:paraId="603FBE73" w14:textId="77777777" w:rsidR="00A51C22" w:rsidRPr="00A51C22" w:rsidRDefault="00A51C22" w:rsidP="00A51C22"/>
    <w:p w14:paraId="087A1E2B" w14:textId="77777777" w:rsidR="00A51C22" w:rsidRPr="00A51C22" w:rsidRDefault="00A51C22" w:rsidP="00A51C22"/>
    <w:p w14:paraId="4FE409AC" w14:textId="77777777" w:rsidR="00A51C22" w:rsidRPr="00A51C22" w:rsidRDefault="00A51C22" w:rsidP="00A51C22"/>
    <w:p w14:paraId="7A53F235" w14:textId="77777777" w:rsidR="00A51C22" w:rsidRPr="00A51C22" w:rsidRDefault="00A51C22" w:rsidP="00A51C22"/>
    <w:p w14:paraId="017FDC96" w14:textId="77777777" w:rsidR="00A51C22" w:rsidRPr="00A51C22" w:rsidRDefault="00A51C22" w:rsidP="00A51C22">
      <w:pPr>
        <w:numPr>
          <w:ilvl w:val="0"/>
          <w:numId w:val="2"/>
        </w:numPr>
        <w:spacing w:after="0" w:line="240" w:lineRule="auto"/>
        <w:contextualSpacing/>
        <w:rPr>
          <w:b/>
        </w:rPr>
      </w:pPr>
      <w:r w:rsidRPr="00A51C22">
        <w:rPr>
          <w:b/>
        </w:rPr>
        <w:t>INTRODUZIONE</w:t>
      </w:r>
    </w:p>
    <w:p w14:paraId="213E0763" w14:textId="4353CA4A" w:rsidR="00A51C22" w:rsidRPr="00A51C22" w:rsidRDefault="00A51C22" w:rsidP="00A51C22">
      <w:pPr>
        <w:autoSpaceDE w:val="0"/>
        <w:autoSpaceDN w:val="0"/>
        <w:adjustRightInd w:val="0"/>
        <w:spacing w:after="0" w:line="240" w:lineRule="auto"/>
        <w:jc w:val="both"/>
      </w:pPr>
      <w:r w:rsidRPr="00A51C22">
        <w:t xml:space="preserve">Sulla base dei dati di qualità, sicurezza ed efficacia, l’AIFA ha rilasciato a </w:t>
      </w:r>
      <w:proofErr w:type="spellStart"/>
      <w:r w:rsidR="008A0BBC">
        <w:t>Errekappa</w:t>
      </w:r>
      <w:proofErr w:type="spellEnd"/>
      <w:r w:rsidR="008A0BBC">
        <w:t xml:space="preserve"> </w:t>
      </w:r>
      <w:proofErr w:type="spellStart"/>
      <w:r w:rsidR="008A0BBC">
        <w:t>Euroterapeutici</w:t>
      </w:r>
      <w:proofErr w:type="spellEnd"/>
      <w:r w:rsidRPr="00A51C22">
        <w:t xml:space="preserve"> S.</w:t>
      </w:r>
      <w:r w:rsidR="008A0BBC">
        <w:t>p</w:t>
      </w:r>
      <w:r w:rsidRPr="00A51C22">
        <w:t>.</w:t>
      </w:r>
      <w:r w:rsidR="008A0BBC">
        <w:t>A</w:t>
      </w:r>
      <w:r w:rsidRPr="00A51C22">
        <w:t xml:space="preserve">.  l’autorizzazione all’immissione in commercio (AIC) per il medicinale </w:t>
      </w:r>
      <w:r w:rsidR="008A0BBC">
        <w:rPr>
          <w:rFonts w:eastAsia="Calibri" w:cs="Calibri"/>
          <w:color w:val="000000"/>
          <w:lang w:eastAsia="it-IT"/>
        </w:rPr>
        <w:t>INDIFAXA</w:t>
      </w:r>
      <w:r w:rsidRPr="00A51C22">
        <w:rPr>
          <w:rFonts w:eastAsia="Calibri" w:cs="Calibri"/>
          <w:bCs/>
          <w:iCs/>
          <w:lang w:eastAsia="it-IT"/>
        </w:rPr>
        <w:t xml:space="preserve"> il </w:t>
      </w:r>
      <w:r w:rsidR="00F707AB">
        <w:rPr>
          <w:rFonts w:eastAsia="Calibri" w:cs="Calibri"/>
          <w:bCs/>
          <w:iCs/>
          <w:lang w:eastAsia="it-IT"/>
        </w:rPr>
        <w:t>29/05/2024</w:t>
      </w:r>
      <w:r w:rsidR="00731800">
        <w:rPr>
          <w:rFonts w:eastAsia="Calibri" w:cs="Calibri"/>
          <w:bCs/>
          <w:iCs/>
          <w:lang w:eastAsia="it-IT"/>
        </w:rPr>
        <w:t>.</w:t>
      </w:r>
    </w:p>
    <w:p w14:paraId="63AE30D6" w14:textId="77777777" w:rsidR="00A51C22" w:rsidRPr="00A51C22" w:rsidRDefault="00A51C22" w:rsidP="00A51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2C947F36" w14:textId="1262453B" w:rsidR="00A51C22" w:rsidRPr="00A51C22" w:rsidRDefault="008A0BBC" w:rsidP="00A51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INDIFAXA</w:t>
      </w:r>
      <w:r w:rsidR="00A51C22" w:rsidRPr="00A51C22">
        <w:rPr>
          <w:rFonts w:eastAsia="Calibri" w:cs="Calibri"/>
          <w:color w:val="000000"/>
          <w:lang w:eastAsia="it-IT"/>
        </w:rPr>
        <w:t xml:space="preserve"> 10 mg compresse rivestite con film può essere ottenuto solo su prescrizione da parte di centri ospedalieri o di specialisti - ortopedico, fisiatra, cardiologo, internista, geriatra, chirurgo vascolare, cardiochirurgo, pneumologo, ematologo che lavora in centri di trombosi ed emostasi con ricetta limitativa ripetibile.</w:t>
      </w:r>
    </w:p>
    <w:p w14:paraId="57E10758" w14:textId="77777777" w:rsidR="00A51C22" w:rsidRPr="00A51C22" w:rsidRDefault="00A51C22" w:rsidP="00A51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6EE394CE" w14:textId="014D83D7" w:rsidR="00A51C22" w:rsidRPr="00A51C22" w:rsidRDefault="008A0BBC" w:rsidP="00A51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INDIFAXA</w:t>
      </w:r>
      <w:r w:rsidR="00A51C22" w:rsidRPr="00A51C22">
        <w:rPr>
          <w:rFonts w:eastAsia="Calibri" w:cs="Calibri"/>
          <w:color w:val="000000"/>
          <w:lang w:eastAsia="it-IT"/>
        </w:rPr>
        <w:t xml:space="preserve"> 15 mg compresse rivestite con film può essere ottenuto solo su prescrizione da parte di centri ospedalieri o di specialisti - neurologo, cardiologo, internista, geriatra, chirurgo vascolare, cardiochirurgo, pneumologo, ematologo che lavora in centri di trombosi ed emostasi con ricetta limitativa ripetibile.</w:t>
      </w:r>
    </w:p>
    <w:p w14:paraId="2BD09ADF" w14:textId="77777777" w:rsidR="00A51C22" w:rsidRPr="00A51C22" w:rsidRDefault="00A51C22" w:rsidP="00A51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7CD2368C" w14:textId="618560E3" w:rsidR="00A51C22" w:rsidRPr="00A51C22" w:rsidRDefault="008A0BBC" w:rsidP="00A51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INDIFAXA</w:t>
      </w:r>
      <w:r w:rsidR="00A51C22" w:rsidRPr="00A51C22">
        <w:rPr>
          <w:rFonts w:eastAsia="Calibri" w:cs="Calibri"/>
          <w:color w:val="000000"/>
          <w:lang w:eastAsia="it-IT"/>
        </w:rPr>
        <w:t xml:space="preserve"> 20 mg compresse rivestite con film può essere ottenuto solo su prescrizione da parte di centri ospedalieri o di specialisti - neurologo, cardiologo, internista, geriatra, chirurgo vascolare, cardiochirurgo, pneumologo, ematologo che lavora in centri di trombosi ed emostasi con ricetta limitativa ripetibile.</w:t>
      </w:r>
    </w:p>
    <w:p w14:paraId="27839B63" w14:textId="77777777" w:rsidR="00A51C22" w:rsidRPr="00A51C22" w:rsidRDefault="00A51C22" w:rsidP="00A51C22">
      <w:pPr>
        <w:autoSpaceDE w:val="0"/>
        <w:autoSpaceDN w:val="0"/>
        <w:adjustRightInd w:val="0"/>
        <w:spacing w:after="0" w:line="240" w:lineRule="auto"/>
        <w:jc w:val="both"/>
      </w:pPr>
    </w:p>
    <w:p w14:paraId="7EECE89F" w14:textId="77777777" w:rsidR="00A51C22" w:rsidRPr="00A51C22" w:rsidRDefault="00A51C22" w:rsidP="00A51C22">
      <w:pPr>
        <w:spacing w:after="0" w:line="240" w:lineRule="auto"/>
        <w:jc w:val="both"/>
      </w:pPr>
      <w:r w:rsidRPr="00A51C22">
        <w:t xml:space="preserve">Questa procedura è stata presentata ai sensi dell’art. 10.1 della Direttiva 2001/83/EU </w:t>
      </w:r>
      <w:proofErr w:type="spellStart"/>
      <w:r w:rsidRPr="00A51C22">
        <w:t>s.m.i.</w:t>
      </w:r>
      <w:proofErr w:type="spellEnd"/>
    </w:p>
    <w:p w14:paraId="61A51CC9" w14:textId="77777777" w:rsidR="00A51C22" w:rsidRPr="00A51C22" w:rsidRDefault="00A51C22" w:rsidP="00A51C22">
      <w:pPr>
        <w:widowControl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14:paraId="164E4322" w14:textId="24EE6241" w:rsidR="00A51C22" w:rsidRPr="00A51C22" w:rsidRDefault="008A0BBC" w:rsidP="00A51C22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INDIFAXA</w:t>
      </w:r>
      <w:r w:rsidR="00A51C22" w:rsidRPr="00A51C22">
        <w:rPr>
          <w:rFonts w:eastAsia="Calibri" w:cs="Calibri"/>
          <w:color w:val="000000"/>
          <w:lang w:eastAsia="it-IT"/>
        </w:rPr>
        <w:t xml:space="preserve"> </w:t>
      </w:r>
      <w:r w:rsidR="00A51C22" w:rsidRPr="00A51C22">
        <w:rPr>
          <w:rFonts w:eastAsia="Calibri" w:cs="Calibri"/>
          <w:lang w:eastAsia="it-IT"/>
        </w:rPr>
        <w:t xml:space="preserve">è un medicinale contenente </w:t>
      </w:r>
      <w:proofErr w:type="spellStart"/>
      <w:r w:rsidR="00A51C22" w:rsidRPr="00A51C22">
        <w:rPr>
          <w:rFonts w:eastAsia="Calibri" w:cs="Calibri"/>
          <w:lang w:eastAsia="it-IT"/>
        </w:rPr>
        <w:t>rivaroxaban</w:t>
      </w:r>
      <w:proofErr w:type="spellEnd"/>
      <w:r w:rsidR="00A51C22" w:rsidRPr="00A51C22">
        <w:rPr>
          <w:rFonts w:eastAsia="Calibri" w:cs="Calibri"/>
          <w:lang w:eastAsia="it-IT"/>
        </w:rPr>
        <w:t xml:space="preserve">, un principio attivo noto e presente nel medicinale di riferimento </w:t>
      </w:r>
      <w:proofErr w:type="spellStart"/>
      <w:r w:rsidR="00A51C22" w:rsidRPr="00A51C22">
        <w:rPr>
          <w:rFonts w:eastAsia="Calibri" w:cs="Calibri"/>
          <w:lang w:eastAsia="it-IT"/>
        </w:rPr>
        <w:t>Xarelto</w:t>
      </w:r>
      <w:proofErr w:type="spellEnd"/>
      <w:r w:rsidR="00A51C22" w:rsidRPr="00A51C22">
        <w:rPr>
          <w:rFonts w:eastAsia="Calibri" w:cs="Calibri"/>
          <w:lang w:eastAsia="it-IT"/>
        </w:rPr>
        <w:t xml:space="preserve"> autorizzato in Italia da più di </w:t>
      </w:r>
      <w:r w:rsidR="004E0ADB">
        <w:rPr>
          <w:rFonts w:eastAsia="Calibri" w:cs="Calibri"/>
          <w:lang w:eastAsia="it-IT"/>
        </w:rPr>
        <w:t>8</w:t>
      </w:r>
      <w:r w:rsidR="00A51C22" w:rsidRPr="00A51C22">
        <w:rPr>
          <w:rFonts w:eastAsia="Calibri" w:cs="Calibri"/>
          <w:lang w:eastAsia="it-IT"/>
        </w:rPr>
        <w:t xml:space="preserve"> anni.</w:t>
      </w:r>
    </w:p>
    <w:p w14:paraId="53722958" w14:textId="77777777" w:rsidR="00A51C22" w:rsidRPr="00A51C22" w:rsidRDefault="00A51C22" w:rsidP="00A51C22">
      <w:pPr>
        <w:spacing w:after="0" w:line="240" w:lineRule="auto"/>
        <w:jc w:val="both"/>
        <w:rPr>
          <w:highlight w:val="yellow"/>
        </w:rPr>
      </w:pPr>
    </w:p>
    <w:p w14:paraId="5DA9056F" w14:textId="1E31557C" w:rsidR="00A51C22" w:rsidRPr="00A51C22" w:rsidRDefault="008A0BBC" w:rsidP="00A51C22">
      <w:pPr>
        <w:spacing w:after="0"/>
        <w:jc w:val="both"/>
      </w:pPr>
      <w:r>
        <w:rPr>
          <w:rFonts w:eastAsia="Calibri" w:cs="Calibri"/>
          <w:color w:val="000000"/>
          <w:lang w:eastAsia="it-IT"/>
        </w:rPr>
        <w:t>INDIFAXA</w:t>
      </w:r>
      <w:r w:rsidR="00A51C22" w:rsidRPr="00A51C22">
        <w:rPr>
          <w:rFonts w:eastAsia="Calibri" w:cs="Calibri"/>
          <w:bCs/>
          <w:lang w:eastAsia="it-IT"/>
        </w:rPr>
        <w:t xml:space="preserve">, </w:t>
      </w:r>
      <w:r w:rsidR="00A51C22" w:rsidRPr="00A51C22">
        <w:t>il cui c</w:t>
      </w:r>
      <w:r w:rsidR="00A51C22" w:rsidRPr="00A51C22">
        <w:rPr>
          <w:iCs/>
        </w:rPr>
        <w:t xml:space="preserve">odice ATC è </w:t>
      </w:r>
      <w:r w:rsidR="00A51C22" w:rsidRPr="00A51C22">
        <w:t>B01AF01</w:t>
      </w:r>
      <w:r w:rsidR="00A51C22" w:rsidRPr="00A51C22">
        <w:rPr>
          <w:rFonts w:eastAsia="DejaVuSans" w:cs="DejaVuSans"/>
        </w:rPr>
        <w:t>,</w:t>
      </w:r>
      <w:r w:rsidR="00A51C22" w:rsidRPr="00A51C22">
        <w:rPr>
          <w:rFonts w:eastAsia="Calibri" w:cs="Calibri"/>
          <w:bCs/>
          <w:lang w:eastAsia="it-IT"/>
        </w:rPr>
        <w:t xml:space="preserve"> </w:t>
      </w:r>
      <w:r w:rsidR="00A51C22" w:rsidRPr="00A51C22">
        <w:rPr>
          <w:rFonts w:eastAsia="Calibri" w:cs="Calibri"/>
          <w:lang w:eastAsia="it-IT"/>
        </w:rPr>
        <w:t xml:space="preserve">contiene il principio attivo </w:t>
      </w:r>
      <w:proofErr w:type="spellStart"/>
      <w:r w:rsidR="00A51C22" w:rsidRPr="00A51C22">
        <w:rPr>
          <w:rFonts w:eastAsia="Calibri" w:cs="Calibri"/>
          <w:lang w:eastAsia="it-IT"/>
        </w:rPr>
        <w:t>rivaroxaban</w:t>
      </w:r>
      <w:proofErr w:type="spellEnd"/>
      <w:r w:rsidR="00A51C22" w:rsidRPr="00A51C22">
        <w:rPr>
          <w:rFonts w:eastAsia="Calibri" w:cs="Calibri"/>
          <w:bCs/>
          <w:lang w:eastAsia="it-IT"/>
        </w:rPr>
        <w:t xml:space="preserve">, </w:t>
      </w:r>
      <w:r w:rsidR="00A51C22" w:rsidRPr="00A51C22">
        <w:t xml:space="preserve">un inibitore diretto e altamente selettivo del fattore </w:t>
      </w:r>
      <w:proofErr w:type="spellStart"/>
      <w:r w:rsidR="00A51C22" w:rsidRPr="00A51C22">
        <w:t>Xa</w:t>
      </w:r>
      <w:proofErr w:type="spellEnd"/>
      <w:r w:rsidR="00A51C22" w:rsidRPr="00A51C22">
        <w:t xml:space="preserve"> con biodisponibilità orale.</w:t>
      </w:r>
    </w:p>
    <w:p w14:paraId="384265D1" w14:textId="77777777" w:rsidR="00A51C22" w:rsidRPr="00A51C22" w:rsidRDefault="00A51C22" w:rsidP="00A51C22">
      <w:pPr>
        <w:spacing w:after="0"/>
        <w:jc w:val="both"/>
      </w:pPr>
      <w:r w:rsidRPr="00A51C22">
        <w:t xml:space="preserve">L’inibizione del fattore </w:t>
      </w:r>
      <w:proofErr w:type="spellStart"/>
      <w:r w:rsidRPr="00A51C22">
        <w:t>Xa</w:t>
      </w:r>
      <w:proofErr w:type="spellEnd"/>
      <w:r w:rsidRPr="00A51C22">
        <w:t xml:space="preserve"> interrompe le vie intrinseca ed estrinseca della cascata della coagulazione e inibisce sia la formazione di trombina, sia lo sviluppo di trombi. </w:t>
      </w:r>
      <w:proofErr w:type="spellStart"/>
      <w:r w:rsidRPr="00A51C22">
        <w:t>Rivaroxaban</w:t>
      </w:r>
      <w:proofErr w:type="spellEnd"/>
      <w:r w:rsidRPr="00A51C22">
        <w:t xml:space="preserve"> non inibisce la trombina (fattore II attivato) e non ne è stato dimostrato alcun effetto sulle piastrine.</w:t>
      </w:r>
    </w:p>
    <w:p w14:paraId="6648CB61" w14:textId="77777777" w:rsidR="00A51C22" w:rsidRPr="00A51C22" w:rsidRDefault="00A51C22" w:rsidP="00A51C22">
      <w:pPr>
        <w:spacing w:after="0"/>
        <w:ind w:left="113"/>
        <w:jc w:val="both"/>
      </w:pPr>
    </w:p>
    <w:p w14:paraId="11AF3AE2" w14:textId="4548D43C" w:rsidR="00A51C22" w:rsidRPr="00A51C22" w:rsidRDefault="00A51C22" w:rsidP="00A51C2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bookmarkStart w:id="3" w:name="_Hlk57975533"/>
      <w:r w:rsidRPr="00A51C22">
        <w:rPr>
          <w:rFonts w:eastAsia="Calibri" w:cs="Calibri"/>
          <w:color w:val="000000"/>
          <w:lang w:eastAsia="it-IT"/>
        </w:rPr>
        <w:t xml:space="preserve">Di seguito le indicazioni terapeutiche di </w:t>
      </w:r>
      <w:r w:rsidR="008A0BBC">
        <w:rPr>
          <w:rFonts w:eastAsia="Calibri" w:cs="Calibri"/>
          <w:color w:val="000000"/>
          <w:lang w:eastAsia="it-IT"/>
        </w:rPr>
        <w:t>INDIFAXA</w:t>
      </w:r>
      <w:r w:rsidRPr="00A51C22">
        <w:rPr>
          <w:rFonts w:eastAsia="Calibri" w:cs="Calibri"/>
          <w:color w:val="000000"/>
          <w:lang w:eastAsia="it-IT"/>
        </w:rPr>
        <w:t xml:space="preserve"> </w:t>
      </w:r>
      <w:r w:rsidRPr="00A51C22">
        <w:t>suddivise per dosaggio.</w:t>
      </w:r>
    </w:p>
    <w:p w14:paraId="0A72A022" w14:textId="77777777" w:rsidR="00A51C22" w:rsidRPr="00A51C22" w:rsidRDefault="00A51C22" w:rsidP="00A51C2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bookmarkStart w:id="4" w:name="_Hlk57975484"/>
      <w:bookmarkEnd w:id="3"/>
    </w:p>
    <w:p w14:paraId="6A75FC62" w14:textId="3EE38CA9" w:rsidR="00A51C22" w:rsidRPr="00A51C22" w:rsidRDefault="008A0BBC" w:rsidP="00A51C2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u w:val="single"/>
        </w:rPr>
      </w:pPr>
      <w:r>
        <w:rPr>
          <w:u w:val="single"/>
        </w:rPr>
        <w:t>INDIFAXA</w:t>
      </w:r>
      <w:r w:rsidR="00A51C22" w:rsidRPr="00A51C22">
        <w:rPr>
          <w:u w:val="single"/>
        </w:rPr>
        <w:t xml:space="preserve"> 10 mg compresse rivestite con film</w:t>
      </w:r>
    </w:p>
    <w:p w14:paraId="4B60391B" w14:textId="77777777" w:rsidR="00A51C22" w:rsidRPr="00A51C22" w:rsidRDefault="00A51C22" w:rsidP="00A51C2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457BA42A" w14:textId="77777777" w:rsidR="00A51C22" w:rsidRPr="00A51C22" w:rsidRDefault="00A51C22" w:rsidP="00A51C2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A51C22">
        <w:t>Prevenzione del tromboembolismo venoso (TEV) nei pazienti adulti sottoposti a interventi di sostituzione elettiva di anca o di ginocchio.</w:t>
      </w:r>
    </w:p>
    <w:p w14:paraId="3355B38E" w14:textId="77777777" w:rsidR="00A51C22" w:rsidRPr="00A51C22" w:rsidRDefault="00A51C22" w:rsidP="00A51C2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79D60F52" w14:textId="77777777" w:rsidR="00A51C22" w:rsidRPr="00A51C22" w:rsidRDefault="00A51C22" w:rsidP="00A51C2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A51C22">
        <w:t>Trattamento della trombosi venosa profonda (TVP) e dell’embolia polmonare (EP) e prevenzione delle recidive di TVP ed EP nell’adulto. (Vedere paragrafo 4.4 RCP per pazienti EP emodinamicamente instabili.)</w:t>
      </w:r>
    </w:p>
    <w:p w14:paraId="2416BA98" w14:textId="77777777" w:rsidR="00A51C22" w:rsidRPr="00A51C22" w:rsidRDefault="00A51C22" w:rsidP="00A51C2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17013229" w14:textId="7824F7F3" w:rsidR="00A51C22" w:rsidRPr="00A51C22" w:rsidRDefault="008A0BBC" w:rsidP="00A51C2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rPr>
          <w:u w:val="single"/>
        </w:rPr>
        <w:t>INDIFAXA</w:t>
      </w:r>
      <w:r w:rsidR="00A51C22" w:rsidRPr="00A51C22">
        <w:rPr>
          <w:u w:val="single"/>
        </w:rPr>
        <w:t xml:space="preserve"> 15 mg compresse rivestite con film </w:t>
      </w:r>
    </w:p>
    <w:p w14:paraId="23EE19AD" w14:textId="77777777" w:rsidR="00A51C22" w:rsidRPr="00A51C22" w:rsidRDefault="00A51C22" w:rsidP="00A51C2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005BBFF8" w14:textId="77777777" w:rsidR="00A51C22" w:rsidRPr="00A51C22" w:rsidRDefault="00A51C22" w:rsidP="00A51C2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u w:val="single"/>
        </w:rPr>
      </w:pPr>
      <w:r w:rsidRPr="00A51C22">
        <w:rPr>
          <w:i/>
          <w:u w:val="single"/>
        </w:rPr>
        <w:t>Adulti</w:t>
      </w:r>
    </w:p>
    <w:p w14:paraId="5AE03075" w14:textId="02990F9B" w:rsidR="00A51C22" w:rsidRPr="00A51C22" w:rsidRDefault="00A51C22" w:rsidP="00A51C2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A51C22">
        <w:lastRenderedPageBreak/>
        <w:t>Prevenzione dell’ictus e dell’embolia sistemica nei pazienti affetti da fibrillazione atriale non valvolare con uno o più fattori di rischio, come insufficienza cardiaca congestizia, ipertensione, età ≥ 75 anni, diabete mellito, pregresso ictus o attacco ischemico transitorio.</w:t>
      </w:r>
    </w:p>
    <w:p w14:paraId="65AFEE84" w14:textId="77777777" w:rsidR="00A51C22" w:rsidRPr="00A51C22" w:rsidRDefault="00A51C22" w:rsidP="00A51C2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295E2967" w14:textId="77777777" w:rsidR="00A51C22" w:rsidRPr="00A51C22" w:rsidRDefault="00A51C22" w:rsidP="00A51C2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A51C22">
        <w:t>Trattamento della trombosi venosa profonda (TVP) e dell’embolia polmonare (EP) e prevenzione delle recidive di TVP ed EP nell’adulto. (Vedere paragrafo 4.4 RCP per pazienti EP emodinamicamente instabili)</w:t>
      </w:r>
    </w:p>
    <w:p w14:paraId="1C671A07" w14:textId="77777777" w:rsidR="00A51C22" w:rsidRPr="00A51C22" w:rsidRDefault="00A51C22" w:rsidP="00A51C2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3A5E4E91" w14:textId="77777777" w:rsidR="00A51C22" w:rsidRPr="00A51C22" w:rsidRDefault="00A51C22" w:rsidP="00A51C2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u w:val="single"/>
        </w:rPr>
      </w:pPr>
      <w:r w:rsidRPr="00A51C22">
        <w:rPr>
          <w:i/>
          <w:u w:val="single"/>
        </w:rPr>
        <w:t xml:space="preserve">Popolazione pediatrica </w:t>
      </w:r>
    </w:p>
    <w:p w14:paraId="4EF8EA37" w14:textId="77777777" w:rsidR="00A51C22" w:rsidRPr="00A51C22" w:rsidRDefault="00A51C22" w:rsidP="00A51C2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A51C22">
        <w:t>Trattamento del tromboembolismo venoso (TEV) e prevenzione delle recidive di TEV nei bambini e negli adolescenti di età inferiore a 18 anni e peso compreso tra 30 kg e 50 kg dopo almeno 5 giorni di trattamento anticoagulante parenterale iniziale.</w:t>
      </w:r>
    </w:p>
    <w:p w14:paraId="3E3E1C25" w14:textId="77777777" w:rsidR="00A51C22" w:rsidRPr="00A51C22" w:rsidRDefault="00A51C22" w:rsidP="00A51C2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6FCA7AF3" w14:textId="77777777" w:rsidR="00A51C22" w:rsidRPr="00A51C22" w:rsidRDefault="00A51C22" w:rsidP="00A51C2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45DBAF5E" w14:textId="38E7F9C8" w:rsidR="00A51C22" w:rsidRPr="00A51C22" w:rsidRDefault="00011749" w:rsidP="00A51C2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u w:val="single"/>
        </w:rPr>
      </w:pPr>
      <w:r>
        <w:rPr>
          <w:u w:val="single"/>
        </w:rPr>
        <w:t>INDIFAXA</w:t>
      </w:r>
      <w:r w:rsidR="00A51C22" w:rsidRPr="00A51C22">
        <w:rPr>
          <w:u w:val="single"/>
        </w:rPr>
        <w:t xml:space="preserve"> 20 mg compresse rivestite con film</w:t>
      </w:r>
    </w:p>
    <w:p w14:paraId="17E382FD" w14:textId="77777777" w:rsidR="00A51C22" w:rsidRPr="00A51C22" w:rsidRDefault="00A51C22" w:rsidP="00A51C2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0E24F596" w14:textId="77777777" w:rsidR="00A51C22" w:rsidRPr="00A51C22" w:rsidRDefault="00A51C22" w:rsidP="00A51C2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011749">
        <w:rPr>
          <w:i/>
          <w:u w:val="single"/>
        </w:rPr>
        <w:t>Adulti</w:t>
      </w:r>
    </w:p>
    <w:p w14:paraId="3AEE2E85" w14:textId="77777777" w:rsidR="00A51C22" w:rsidRPr="00A51C22" w:rsidRDefault="00A51C22" w:rsidP="00A51C2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A51C22">
        <w:t>Prevenzione dell’ictus e dell’embolia sistemica nei pazienti adulti affetti da fibrillazione atriale non valvolare con uno o più fattori di rischio, come insufficienza cardiaca congestizia, ipertensione, età ≥ 75 anni, diabete mellito, pregresso ictus o attacco ischemico transitorio.</w:t>
      </w:r>
    </w:p>
    <w:p w14:paraId="5E7B728A" w14:textId="77777777" w:rsidR="00A51C22" w:rsidRPr="00A51C22" w:rsidRDefault="00A51C22" w:rsidP="00A51C2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40E60A40" w14:textId="77777777" w:rsidR="00A51C22" w:rsidRPr="00A51C22" w:rsidRDefault="00A51C22" w:rsidP="00A51C2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A51C22">
        <w:t>Trattamento della trombosi venosa profonda (TVP) e dell’embolia polmonare (EP) e prevenzione delle recidive di TVP ed EP nell’adulto. (Vedere paragrafo 4.4 RCP per pazienti EP emodinamicamente instabili).</w:t>
      </w:r>
    </w:p>
    <w:p w14:paraId="5424053A" w14:textId="77777777" w:rsidR="00A51C22" w:rsidRPr="00A51C22" w:rsidRDefault="00A51C22" w:rsidP="00A51C2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04E962F5" w14:textId="77777777" w:rsidR="00A51C22" w:rsidRPr="00A51C22" w:rsidRDefault="00A51C22" w:rsidP="00A51C2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u w:val="single"/>
        </w:rPr>
      </w:pPr>
      <w:r w:rsidRPr="00A51C22">
        <w:rPr>
          <w:i/>
          <w:u w:val="single"/>
        </w:rPr>
        <w:t xml:space="preserve">Popolazione pediatrica </w:t>
      </w:r>
    </w:p>
    <w:p w14:paraId="0885FF2A" w14:textId="6A02A372" w:rsidR="00A51C22" w:rsidRPr="00A51C22" w:rsidRDefault="00A51C22" w:rsidP="00A51C2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A51C22">
        <w:t xml:space="preserve">Trattamento del tromboembolismo venoso (TEV) e prevenzione delle recidive di TEV nei bambini e negli adolescenti di età inferiore a 18 anni e peso </w:t>
      </w:r>
      <w:r w:rsidR="007B587B">
        <w:t xml:space="preserve">superiore a </w:t>
      </w:r>
      <w:r w:rsidRPr="00A51C22">
        <w:t>50 kg dopo almeno 5 giorni di trattamento anticoagulante parenterale iniziale.</w:t>
      </w:r>
    </w:p>
    <w:bookmarkEnd w:id="4"/>
    <w:p w14:paraId="219A8237" w14:textId="36662CF9" w:rsidR="00A51C22" w:rsidRPr="00A51C22" w:rsidRDefault="00A51C22" w:rsidP="00A51C22">
      <w:pPr>
        <w:spacing w:after="0" w:line="240" w:lineRule="auto"/>
        <w:jc w:val="both"/>
      </w:pPr>
    </w:p>
    <w:p w14:paraId="3F822B9B" w14:textId="5B46E564" w:rsidR="00A51C22" w:rsidRPr="00A51C22" w:rsidRDefault="00A51C22" w:rsidP="00A51C22">
      <w:pPr>
        <w:spacing w:after="0" w:line="240" w:lineRule="auto"/>
        <w:jc w:val="both"/>
      </w:pPr>
      <w:r w:rsidRPr="00731800">
        <w:t xml:space="preserve">La richiesta di AIC è supportata da due studi di </w:t>
      </w:r>
      <w:proofErr w:type="spellStart"/>
      <w:r w:rsidRPr="00731800">
        <w:t>bioequivalenza</w:t>
      </w:r>
      <w:proofErr w:type="spellEnd"/>
      <w:r w:rsidRPr="00731800">
        <w:t xml:space="preserve"> che hanno confrontato i profili farmacocinetici del medicinale test </w:t>
      </w:r>
      <w:r w:rsidR="00011749" w:rsidRPr="00731800">
        <w:rPr>
          <w:rFonts w:eastAsia="Calibri" w:cs="Calibri"/>
          <w:color w:val="000000"/>
          <w:lang w:eastAsia="it-IT"/>
        </w:rPr>
        <w:t>INDIFAXA</w:t>
      </w:r>
      <w:r w:rsidRPr="00731800">
        <w:rPr>
          <w:rFonts w:eastAsia="Calibri" w:cs="Calibri"/>
          <w:color w:val="000000"/>
          <w:lang w:eastAsia="it-IT"/>
        </w:rPr>
        <w:t xml:space="preserve"> </w:t>
      </w:r>
      <w:r w:rsidRPr="00731800">
        <w:t xml:space="preserve">e quelli del medicinale di riferimento </w:t>
      </w:r>
      <w:proofErr w:type="spellStart"/>
      <w:r w:rsidRPr="00731800">
        <w:t>Xarelto</w:t>
      </w:r>
      <w:proofErr w:type="spellEnd"/>
      <w:r w:rsidRPr="00731800">
        <w:t xml:space="preserve"> autorizzato in Italia. La </w:t>
      </w:r>
      <w:proofErr w:type="spellStart"/>
      <w:r w:rsidRPr="00731800">
        <w:t>bioequivalenza</w:t>
      </w:r>
      <w:proofErr w:type="spellEnd"/>
      <w:r w:rsidRPr="00731800">
        <w:t xml:space="preserve"> è stata valutata con i dosaggi da 10 mg, 20 mg ed è stato accettato un approccio di estrapolazione (</w:t>
      </w:r>
      <w:proofErr w:type="spellStart"/>
      <w:r w:rsidRPr="00731800">
        <w:t>biowaiver</w:t>
      </w:r>
      <w:proofErr w:type="spellEnd"/>
      <w:r w:rsidRPr="00731800">
        <w:t>) per il dosaggio da 15 mg.</w:t>
      </w:r>
    </w:p>
    <w:p w14:paraId="7FCFB8EA" w14:textId="77777777" w:rsidR="00A51C22" w:rsidRPr="00A51C22" w:rsidRDefault="00A51C22" w:rsidP="00A51C22">
      <w:pPr>
        <w:spacing w:after="0" w:line="240" w:lineRule="auto"/>
        <w:jc w:val="both"/>
      </w:pPr>
    </w:p>
    <w:p w14:paraId="5EF5E084" w14:textId="77777777" w:rsidR="00A51C22" w:rsidRPr="00A51C22" w:rsidRDefault="00A51C22" w:rsidP="00A51C22">
      <w:pPr>
        <w:spacing w:after="0" w:line="240" w:lineRule="auto"/>
        <w:jc w:val="both"/>
      </w:pPr>
      <w:r w:rsidRPr="00A51C22">
        <w:t xml:space="preserve">Gli studi di </w:t>
      </w:r>
      <w:proofErr w:type="spellStart"/>
      <w:r w:rsidRPr="00A51C22">
        <w:t>bioequivalenza</w:t>
      </w:r>
      <w:proofErr w:type="spellEnd"/>
      <w:r w:rsidRPr="00A51C22">
        <w:t xml:space="preserve"> sono stati condotti in conformità alle linee guida di Buona Pratica Clinica (</w:t>
      </w:r>
      <w:proofErr w:type="spellStart"/>
      <w:r w:rsidRPr="00A51C22">
        <w:rPr>
          <w:i/>
        </w:rPr>
        <w:t>Good</w:t>
      </w:r>
      <w:proofErr w:type="spellEnd"/>
      <w:r w:rsidRPr="00A51C22">
        <w:rPr>
          <w:i/>
        </w:rPr>
        <w:t xml:space="preserve"> </w:t>
      </w:r>
      <w:proofErr w:type="spellStart"/>
      <w:r w:rsidRPr="00A51C22">
        <w:rPr>
          <w:i/>
        </w:rPr>
        <w:t>Clinical</w:t>
      </w:r>
      <w:proofErr w:type="spellEnd"/>
      <w:r w:rsidRPr="00A51C22">
        <w:rPr>
          <w:i/>
        </w:rPr>
        <w:t xml:space="preserve"> </w:t>
      </w:r>
      <w:proofErr w:type="spellStart"/>
      <w:r w:rsidRPr="00A51C22">
        <w:rPr>
          <w:i/>
        </w:rPr>
        <w:t>Practice</w:t>
      </w:r>
      <w:proofErr w:type="spellEnd"/>
      <w:r w:rsidRPr="00A51C22">
        <w:t xml:space="preserve"> - GCP).</w:t>
      </w:r>
    </w:p>
    <w:p w14:paraId="19B31D5E" w14:textId="77777777" w:rsidR="00A51C22" w:rsidRPr="00A51C22" w:rsidRDefault="00A51C22" w:rsidP="00A51C22">
      <w:pPr>
        <w:spacing w:after="0" w:line="240" w:lineRule="auto"/>
        <w:jc w:val="both"/>
      </w:pPr>
    </w:p>
    <w:p w14:paraId="077A6AD4" w14:textId="77777777" w:rsidR="00A51C22" w:rsidRPr="00A51C22" w:rsidRDefault="00A51C22" w:rsidP="00A51C22">
      <w:pPr>
        <w:spacing w:after="0" w:line="240" w:lineRule="auto"/>
        <w:jc w:val="both"/>
      </w:pPr>
      <w:r w:rsidRPr="00A51C22">
        <w:t>Le officine coinvolte nella produzione sono conformi alle linee guida di Buona Pratica di Fabbricazione (</w:t>
      </w:r>
      <w:proofErr w:type="spellStart"/>
      <w:r w:rsidRPr="00A51C22">
        <w:rPr>
          <w:i/>
        </w:rPr>
        <w:t>Good</w:t>
      </w:r>
      <w:proofErr w:type="spellEnd"/>
      <w:r w:rsidRPr="00A51C22">
        <w:rPr>
          <w:i/>
        </w:rPr>
        <w:t xml:space="preserve"> Manufacturing </w:t>
      </w:r>
      <w:proofErr w:type="spellStart"/>
      <w:r w:rsidRPr="00A51C22">
        <w:rPr>
          <w:i/>
        </w:rPr>
        <w:t>Practice</w:t>
      </w:r>
      <w:proofErr w:type="spellEnd"/>
      <w:r w:rsidRPr="00A51C22">
        <w:t xml:space="preserve"> - GMP). Le autorità </w:t>
      </w:r>
      <w:proofErr w:type="spellStart"/>
      <w:r w:rsidRPr="00A51C22">
        <w:t>regolatorie</w:t>
      </w:r>
      <w:proofErr w:type="spellEnd"/>
      <w:r w:rsidRPr="00A51C22">
        <w:t xml:space="preserve"> competenti hanno rilasciato i certificati GMP per i siti di produzione sul territorio dell’Unione Europea.</w:t>
      </w:r>
    </w:p>
    <w:p w14:paraId="7E610C05" w14:textId="77777777" w:rsidR="00A51C22" w:rsidRPr="00A51C22" w:rsidRDefault="00A51C22" w:rsidP="00A51C22">
      <w:pPr>
        <w:spacing w:after="0" w:line="240" w:lineRule="auto"/>
        <w:jc w:val="both"/>
        <w:rPr>
          <w:highlight w:val="yellow"/>
        </w:rPr>
      </w:pPr>
    </w:p>
    <w:p w14:paraId="6C17272E" w14:textId="77777777" w:rsidR="00A51C22" w:rsidRDefault="00A51C22" w:rsidP="008971B7">
      <w:pPr>
        <w:spacing w:after="0" w:line="240" w:lineRule="auto"/>
        <w:jc w:val="both"/>
      </w:pPr>
      <w:r w:rsidRPr="00A51C22">
        <w:t>Il sistema di Farmacovigilanza descritto dal titolare dell’AIC è conforme ai requisiti previsti dalla normativa corrente. È stato presentato un Piano di gestione del rischio (</w:t>
      </w:r>
      <w:proofErr w:type="spellStart"/>
      <w:r w:rsidRPr="00A51C22">
        <w:rPr>
          <w:i/>
        </w:rPr>
        <w:t>Risk</w:t>
      </w:r>
      <w:proofErr w:type="spellEnd"/>
      <w:r w:rsidRPr="00A51C22">
        <w:rPr>
          <w:i/>
        </w:rPr>
        <w:t xml:space="preserve"> Management Plan</w:t>
      </w:r>
      <w:r w:rsidRPr="00A51C22">
        <w:t xml:space="preserve"> – RMP) accettabile.</w:t>
      </w:r>
      <w:r w:rsidR="00F8666A" w:rsidRPr="00F8666A">
        <w:t xml:space="preserve"> </w:t>
      </w:r>
      <w:r w:rsidR="00F8666A" w:rsidRPr="0071234F">
        <w:t>Sono previste misure addizionali di minimizzazione del rischio (</w:t>
      </w:r>
      <w:proofErr w:type="spellStart"/>
      <w:r w:rsidR="00F8666A" w:rsidRPr="0071234F">
        <w:t>aRMMs</w:t>
      </w:r>
      <w:proofErr w:type="spellEnd"/>
      <w:r w:rsidR="00F8666A" w:rsidRPr="0071234F">
        <w:t>)</w:t>
      </w:r>
      <w:r w:rsidR="008971B7" w:rsidRPr="0071234F">
        <w:t>: Materiale Educazionale per gli Operatori Sanitari e Scheda di allerta per il paziente.</w:t>
      </w:r>
    </w:p>
    <w:p w14:paraId="4F470A38" w14:textId="77777777" w:rsidR="008971B7" w:rsidRPr="00A51C22" w:rsidRDefault="008971B7" w:rsidP="008971B7">
      <w:pPr>
        <w:spacing w:after="0" w:line="240" w:lineRule="auto"/>
        <w:jc w:val="both"/>
      </w:pPr>
    </w:p>
    <w:p w14:paraId="735FDF95" w14:textId="56867791" w:rsidR="00A51C22" w:rsidRPr="00A51C22" w:rsidRDefault="00131393" w:rsidP="00A51C22">
      <w:pPr>
        <w:spacing w:after="0" w:line="240" w:lineRule="auto"/>
        <w:jc w:val="both"/>
      </w:pPr>
      <w:r w:rsidRPr="00131393">
        <w:t xml:space="preserve">Il titolare di AIC ha presentato una adeguata documentazione relativa alla valutazione del rischio ambientale da cui si evince che l’immissione in commercio di </w:t>
      </w:r>
      <w:r>
        <w:t>INDIFAXA</w:t>
      </w:r>
      <w:r w:rsidRPr="00131393">
        <w:t xml:space="preserve"> contenente </w:t>
      </w:r>
      <w:proofErr w:type="spellStart"/>
      <w:r>
        <w:t>rivaroxaban</w:t>
      </w:r>
      <w:proofErr w:type="spellEnd"/>
      <w:r w:rsidRPr="00131393">
        <w:t xml:space="preserve"> nella formulazione proposta non comporta rischi per l’ambiente.</w:t>
      </w:r>
    </w:p>
    <w:p w14:paraId="40113DC8" w14:textId="77777777" w:rsidR="00A51C22" w:rsidRPr="00A51C22" w:rsidRDefault="00A51C22" w:rsidP="00A51C22">
      <w:pPr>
        <w:spacing w:after="0" w:line="240" w:lineRule="auto"/>
        <w:jc w:val="both"/>
      </w:pPr>
    </w:p>
    <w:p w14:paraId="707BF5CC" w14:textId="77777777" w:rsidR="00A51C22" w:rsidRPr="00A51C22" w:rsidRDefault="00A51C22" w:rsidP="00A51C22">
      <w:pPr>
        <w:spacing w:after="0" w:line="240" w:lineRule="auto"/>
        <w:jc w:val="both"/>
      </w:pPr>
    </w:p>
    <w:p w14:paraId="5E9192A3" w14:textId="77777777" w:rsidR="00A51C22" w:rsidRPr="00A51C22" w:rsidRDefault="00A51C22" w:rsidP="00A51C22">
      <w:pPr>
        <w:numPr>
          <w:ilvl w:val="0"/>
          <w:numId w:val="2"/>
        </w:numPr>
        <w:spacing w:after="0" w:line="240" w:lineRule="auto"/>
        <w:contextualSpacing/>
        <w:jc w:val="both"/>
        <w:rPr>
          <w:b/>
        </w:rPr>
      </w:pPr>
      <w:r w:rsidRPr="00A51C22">
        <w:rPr>
          <w:b/>
        </w:rPr>
        <w:t>ASPETTI DI QUALITA’</w:t>
      </w:r>
    </w:p>
    <w:p w14:paraId="11B3570D" w14:textId="77777777" w:rsidR="00A51C22" w:rsidRPr="00A51C22" w:rsidRDefault="00A51C22" w:rsidP="00A51C22">
      <w:pPr>
        <w:spacing w:after="0" w:line="240" w:lineRule="auto"/>
        <w:jc w:val="both"/>
        <w:rPr>
          <w:i/>
        </w:rPr>
      </w:pPr>
      <w:r w:rsidRPr="00A51C22">
        <w:rPr>
          <w:b/>
        </w:rPr>
        <w:t>II.1 PRINCIPIO ATTIVO RIVAROXABAN</w:t>
      </w:r>
    </w:p>
    <w:p w14:paraId="281F4D6A" w14:textId="77777777" w:rsidR="00A51C22" w:rsidRPr="00A51C22" w:rsidRDefault="00A51C22" w:rsidP="00A51C22">
      <w:pPr>
        <w:spacing w:after="0" w:line="240" w:lineRule="auto"/>
        <w:jc w:val="both"/>
      </w:pPr>
    </w:p>
    <w:p w14:paraId="53E99E1E" w14:textId="77777777" w:rsidR="00A51C22" w:rsidRPr="00A51C22" w:rsidRDefault="00A51C22" w:rsidP="00A51C22">
      <w:pPr>
        <w:spacing w:after="0" w:line="240" w:lineRule="auto"/>
        <w:jc w:val="both"/>
        <w:rPr>
          <w:u w:val="single"/>
        </w:rPr>
      </w:pPr>
      <w:r w:rsidRPr="00A51C22">
        <w:rPr>
          <w:u w:val="single"/>
        </w:rPr>
        <w:lastRenderedPageBreak/>
        <w:t>Nome chimico:</w:t>
      </w:r>
      <w:r w:rsidRPr="00A51C22">
        <w:rPr>
          <w:i/>
          <w:iCs/>
        </w:rPr>
        <w:t xml:space="preserve"> </w:t>
      </w:r>
      <w:r w:rsidRPr="00A51C22">
        <w:rPr>
          <w:rFonts w:cs="Calibri"/>
        </w:rPr>
        <w:t>5-cloro-N</w:t>
      </w:r>
      <w:proofErr w:type="gramStart"/>
      <w:r w:rsidRPr="00A51C22">
        <w:rPr>
          <w:rFonts w:cs="Calibri"/>
        </w:rPr>
        <w:t>-{</w:t>
      </w:r>
      <w:proofErr w:type="gramEnd"/>
      <w:r w:rsidRPr="00A51C22">
        <w:rPr>
          <w:rFonts w:cs="Calibri"/>
        </w:rPr>
        <w:t xml:space="preserve">[(5 S)-2-oxo-3-[4-(3-oxomorpholin-4-yl) </w:t>
      </w:r>
      <w:proofErr w:type="spellStart"/>
      <w:r w:rsidRPr="00A51C22">
        <w:rPr>
          <w:rFonts w:cs="Calibri"/>
        </w:rPr>
        <w:t>phenyl</w:t>
      </w:r>
      <w:proofErr w:type="spellEnd"/>
      <w:r w:rsidRPr="00A51C22">
        <w:rPr>
          <w:rFonts w:cs="Calibri"/>
        </w:rPr>
        <w:t>]1,3 - oxazolidin-5-yl]</w:t>
      </w:r>
      <w:proofErr w:type="spellStart"/>
      <w:r w:rsidRPr="00A51C22">
        <w:rPr>
          <w:rFonts w:cs="Calibri"/>
        </w:rPr>
        <w:t>methyl</w:t>
      </w:r>
      <w:proofErr w:type="spellEnd"/>
      <w:r w:rsidRPr="00A51C22">
        <w:rPr>
          <w:rFonts w:cs="Calibri"/>
        </w:rPr>
        <w:t>} t</w:t>
      </w:r>
      <w:r w:rsidRPr="00A51C22">
        <w:rPr>
          <w:u w:val="single"/>
        </w:rPr>
        <w:t xml:space="preserve"> </w:t>
      </w:r>
    </w:p>
    <w:p w14:paraId="4463D118" w14:textId="77777777" w:rsidR="00A51C22" w:rsidRPr="00A51C22" w:rsidRDefault="00A51C22" w:rsidP="00A51C22">
      <w:pPr>
        <w:autoSpaceDE w:val="0"/>
        <w:autoSpaceDN w:val="0"/>
        <w:adjustRightInd w:val="0"/>
        <w:spacing w:after="0" w:line="240" w:lineRule="auto"/>
        <w:rPr>
          <w:highlight w:val="yellow"/>
        </w:rPr>
      </w:pPr>
      <w:r w:rsidRPr="00A51C22">
        <w:rPr>
          <w:rFonts w:cs="Calibri"/>
        </w:rPr>
        <w:t>hiophene-2-carboxamide</w:t>
      </w:r>
    </w:p>
    <w:p w14:paraId="44596AA6" w14:textId="77777777" w:rsidR="00A51C22" w:rsidRPr="00A51C22" w:rsidRDefault="00A51C22" w:rsidP="00A51C22">
      <w:pPr>
        <w:spacing w:after="0" w:line="240" w:lineRule="auto"/>
        <w:jc w:val="both"/>
      </w:pPr>
      <w:r w:rsidRPr="00A51C22">
        <w:rPr>
          <w:u w:val="single"/>
        </w:rPr>
        <w:t>Struttura</w:t>
      </w:r>
      <w:r w:rsidRPr="00A51C22">
        <w:t>:</w:t>
      </w:r>
    </w:p>
    <w:p w14:paraId="355D2F7B" w14:textId="77777777" w:rsidR="00A51C22" w:rsidRPr="00A51C22" w:rsidRDefault="00A51C22" w:rsidP="00A51C22">
      <w:pPr>
        <w:spacing w:after="0" w:line="240" w:lineRule="auto"/>
        <w:jc w:val="center"/>
        <w:rPr>
          <w:highlight w:val="yellow"/>
        </w:rPr>
      </w:pPr>
      <w:r w:rsidRPr="00A51C22">
        <w:rPr>
          <w:rFonts w:cs="Arial"/>
          <w:b/>
          <w:i/>
          <w:noProof/>
          <w:sz w:val="20"/>
          <w:lang w:eastAsia="it-IT"/>
        </w:rPr>
        <w:drawing>
          <wp:inline distT="0" distB="0" distL="0" distR="0" wp14:anchorId="55ADF254" wp14:editId="0D366FF0">
            <wp:extent cx="2100373" cy="997578"/>
            <wp:effectExtent l="1905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0567" cy="997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F35EF8" w14:textId="77777777" w:rsidR="00A51C22" w:rsidRPr="00A51C22" w:rsidRDefault="00A51C22" w:rsidP="00A51C22">
      <w:pPr>
        <w:spacing w:after="0" w:line="240" w:lineRule="auto"/>
        <w:jc w:val="both"/>
      </w:pPr>
      <w:r w:rsidRPr="00A51C22">
        <w:rPr>
          <w:u w:val="single"/>
        </w:rPr>
        <w:t>Formula molecolare</w:t>
      </w:r>
      <w:r w:rsidRPr="00A51C22">
        <w:t>:</w:t>
      </w:r>
      <w:r w:rsidRPr="00A51C22">
        <w:rPr>
          <w:rFonts w:cs="Arial"/>
        </w:rPr>
        <w:t xml:space="preserve"> </w:t>
      </w:r>
      <w:r w:rsidRPr="00A51C22">
        <w:rPr>
          <w:rFonts w:cs="Calibri"/>
        </w:rPr>
        <w:t>C</w:t>
      </w:r>
      <w:r w:rsidRPr="00A51C22">
        <w:rPr>
          <w:rFonts w:cs="Calibri"/>
          <w:vertAlign w:val="subscript"/>
        </w:rPr>
        <w:t>19</w:t>
      </w:r>
      <w:r w:rsidRPr="00A51C22">
        <w:rPr>
          <w:rFonts w:cs="Calibri"/>
        </w:rPr>
        <w:t>H</w:t>
      </w:r>
      <w:r w:rsidRPr="00A51C22">
        <w:rPr>
          <w:rFonts w:cs="Calibri"/>
          <w:vertAlign w:val="subscript"/>
        </w:rPr>
        <w:t>18</w:t>
      </w:r>
      <w:r w:rsidRPr="00A51C22">
        <w:rPr>
          <w:rFonts w:cs="Calibri"/>
        </w:rPr>
        <w:t>ClN</w:t>
      </w:r>
      <w:r w:rsidRPr="00A51C22">
        <w:rPr>
          <w:rFonts w:cs="Calibri"/>
          <w:vertAlign w:val="subscript"/>
        </w:rPr>
        <w:t>3</w:t>
      </w:r>
      <w:r w:rsidRPr="00A51C22">
        <w:rPr>
          <w:rFonts w:cs="Calibri"/>
        </w:rPr>
        <w:t>O</w:t>
      </w:r>
      <w:r w:rsidRPr="00A51C22">
        <w:rPr>
          <w:rFonts w:cs="Calibri"/>
          <w:vertAlign w:val="subscript"/>
        </w:rPr>
        <w:t>5</w:t>
      </w:r>
      <w:r w:rsidRPr="00A51C22">
        <w:rPr>
          <w:rFonts w:cs="Calibri"/>
        </w:rPr>
        <w:t>S</w:t>
      </w:r>
      <w:r w:rsidRPr="00A51C22">
        <w:rPr>
          <w:rFonts w:cs="Calibri"/>
          <w:vertAlign w:val="subscript"/>
        </w:rPr>
        <w:t>2</w:t>
      </w:r>
    </w:p>
    <w:p w14:paraId="5D8F2F67" w14:textId="5A038722" w:rsidR="00A51C22" w:rsidRPr="00A51C22" w:rsidRDefault="00A51C22" w:rsidP="00A51C22">
      <w:pPr>
        <w:spacing w:after="0" w:line="240" w:lineRule="auto"/>
        <w:jc w:val="both"/>
      </w:pPr>
      <w:r w:rsidRPr="00A51C22">
        <w:rPr>
          <w:u w:val="single"/>
        </w:rPr>
        <w:t>Peso molecolare</w:t>
      </w:r>
      <w:r w:rsidRPr="00A51C22">
        <w:t>:</w:t>
      </w:r>
      <w:r w:rsidRPr="00A51C22">
        <w:rPr>
          <w:rFonts w:cs="Arial"/>
          <w:color w:val="252525"/>
          <w:shd w:val="clear" w:color="auto" w:fill="F9F9F9"/>
        </w:rPr>
        <w:t xml:space="preserve"> </w:t>
      </w:r>
      <w:r w:rsidRPr="00A51C22">
        <w:rPr>
          <w:rFonts w:cs="Calibri"/>
        </w:rPr>
        <w:t>435.8</w:t>
      </w:r>
      <w:r w:rsidR="00B0598D">
        <w:rPr>
          <w:rFonts w:cs="Calibri"/>
        </w:rPr>
        <w:t>8</w:t>
      </w:r>
      <w:r w:rsidRPr="00A51C22">
        <w:rPr>
          <w:rFonts w:cs="Calibri"/>
        </w:rPr>
        <w:t xml:space="preserve"> </w:t>
      </w:r>
      <w:r w:rsidRPr="00A51C22">
        <w:rPr>
          <w:rFonts w:cs="Arial"/>
        </w:rPr>
        <w:t>g/</w:t>
      </w:r>
      <w:proofErr w:type="spellStart"/>
      <w:r w:rsidRPr="00A51C22">
        <w:rPr>
          <w:rFonts w:cs="Arial"/>
        </w:rPr>
        <w:t>mol</w:t>
      </w:r>
      <w:proofErr w:type="spellEnd"/>
    </w:p>
    <w:p w14:paraId="591A5E0E" w14:textId="77777777" w:rsidR="00A51C22" w:rsidRPr="00A51C22" w:rsidRDefault="00A51C22" w:rsidP="00A51C22">
      <w:pPr>
        <w:spacing w:after="0" w:line="240" w:lineRule="auto"/>
        <w:jc w:val="both"/>
      </w:pPr>
      <w:r w:rsidRPr="00A51C22">
        <w:rPr>
          <w:u w:val="single"/>
        </w:rPr>
        <w:t>CAS</w:t>
      </w:r>
      <w:r w:rsidRPr="00A51C22">
        <w:t>: [366789-02-8]</w:t>
      </w:r>
    </w:p>
    <w:p w14:paraId="63971E8B" w14:textId="77777777" w:rsidR="00A51C22" w:rsidRPr="00A51C22" w:rsidRDefault="00A51C22" w:rsidP="00A51C22">
      <w:pPr>
        <w:spacing w:after="0" w:line="240" w:lineRule="auto"/>
        <w:jc w:val="both"/>
      </w:pPr>
    </w:p>
    <w:p w14:paraId="377BA412" w14:textId="77777777" w:rsidR="00A51C22" w:rsidRPr="00A51C22" w:rsidRDefault="00A51C22" w:rsidP="00A51C22">
      <w:pPr>
        <w:spacing w:after="0" w:line="240" w:lineRule="auto"/>
        <w:jc w:val="both"/>
      </w:pPr>
    </w:p>
    <w:p w14:paraId="1D521DC2" w14:textId="19B3AA10" w:rsidR="00A51C22" w:rsidRPr="00A51C22" w:rsidRDefault="00A51C22" w:rsidP="00A51C22">
      <w:pPr>
        <w:spacing w:after="0" w:line="240" w:lineRule="auto"/>
        <w:jc w:val="both"/>
      </w:pPr>
      <w:r w:rsidRPr="00A51C22">
        <w:rPr>
          <w:u w:val="single"/>
        </w:rPr>
        <w:t>Aspetto</w:t>
      </w:r>
      <w:r w:rsidRPr="00A51C22">
        <w:t xml:space="preserve">: polvere </w:t>
      </w:r>
      <w:r w:rsidR="00B0598D">
        <w:t xml:space="preserve">cristallina </w:t>
      </w:r>
      <w:r w:rsidRPr="00A51C22">
        <w:t>di colore</w:t>
      </w:r>
      <w:r w:rsidR="00B0598D">
        <w:t xml:space="preserve"> da</w:t>
      </w:r>
      <w:r w:rsidRPr="00A51C22">
        <w:t xml:space="preserve"> </w:t>
      </w:r>
      <w:r w:rsidR="00B0598D">
        <w:t xml:space="preserve">quasi </w:t>
      </w:r>
      <w:r w:rsidRPr="00A51C22">
        <w:t xml:space="preserve">bianco </w:t>
      </w:r>
      <w:r w:rsidR="00B0598D">
        <w:t>a bianco</w:t>
      </w:r>
    </w:p>
    <w:p w14:paraId="724C5F6F" w14:textId="77777777" w:rsidR="00A51C22" w:rsidRPr="00A51C22" w:rsidRDefault="00A51C22" w:rsidP="00A51C22">
      <w:pPr>
        <w:spacing w:after="0" w:line="240" w:lineRule="auto"/>
        <w:jc w:val="both"/>
      </w:pPr>
      <w:r w:rsidRPr="00A51C22">
        <w:rPr>
          <w:u w:val="single"/>
        </w:rPr>
        <w:t>Solubilità</w:t>
      </w:r>
      <w:r w:rsidRPr="00A51C22">
        <w:t xml:space="preserve">: praticamente insolubile in acqua, etanolo e metanolo, molto poco solubile in </w:t>
      </w:r>
      <w:proofErr w:type="spellStart"/>
      <w:r w:rsidRPr="00A51C22">
        <w:t>acetonitrile</w:t>
      </w:r>
      <w:proofErr w:type="spellEnd"/>
      <w:r w:rsidRPr="00A51C22">
        <w:t xml:space="preserve"> e acetone, leggermente solubile in acido acetico, solubile in </w:t>
      </w:r>
      <w:proofErr w:type="gramStart"/>
      <w:r w:rsidRPr="00A51C22">
        <w:t>N,N</w:t>
      </w:r>
      <w:proofErr w:type="gramEnd"/>
      <w:r w:rsidRPr="00A51C22">
        <w:t>-</w:t>
      </w:r>
      <w:proofErr w:type="spellStart"/>
      <w:r w:rsidRPr="00A51C22">
        <w:t>dimetilformammide</w:t>
      </w:r>
      <w:proofErr w:type="spellEnd"/>
      <w:r w:rsidRPr="00A51C22">
        <w:t xml:space="preserve"> e </w:t>
      </w:r>
      <w:proofErr w:type="spellStart"/>
      <w:r w:rsidRPr="00A51C22">
        <w:t>dimetilsolfossido</w:t>
      </w:r>
      <w:proofErr w:type="spellEnd"/>
      <w:r w:rsidRPr="00A51C22">
        <w:t>.</w:t>
      </w:r>
    </w:p>
    <w:p w14:paraId="76F61BDC" w14:textId="77777777" w:rsidR="00A51C22" w:rsidRPr="00A51C22" w:rsidRDefault="00A51C22" w:rsidP="00A51C22">
      <w:pPr>
        <w:spacing w:after="0" w:line="240" w:lineRule="auto"/>
        <w:jc w:val="both"/>
        <w:rPr>
          <w:highlight w:val="yellow"/>
        </w:rPr>
      </w:pPr>
    </w:p>
    <w:p w14:paraId="5A97AE8C" w14:textId="4C7A3C33" w:rsidR="00A51C22" w:rsidRPr="00A51C22" w:rsidRDefault="00A51C22" w:rsidP="00A51C22">
      <w:pPr>
        <w:spacing w:after="0" w:line="240" w:lineRule="auto"/>
        <w:jc w:val="both"/>
      </w:pPr>
      <w:r w:rsidRPr="00A51C22">
        <w:t xml:space="preserve">Il principio attivo è presente in Farmacopea Europea; </w:t>
      </w:r>
      <w:bookmarkStart w:id="5" w:name="_Hlk57972736"/>
      <w:r w:rsidRPr="00A51C22">
        <w:t xml:space="preserve">il produttore ha presentato un ASMF. </w:t>
      </w:r>
      <w:bookmarkEnd w:id="5"/>
    </w:p>
    <w:p w14:paraId="081012CB" w14:textId="77777777" w:rsidR="00A51C22" w:rsidRPr="00A51C22" w:rsidRDefault="00A51C22" w:rsidP="00A51C22">
      <w:pPr>
        <w:spacing w:after="0" w:line="240" w:lineRule="auto"/>
        <w:jc w:val="both"/>
      </w:pPr>
      <w:r w:rsidRPr="00A51C22">
        <w:t>La sintesi del principio attivo è stata adeguatamente descritta a partire da idonei materiali di partenza; sono utilizzati appropriati controlli di processo e intermedi di sintesi.</w:t>
      </w:r>
    </w:p>
    <w:p w14:paraId="6BADB8BB" w14:textId="77777777" w:rsidR="00A51C22" w:rsidRPr="00A51C22" w:rsidRDefault="00A51C22" w:rsidP="00A51C22">
      <w:pPr>
        <w:spacing w:after="0" w:line="240" w:lineRule="auto"/>
        <w:jc w:val="both"/>
      </w:pPr>
      <w:r w:rsidRPr="00A51C22">
        <w:t>I materiali e i reagenti utilizzati nella sintesi sono di qualità adeguata.</w:t>
      </w:r>
    </w:p>
    <w:p w14:paraId="0294C69D" w14:textId="77777777" w:rsidR="00A51C22" w:rsidRPr="00A51C22" w:rsidRDefault="00A51C22" w:rsidP="00A51C22">
      <w:pPr>
        <w:spacing w:after="0" w:line="240" w:lineRule="auto"/>
        <w:jc w:val="both"/>
      </w:pPr>
      <w:r w:rsidRPr="00A51C22">
        <w:t xml:space="preserve">I materiali, gli intermedi, i reagenti utilizzati nella sintesi non sono di origine umana, biologica o geneticamente modificata. Sono state fornite prove adeguate della struttura isolata. Tutte le potenziali </w:t>
      </w:r>
      <w:proofErr w:type="spellStart"/>
      <w:r w:rsidRPr="00A51C22">
        <w:t>impurezze</w:t>
      </w:r>
      <w:proofErr w:type="spellEnd"/>
      <w:r w:rsidRPr="00A51C22">
        <w:t xml:space="preserve"> note sono state identificate e caratterizzate.</w:t>
      </w:r>
    </w:p>
    <w:p w14:paraId="20941F12" w14:textId="77777777" w:rsidR="00A51C22" w:rsidRPr="00A51C22" w:rsidRDefault="00A51C22" w:rsidP="00A51C22">
      <w:pPr>
        <w:spacing w:after="0" w:line="240" w:lineRule="auto"/>
        <w:jc w:val="both"/>
      </w:pPr>
      <w:r w:rsidRPr="00A51C22">
        <w:t>Le specifiche del principio attivo sono appropriate e controllate con metodi analitici adeguatamente convalidati. Sono stati forniti certificati analitici che confermano la qualità del principio attivo.</w:t>
      </w:r>
    </w:p>
    <w:p w14:paraId="6D78CB8E" w14:textId="77777777" w:rsidR="00A51C22" w:rsidRPr="00A51C22" w:rsidRDefault="00A51C22" w:rsidP="00A51C22">
      <w:pPr>
        <w:spacing w:after="0"/>
      </w:pPr>
      <w:r w:rsidRPr="00A51C22">
        <w:t>Il principio attivo è confezionato in un adeguato contenitore, per il quale sono stati forniti specifiche e certificati analitici. Il confezionamento primario proposto per il commercio è costituito da materiale di sufficiente qualità: busta in polietilene posta in busta di alluminio, il tutto viene posizionato in un contenitore in fibra.</w:t>
      </w:r>
    </w:p>
    <w:p w14:paraId="4E260B82" w14:textId="77777777" w:rsidR="00A51C22" w:rsidRPr="00A51C22" w:rsidRDefault="00A51C22" w:rsidP="00A51C22">
      <w:pPr>
        <w:spacing w:after="0" w:line="240" w:lineRule="auto"/>
        <w:jc w:val="both"/>
      </w:pPr>
      <w:r w:rsidRPr="00A51C22">
        <w:t xml:space="preserve">Sono stati forniti adeguati studi di stabilità per il principio attivo conservato nel confezionamento proposto per il commercio. Sulla base di questi dati è stato approvato per il principio attivo </w:t>
      </w:r>
      <w:proofErr w:type="spellStart"/>
      <w:r w:rsidRPr="00A51C22">
        <w:t>rivaroxaban</w:t>
      </w:r>
      <w:proofErr w:type="spellEnd"/>
      <w:r w:rsidRPr="00A51C22">
        <w:t xml:space="preserve"> un periodo di </w:t>
      </w:r>
      <w:proofErr w:type="spellStart"/>
      <w:r w:rsidRPr="00A51C22">
        <w:t>retest</w:t>
      </w:r>
      <w:proofErr w:type="spellEnd"/>
      <w:r w:rsidRPr="00A51C22">
        <w:t xml:space="preserve"> di 60 mesi senza alcuna particolare condizione di conservazione.</w:t>
      </w:r>
    </w:p>
    <w:p w14:paraId="24945D0F" w14:textId="77777777" w:rsidR="00A51C22" w:rsidRPr="00A51C22" w:rsidRDefault="00A51C22" w:rsidP="00A51C22">
      <w:pPr>
        <w:spacing w:after="0" w:line="240" w:lineRule="auto"/>
        <w:jc w:val="both"/>
      </w:pPr>
    </w:p>
    <w:p w14:paraId="6AC2D254" w14:textId="77777777" w:rsidR="00A51C22" w:rsidRPr="00A51C22" w:rsidRDefault="00A51C22" w:rsidP="00A51C22">
      <w:pPr>
        <w:spacing w:after="0" w:line="240" w:lineRule="auto"/>
        <w:jc w:val="both"/>
        <w:rPr>
          <w:b/>
        </w:rPr>
      </w:pPr>
      <w:r w:rsidRPr="00A51C22">
        <w:rPr>
          <w:b/>
        </w:rPr>
        <w:t>II.2 PRODOTTO FINITO</w:t>
      </w:r>
    </w:p>
    <w:p w14:paraId="4F0BBE1A" w14:textId="77777777" w:rsidR="00A51C22" w:rsidRPr="00A51C22" w:rsidRDefault="00A51C22" w:rsidP="00A51C22">
      <w:pPr>
        <w:spacing w:after="0" w:line="240" w:lineRule="auto"/>
        <w:jc w:val="both"/>
        <w:rPr>
          <w:b/>
        </w:rPr>
      </w:pPr>
      <w:r w:rsidRPr="00A51C22">
        <w:rPr>
          <w:b/>
        </w:rPr>
        <w:t>Descrizione e composizione</w:t>
      </w:r>
    </w:p>
    <w:p w14:paraId="1088C044" w14:textId="3A29FD04" w:rsidR="00A51C22" w:rsidRPr="00A51C22" w:rsidRDefault="00167CC1" w:rsidP="00A51C22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INDIFAXA</w:t>
      </w:r>
      <w:r w:rsidR="00A51C22" w:rsidRPr="00A51C22">
        <w:rPr>
          <w:rFonts w:eastAsia="Calibri" w:cs="Calibri"/>
          <w:color w:val="000000"/>
          <w:lang w:eastAsia="it-IT"/>
        </w:rPr>
        <w:t xml:space="preserve"> è disponibile in compresse rivestite con film contenenti</w:t>
      </w:r>
      <w:r>
        <w:rPr>
          <w:rFonts w:eastAsia="Calibri" w:cs="Calibri"/>
          <w:color w:val="000000"/>
          <w:lang w:eastAsia="it-IT"/>
        </w:rPr>
        <w:t xml:space="preserve"> </w:t>
      </w:r>
      <w:r w:rsidR="00A51C22" w:rsidRPr="00A51C22">
        <w:rPr>
          <w:rFonts w:eastAsia="Calibri" w:cs="Calibri"/>
          <w:color w:val="000000"/>
          <w:lang w:eastAsia="it-IT"/>
        </w:rPr>
        <w:t>10 mg, 15 mg, 20 mg di principio attivo.</w:t>
      </w:r>
    </w:p>
    <w:p w14:paraId="6944BBDB" w14:textId="77777777" w:rsidR="00A51C22" w:rsidRPr="00A51C22" w:rsidRDefault="00A51C22" w:rsidP="00A51C22">
      <w:pPr>
        <w:widowControl w:val="0"/>
        <w:spacing w:after="0" w:line="240" w:lineRule="auto"/>
        <w:jc w:val="both"/>
      </w:pPr>
    </w:p>
    <w:p w14:paraId="0CE7A185" w14:textId="582D6C06" w:rsidR="00A51C22" w:rsidRPr="00A51C22" w:rsidRDefault="00A51C22" w:rsidP="00A51C22">
      <w:pPr>
        <w:widowControl w:val="0"/>
        <w:spacing w:after="0" w:line="240" w:lineRule="auto"/>
        <w:jc w:val="both"/>
      </w:pPr>
      <w:r w:rsidRPr="00A51C22">
        <w:t xml:space="preserve">Gli eccipienti di </w:t>
      </w:r>
      <w:r w:rsidR="00167CC1">
        <w:rPr>
          <w:rFonts w:eastAsia="Calibri" w:cs="Calibri"/>
          <w:color w:val="000000"/>
          <w:lang w:eastAsia="it-IT"/>
        </w:rPr>
        <w:t>INDIFAXA</w:t>
      </w:r>
      <w:r w:rsidRPr="00A51C22">
        <w:rPr>
          <w:rFonts w:eastAsia="Calibri" w:cs="Calibri"/>
          <w:color w:val="000000"/>
          <w:lang w:eastAsia="it-IT"/>
        </w:rPr>
        <w:t xml:space="preserve"> 10 mg in compresse rivestite con film</w:t>
      </w:r>
      <w:r w:rsidRPr="00A51C22">
        <w:t xml:space="preserve"> sono:</w:t>
      </w:r>
    </w:p>
    <w:p w14:paraId="2D2C2071" w14:textId="77777777" w:rsidR="00A51C22" w:rsidRPr="00A51C22" w:rsidRDefault="00A51C22" w:rsidP="00A51C22">
      <w:pPr>
        <w:widowControl w:val="0"/>
        <w:spacing w:after="0" w:line="240" w:lineRule="auto"/>
        <w:jc w:val="both"/>
        <w:rPr>
          <w:u w:val="single"/>
        </w:rPr>
      </w:pPr>
      <w:r w:rsidRPr="00A51C22">
        <w:rPr>
          <w:u w:val="single"/>
        </w:rPr>
        <w:t>Nucleo della compressa:</w:t>
      </w:r>
    </w:p>
    <w:p w14:paraId="10E56093" w14:textId="77777777" w:rsidR="00A51C22" w:rsidRPr="00A51C22" w:rsidRDefault="00A51C22" w:rsidP="00A51C22">
      <w:pPr>
        <w:widowControl w:val="0"/>
        <w:spacing w:after="0" w:line="240" w:lineRule="auto"/>
        <w:jc w:val="both"/>
      </w:pPr>
      <w:r w:rsidRPr="00A51C22">
        <w:t>Lattosio monoidrato</w:t>
      </w:r>
    </w:p>
    <w:p w14:paraId="4AB6B2DB" w14:textId="77777777" w:rsidR="00A51C22" w:rsidRPr="00A51C22" w:rsidRDefault="00A51C22" w:rsidP="00A51C22">
      <w:pPr>
        <w:widowControl w:val="0"/>
        <w:spacing w:after="0" w:line="240" w:lineRule="auto"/>
        <w:jc w:val="both"/>
      </w:pPr>
      <w:r w:rsidRPr="00A51C22">
        <w:t xml:space="preserve">Cellulosa microcristallina </w:t>
      </w:r>
    </w:p>
    <w:p w14:paraId="5DF85206" w14:textId="77777777" w:rsidR="00A51C22" w:rsidRPr="00A51C22" w:rsidRDefault="00A51C22" w:rsidP="00A51C22">
      <w:pPr>
        <w:widowControl w:val="0"/>
        <w:spacing w:after="0" w:line="240" w:lineRule="auto"/>
        <w:jc w:val="both"/>
      </w:pPr>
      <w:proofErr w:type="spellStart"/>
      <w:r w:rsidRPr="00A51C22">
        <w:t>Croscarmellosa</w:t>
      </w:r>
      <w:proofErr w:type="spellEnd"/>
      <w:r w:rsidRPr="00A51C22">
        <w:t xml:space="preserve"> sodica</w:t>
      </w:r>
    </w:p>
    <w:p w14:paraId="1A6FA18C" w14:textId="619611BF" w:rsidR="00A51C22" w:rsidRPr="00A51C22" w:rsidRDefault="00A51C22" w:rsidP="00A51C22">
      <w:pPr>
        <w:widowControl w:val="0"/>
        <w:spacing w:after="0" w:line="240" w:lineRule="auto"/>
        <w:jc w:val="both"/>
      </w:pPr>
      <w:proofErr w:type="spellStart"/>
      <w:r w:rsidRPr="00A51C22">
        <w:t>Ipromellosa</w:t>
      </w:r>
      <w:proofErr w:type="spellEnd"/>
      <w:r w:rsidRPr="00A51C22">
        <w:t xml:space="preserve"> </w:t>
      </w:r>
    </w:p>
    <w:p w14:paraId="47954AE1" w14:textId="77777777" w:rsidR="00A51C22" w:rsidRPr="00A51C22" w:rsidRDefault="00A51C22" w:rsidP="00A51C22">
      <w:pPr>
        <w:widowControl w:val="0"/>
        <w:spacing w:after="0" w:line="240" w:lineRule="auto"/>
        <w:jc w:val="both"/>
      </w:pPr>
      <w:r w:rsidRPr="00A51C22">
        <w:t xml:space="preserve">Sodio </w:t>
      </w:r>
      <w:proofErr w:type="spellStart"/>
      <w:r w:rsidRPr="00A51C22">
        <w:t>laurilsolfato</w:t>
      </w:r>
      <w:proofErr w:type="spellEnd"/>
    </w:p>
    <w:p w14:paraId="45667D78" w14:textId="77777777" w:rsidR="00A51C22" w:rsidRPr="00A51C22" w:rsidRDefault="00A51C22" w:rsidP="00A51C22">
      <w:pPr>
        <w:widowControl w:val="0"/>
        <w:spacing w:after="0" w:line="240" w:lineRule="auto"/>
        <w:jc w:val="both"/>
      </w:pPr>
      <w:r w:rsidRPr="00A51C22">
        <w:t>Magnesio stearato</w:t>
      </w:r>
    </w:p>
    <w:p w14:paraId="07E8355F" w14:textId="77777777" w:rsidR="00A51C22" w:rsidRPr="00A51C22" w:rsidRDefault="00A51C22" w:rsidP="00A51C22">
      <w:pPr>
        <w:widowControl w:val="0"/>
        <w:spacing w:after="0" w:line="240" w:lineRule="auto"/>
        <w:jc w:val="both"/>
        <w:rPr>
          <w:u w:val="single"/>
        </w:rPr>
      </w:pPr>
      <w:r w:rsidRPr="00A51C22">
        <w:rPr>
          <w:u w:val="single"/>
        </w:rPr>
        <w:t xml:space="preserve"> </w:t>
      </w:r>
    </w:p>
    <w:p w14:paraId="18EC1217" w14:textId="77777777" w:rsidR="007B587B" w:rsidRDefault="00A51C22" w:rsidP="00A51C22">
      <w:pPr>
        <w:widowControl w:val="0"/>
        <w:spacing w:after="0" w:line="240" w:lineRule="auto"/>
        <w:jc w:val="both"/>
        <w:rPr>
          <w:u w:val="single"/>
        </w:rPr>
      </w:pPr>
      <w:r w:rsidRPr="00A51C22">
        <w:rPr>
          <w:u w:val="single"/>
        </w:rPr>
        <w:t>Pellicola di rivestimento</w:t>
      </w:r>
      <w:r w:rsidR="007B587B">
        <w:rPr>
          <w:u w:val="single"/>
        </w:rPr>
        <w:t>:</w:t>
      </w:r>
    </w:p>
    <w:p w14:paraId="21CE7842" w14:textId="7B454896" w:rsidR="00A51C22" w:rsidRPr="00A51C22" w:rsidRDefault="00A51C22" w:rsidP="00A51C22">
      <w:pPr>
        <w:widowControl w:val="0"/>
        <w:spacing w:after="0" w:line="240" w:lineRule="auto"/>
        <w:jc w:val="both"/>
      </w:pPr>
      <w:proofErr w:type="spellStart"/>
      <w:r w:rsidRPr="00A51C22">
        <w:rPr>
          <w:u w:val="single"/>
        </w:rPr>
        <w:t>Ipromellosa</w:t>
      </w:r>
      <w:proofErr w:type="spellEnd"/>
      <w:r w:rsidRPr="00A51C22">
        <w:rPr>
          <w:u w:val="single"/>
        </w:rPr>
        <w:t xml:space="preserve"> </w:t>
      </w:r>
    </w:p>
    <w:p w14:paraId="08E8433D" w14:textId="77777777" w:rsidR="00A51C22" w:rsidRPr="00A51C22" w:rsidRDefault="00A51C22" w:rsidP="00A51C22">
      <w:pPr>
        <w:widowControl w:val="0"/>
        <w:spacing w:after="0" w:line="240" w:lineRule="auto"/>
        <w:jc w:val="both"/>
      </w:pPr>
      <w:proofErr w:type="spellStart"/>
      <w:r w:rsidRPr="00A51C22">
        <w:t>Idrossipropilcellulosa</w:t>
      </w:r>
      <w:proofErr w:type="spellEnd"/>
    </w:p>
    <w:p w14:paraId="516824AB" w14:textId="7F73CEEB" w:rsidR="00A51C22" w:rsidRPr="00A51C22" w:rsidRDefault="00167CC1" w:rsidP="00A51C22">
      <w:pPr>
        <w:widowControl w:val="0"/>
        <w:spacing w:after="0" w:line="240" w:lineRule="auto"/>
        <w:jc w:val="both"/>
      </w:pPr>
      <w:proofErr w:type="spellStart"/>
      <w:r>
        <w:t>Macrogol</w:t>
      </w:r>
      <w:proofErr w:type="spellEnd"/>
      <w:r w:rsidR="00A51C22" w:rsidRPr="00A51C22">
        <w:t xml:space="preserve"> 8000</w:t>
      </w:r>
    </w:p>
    <w:p w14:paraId="2353A617" w14:textId="77777777" w:rsidR="00A51C22" w:rsidRPr="00A51C22" w:rsidRDefault="00A51C22" w:rsidP="00A51C22">
      <w:pPr>
        <w:widowControl w:val="0"/>
        <w:spacing w:after="0" w:line="240" w:lineRule="auto"/>
        <w:jc w:val="both"/>
      </w:pPr>
      <w:r w:rsidRPr="00A51C22">
        <w:t>Titanio diossido (E171)</w:t>
      </w:r>
    </w:p>
    <w:p w14:paraId="5B177E65" w14:textId="77777777" w:rsidR="00A51C22" w:rsidRPr="00A51C22" w:rsidRDefault="00A51C22" w:rsidP="00A51C22">
      <w:pPr>
        <w:widowControl w:val="0"/>
        <w:spacing w:after="0" w:line="240" w:lineRule="auto"/>
        <w:jc w:val="both"/>
      </w:pPr>
      <w:r w:rsidRPr="00A51C22">
        <w:lastRenderedPageBreak/>
        <w:t>Ossido di ferro rosso (E 172)</w:t>
      </w:r>
    </w:p>
    <w:p w14:paraId="2F58D1D1" w14:textId="77777777" w:rsidR="00A51C22" w:rsidRPr="00A51C22" w:rsidRDefault="00A51C22" w:rsidP="00A51C22">
      <w:pPr>
        <w:widowControl w:val="0"/>
        <w:spacing w:after="0" w:line="240" w:lineRule="auto"/>
        <w:jc w:val="both"/>
      </w:pPr>
    </w:p>
    <w:p w14:paraId="7D7612B1" w14:textId="4C4BC7D0" w:rsidR="00A51C22" w:rsidRPr="00A51C22" w:rsidRDefault="00A51C22" w:rsidP="00A51C22">
      <w:pPr>
        <w:widowControl w:val="0"/>
        <w:spacing w:after="0" w:line="240" w:lineRule="auto"/>
        <w:jc w:val="both"/>
      </w:pPr>
      <w:r w:rsidRPr="00A51C22">
        <w:t xml:space="preserve">Gli eccipienti di </w:t>
      </w:r>
      <w:r w:rsidR="00167CC1">
        <w:rPr>
          <w:rFonts w:eastAsia="Calibri" w:cs="Calibri"/>
          <w:color w:val="000000"/>
          <w:lang w:eastAsia="it-IT"/>
        </w:rPr>
        <w:t>INDIFAXA</w:t>
      </w:r>
      <w:r w:rsidRPr="00A51C22">
        <w:rPr>
          <w:rFonts w:eastAsia="Calibri" w:cs="Calibri"/>
          <w:color w:val="000000"/>
          <w:lang w:eastAsia="it-IT"/>
        </w:rPr>
        <w:t xml:space="preserve"> 15 mg in compresse rivestite con film</w:t>
      </w:r>
      <w:r w:rsidRPr="00A51C22">
        <w:t xml:space="preserve"> sono:</w:t>
      </w:r>
    </w:p>
    <w:p w14:paraId="35B8135A" w14:textId="77777777" w:rsidR="00A51C22" w:rsidRPr="00B566B6" w:rsidRDefault="00A51C22" w:rsidP="00A51C22">
      <w:pPr>
        <w:widowControl w:val="0"/>
        <w:spacing w:after="0" w:line="240" w:lineRule="auto"/>
        <w:jc w:val="both"/>
        <w:rPr>
          <w:u w:val="single"/>
        </w:rPr>
      </w:pPr>
      <w:r w:rsidRPr="00B566B6">
        <w:rPr>
          <w:u w:val="single"/>
        </w:rPr>
        <w:t>Nucleo della compressa:</w:t>
      </w:r>
    </w:p>
    <w:p w14:paraId="71CB31B1" w14:textId="77777777" w:rsidR="00A51C22" w:rsidRPr="00A51C22" w:rsidRDefault="00A51C22" w:rsidP="00A51C22">
      <w:pPr>
        <w:widowControl w:val="0"/>
        <w:spacing w:after="0" w:line="240" w:lineRule="auto"/>
        <w:jc w:val="both"/>
      </w:pPr>
      <w:r w:rsidRPr="00A51C22">
        <w:t>Lattosio monoidrato</w:t>
      </w:r>
    </w:p>
    <w:p w14:paraId="1B3E56E1" w14:textId="77777777" w:rsidR="00A51C22" w:rsidRPr="00A51C22" w:rsidRDefault="00A51C22" w:rsidP="00A51C22">
      <w:pPr>
        <w:widowControl w:val="0"/>
        <w:spacing w:after="0" w:line="240" w:lineRule="auto"/>
        <w:jc w:val="both"/>
      </w:pPr>
      <w:r w:rsidRPr="00A51C22">
        <w:t xml:space="preserve">Cellulosa microcristallina </w:t>
      </w:r>
    </w:p>
    <w:p w14:paraId="4197A7B7" w14:textId="77777777" w:rsidR="00A51C22" w:rsidRPr="00A51C22" w:rsidRDefault="00A51C22" w:rsidP="00A51C22">
      <w:pPr>
        <w:widowControl w:val="0"/>
        <w:spacing w:after="0" w:line="240" w:lineRule="auto"/>
        <w:jc w:val="both"/>
      </w:pPr>
      <w:proofErr w:type="spellStart"/>
      <w:r w:rsidRPr="00A51C22">
        <w:t>Croscarmellosa</w:t>
      </w:r>
      <w:proofErr w:type="spellEnd"/>
      <w:r w:rsidRPr="00A51C22">
        <w:t xml:space="preserve"> sodica</w:t>
      </w:r>
    </w:p>
    <w:p w14:paraId="7209F73C" w14:textId="521D81FB" w:rsidR="00A51C22" w:rsidRPr="00A51C22" w:rsidRDefault="00A51C22" w:rsidP="00A51C22">
      <w:pPr>
        <w:widowControl w:val="0"/>
        <w:spacing w:after="0" w:line="240" w:lineRule="auto"/>
        <w:jc w:val="both"/>
      </w:pPr>
      <w:proofErr w:type="spellStart"/>
      <w:r w:rsidRPr="00A51C22">
        <w:t>Ipromellosa</w:t>
      </w:r>
      <w:proofErr w:type="spellEnd"/>
      <w:r w:rsidRPr="00A51C22">
        <w:t xml:space="preserve"> </w:t>
      </w:r>
    </w:p>
    <w:p w14:paraId="035EBE40" w14:textId="77777777" w:rsidR="00A51C22" w:rsidRPr="00A51C22" w:rsidRDefault="00A51C22" w:rsidP="00A51C22">
      <w:pPr>
        <w:widowControl w:val="0"/>
        <w:spacing w:after="0" w:line="240" w:lineRule="auto"/>
        <w:jc w:val="both"/>
      </w:pPr>
      <w:r w:rsidRPr="00A51C22">
        <w:t xml:space="preserve">Sodio </w:t>
      </w:r>
      <w:proofErr w:type="spellStart"/>
      <w:r w:rsidRPr="00A51C22">
        <w:t>laurilsolfato</w:t>
      </w:r>
      <w:proofErr w:type="spellEnd"/>
    </w:p>
    <w:p w14:paraId="64B53DB1" w14:textId="77777777" w:rsidR="00A51C22" w:rsidRPr="00A51C22" w:rsidRDefault="00A51C22" w:rsidP="00A51C22">
      <w:pPr>
        <w:widowControl w:val="0"/>
        <w:spacing w:after="0" w:line="240" w:lineRule="auto"/>
        <w:jc w:val="both"/>
      </w:pPr>
      <w:r w:rsidRPr="00A51C22">
        <w:t>Magnesio stearato</w:t>
      </w:r>
    </w:p>
    <w:p w14:paraId="180CA218" w14:textId="77777777" w:rsidR="00A51C22" w:rsidRPr="00B566B6" w:rsidRDefault="00A51C22" w:rsidP="00A51C22">
      <w:pPr>
        <w:widowControl w:val="0"/>
        <w:spacing w:after="0" w:line="240" w:lineRule="auto"/>
        <w:jc w:val="both"/>
      </w:pPr>
    </w:p>
    <w:p w14:paraId="37B330AF" w14:textId="77777777" w:rsidR="00A51C22" w:rsidRPr="00B566B6" w:rsidRDefault="00A51C22" w:rsidP="00A51C22">
      <w:pPr>
        <w:widowControl w:val="0"/>
        <w:spacing w:after="0" w:line="240" w:lineRule="auto"/>
        <w:jc w:val="both"/>
        <w:rPr>
          <w:u w:val="single"/>
        </w:rPr>
      </w:pPr>
      <w:r w:rsidRPr="00B566B6">
        <w:rPr>
          <w:u w:val="single"/>
        </w:rPr>
        <w:t>Pellicola di rivestimento:</w:t>
      </w:r>
    </w:p>
    <w:p w14:paraId="1C805CD4" w14:textId="65ED0D20" w:rsidR="00A51C22" w:rsidRPr="00A51C22" w:rsidRDefault="00A51C22" w:rsidP="00A51C22">
      <w:pPr>
        <w:widowControl w:val="0"/>
        <w:spacing w:after="0" w:line="240" w:lineRule="auto"/>
        <w:jc w:val="both"/>
      </w:pPr>
      <w:proofErr w:type="spellStart"/>
      <w:r w:rsidRPr="00A51C22">
        <w:t>Ipromellosa</w:t>
      </w:r>
      <w:proofErr w:type="spellEnd"/>
      <w:r w:rsidRPr="00A51C22">
        <w:t xml:space="preserve"> </w:t>
      </w:r>
    </w:p>
    <w:p w14:paraId="0375E70B" w14:textId="77777777" w:rsidR="00A51C22" w:rsidRPr="00A51C22" w:rsidRDefault="00A51C22" w:rsidP="00A51C22">
      <w:pPr>
        <w:widowControl w:val="0"/>
        <w:spacing w:after="0" w:line="240" w:lineRule="auto"/>
        <w:jc w:val="both"/>
      </w:pPr>
      <w:proofErr w:type="spellStart"/>
      <w:r w:rsidRPr="00A51C22">
        <w:t>Idrossipropilcellulosa</w:t>
      </w:r>
      <w:proofErr w:type="spellEnd"/>
    </w:p>
    <w:p w14:paraId="5D2D430C" w14:textId="0BE1CD68" w:rsidR="00A51C22" w:rsidRPr="00A51C22" w:rsidRDefault="00CB7879" w:rsidP="00A51C22">
      <w:pPr>
        <w:widowControl w:val="0"/>
        <w:spacing w:after="0" w:line="240" w:lineRule="auto"/>
        <w:jc w:val="both"/>
      </w:pPr>
      <w:proofErr w:type="spellStart"/>
      <w:r>
        <w:t>Macrogol</w:t>
      </w:r>
      <w:proofErr w:type="spellEnd"/>
      <w:r w:rsidR="00A51C22" w:rsidRPr="00A51C22">
        <w:t xml:space="preserve"> 8000</w:t>
      </w:r>
    </w:p>
    <w:p w14:paraId="2C720A16" w14:textId="77777777" w:rsidR="00A51C22" w:rsidRPr="00A51C22" w:rsidRDefault="00A51C22" w:rsidP="00A51C22">
      <w:pPr>
        <w:widowControl w:val="0"/>
        <w:spacing w:after="0" w:line="240" w:lineRule="auto"/>
        <w:jc w:val="both"/>
      </w:pPr>
      <w:r w:rsidRPr="00A51C22">
        <w:t>Titanio diossido (E171)</w:t>
      </w:r>
    </w:p>
    <w:p w14:paraId="2DF9C8F5" w14:textId="77777777" w:rsidR="00A51C22" w:rsidRPr="00A51C22" w:rsidRDefault="00A51C22" w:rsidP="00A51C22">
      <w:pPr>
        <w:widowControl w:val="0"/>
        <w:spacing w:after="0" w:line="240" w:lineRule="auto"/>
        <w:jc w:val="both"/>
      </w:pPr>
      <w:r w:rsidRPr="00A51C22">
        <w:t>Ossido di ferro rosso (E 172)</w:t>
      </w:r>
    </w:p>
    <w:p w14:paraId="629F261C" w14:textId="77777777" w:rsidR="00A51C22" w:rsidRPr="00A51C22" w:rsidRDefault="00A51C22" w:rsidP="00A51C22">
      <w:pPr>
        <w:widowControl w:val="0"/>
        <w:spacing w:after="0" w:line="240" w:lineRule="auto"/>
        <w:jc w:val="both"/>
      </w:pPr>
    </w:p>
    <w:p w14:paraId="0E85E87A" w14:textId="15F4861B" w:rsidR="00A51C22" w:rsidRPr="00A51C22" w:rsidRDefault="00A51C22" w:rsidP="00A51C22">
      <w:pPr>
        <w:widowControl w:val="0"/>
        <w:spacing w:after="0" w:line="240" w:lineRule="auto"/>
        <w:jc w:val="both"/>
      </w:pPr>
      <w:r w:rsidRPr="00A51C22">
        <w:t xml:space="preserve">Gli eccipienti di </w:t>
      </w:r>
      <w:r w:rsidR="00CB7879">
        <w:rPr>
          <w:rFonts w:eastAsia="Calibri" w:cs="Calibri"/>
          <w:color w:val="000000"/>
          <w:lang w:eastAsia="it-IT"/>
        </w:rPr>
        <w:t>INDIFAXA</w:t>
      </w:r>
      <w:r w:rsidRPr="00A51C22">
        <w:rPr>
          <w:rFonts w:eastAsia="Calibri" w:cs="Calibri"/>
          <w:color w:val="000000"/>
          <w:lang w:eastAsia="it-IT"/>
        </w:rPr>
        <w:t xml:space="preserve"> 20 mg in compresse rivestite con film</w:t>
      </w:r>
      <w:r w:rsidRPr="00A51C22">
        <w:t xml:space="preserve"> sono:</w:t>
      </w:r>
    </w:p>
    <w:p w14:paraId="42343DCD" w14:textId="77777777" w:rsidR="00A51C22" w:rsidRPr="00A51C22" w:rsidRDefault="00A51C22" w:rsidP="00A51C22">
      <w:pPr>
        <w:widowControl w:val="0"/>
        <w:spacing w:after="0" w:line="240" w:lineRule="auto"/>
        <w:jc w:val="both"/>
        <w:rPr>
          <w:u w:val="single"/>
        </w:rPr>
      </w:pPr>
      <w:r w:rsidRPr="00A51C22">
        <w:rPr>
          <w:u w:val="single"/>
        </w:rPr>
        <w:t>Nucleo della compressa:</w:t>
      </w:r>
    </w:p>
    <w:p w14:paraId="6933C520" w14:textId="77777777" w:rsidR="00A51C22" w:rsidRPr="00A51C22" w:rsidRDefault="00A51C22" w:rsidP="00A51C22">
      <w:pPr>
        <w:widowControl w:val="0"/>
        <w:spacing w:after="0" w:line="240" w:lineRule="auto"/>
        <w:jc w:val="both"/>
      </w:pPr>
      <w:r w:rsidRPr="00A51C22">
        <w:t>Lattosio monoidrato</w:t>
      </w:r>
    </w:p>
    <w:p w14:paraId="021E4CCC" w14:textId="77777777" w:rsidR="00A51C22" w:rsidRPr="00A51C22" w:rsidRDefault="00A51C22" w:rsidP="00A51C22">
      <w:pPr>
        <w:widowControl w:val="0"/>
        <w:spacing w:after="0" w:line="240" w:lineRule="auto"/>
        <w:jc w:val="both"/>
      </w:pPr>
      <w:r w:rsidRPr="00A51C22">
        <w:t xml:space="preserve">Cellulosa microcristallina </w:t>
      </w:r>
    </w:p>
    <w:p w14:paraId="5F74DE5D" w14:textId="77777777" w:rsidR="00A51C22" w:rsidRPr="00A51C22" w:rsidRDefault="00A51C22" w:rsidP="00A51C22">
      <w:pPr>
        <w:widowControl w:val="0"/>
        <w:spacing w:after="0" w:line="240" w:lineRule="auto"/>
        <w:jc w:val="both"/>
      </w:pPr>
      <w:proofErr w:type="spellStart"/>
      <w:r w:rsidRPr="00A51C22">
        <w:t>Croscarmellosa</w:t>
      </w:r>
      <w:proofErr w:type="spellEnd"/>
      <w:r w:rsidRPr="00A51C22">
        <w:t xml:space="preserve"> sodica</w:t>
      </w:r>
    </w:p>
    <w:p w14:paraId="21836EBB" w14:textId="60C97646" w:rsidR="00A51C22" w:rsidRPr="00A51C22" w:rsidRDefault="00A51C22" w:rsidP="00A51C22">
      <w:pPr>
        <w:widowControl w:val="0"/>
        <w:spacing w:after="0" w:line="240" w:lineRule="auto"/>
        <w:jc w:val="both"/>
      </w:pPr>
      <w:proofErr w:type="spellStart"/>
      <w:r w:rsidRPr="00A51C22">
        <w:t>Ipromellosa</w:t>
      </w:r>
      <w:proofErr w:type="spellEnd"/>
      <w:r w:rsidRPr="00A51C22">
        <w:t xml:space="preserve"> </w:t>
      </w:r>
    </w:p>
    <w:p w14:paraId="4A3BB75A" w14:textId="77777777" w:rsidR="00A51C22" w:rsidRPr="00A51C22" w:rsidRDefault="00A51C22" w:rsidP="00A51C22">
      <w:pPr>
        <w:widowControl w:val="0"/>
        <w:spacing w:after="0" w:line="240" w:lineRule="auto"/>
        <w:jc w:val="both"/>
      </w:pPr>
      <w:r w:rsidRPr="00A51C22">
        <w:t xml:space="preserve">Sodio </w:t>
      </w:r>
      <w:proofErr w:type="spellStart"/>
      <w:r w:rsidRPr="00A51C22">
        <w:t>laurilsolfato</w:t>
      </w:r>
      <w:proofErr w:type="spellEnd"/>
    </w:p>
    <w:p w14:paraId="6FF5D31B" w14:textId="77777777" w:rsidR="00A51C22" w:rsidRPr="00A51C22" w:rsidRDefault="00A51C22" w:rsidP="00A51C22">
      <w:pPr>
        <w:widowControl w:val="0"/>
        <w:spacing w:after="0" w:line="240" w:lineRule="auto"/>
        <w:jc w:val="both"/>
      </w:pPr>
      <w:r w:rsidRPr="00A51C22">
        <w:t>Magnesio stearato</w:t>
      </w:r>
    </w:p>
    <w:p w14:paraId="44B0A3BA" w14:textId="77777777" w:rsidR="00A51C22" w:rsidRPr="00A51C22" w:rsidRDefault="00A51C22" w:rsidP="00A51C22">
      <w:pPr>
        <w:widowControl w:val="0"/>
        <w:spacing w:after="0" w:line="240" w:lineRule="auto"/>
        <w:jc w:val="both"/>
      </w:pPr>
    </w:p>
    <w:p w14:paraId="4785E638" w14:textId="77777777" w:rsidR="00A51C22" w:rsidRPr="00A51C22" w:rsidRDefault="00A51C22" w:rsidP="00A51C22">
      <w:pPr>
        <w:widowControl w:val="0"/>
        <w:spacing w:after="0" w:line="240" w:lineRule="auto"/>
        <w:jc w:val="both"/>
        <w:rPr>
          <w:u w:val="single"/>
        </w:rPr>
      </w:pPr>
      <w:r w:rsidRPr="00A51C22">
        <w:rPr>
          <w:u w:val="single"/>
        </w:rPr>
        <w:t>Pellicola di rivestimento:</w:t>
      </w:r>
    </w:p>
    <w:p w14:paraId="366A9330" w14:textId="2BCB4BAC" w:rsidR="00A51C22" w:rsidRPr="00A51C22" w:rsidRDefault="00A51C22" w:rsidP="00CB7879">
      <w:pPr>
        <w:widowControl w:val="0"/>
        <w:spacing w:after="0" w:line="240" w:lineRule="auto"/>
        <w:jc w:val="both"/>
      </w:pPr>
      <w:proofErr w:type="spellStart"/>
      <w:r w:rsidRPr="00A51C22">
        <w:t>Ipromellosa</w:t>
      </w:r>
      <w:proofErr w:type="spellEnd"/>
      <w:r w:rsidRPr="00A51C22">
        <w:t xml:space="preserve"> </w:t>
      </w:r>
    </w:p>
    <w:p w14:paraId="319D5A27" w14:textId="77777777" w:rsidR="00A51C22" w:rsidRPr="00A51C22" w:rsidRDefault="00A51C22" w:rsidP="00A51C22">
      <w:pPr>
        <w:widowControl w:val="0"/>
        <w:spacing w:after="0" w:line="240" w:lineRule="auto"/>
        <w:jc w:val="both"/>
      </w:pPr>
      <w:proofErr w:type="spellStart"/>
      <w:r w:rsidRPr="00A51C22">
        <w:t>Idrossipropilcellulosa</w:t>
      </w:r>
      <w:proofErr w:type="spellEnd"/>
    </w:p>
    <w:p w14:paraId="7C98491B" w14:textId="1E3883E8" w:rsidR="00A51C22" w:rsidRPr="00A51C22" w:rsidRDefault="00CB7879" w:rsidP="00A51C22">
      <w:pPr>
        <w:widowControl w:val="0"/>
        <w:spacing w:after="0" w:line="240" w:lineRule="auto"/>
        <w:jc w:val="both"/>
      </w:pPr>
      <w:proofErr w:type="spellStart"/>
      <w:r>
        <w:t>Macrogol</w:t>
      </w:r>
      <w:proofErr w:type="spellEnd"/>
      <w:r w:rsidR="00A51C22" w:rsidRPr="00A51C22">
        <w:t xml:space="preserve"> 8000</w:t>
      </w:r>
    </w:p>
    <w:p w14:paraId="793980D3" w14:textId="77777777" w:rsidR="00A51C22" w:rsidRPr="00A51C22" w:rsidRDefault="00A51C22" w:rsidP="00A51C22">
      <w:pPr>
        <w:widowControl w:val="0"/>
        <w:spacing w:after="0" w:line="240" w:lineRule="auto"/>
        <w:jc w:val="both"/>
      </w:pPr>
      <w:r w:rsidRPr="00A51C22">
        <w:t>Titanio diossido (E171)</w:t>
      </w:r>
    </w:p>
    <w:p w14:paraId="2E100DC6" w14:textId="77777777" w:rsidR="00A51C22" w:rsidRPr="00A51C22" w:rsidRDefault="00A51C22" w:rsidP="00A51C22">
      <w:pPr>
        <w:widowControl w:val="0"/>
        <w:spacing w:after="0" w:line="240" w:lineRule="auto"/>
        <w:jc w:val="both"/>
      </w:pPr>
      <w:bookmarkStart w:id="6" w:name="_Hlk150530478"/>
      <w:r w:rsidRPr="00A51C22">
        <w:t xml:space="preserve">Ossido di ferro rosso </w:t>
      </w:r>
      <w:bookmarkEnd w:id="6"/>
      <w:r w:rsidRPr="00A51C22">
        <w:t>(E 172)</w:t>
      </w:r>
    </w:p>
    <w:p w14:paraId="38ED26CB" w14:textId="77777777" w:rsidR="00A51C22" w:rsidRPr="00A51C22" w:rsidRDefault="00A51C22" w:rsidP="00A51C22">
      <w:pPr>
        <w:widowControl w:val="0"/>
        <w:spacing w:after="0" w:line="240" w:lineRule="auto"/>
        <w:jc w:val="both"/>
      </w:pPr>
    </w:p>
    <w:p w14:paraId="7CF6069E" w14:textId="77777777" w:rsidR="00A51C22" w:rsidRPr="00A51C22" w:rsidRDefault="00A51C22" w:rsidP="00A51C22">
      <w:pPr>
        <w:spacing w:after="0" w:line="240" w:lineRule="auto"/>
        <w:ind w:right="13"/>
        <w:jc w:val="both"/>
      </w:pPr>
      <w:r w:rsidRPr="00A51C22">
        <w:t xml:space="preserve">Tutti gli eccipienti sono conformi alla relativa monografia di Farmacopea Europea, ad eccezione di </w:t>
      </w:r>
      <w:proofErr w:type="spellStart"/>
      <w:r w:rsidRPr="00A51C22">
        <w:t>AquaPolish</w:t>
      </w:r>
      <w:proofErr w:type="spellEnd"/>
      <w:r w:rsidRPr="00A51C22">
        <w:t xml:space="preserve"> P (miscela di eccipienti della pellicola di rivestimento) ed ossido di ferro rosso per i quali il produttore ha proposto specifiche di controllo accettabili.</w:t>
      </w:r>
    </w:p>
    <w:p w14:paraId="0568E98B" w14:textId="77777777" w:rsidR="00A51C22" w:rsidRPr="00A51C22" w:rsidRDefault="00A51C22" w:rsidP="00A51C22">
      <w:pPr>
        <w:spacing w:after="0" w:line="240" w:lineRule="auto"/>
        <w:jc w:val="both"/>
      </w:pPr>
    </w:p>
    <w:p w14:paraId="24D41CA4" w14:textId="77777777" w:rsidR="00A51C22" w:rsidRPr="00A51C22" w:rsidRDefault="00A51C22" w:rsidP="00A51C22">
      <w:pPr>
        <w:spacing w:after="0" w:line="240" w:lineRule="auto"/>
        <w:jc w:val="both"/>
      </w:pPr>
      <w:r w:rsidRPr="00A51C22">
        <w:t>Il solo eccipiente di originale animale è il lattosio; è stata fornita una dichiarazione che nella sua produzione sono utilizzati animali sani della stessa qualità utilizzata per il consumo umano.</w:t>
      </w:r>
    </w:p>
    <w:p w14:paraId="785B7A52" w14:textId="77777777" w:rsidR="00A51C22" w:rsidRPr="00A51C22" w:rsidRDefault="00A51C22" w:rsidP="00A51C22">
      <w:pPr>
        <w:spacing w:after="0" w:line="240" w:lineRule="auto"/>
        <w:ind w:right="13"/>
        <w:jc w:val="both"/>
      </w:pPr>
    </w:p>
    <w:p w14:paraId="68708536" w14:textId="77777777" w:rsidR="00A51C22" w:rsidRPr="00A51C22" w:rsidRDefault="00A51C22" w:rsidP="00A51C22">
      <w:pPr>
        <w:spacing w:after="0" w:line="240" w:lineRule="auto"/>
        <w:jc w:val="both"/>
      </w:pPr>
      <w:r w:rsidRPr="00A51C22">
        <w:t>Nessun eccipiente è ottenuto da organismi geneticamente modificati; non sono presenti eccipienti mai utilizzati nell’uomo.</w:t>
      </w:r>
    </w:p>
    <w:p w14:paraId="3FB35856" w14:textId="77777777" w:rsidR="00A51C22" w:rsidRPr="00A51C22" w:rsidRDefault="00A51C22" w:rsidP="00A51C22">
      <w:pPr>
        <w:spacing w:after="0" w:line="240" w:lineRule="auto"/>
        <w:jc w:val="both"/>
      </w:pPr>
    </w:p>
    <w:p w14:paraId="5E50AE69" w14:textId="77777777" w:rsidR="00A51C22" w:rsidRPr="00A51C22" w:rsidRDefault="00A51C22" w:rsidP="00A51C22">
      <w:pPr>
        <w:spacing w:after="0" w:line="240" w:lineRule="auto"/>
        <w:jc w:val="both"/>
        <w:rPr>
          <w:b/>
        </w:rPr>
      </w:pPr>
      <w:r w:rsidRPr="00A51C22">
        <w:rPr>
          <w:b/>
        </w:rPr>
        <w:t>Sviluppo farmaceutico</w:t>
      </w:r>
    </w:p>
    <w:p w14:paraId="52004AF7" w14:textId="3BCDCAB1" w:rsidR="00A51C22" w:rsidRPr="00A51C22" w:rsidRDefault="00A51C22" w:rsidP="00A51C22">
      <w:pPr>
        <w:spacing w:after="0" w:line="240" w:lineRule="auto"/>
        <w:jc w:val="both"/>
      </w:pPr>
      <w:r w:rsidRPr="00A51C22">
        <w:t>Sono stati forniti dettagli dello sviluppo farmaceutico e questi sono stati ritenuti soddisfacenti.</w:t>
      </w:r>
    </w:p>
    <w:p w14:paraId="7048B800" w14:textId="77777777" w:rsidR="00A51C22" w:rsidRPr="00A51C22" w:rsidRDefault="00A51C22" w:rsidP="00A51C22">
      <w:pPr>
        <w:spacing w:after="0" w:line="240" w:lineRule="auto"/>
        <w:jc w:val="both"/>
      </w:pPr>
    </w:p>
    <w:p w14:paraId="30C7C2C6" w14:textId="77777777" w:rsidR="00A51C22" w:rsidRPr="00A51C22" w:rsidRDefault="00A51C22" w:rsidP="00A51C22">
      <w:pPr>
        <w:spacing w:after="0" w:line="240" w:lineRule="auto"/>
        <w:jc w:val="both"/>
        <w:rPr>
          <w:b/>
        </w:rPr>
      </w:pPr>
      <w:r w:rsidRPr="00A51C22">
        <w:rPr>
          <w:b/>
        </w:rPr>
        <w:t xml:space="preserve">Produzione </w:t>
      </w:r>
    </w:p>
    <w:p w14:paraId="7A87F99F" w14:textId="77777777" w:rsidR="00A51C22" w:rsidRPr="00A51C22" w:rsidRDefault="00A51C22" w:rsidP="00A51C22">
      <w:pPr>
        <w:spacing w:after="0" w:line="240" w:lineRule="auto"/>
        <w:jc w:val="both"/>
      </w:pPr>
      <w:r w:rsidRPr="00A51C22">
        <w:t>Sono stati forniti una descrizione del metodo di produzione e la relativa flow-chart.</w:t>
      </w:r>
    </w:p>
    <w:p w14:paraId="4D8044D8" w14:textId="77777777" w:rsidR="00A51C22" w:rsidRPr="00A51C22" w:rsidRDefault="00A51C22" w:rsidP="00A51C22">
      <w:pPr>
        <w:spacing w:after="0" w:line="240" w:lineRule="auto"/>
        <w:jc w:val="both"/>
      </w:pPr>
      <w:r w:rsidRPr="00A51C22"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4CDDE484" w14:textId="77777777" w:rsidR="00A51C22" w:rsidRPr="00A51C22" w:rsidRDefault="00A51C22" w:rsidP="00A51C22">
      <w:pPr>
        <w:spacing w:after="0" w:line="240" w:lineRule="auto"/>
        <w:jc w:val="both"/>
      </w:pPr>
    </w:p>
    <w:p w14:paraId="779471D1" w14:textId="77777777" w:rsidR="00A51C22" w:rsidRPr="00A51C22" w:rsidRDefault="00A51C22" w:rsidP="00A51C22">
      <w:pPr>
        <w:spacing w:after="0" w:line="240" w:lineRule="auto"/>
        <w:jc w:val="both"/>
        <w:rPr>
          <w:b/>
        </w:rPr>
      </w:pPr>
      <w:r w:rsidRPr="00A51C22">
        <w:rPr>
          <w:b/>
        </w:rPr>
        <w:t>Specifiche del prodotto finito</w:t>
      </w:r>
    </w:p>
    <w:p w14:paraId="14DF6546" w14:textId="77777777" w:rsidR="00A51C22" w:rsidRPr="00A51C22" w:rsidRDefault="00A51C22" w:rsidP="00A51C22">
      <w:pPr>
        <w:spacing w:after="0" w:line="240" w:lineRule="auto"/>
        <w:jc w:val="both"/>
      </w:pPr>
      <w:r w:rsidRPr="00A51C22">
        <w:lastRenderedPageBreak/>
        <w:t>Sono state fornite adeguate specifiche di controllo per il prodotto finito al rilascio e alla fine della validità. I metodi analitici sono stati descritti e adeguatamente convalidati. Sono stati forniti, inoltre, dati analitici per i diversi dosaggi del prodotto finito: questi dati dimostrano che i lotti prodotti sono in accordo alle specifiche proposte. Sono stati forniti, infine, certificati analitici per gli standard di riferimento utilizzati.</w:t>
      </w:r>
    </w:p>
    <w:p w14:paraId="593CFC21" w14:textId="77777777" w:rsidR="00A51C22" w:rsidRPr="00A51C22" w:rsidRDefault="00A51C22" w:rsidP="00A51C22">
      <w:pPr>
        <w:spacing w:after="0" w:line="240" w:lineRule="auto"/>
        <w:jc w:val="both"/>
        <w:rPr>
          <w:b/>
        </w:rPr>
      </w:pPr>
    </w:p>
    <w:p w14:paraId="13A165B1" w14:textId="77777777" w:rsidR="00A51C22" w:rsidRPr="00A51C22" w:rsidRDefault="00A51C22" w:rsidP="00A51C22">
      <w:pPr>
        <w:spacing w:after="0" w:line="240" w:lineRule="auto"/>
        <w:jc w:val="both"/>
        <w:rPr>
          <w:rFonts w:ascii="Calibri" w:hAnsi="Calibri"/>
          <w:b/>
        </w:rPr>
      </w:pPr>
      <w:r w:rsidRPr="00A51C22">
        <w:rPr>
          <w:b/>
        </w:rPr>
        <w:t>Contenitore</w:t>
      </w:r>
    </w:p>
    <w:p w14:paraId="31C6F9C3" w14:textId="635613E1" w:rsidR="00A51C22" w:rsidRPr="00A51C22" w:rsidRDefault="00E70757" w:rsidP="00A51C22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Calibri" w:eastAsia="Calibri" w:hAnsi="Calibri" w:cs="Calibri"/>
          <w:color w:val="000000"/>
          <w:lang w:eastAsia="it-IT"/>
        </w:rPr>
        <w:t>INDIFAXA</w:t>
      </w:r>
      <w:r w:rsidR="00A51C22" w:rsidRPr="00A51C22">
        <w:rPr>
          <w:rFonts w:ascii="Calibri" w:eastAsia="Calibri" w:hAnsi="Calibri" w:cs="Calibri"/>
          <w:color w:val="000000"/>
          <w:lang w:eastAsia="it-IT"/>
        </w:rPr>
        <w:t xml:space="preserve"> </w:t>
      </w:r>
      <w:r w:rsidR="00A51C22" w:rsidRPr="00A51C22">
        <w:rPr>
          <w:rFonts w:ascii="Calibri" w:hAnsi="Calibri"/>
        </w:rPr>
        <w:t xml:space="preserve">è confezionato in blister di </w:t>
      </w:r>
      <w:r w:rsidR="00A51C22" w:rsidRPr="00A51C22">
        <w:rPr>
          <w:rFonts w:ascii="Calibri" w:eastAsia="Times New Roman" w:hAnsi="Calibri" w:cs="Times New Roman"/>
        </w:rPr>
        <w:t>PVC-PVDC/Al.</w:t>
      </w:r>
    </w:p>
    <w:p w14:paraId="39688C1A" w14:textId="77777777" w:rsidR="00A51C22" w:rsidRPr="00A51C22" w:rsidRDefault="00A51C22" w:rsidP="00A51C2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51C22">
        <w:t>Sono state fornite specifiche e certificati analitici per tutti i componenti del confezionamento primario, che è adeguato per il medicinale.</w:t>
      </w:r>
    </w:p>
    <w:p w14:paraId="7AD38840" w14:textId="77777777" w:rsidR="00A51C22" w:rsidRPr="00A51C22" w:rsidRDefault="00A51C22" w:rsidP="00A51C22">
      <w:pPr>
        <w:spacing w:after="0" w:line="240" w:lineRule="auto"/>
        <w:jc w:val="both"/>
        <w:rPr>
          <w:b/>
        </w:rPr>
      </w:pPr>
    </w:p>
    <w:p w14:paraId="201EF20B" w14:textId="77777777" w:rsidR="00A51C22" w:rsidRPr="00A51C22" w:rsidRDefault="00A51C22" w:rsidP="00A51C22">
      <w:pPr>
        <w:spacing w:after="0" w:line="240" w:lineRule="auto"/>
        <w:jc w:val="both"/>
        <w:rPr>
          <w:b/>
        </w:rPr>
      </w:pPr>
      <w:r w:rsidRPr="00A51C22">
        <w:rPr>
          <w:b/>
        </w:rPr>
        <w:t>Stabilità</w:t>
      </w:r>
    </w:p>
    <w:p w14:paraId="5E384DF6" w14:textId="77777777" w:rsidR="00A51C22" w:rsidRPr="00A51C22" w:rsidRDefault="00A51C22" w:rsidP="00A51C22">
      <w:pPr>
        <w:shd w:val="clear" w:color="auto" w:fill="FFFFFF"/>
        <w:spacing w:after="0"/>
        <w:jc w:val="both"/>
        <w:rPr>
          <w:rFonts w:ascii="Calibri" w:eastAsia="Times New Roman" w:hAnsi="Calibri" w:cs="Calibri"/>
          <w:lang w:eastAsia="zh-CN"/>
        </w:rPr>
      </w:pPr>
      <w:r w:rsidRPr="00A51C22">
        <w:t xml:space="preserve">Studi di stabilità sul prodotto finito sono stati condotti in accordo alle correnti linee guida ed i risultati sono entro i limiti delle specifiche autorizzate. Sulla base di questi risultati, è stato autorizzato un periodo di validità </w:t>
      </w:r>
      <w:r w:rsidRPr="00A51C22">
        <w:rPr>
          <w:rFonts w:ascii="Calibri" w:eastAsia="Times New Roman" w:hAnsi="Calibri" w:cs="Calibri"/>
          <w:lang w:eastAsia="zh-CN"/>
        </w:rPr>
        <w:t xml:space="preserve">di 3 anni per tutti e tre i dosaggi (10 mg, 15 mg, 20 mg) </w:t>
      </w:r>
      <w:r w:rsidRPr="00A51C22">
        <w:t>senza nessuna condizione particolare di conservazione.</w:t>
      </w:r>
    </w:p>
    <w:p w14:paraId="3113B886" w14:textId="77777777" w:rsidR="00A51C22" w:rsidRPr="00A51C22" w:rsidRDefault="00A51C22" w:rsidP="00A51C22">
      <w:pPr>
        <w:shd w:val="clear" w:color="auto" w:fill="FFFFFF"/>
        <w:spacing w:after="0"/>
        <w:jc w:val="both"/>
        <w:rPr>
          <w:rFonts w:ascii="Calibri" w:eastAsia="Times New Roman" w:hAnsi="Calibri" w:cs="Calibri"/>
          <w:lang w:eastAsia="zh-CN"/>
        </w:rPr>
      </w:pPr>
    </w:p>
    <w:p w14:paraId="5C9AC492" w14:textId="77777777" w:rsidR="00A51C22" w:rsidRPr="00A51C22" w:rsidRDefault="00A51C22" w:rsidP="00A51C22">
      <w:pPr>
        <w:spacing w:after="0" w:line="240" w:lineRule="auto"/>
        <w:jc w:val="both"/>
        <w:rPr>
          <w:b/>
        </w:rPr>
      </w:pPr>
      <w:r w:rsidRPr="00A51C22">
        <w:rPr>
          <w:b/>
        </w:rPr>
        <w:t>II.3 Discussione sugli aspetti di qualità</w:t>
      </w:r>
    </w:p>
    <w:p w14:paraId="3873F15A" w14:textId="66676001" w:rsidR="00A51C22" w:rsidRPr="00A51C22" w:rsidRDefault="00A51C22" w:rsidP="00A51C22">
      <w:pPr>
        <w:spacing w:after="0" w:line="240" w:lineRule="auto"/>
        <w:jc w:val="both"/>
      </w:pPr>
      <w:r w:rsidRPr="00A51C22">
        <w:t xml:space="preserve">Tutte le criticità evidenziate nel corso della valutazione sono state risolte e la qualità di </w:t>
      </w:r>
      <w:r w:rsidR="00E70757">
        <w:rPr>
          <w:rFonts w:eastAsia="Calibri" w:cs="Calibri"/>
          <w:color w:val="000000"/>
          <w:lang w:eastAsia="it-IT"/>
        </w:rPr>
        <w:t>INDIFAXA</w:t>
      </w:r>
      <w:r w:rsidRPr="00A51C22">
        <w:rPr>
          <w:rFonts w:eastAsia="Calibri" w:cs="Calibri"/>
          <w:color w:val="000000"/>
          <w:lang w:eastAsia="it-IT"/>
        </w:rPr>
        <w:t xml:space="preserve"> </w:t>
      </w:r>
      <w:r w:rsidRPr="00A51C22">
        <w:t xml:space="preserve">è considerata adeguata. Non ci sono obiezioni per l’approvazione di </w:t>
      </w:r>
      <w:r w:rsidR="00E70757">
        <w:rPr>
          <w:rFonts w:eastAsia="Calibri" w:cs="Calibri"/>
          <w:color w:val="000000"/>
          <w:lang w:eastAsia="it-IT"/>
        </w:rPr>
        <w:t>INDIFAXA</w:t>
      </w:r>
      <w:r w:rsidRPr="00A51C22">
        <w:rPr>
          <w:rFonts w:eastAsia="Calibri" w:cs="Calibri"/>
          <w:color w:val="000000"/>
          <w:lang w:eastAsia="it-IT"/>
        </w:rPr>
        <w:t xml:space="preserve"> </w:t>
      </w:r>
      <w:r w:rsidRPr="00A51C22">
        <w:t>dal punto di vista chimico-farmaceutico.</w:t>
      </w:r>
    </w:p>
    <w:p w14:paraId="52FEDB24" w14:textId="77777777" w:rsidR="00A51C22" w:rsidRPr="00A51C22" w:rsidRDefault="00A51C22" w:rsidP="00A51C22">
      <w:pPr>
        <w:spacing w:after="0" w:line="240" w:lineRule="auto"/>
        <w:jc w:val="both"/>
      </w:pPr>
    </w:p>
    <w:p w14:paraId="1629DEEE" w14:textId="77777777" w:rsidR="00A51C22" w:rsidRPr="00A51C22" w:rsidRDefault="00A51C22" w:rsidP="00A51C22">
      <w:pPr>
        <w:spacing w:after="0" w:line="240" w:lineRule="auto"/>
        <w:jc w:val="both"/>
      </w:pPr>
    </w:p>
    <w:p w14:paraId="5F5A04AF" w14:textId="77777777" w:rsidR="00A51C22" w:rsidRPr="00A51C22" w:rsidRDefault="00A51C22" w:rsidP="00A51C22">
      <w:pPr>
        <w:numPr>
          <w:ilvl w:val="0"/>
          <w:numId w:val="2"/>
        </w:numPr>
        <w:spacing w:after="0" w:line="240" w:lineRule="auto"/>
        <w:contextualSpacing/>
        <w:jc w:val="both"/>
        <w:rPr>
          <w:b/>
        </w:rPr>
      </w:pPr>
      <w:r w:rsidRPr="00A51C22">
        <w:rPr>
          <w:b/>
        </w:rPr>
        <w:t>ASPETTI NON CLINICI</w:t>
      </w:r>
    </w:p>
    <w:p w14:paraId="1B729E92" w14:textId="0BA3B641" w:rsidR="00A51C22" w:rsidRPr="00A51C22" w:rsidRDefault="00A51C22" w:rsidP="00A51C22">
      <w:pPr>
        <w:spacing w:after="0" w:line="240" w:lineRule="auto"/>
        <w:jc w:val="both"/>
      </w:pPr>
      <w:r w:rsidRPr="00A51C22">
        <w:t xml:space="preserve">Non sono stati condotti specifici studi non clinici, in quanto </w:t>
      </w:r>
      <w:r w:rsidR="00137C6A">
        <w:rPr>
          <w:rFonts w:eastAsia="Calibri" w:cs="Calibri"/>
          <w:color w:val="000000"/>
          <w:lang w:eastAsia="it-IT"/>
        </w:rPr>
        <w:t>INDIFAXA</w:t>
      </w:r>
      <w:r w:rsidRPr="00A51C22">
        <w:rPr>
          <w:rFonts w:eastAsia="Calibri" w:cs="Calibri"/>
          <w:color w:val="000000"/>
          <w:lang w:eastAsia="it-IT"/>
        </w:rPr>
        <w:t xml:space="preserve"> </w:t>
      </w:r>
      <w:r w:rsidRPr="00A51C22">
        <w:t xml:space="preserve">contiene un principio attivo noto presente nel medicinale di riferimento: questo approccio è accettabile poiché il medicinale di riferimento </w:t>
      </w:r>
      <w:proofErr w:type="spellStart"/>
      <w:r w:rsidRPr="00A51C22">
        <w:rPr>
          <w:rFonts w:eastAsia="Calibri" w:cs="Calibri"/>
          <w:lang w:eastAsia="it-IT"/>
        </w:rPr>
        <w:t>Xarelto</w:t>
      </w:r>
      <w:proofErr w:type="spellEnd"/>
      <w:r w:rsidRPr="00A51C22">
        <w:t xml:space="preserve"> è autorizzato in Italia da oltre 10 anni.</w:t>
      </w:r>
    </w:p>
    <w:p w14:paraId="1739F739" w14:textId="77777777" w:rsidR="00A51C22" w:rsidRPr="00A51C22" w:rsidRDefault="00A51C22" w:rsidP="00A51C22">
      <w:pPr>
        <w:spacing w:after="0" w:line="240" w:lineRule="auto"/>
        <w:jc w:val="both"/>
      </w:pPr>
      <w:r w:rsidRPr="00A51C22">
        <w:t>Non ci sono obiezioni per l’approvazione dal punto di vista non clinico.</w:t>
      </w:r>
    </w:p>
    <w:p w14:paraId="25CDF151" w14:textId="77777777" w:rsidR="00A51C22" w:rsidRPr="00A51C22" w:rsidRDefault="00A51C22" w:rsidP="00A51C22">
      <w:pPr>
        <w:spacing w:after="0" w:line="240" w:lineRule="auto"/>
        <w:jc w:val="both"/>
      </w:pPr>
    </w:p>
    <w:p w14:paraId="68AF7F53" w14:textId="77777777" w:rsidR="00A51C22" w:rsidRPr="00A51C22" w:rsidRDefault="00A51C22" w:rsidP="00A51C22">
      <w:pPr>
        <w:spacing w:after="0" w:line="240" w:lineRule="auto"/>
        <w:jc w:val="both"/>
      </w:pPr>
    </w:p>
    <w:p w14:paraId="2FB47742" w14:textId="77777777" w:rsidR="00A51C22" w:rsidRPr="00A51C22" w:rsidRDefault="00A51C22" w:rsidP="00A51C22">
      <w:pPr>
        <w:numPr>
          <w:ilvl w:val="0"/>
          <w:numId w:val="2"/>
        </w:numPr>
        <w:spacing w:after="0" w:line="240" w:lineRule="auto"/>
        <w:contextualSpacing/>
        <w:jc w:val="both"/>
        <w:rPr>
          <w:b/>
        </w:rPr>
      </w:pPr>
      <w:r w:rsidRPr="00A51C22">
        <w:rPr>
          <w:b/>
        </w:rPr>
        <w:t>ASPETTI CLINICI</w:t>
      </w:r>
    </w:p>
    <w:p w14:paraId="394FEC3A" w14:textId="19A76366" w:rsidR="00A51C22" w:rsidRPr="00A51C22" w:rsidRDefault="00A51C22" w:rsidP="00A51C2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A51C22">
        <w:rPr>
          <w:rFonts w:eastAsia="Calibri" w:cs="Calibri"/>
          <w:color w:val="000000"/>
          <w:lang w:eastAsia="it-IT"/>
        </w:rPr>
        <w:t xml:space="preserve">Di seguito le indicazioni terapeutiche di </w:t>
      </w:r>
      <w:r w:rsidR="001678D8">
        <w:rPr>
          <w:rFonts w:eastAsia="Calibri" w:cs="Calibri"/>
          <w:color w:val="000000"/>
          <w:lang w:eastAsia="it-IT"/>
        </w:rPr>
        <w:t>INDIFAXA</w:t>
      </w:r>
      <w:r w:rsidRPr="00A51C22">
        <w:rPr>
          <w:rFonts w:eastAsia="Calibri" w:cs="Calibri"/>
          <w:color w:val="000000"/>
          <w:lang w:eastAsia="it-IT"/>
        </w:rPr>
        <w:t xml:space="preserve"> </w:t>
      </w:r>
      <w:r w:rsidRPr="00A51C22">
        <w:t>suddivise per dosaggio.</w:t>
      </w:r>
    </w:p>
    <w:p w14:paraId="4A265153" w14:textId="77777777" w:rsidR="00A51C22" w:rsidRPr="00A51C22" w:rsidRDefault="00A51C22" w:rsidP="00A51C2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3B0AB857" w14:textId="4AF237B1" w:rsidR="00A51C22" w:rsidRPr="00A51C22" w:rsidRDefault="001678D8" w:rsidP="00A51C2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u w:val="single"/>
        </w:rPr>
      </w:pPr>
      <w:r>
        <w:rPr>
          <w:u w:val="single"/>
        </w:rPr>
        <w:t>INDIFAXA</w:t>
      </w:r>
      <w:r w:rsidR="00A51C22" w:rsidRPr="00A51C22">
        <w:rPr>
          <w:u w:val="single"/>
        </w:rPr>
        <w:t xml:space="preserve"> 10 mg compresse rivestite con film</w:t>
      </w:r>
    </w:p>
    <w:p w14:paraId="254EBD9F" w14:textId="77777777" w:rsidR="00A51C22" w:rsidRPr="00A51C22" w:rsidRDefault="00A51C22" w:rsidP="00A51C2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58CD3256" w14:textId="77777777" w:rsidR="00A51C22" w:rsidRPr="00A51C22" w:rsidRDefault="00A51C22" w:rsidP="00A51C2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A51C22">
        <w:t>Prevenzione del tromboembolismo venoso (TEV) nei pazienti adulti sottoposti a interventi di sostituzione elettiva di anca o di ginocchio.</w:t>
      </w:r>
    </w:p>
    <w:p w14:paraId="5310E236" w14:textId="77777777" w:rsidR="00A51C22" w:rsidRPr="00A51C22" w:rsidRDefault="00A51C22" w:rsidP="00A51C2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49C30AB5" w14:textId="77777777" w:rsidR="00A51C22" w:rsidRPr="00A51C22" w:rsidRDefault="00A51C22" w:rsidP="00A51C2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A51C22">
        <w:t>Trattamento della trombosi venosa profonda (TVP) e dell’embolia polmonare (EP) e prevenzione delle recidive di TVP ed EP nell’adulto. (Vedere paragrafo 4.4 RCP per pazienti EP emodinamicamente instabili.)</w:t>
      </w:r>
    </w:p>
    <w:p w14:paraId="5A7E9A78" w14:textId="77777777" w:rsidR="00A51C22" w:rsidRPr="00A51C22" w:rsidRDefault="00A51C22" w:rsidP="00A51C2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45F8C9D5" w14:textId="1D8EF679" w:rsidR="00A51C22" w:rsidRPr="00A51C22" w:rsidRDefault="001678D8" w:rsidP="00A51C2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rPr>
          <w:u w:val="single"/>
        </w:rPr>
        <w:t>INDIFAXA</w:t>
      </w:r>
      <w:r w:rsidR="00A51C22" w:rsidRPr="00A51C22">
        <w:rPr>
          <w:u w:val="single"/>
        </w:rPr>
        <w:t xml:space="preserve"> 15 mg compresse rivestite con film </w:t>
      </w:r>
    </w:p>
    <w:p w14:paraId="7463BADB" w14:textId="77777777" w:rsidR="00A51C22" w:rsidRPr="00A51C22" w:rsidRDefault="00A51C22" w:rsidP="00A51C2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31045287" w14:textId="77777777" w:rsidR="00A51C22" w:rsidRPr="00A51C22" w:rsidRDefault="00A51C22" w:rsidP="00A51C2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u w:val="single"/>
        </w:rPr>
      </w:pPr>
      <w:r w:rsidRPr="00A51C22">
        <w:rPr>
          <w:i/>
          <w:u w:val="single"/>
        </w:rPr>
        <w:t>Adulti</w:t>
      </w:r>
    </w:p>
    <w:p w14:paraId="0DDEDF56" w14:textId="77777777" w:rsidR="00A51C22" w:rsidRPr="00A51C22" w:rsidRDefault="00A51C22" w:rsidP="00A51C2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A51C22">
        <w:t>Prevenzione dell’ictus e dell’embolia sistemica nei pazienti adulti affetti da fibrillazione atriale non valvolare con uno o più fattori di rischio, come insufficienza cardiaca congestizia, ipertensione, età ≥ 75 anni, diabete mellito, pregresso ictus o attacco ischemico transitorio.</w:t>
      </w:r>
    </w:p>
    <w:p w14:paraId="3A2A9500" w14:textId="77777777" w:rsidR="00A51C22" w:rsidRPr="00A51C22" w:rsidRDefault="00A51C22" w:rsidP="00A51C2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0EA2E1AB" w14:textId="77777777" w:rsidR="00A51C22" w:rsidRPr="00A51C22" w:rsidRDefault="00A51C22" w:rsidP="00A51C2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A51C22">
        <w:t>Trattamento della trombosi venosa profonda (TVP) e dell’embolia polmonare (EP) e prevenzione delle recidive di TVP ed EP nell’adulto. (Vedere paragrafo 4.4 RCP per pazienti EP emodinamicamente instabili)</w:t>
      </w:r>
    </w:p>
    <w:p w14:paraId="19B8073C" w14:textId="77777777" w:rsidR="00A51C22" w:rsidRPr="00A51C22" w:rsidRDefault="00A51C22" w:rsidP="00A51C2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43FA3F6B" w14:textId="77777777" w:rsidR="00A51C22" w:rsidRPr="00A51C22" w:rsidRDefault="00A51C22" w:rsidP="00A51C2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u w:val="single"/>
        </w:rPr>
      </w:pPr>
      <w:r w:rsidRPr="00A51C22">
        <w:rPr>
          <w:i/>
          <w:u w:val="single"/>
        </w:rPr>
        <w:t xml:space="preserve">Popolazione pediatrica </w:t>
      </w:r>
    </w:p>
    <w:p w14:paraId="725FD5AB" w14:textId="10922FFD" w:rsidR="00A51C22" w:rsidRPr="00A51C22" w:rsidRDefault="001678D8" w:rsidP="00A51C2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t>T</w:t>
      </w:r>
      <w:r w:rsidR="00A51C22" w:rsidRPr="00A51C22">
        <w:t>rattamento del tromboembolismo venoso (TEV) e prevenzione delle recidive di TEV nei bambini e negli adolescenti di età inferiore a 18 anni e peso compreso tra 30 kg e 50 kg dopo almeno 5 giorni di trattamento anticoagulante parenterale iniziale.</w:t>
      </w:r>
    </w:p>
    <w:p w14:paraId="6194ED3E" w14:textId="77777777" w:rsidR="00A51C22" w:rsidRPr="00A51C22" w:rsidRDefault="00A51C22" w:rsidP="00A51C2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295E418F" w14:textId="1573E24A" w:rsidR="00A51C22" w:rsidRPr="00A51C22" w:rsidRDefault="001678D8" w:rsidP="00A51C2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u w:val="single"/>
        </w:rPr>
      </w:pPr>
      <w:r>
        <w:rPr>
          <w:u w:val="single"/>
        </w:rPr>
        <w:lastRenderedPageBreak/>
        <w:t>INDIFAXA</w:t>
      </w:r>
      <w:r w:rsidR="00A51C22" w:rsidRPr="00A51C22">
        <w:rPr>
          <w:u w:val="single"/>
        </w:rPr>
        <w:t xml:space="preserve"> 20 mg compresse rivestite con film</w:t>
      </w:r>
    </w:p>
    <w:p w14:paraId="2005E338" w14:textId="77777777" w:rsidR="00A51C22" w:rsidRPr="00A51C22" w:rsidRDefault="00A51C22" w:rsidP="00A51C2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1CEA8DC6" w14:textId="77777777" w:rsidR="00A51C22" w:rsidRPr="00A51C22" w:rsidRDefault="00A51C22" w:rsidP="00A51C2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u w:val="single"/>
        </w:rPr>
      </w:pPr>
      <w:r w:rsidRPr="00A51C22">
        <w:rPr>
          <w:i/>
          <w:u w:val="single"/>
        </w:rPr>
        <w:t>Adulti</w:t>
      </w:r>
    </w:p>
    <w:p w14:paraId="6D4DA1C5" w14:textId="19BCFE5D" w:rsidR="00A51C22" w:rsidRPr="00A51C22" w:rsidRDefault="00A51C22" w:rsidP="00A51C2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A51C22">
        <w:t>Prevenzione dell’ictus e dell’embolia sistemica nei pazienti affetti da fibrillazione atriale non valvolare con uno o più fattori di rischio, come insufficienza cardiaca congestizia, ipertensione, età ≥ 75 anni, diabete mellito, pregresso ictus o attacco ischemico transitorio.</w:t>
      </w:r>
    </w:p>
    <w:p w14:paraId="5643EF49" w14:textId="77777777" w:rsidR="00A51C22" w:rsidRPr="00A51C22" w:rsidRDefault="00A51C22" w:rsidP="00A51C2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073FB2F1" w14:textId="77777777" w:rsidR="00A51C22" w:rsidRPr="00A51C22" w:rsidRDefault="00A51C22" w:rsidP="00A51C2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A51C22">
        <w:t>Trattamento della trombosi venosa profonda (TVP) e dell’embolia polmonare (EP) e prevenzione delle recidive di TVP ed EP nell’adulto. (Vedere paragrafo 4.4 RCP per pazienti EP emodinamicamente instabili).</w:t>
      </w:r>
    </w:p>
    <w:p w14:paraId="31C07ED9" w14:textId="77777777" w:rsidR="00A51C22" w:rsidRPr="00A51C22" w:rsidRDefault="00A51C22" w:rsidP="00A51C22">
      <w:pPr>
        <w:spacing w:after="0" w:line="240" w:lineRule="auto"/>
        <w:ind w:right="6"/>
        <w:jc w:val="both"/>
      </w:pPr>
    </w:p>
    <w:p w14:paraId="40CF269F" w14:textId="77777777" w:rsidR="00A51C22" w:rsidRPr="00A51C22" w:rsidRDefault="00A51C22" w:rsidP="00A51C22">
      <w:pPr>
        <w:spacing w:after="0" w:line="240" w:lineRule="auto"/>
        <w:ind w:right="6"/>
        <w:jc w:val="both"/>
        <w:rPr>
          <w:i/>
          <w:u w:val="single"/>
        </w:rPr>
      </w:pPr>
      <w:r w:rsidRPr="00A51C22">
        <w:rPr>
          <w:i/>
          <w:u w:val="single"/>
        </w:rPr>
        <w:t>Popolazione pediatrica</w:t>
      </w:r>
    </w:p>
    <w:p w14:paraId="660968CB" w14:textId="77777777" w:rsidR="00A51C22" w:rsidRPr="00A51C22" w:rsidRDefault="00A51C22" w:rsidP="00A51C22">
      <w:pPr>
        <w:spacing w:after="0" w:line="240" w:lineRule="auto"/>
        <w:ind w:right="6"/>
        <w:jc w:val="both"/>
      </w:pPr>
      <w:r w:rsidRPr="00A51C22">
        <w:t>Trattamento del tromboembolismo venoso (TEV) e prevenzione delle recidive di TEV nei bambini e negli adolescenti di età inferiore a 18 anni e peso superiore a 50 kg dopo almeno 5 giorni di trattamento anticoagulante parenterale iniziale.</w:t>
      </w:r>
    </w:p>
    <w:p w14:paraId="12061515" w14:textId="77777777" w:rsidR="00A51C22" w:rsidRPr="00A51C22" w:rsidRDefault="00A51C22" w:rsidP="00A51C22">
      <w:pPr>
        <w:spacing w:after="0" w:line="240" w:lineRule="auto"/>
        <w:ind w:right="6"/>
        <w:jc w:val="both"/>
        <w:rPr>
          <w:i/>
          <w:u w:val="single"/>
        </w:rPr>
      </w:pPr>
    </w:p>
    <w:p w14:paraId="0E63783C" w14:textId="77777777" w:rsidR="00A51C22" w:rsidRPr="00A51C22" w:rsidRDefault="00A51C22" w:rsidP="00A51C22">
      <w:pPr>
        <w:spacing w:after="0" w:line="240" w:lineRule="auto"/>
        <w:ind w:right="6"/>
        <w:jc w:val="both"/>
        <w:rPr>
          <w:b/>
        </w:rPr>
      </w:pPr>
      <w:r w:rsidRPr="00A51C22">
        <w:rPr>
          <w:b/>
        </w:rPr>
        <w:t>Posologia e modalità di somministrazione</w:t>
      </w:r>
    </w:p>
    <w:p w14:paraId="5DAADF84" w14:textId="180E2F3C" w:rsidR="001678D8" w:rsidRDefault="00A51C22" w:rsidP="00A51C2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A51C22">
        <w:t>Le informazioni sulla posologia e sulle modalità di somministrazione sono riportate nel Riassunto delle Caratteristiche del Prodotto (RCP) pubblicato sul sito dell’Agenzia Italiana del Farmaco - AIFA /</w:t>
      </w:r>
      <w:r w:rsidRPr="00A51C22">
        <w:rPr>
          <w:rFonts w:eastAsia="Calibri" w:cs="Calibri"/>
          <w:lang w:eastAsia="it-IT"/>
        </w:rPr>
        <w:t>(</w:t>
      </w:r>
      <w:r w:rsidR="001678D8" w:rsidRPr="001678D8">
        <w:t xml:space="preserve"> </w:t>
      </w:r>
      <w:hyperlink r:id="rId12" w:anchor="/it/" w:history="1">
        <w:r w:rsidR="001678D8" w:rsidRPr="005472B1">
          <w:rPr>
            <w:rStyle w:val="Collegamentoipertestuale"/>
            <w:rFonts w:eastAsia="Calibri" w:cs="Calibri"/>
            <w:lang w:eastAsia="it-IT"/>
          </w:rPr>
          <w:t>https://medicinali.aifa.gov.it/it/#/it/</w:t>
        </w:r>
      </w:hyperlink>
      <w:r w:rsidR="001678D8">
        <w:rPr>
          <w:rFonts w:eastAsia="Calibri" w:cs="Calibri"/>
          <w:lang w:eastAsia="it-IT"/>
        </w:rPr>
        <w:t>).</w:t>
      </w:r>
    </w:p>
    <w:p w14:paraId="6F5A03CE" w14:textId="59BF3983" w:rsidR="00A51C22" w:rsidRPr="00A51C22" w:rsidRDefault="00A51C22" w:rsidP="00A51C2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14:paraId="6B50E10E" w14:textId="77777777" w:rsidR="00A51C22" w:rsidRPr="00A51C22" w:rsidRDefault="00A51C22" w:rsidP="00A51C22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A51C22">
        <w:rPr>
          <w:rFonts w:eastAsia="Calibri" w:cs="Calibri"/>
          <w:b/>
          <w:lang w:eastAsia="it-IT"/>
        </w:rPr>
        <w:t>Tossicologia</w:t>
      </w:r>
    </w:p>
    <w:p w14:paraId="18D6D398" w14:textId="77777777" w:rsidR="00A51C22" w:rsidRPr="00A51C22" w:rsidRDefault="00A51C22" w:rsidP="00A51C2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A51C22">
        <w:rPr>
          <w:rFonts w:eastAsia="Calibri" w:cs="Calibri"/>
          <w:lang w:eastAsia="it-IT"/>
        </w:rPr>
        <w:t xml:space="preserve">La tossicologia di </w:t>
      </w:r>
      <w:proofErr w:type="spellStart"/>
      <w:r w:rsidRPr="00A51C22">
        <w:t>rivaroxaban</w:t>
      </w:r>
      <w:proofErr w:type="spellEnd"/>
      <w:r w:rsidRPr="00A51C22">
        <w:t xml:space="preserve"> </w:t>
      </w:r>
      <w:r w:rsidRPr="00A51C22">
        <w:rPr>
          <w:rFonts w:eastAsia="Calibri" w:cs="Calibri"/>
          <w:lang w:eastAsia="it-IT"/>
        </w:rPr>
        <w:t>è ben conosciuta; non è stato necessario presentare ulteriori dati.</w:t>
      </w:r>
    </w:p>
    <w:p w14:paraId="04802B4A" w14:textId="77777777" w:rsidR="00A51C22" w:rsidRPr="00A51C22" w:rsidRDefault="00A51C22" w:rsidP="00A51C2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14:paraId="44096AC8" w14:textId="77777777" w:rsidR="00A51C22" w:rsidRPr="00A51C22" w:rsidRDefault="00A51C22" w:rsidP="00A51C22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A51C22">
        <w:rPr>
          <w:rFonts w:eastAsia="Times New Roman" w:cs="Times New Roman"/>
          <w:b/>
        </w:rPr>
        <w:t>Farmacologia clinica</w:t>
      </w:r>
    </w:p>
    <w:p w14:paraId="38525DA3" w14:textId="4AD09A8C" w:rsidR="00A51C22" w:rsidRPr="00A51C22" w:rsidRDefault="00A51C22" w:rsidP="00A51C22">
      <w:pPr>
        <w:spacing w:after="0" w:line="240" w:lineRule="auto"/>
        <w:jc w:val="both"/>
      </w:pPr>
      <w:r w:rsidRPr="00A51C22">
        <w:rPr>
          <w:rFonts w:eastAsia="Calibri" w:cs="Calibri"/>
          <w:lang w:eastAsia="it-IT"/>
        </w:rPr>
        <w:t xml:space="preserve">La farmacologia clinica di </w:t>
      </w:r>
      <w:proofErr w:type="spellStart"/>
      <w:r w:rsidRPr="00A51C22">
        <w:t>rivaroxaban</w:t>
      </w:r>
      <w:proofErr w:type="spellEnd"/>
      <w:r w:rsidRPr="00A51C22">
        <w:t xml:space="preserve"> </w:t>
      </w:r>
      <w:r w:rsidRPr="00A51C22">
        <w:rPr>
          <w:rFonts w:eastAsia="Calibri" w:cs="Calibri"/>
          <w:lang w:eastAsia="it-IT"/>
        </w:rPr>
        <w:t>è ben conosciuta.</w:t>
      </w:r>
      <w:r w:rsidRPr="00A51C22">
        <w:t xml:space="preserve"> </w:t>
      </w:r>
      <w:r w:rsidR="001678D8">
        <w:rPr>
          <w:rFonts w:eastAsia="Calibri" w:cs="Calibri"/>
          <w:color w:val="000000"/>
          <w:lang w:eastAsia="it-IT"/>
        </w:rPr>
        <w:t>INDIFAXA</w:t>
      </w:r>
      <w:r w:rsidRPr="00A51C22">
        <w:rPr>
          <w:rFonts w:eastAsia="Calibri" w:cs="Calibri"/>
          <w:color w:val="000000"/>
          <w:lang w:eastAsia="it-IT"/>
        </w:rPr>
        <w:t xml:space="preserve"> </w:t>
      </w:r>
      <w:r w:rsidRPr="00A51C22">
        <w:t xml:space="preserve">contiene un principio attivo noto presente nel medicinale di riferimento </w:t>
      </w:r>
      <w:proofErr w:type="spellStart"/>
      <w:r w:rsidRPr="00A51C22">
        <w:t>Xarelto</w:t>
      </w:r>
      <w:proofErr w:type="spellEnd"/>
      <w:r w:rsidRPr="00A51C22">
        <w:t xml:space="preserve"> autorizzato in Italia da più di 10 anni. Con l’eccezione dello studio di </w:t>
      </w:r>
      <w:proofErr w:type="spellStart"/>
      <w:r w:rsidRPr="00A51C22">
        <w:t>bioequivalenza</w:t>
      </w:r>
      <w:proofErr w:type="spellEnd"/>
      <w:r w:rsidRPr="00A51C22">
        <w:t xml:space="preserve">, non sono stati condotti nuovi studi clinici di farmacodinamica e farmacocinetica, in quanto </w:t>
      </w:r>
      <w:r w:rsidR="008E447C">
        <w:rPr>
          <w:rFonts w:eastAsia="Calibri" w:cs="Calibri"/>
          <w:color w:val="000000"/>
          <w:lang w:eastAsia="it-IT"/>
        </w:rPr>
        <w:t>INDIFAXA</w:t>
      </w:r>
      <w:r w:rsidRPr="00A51C22">
        <w:rPr>
          <w:rFonts w:eastAsia="Calibri" w:cs="Calibri"/>
          <w:color w:val="000000"/>
          <w:lang w:eastAsia="it-IT"/>
        </w:rPr>
        <w:t xml:space="preserve"> </w:t>
      </w:r>
      <w:r w:rsidRPr="00A51C22">
        <w:t xml:space="preserve">contiene un principio attivo noto e presente nel medicinale di riferimento </w:t>
      </w:r>
      <w:proofErr w:type="spellStart"/>
      <w:r w:rsidRPr="00A51C22">
        <w:t>Xarelto</w:t>
      </w:r>
      <w:proofErr w:type="spellEnd"/>
      <w:r w:rsidRPr="00A51C22">
        <w:t xml:space="preserve"> autorizzato in Italia da più di 10 anni.</w:t>
      </w:r>
    </w:p>
    <w:p w14:paraId="4ADF0E08" w14:textId="77777777" w:rsidR="00A51C22" w:rsidRPr="00A51C22" w:rsidRDefault="00A51C22" w:rsidP="00A51C22">
      <w:pPr>
        <w:spacing w:after="0" w:line="240" w:lineRule="auto"/>
        <w:jc w:val="both"/>
        <w:rPr>
          <w:highlight w:val="cyan"/>
        </w:rPr>
      </w:pPr>
    </w:p>
    <w:p w14:paraId="6A2A1E3F" w14:textId="77777777" w:rsidR="00A51C22" w:rsidRPr="00731800" w:rsidRDefault="00A51C22" w:rsidP="00A51C22">
      <w:pPr>
        <w:spacing w:after="0" w:line="240" w:lineRule="auto"/>
        <w:jc w:val="both"/>
        <w:rPr>
          <w:b/>
        </w:rPr>
      </w:pPr>
      <w:r w:rsidRPr="00731800">
        <w:rPr>
          <w:b/>
        </w:rPr>
        <w:t xml:space="preserve">Studi di </w:t>
      </w:r>
      <w:proofErr w:type="spellStart"/>
      <w:r w:rsidRPr="00731800">
        <w:rPr>
          <w:b/>
        </w:rPr>
        <w:t>bioequivalenza</w:t>
      </w:r>
      <w:proofErr w:type="spellEnd"/>
    </w:p>
    <w:p w14:paraId="6CD752D1" w14:textId="358D406F" w:rsidR="00A51C22" w:rsidRPr="00731800" w:rsidRDefault="00A51C22" w:rsidP="00A51C22">
      <w:pPr>
        <w:spacing w:after="0" w:line="240" w:lineRule="auto"/>
        <w:jc w:val="both"/>
      </w:pPr>
      <w:r w:rsidRPr="00731800">
        <w:t xml:space="preserve">La richiesta di AIC è supportata da due studi di </w:t>
      </w:r>
      <w:proofErr w:type="spellStart"/>
      <w:r w:rsidRPr="00731800">
        <w:t>bioequivalenza</w:t>
      </w:r>
      <w:proofErr w:type="spellEnd"/>
      <w:r w:rsidRPr="00731800">
        <w:t xml:space="preserve">, condotti con </w:t>
      </w:r>
      <w:bookmarkStart w:id="7" w:name="_Hlk57976690"/>
      <w:r w:rsidRPr="00731800">
        <w:t xml:space="preserve">i dosaggi da, 10 mg e 20 mg, </w:t>
      </w:r>
      <w:bookmarkEnd w:id="7"/>
      <w:r w:rsidRPr="00731800">
        <w:t xml:space="preserve">che hanno confrontato i profili farmacocinetici di </w:t>
      </w:r>
      <w:r w:rsidR="0071234F" w:rsidRPr="00731800">
        <w:rPr>
          <w:rFonts w:eastAsia="Calibri" w:cs="Calibri"/>
          <w:color w:val="000000"/>
          <w:lang w:eastAsia="it-IT"/>
        </w:rPr>
        <w:t>INDIFAXA</w:t>
      </w:r>
      <w:r w:rsidRPr="00731800">
        <w:rPr>
          <w:rFonts w:eastAsia="Calibri" w:cs="Calibri"/>
          <w:color w:val="000000"/>
          <w:lang w:eastAsia="it-IT"/>
        </w:rPr>
        <w:t xml:space="preserve"> </w:t>
      </w:r>
      <w:r w:rsidRPr="00731800">
        <w:t xml:space="preserve">e quelli del medicinale di riferimento </w:t>
      </w:r>
      <w:proofErr w:type="spellStart"/>
      <w:r w:rsidRPr="00731800">
        <w:t>Xarelto</w:t>
      </w:r>
      <w:proofErr w:type="spellEnd"/>
      <w:r w:rsidRPr="00731800">
        <w:t xml:space="preserve">; è stato accettato </w:t>
      </w:r>
      <w:bookmarkStart w:id="8" w:name="_Hlk57976887"/>
      <w:r w:rsidRPr="00731800">
        <w:t>un approccio di estrapolazione (</w:t>
      </w:r>
      <w:proofErr w:type="spellStart"/>
      <w:r w:rsidRPr="00731800">
        <w:t>biowaiver</w:t>
      </w:r>
      <w:proofErr w:type="spellEnd"/>
      <w:r w:rsidRPr="00731800">
        <w:t>) per il dosaggio da 15 mg.</w:t>
      </w:r>
    </w:p>
    <w:bookmarkEnd w:id="8"/>
    <w:p w14:paraId="1B910667" w14:textId="77777777" w:rsidR="00A51C22" w:rsidRPr="00731800" w:rsidRDefault="00A51C22" w:rsidP="00A51C22">
      <w:pPr>
        <w:spacing w:after="0" w:line="240" w:lineRule="auto"/>
        <w:contextualSpacing/>
        <w:jc w:val="both"/>
      </w:pPr>
      <w:r w:rsidRPr="00731800">
        <w:t>Gli studi, caratterizzati da un appropriato disegno, sono stato condotti in accordo ai principi GCP.</w:t>
      </w:r>
    </w:p>
    <w:p w14:paraId="25AF553E" w14:textId="77777777" w:rsidR="00A51C22" w:rsidRPr="00731800" w:rsidRDefault="00A51C22" w:rsidP="00A51C22">
      <w:pPr>
        <w:spacing w:after="0" w:line="240" w:lineRule="auto"/>
        <w:contextualSpacing/>
        <w:jc w:val="both"/>
      </w:pPr>
      <w:r w:rsidRPr="00731800">
        <w:t>Sono stati forniti certificati analitici per medicinale test e medicinale di riferimento.</w:t>
      </w:r>
    </w:p>
    <w:p w14:paraId="5265EB5D" w14:textId="77777777" w:rsidR="00A51C22" w:rsidRPr="00731800" w:rsidRDefault="00A51C22" w:rsidP="00A51C22">
      <w:pPr>
        <w:spacing w:after="0" w:line="240" w:lineRule="auto"/>
        <w:jc w:val="both"/>
        <w:rPr>
          <w:rFonts w:ascii="Calibri" w:hAnsi="Calibri"/>
          <w:b/>
          <w:i/>
          <w:sz w:val="20"/>
        </w:rPr>
      </w:pPr>
    </w:p>
    <w:p w14:paraId="2B031F56" w14:textId="77777777" w:rsidR="00A51C22" w:rsidRPr="00731800" w:rsidRDefault="00A51C22" w:rsidP="00A51C22">
      <w:pPr>
        <w:spacing w:after="0" w:line="240" w:lineRule="auto"/>
        <w:jc w:val="both"/>
      </w:pPr>
      <w:r w:rsidRPr="00731800">
        <w:rPr>
          <w:rFonts w:ascii="Calibri" w:hAnsi="Calibri"/>
        </w:rPr>
        <w:t xml:space="preserve">L’utilizzo dei dosaggi 10 mg e 20 mg </w:t>
      </w:r>
      <w:r w:rsidRPr="00731800">
        <w:t xml:space="preserve">per gli studi di </w:t>
      </w:r>
      <w:proofErr w:type="spellStart"/>
      <w:r w:rsidRPr="00731800">
        <w:t>bioequivalenza</w:t>
      </w:r>
      <w:proofErr w:type="spellEnd"/>
      <w:r w:rsidRPr="00731800">
        <w:t xml:space="preserve"> è stato opportunamente giustificato.</w:t>
      </w:r>
    </w:p>
    <w:p w14:paraId="31D5E3D6" w14:textId="77777777" w:rsidR="00A51C22" w:rsidRPr="00731800" w:rsidRDefault="00A51C22" w:rsidP="00A51C22">
      <w:pPr>
        <w:spacing w:after="0" w:line="240" w:lineRule="auto"/>
        <w:jc w:val="both"/>
      </w:pPr>
    </w:p>
    <w:p w14:paraId="7592480E" w14:textId="72D3ECBD" w:rsidR="00A51C22" w:rsidRPr="00731800" w:rsidRDefault="00A51C22" w:rsidP="00A51C22">
      <w:pPr>
        <w:spacing w:after="0" w:line="240" w:lineRule="auto"/>
        <w:jc w:val="both"/>
        <w:rPr>
          <w:rFonts w:ascii="Calibri" w:hAnsi="Calibri" w:cs="Arial"/>
        </w:rPr>
      </w:pPr>
      <w:r w:rsidRPr="00731800">
        <w:rPr>
          <w:rFonts w:ascii="Calibri" w:hAnsi="Calibri"/>
        </w:rPr>
        <w:t xml:space="preserve">Lo studio di </w:t>
      </w:r>
      <w:proofErr w:type="spellStart"/>
      <w:r w:rsidRPr="00731800">
        <w:rPr>
          <w:rFonts w:ascii="Calibri" w:hAnsi="Calibri"/>
        </w:rPr>
        <w:t>bioequivalenza</w:t>
      </w:r>
      <w:proofErr w:type="spellEnd"/>
      <w:r w:rsidRPr="00731800">
        <w:rPr>
          <w:rFonts w:ascii="Calibri" w:hAnsi="Calibri"/>
        </w:rPr>
        <w:t xml:space="preserve"> con il dosaggio da 10</w:t>
      </w:r>
      <w:r w:rsidR="00F560DF" w:rsidRPr="00731800">
        <w:rPr>
          <w:rFonts w:ascii="Calibri" w:hAnsi="Calibri"/>
        </w:rPr>
        <w:t xml:space="preserve"> </w:t>
      </w:r>
      <w:r w:rsidRPr="00731800">
        <w:rPr>
          <w:rFonts w:ascii="Calibri" w:hAnsi="Calibri"/>
        </w:rPr>
        <w:t xml:space="preserve">mg è uno studio comparativo, randomizzato, a dose singola, in aperto, 2-periodi, </w:t>
      </w:r>
      <w:r w:rsidR="00F560DF" w:rsidRPr="00731800">
        <w:rPr>
          <w:rFonts w:ascii="Calibri" w:hAnsi="Calibri"/>
        </w:rPr>
        <w:t xml:space="preserve">2-trattamenti, 2-sequenze, </w:t>
      </w:r>
      <w:r w:rsidRPr="00731800">
        <w:rPr>
          <w:rFonts w:ascii="Calibri" w:hAnsi="Calibri"/>
        </w:rPr>
        <w:t xml:space="preserve">crossover condotto in </w:t>
      </w:r>
      <w:r w:rsidR="00745BC8" w:rsidRPr="00731800">
        <w:rPr>
          <w:rFonts w:ascii="Calibri" w:hAnsi="Calibri"/>
        </w:rPr>
        <w:t xml:space="preserve">32 </w:t>
      </w:r>
      <w:r w:rsidRPr="00731800">
        <w:rPr>
          <w:rFonts w:ascii="Calibri" w:hAnsi="Calibri"/>
        </w:rPr>
        <w:t>volontari adulti sani di sesso femminile e maschile con somministrazione a stomaco vuoto. Un soddisfacente periodo di wash-out di 7</w:t>
      </w:r>
      <w:r w:rsidRPr="00731800">
        <w:rPr>
          <w:rFonts w:ascii="Calibri" w:hAnsi="Calibri" w:cs="Arial"/>
        </w:rPr>
        <w:t xml:space="preserve"> giorni è stato previsto tra le somministrazioni in ogni gruppo.</w:t>
      </w:r>
    </w:p>
    <w:p w14:paraId="07E32D96" w14:textId="77777777" w:rsidR="00A51C22" w:rsidRPr="00731800" w:rsidRDefault="00A51C22" w:rsidP="00A51C22">
      <w:pPr>
        <w:spacing w:after="0" w:line="240" w:lineRule="auto"/>
        <w:jc w:val="both"/>
        <w:rPr>
          <w:rFonts w:ascii="Calibri" w:hAnsi="Calibri" w:cs="Arial"/>
        </w:rPr>
      </w:pPr>
      <w:r w:rsidRPr="00731800">
        <w:rPr>
          <w:rFonts w:ascii="Calibri" w:hAnsi="Calibri" w:cs="Arial"/>
        </w:rPr>
        <w:t>Campioni di sangue sono stati prelevati al tempo zero (</w:t>
      </w:r>
      <w:proofErr w:type="spellStart"/>
      <w:r w:rsidRPr="00731800">
        <w:rPr>
          <w:rFonts w:ascii="Calibri" w:hAnsi="Calibri" w:cs="Arial"/>
        </w:rPr>
        <w:t>pre</w:t>
      </w:r>
      <w:proofErr w:type="spellEnd"/>
      <w:r w:rsidRPr="00731800">
        <w:rPr>
          <w:rFonts w:ascii="Calibri" w:hAnsi="Calibri" w:cs="Arial"/>
        </w:rPr>
        <w:t xml:space="preserve">-dose) e a specificati tempi fino a 48 ore dopo la somministrazione. I livelli plasmatici di </w:t>
      </w:r>
      <w:proofErr w:type="spellStart"/>
      <w:r w:rsidRPr="00731800">
        <w:rPr>
          <w:rFonts w:ascii="Calibri" w:hAnsi="Calibri" w:cs="Arial"/>
        </w:rPr>
        <w:t>rivaroxaban</w:t>
      </w:r>
      <w:proofErr w:type="spellEnd"/>
      <w:r w:rsidRPr="00731800">
        <w:rPr>
          <w:rFonts w:ascii="Calibri" w:hAnsi="Calibri" w:cs="Arial"/>
        </w:rPr>
        <w:t xml:space="preserve"> sono stati determinati mediante un metodo analitico LC-MS/MS opportunamente convalidato.</w:t>
      </w:r>
    </w:p>
    <w:p w14:paraId="31588792" w14:textId="77777777" w:rsidR="00A51C22" w:rsidRPr="00731800" w:rsidRDefault="00A51C22" w:rsidP="00A51C22">
      <w:pPr>
        <w:spacing w:after="0" w:line="240" w:lineRule="auto"/>
        <w:contextualSpacing/>
        <w:jc w:val="both"/>
        <w:rPr>
          <w:rFonts w:ascii="Calibri" w:hAnsi="Calibri" w:cs="Arial"/>
        </w:rPr>
      </w:pPr>
      <w:r w:rsidRPr="00731800">
        <w:rPr>
          <w:rFonts w:ascii="Calibri" w:hAnsi="Calibri" w:cs="Arial"/>
        </w:rPr>
        <w:t xml:space="preserve">Per </w:t>
      </w:r>
      <w:proofErr w:type="spellStart"/>
      <w:r w:rsidRPr="00731800">
        <w:rPr>
          <w:rFonts w:ascii="Calibri" w:hAnsi="Calibri" w:cs="Arial"/>
        </w:rPr>
        <w:t>rivaroxaban</w:t>
      </w:r>
      <w:proofErr w:type="spellEnd"/>
      <w:r w:rsidRPr="00731800">
        <w:rPr>
          <w:rFonts w:ascii="Calibri" w:hAnsi="Calibri" w:cs="Arial"/>
        </w:rPr>
        <w:t xml:space="preserve"> sono state definite le seguenti variabili farmacocinetiche: </w:t>
      </w:r>
      <w:proofErr w:type="spellStart"/>
      <w:r w:rsidRPr="00731800">
        <w:rPr>
          <w:rFonts w:ascii="Calibri" w:hAnsi="Calibri" w:cs="Arial"/>
        </w:rPr>
        <w:t>C</w:t>
      </w:r>
      <w:r w:rsidRPr="00731800">
        <w:rPr>
          <w:rFonts w:ascii="Calibri" w:hAnsi="Calibri" w:cs="Arial"/>
          <w:vertAlign w:val="subscript"/>
        </w:rPr>
        <w:t>max</w:t>
      </w:r>
      <w:proofErr w:type="spellEnd"/>
      <w:r w:rsidRPr="00731800">
        <w:rPr>
          <w:rFonts w:ascii="Calibri" w:hAnsi="Calibri" w:cs="Arial"/>
        </w:rPr>
        <w:t>, AUC</w:t>
      </w:r>
      <w:r w:rsidRPr="00731800">
        <w:rPr>
          <w:rFonts w:ascii="Calibri" w:hAnsi="Calibri" w:cs="Arial"/>
          <w:vertAlign w:val="subscript"/>
        </w:rPr>
        <w:t>0-t</w:t>
      </w:r>
      <w:r w:rsidRPr="00731800">
        <w:rPr>
          <w:rFonts w:ascii="Calibri" w:hAnsi="Calibri" w:cs="Arial"/>
        </w:rPr>
        <w:t>, AUC</w:t>
      </w:r>
      <w:r w:rsidRPr="00731800">
        <w:rPr>
          <w:rFonts w:ascii="Calibri" w:hAnsi="Calibri" w:cs="Arial"/>
          <w:vertAlign w:val="subscript"/>
        </w:rPr>
        <w:t>0-</w:t>
      </w:r>
      <w:r w:rsidRPr="00731800">
        <w:rPr>
          <w:rFonts w:ascii="Calibri" w:hAnsi="Calibri" w:cs="Arial"/>
          <w:vertAlign w:val="subscript"/>
          <w:lang w:val="en-GB"/>
        </w:rPr>
        <w:sym w:font="Symbol" w:char="00A5"/>
      </w:r>
      <w:r w:rsidRPr="00731800">
        <w:rPr>
          <w:rFonts w:ascii="Calibri" w:hAnsi="Calibri" w:cs="Arial"/>
        </w:rPr>
        <w:t xml:space="preserve">, </w:t>
      </w:r>
      <w:proofErr w:type="spellStart"/>
      <w:r w:rsidRPr="00731800">
        <w:rPr>
          <w:rFonts w:ascii="Calibri" w:hAnsi="Calibri" w:cs="Arial"/>
        </w:rPr>
        <w:t>t</w:t>
      </w:r>
      <w:r w:rsidRPr="00731800">
        <w:rPr>
          <w:rFonts w:ascii="Calibri" w:hAnsi="Calibri" w:cs="Arial"/>
          <w:vertAlign w:val="subscript"/>
        </w:rPr>
        <w:t>max</w:t>
      </w:r>
      <w:proofErr w:type="spellEnd"/>
      <w:r w:rsidRPr="00731800">
        <w:rPr>
          <w:rFonts w:ascii="Calibri" w:hAnsi="Calibri" w:cs="Arial"/>
        </w:rPr>
        <w:t xml:space="preserve">, t½ e AUC estrapolata. La </w:t>
      </w:r>
      <w:proofErr w:type="spellStart"/>
      <w:r w:rsidRPr="00731800">
        <w:rPr>
          <w:rFonts w:ascii="Calibri" w:hAnsi="Calibri" w:cs="Arial"/>
        </w:rPr>
        <w:t>bioequivalenza</w:t>
      </w:r>
      <w:proofErr w:type="spellEnd"/>
      <w:r w:rsidRPr="00731800">
        <w:rPr>
          <w:rFonts w:ascii="Calibri" w:hAnsi="Calibri" w:cs="Arial"/>
        </w:rPr>
        <w:t xml:space="preserve"> tra medicinale test e medicinale di riferimento è dimostrata se gli intervalli di confidenza al 90% per la trasformata logaritmica di </w:t>
      </w:r>
      <w:proofErr w:type="spellStart"/>
      <w:r w:rsidRPr="00731800">
        <w:rPr>
          <w:rFonts w:ascii="Calibri" w:hAnsi="Calibri" w:cs="Arial"/>
        </w:rPr>
        <w:t>C</w:t>
      </w:r>
      <w:r w:rsidRPr="00731800">
        <w:rPr>
          <w:rFonts w:ascii="Calibri" w:hAnsi="Calibri" w:cs="Arial"/>
          <w:vertAlign w:val="subscript"/>
        </w:rPr>
        <w:t>max</w:t>
      </w:r>
      <w:proofErr w:type="spellEnd"/>
      <w:r w:rsidRPr="00731800">
        <w:rPr>
          <w:rFonts w:ascii="Calibri" w:hAnsi="Calibri" w:cs="Arial"/>
        </w:rPr>
        <w:t xml:space="preserve"> e AUC</w:t>
      </w:r>
      <w:r w:rsidRPr="00731800">
        <w:rPr>
          <w:rFonts w:ascii="Calibri" w:hAnsi="Calibri" w:cs="Arial"/>
          <w:vertAlign w:val="subscript"/>
        </w:rPr>
        <w:t>0-t</w:t>
      </w:r>
      <w:r w:rsidRPr="00731800">
        <w:rPr>
          <w:rFonts w:ascii="Calibri" w:hAnsi="Calibri" w:cs="Arial"/>
        </w:rPr>
        <w:t xml:space="preserve">, cadono nel </w:t>
      </w:r>
      <w:proofErr w:type="spellStart"/>
      <w:r w:rsidRPr="00731800">
        <w:rPr>
          <w:rFonts w:ascii="Calibri" w:hAnsi="Calibri" w:cs="Arial"/>
        </w:rPr>
        <w:t>range</w:t>
      </w:r>
      <w:proofErr w:type="spellEnd"/>
      <w:r w:rsidRPr="00731800">
        <w:rPr>
          <w:rFonts w:ascii="Calibri" w:hAnsi="Calibri" w:cs="Arial"/>
        </w:rPr>
        <w:t xml:space="preserve"> di accettabilità di 0.80-1.25 (80%-125%).</w:t>
      </w:r>
    </w:p>
    <w:p w14:paraId="2C55A8BC" w14:textId="77777777" w:rsidR="00A51C22" w:rsidRPr="00731800" w:rsidRDefault="00A51C22" w:rsidP="00A51C22">
      <w:pPr>
        <w:spacing w:after="0" w:line="240" w:lineRule="auto"/>
        <w:contextualSpacing/>
        <w:jc w:val="both"/>
      </w:pPr>
    </w:p>
    <w:p w14:paraId="6D36ECB7" w14:textId="77777777" w:rsidR="00A51C22" w:rsidRPr="00731800" w:rsidRDefault="00A51C22" w:rsidP="00A51C22">
      <w:pPr>
        <w:spacing w:after="0" w:line="240" w:lineRule="auto"/>
        <w:contextualSpacing/>
        <w:jc w:val="both"/>
        <w:rPr>
          <w:u w:val="single"/>
        </w:rPr>
      </w:pPr>
      <w:r w:rsidRPr="00731800">
        <w:rPr>
          <w:u w:val="single"/>
        </w:rPr>
        <w:t>Risultati</w:t>
      </w:r>
    </w:p>
    <w:p w14:paraId="6F242010" w14:textId="77777777" w:rsidR="00A51C22" w:rsidRPr="00731800" w:rsidRDefault="00A51C22" w:rsidP="00A51C22">
      <w:pPr>
        <w:spacing w:after="0" w:line="240" w:lineRule="auto"/>
        <w:contextualSpacing/>
        <w:jc w:val="both"/>
        <w:rPr>
          <w:rFonts w:ascii="Calibri" w:hAnsi="Calibri" w:cs="Arial"/>
        </w:rPr>
      </w:pPr>
      <w:r w:rsidRPr="00731800">
        <w:rPr>
          <w:rFonts w:ascii="Calibri" w:hAnsi="Calibri" w:cs="Arial"/>
        </w:rPr>
        <w:lastRenderedPageBreak/>
        <w:t xml:space="preserve">32 volontari sani sono stati arruolati nello studio. 30 soggetti </w:t>
      </w:r>
      <w:r w:rsidRPr="00731800">
        <w:t xml:space="preserve">hanno completato la fase clinica e </w:t>
      </w:r>
      <w:r w:rsidRPr="00731800">
        <w:rPr>
          <w:rFonts w:ascii="Calibri" w:hAnsi="Calibri" w:cs="Arial"/>
        </w:rPr>
        <w:t>sono stati inclusi nell’analisi farmacocinetica.</w:t>
      </w:r>
    </w:p>
    <w:p w14:paraId="57EF021E" w14:textId="77777777" w:rsidR="00A51C22" w:rsidRPr="00731800" w:rsidRDefault="00A51C22" w:rsidP="00A51C22">
      <w:pPr>
        <w:keepNext/>
        <w:spacing w:after="0" w:line="240" w:lineRule="auto"/>
        <w:jc w:val="both"/>
        <w:outlineLvl w:val="0"/>
        <w:rPr>
          <w:rFonts w:ascii="Calibri" w:eastAsia="Times New Roman" w:hAnsi="Calibri" w:cs="Arial"/>
          <w:i/>
        </w:rPr>
      </w:pPr>
    </w:p>
    <w:p w14:paraId="07311FEE" w14:textId="77777777" w:rsidR="00A51C22" w:rsidRPr="00731800" w:rsidRDefault="00A51C22" w:rsidP="00A51C22">
      <w:pPr>
        <w:keepNext/>
        <w:spacing w:after="0" w:line="240" w:lineRule="auto"/>
        <w:jc w:val="both"/>
        <w:outlineLvl w:val="0"/>
        <w:rPr>
          <w:rFonts w:ascii="Calibri" w:eastAsia="Times New Roman" w:hAnsi="Calibri" w:cs="Arial"/>
        </w:rPr>
      </w:pPr>
      <w:r w:rsidRPr="00731800">
        <w:rPr>
          <w:rFonts w:ascii="Calibri" w:eastAsia="Times New Roman" w:hAnsi="Calibri" w:cs="Arial"/>
          <w:i/>
        </w:rPr>
        <w:t>Sicurezza</w:t>
      </w:r>
    </w:p>
    <w:p w14:paraId="02A29793" w14:textId="77777777" w:rsidR="00A51C22" w:rsidRPr="00731800" w:rsidRDefault="00A51C22" w:rsidP="00A51C2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/>
        </w:rPr>
      </w:pPr>
      <w:r w:rsidRPr="00731800">
        <w:rPr>
          <w:rFonts w:ascii="Calibri" w:hAnsi="Calibri" w:cs="Arial"/>
        </w:rPr>
        <w:t xml:space="preserve">Nel corso dello studio, si sono manifestati </w:t>
      </w:r>
      <w:r w:rsidRPr="00731800">
        <w:t xml:space="preserve">8 eventi avversi </w:t>
      </w:r>
      <w:r w:rsidRPr="00731800">
        <w:rPr>
          <w:rFonts w:ascii="Calibri" w:hAnsi="Calibri" w:cs="Arial"/>
        </w:rPr>
        <w:t>correlati al trattamento in 6 soggetti</w:t>
      </w:r>
      <w:r w:rsidRPr="00731800">
        <w:t xml:space="preserve">. </w:t>
      </w:r>
      <w:r w:rsidRPr="00731800">
        <w:rPr>
          <w:rFonts w:ascii="Calibri" w:hAnsi="Calibri" w:cs="Arial"/>
        </w:rPr>
        <w:t>Non sono stati rilevati eventi avversi gravi.</w:t>
      </w:r>
    </w:p>
    <w:p w14:paraId="329D9907" w14:textId="77777777" w:rsidR="00A51C22" w:rsidRPr="00731800" w:rsidRDefault="00A51C22" w:rsidP="00A51C22">
      <w:pPr>
        <w:spacing w:after="0" w:line="240" w:lineRule="auto"/>
      </w:pPr>
    </w:p>
    <w:p w14:paraId="630464FB" w14:textId="77777777" w:rsidR="00A51C22" w:rsidRPr="00731800" w:rsidRDefault="00A51C22" w:rsidP="00A51C22">
      <w:pPr>
        <w:keepNext/>
        <w:spacing w:after="0" w:line="240" w:lineRule="auto"/>
        <w:jc w:val="both"/>
        <w:outlineLvl w:val="0"/>
        <w:rPr>
          <w:rFonts w:eastAsia="Times New Roman" w:cs="Arial"/>
        </w:rPr>
      </w:pPr>
      <w:r w:rsidRPr="00731800">
        <w:rPr>
          <w:rFonts w:eastAsia="Times New Roman" w:cs="Arial"/>
          <w:i/>
        </w:rPr>
        <w:t>Parametri farmacocinetici</w:t>
      </w:r>
      <w:r w:rsidRPr="00731800">
        <w:rPr>
          <w:rFonts w:eastAsia="Times New Roman" w:cs="Arial"/>
        </w:rPr>
        <w:t xml:space="preserve">. </w:t>
      </w:r>
    </w:p>
    <w:p w14:paraId="3AA2CDF2" w14:textId="77777777" w:rsidR="00A51C22" w:rsidRPr="00731800" w:rsidRDefault="00A51C22" w:rsidP="00A51C22">
      <w:pPr>
        <w:keepNext/>
        <w:spacing w:after="0" w:line="240" w:lineRule="auto"/>
        <w:jc w:val="both"/>
        <w:outlineLvl w:val="0"/>
        <w:rPr>
          <w:rFonts w:eastAsia="Times New Roman" w:cs="Arial"/>
        </w:rPr>
      </w:pPr>
      <w:r w:rsidRPr="00731800">
        <w:rPr>
          <w:rFonts w:eastAsia="Times New Roman" w:cs="Arial"/>
        </w:rPr>
        <w:t xml:space="preserve">La sintesi dei risultati dello studio di </w:t>
      </w:r>
      <w:proofErr w:type="spellStart"/>
      <w:r w:rsidRPr="00731800">
        <w:rPr>
          <w:rFonts w:eastAsia="Times New Roman" w:cs="Arial"/>
        </w:rPr>
        <w:t>bioequivalenza</w:t>
      </w:r>
      <w:proofErr w:type="spellEnd"/>
      <w:r w:rsidRPr="00731800">
        <w:rPr>
          <w:rFonts w:eastAsia="Times New Roman" w:cs="Arial"/>
        </w:rPr>
        <w:t xml:space="preserve"> è riportata nella tabella che segue.</w:t>
      </w:r>
    </w:p>
    <w:p w14:paraId="12C391D0" w14:textId="77777777" w:rsidR="00A51C22" w:rsidRPr="00731800" w:rsidRDefault="00A51C22" w:rsidP="00A51C22">
      <w:pPr>
        <w:spacing w:after="0" w:line="240" w:lineRule="auto"/>
        <w:rPr>
          <w:rFonts w:cs="Arial"/>
          <w:i/>
        </w:rPr>
      </w:pPr>
    </w:p>
    <w:tbl>
      <w:tblPr>
        <w:tblW w:w="40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519"/>
        <w:gridCol w:w="1614"/>
        <w:gridCol w:w="1596"/>
        <w:gridCol w:w="1538"/>
        <w:gridCol w:w="1675"/>
      </w:tblGrid>
      <w:tr w:rsidR="00A51C22" w:rsidRPr="00731800" w14:paraId="488A1AA0" w14:textId="77777777" w:rsidTr="00745BC8">
        <w:trPr>
          <w:jc w:val="center"/>
        </w:trPr>
        <w:tc>
          <w:tcPr>
            <w:tcW w:w="7942" w:type="dxa"/>
            <w:gridSpan w:val="5"/>
            <w:shd w:val="clear" w:color="auto" w:fill="auto"/>
            <w:vAlign w:val="bottom"/>
          </w:tcPr>
          <w:p w14:paraId="73BD8451" w14:textId="77777777" w:rsidR="00A51C22" w:rsidRPr="00731800" w:rsidRDefault="00A51C22" w:rsidP="00A51C2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731800">
              <w:rPr>
                <w:b/>
                <w:bCs/>
                <w:sz w:val="20"/>
                <w:szCs w:val="20"/>
              </w:rPr>
              <w:t>Rivaroxaban</w:t>
            </w:r>
            <w:proofErr w:type="spellEnd"/>
            <w:r w:rsidRPr="00731800">
              <w:rPr>
                <w:b/>
                <w:bCs/>
                <w:sz w:val="20"/>
                <w:szCs w:val="20"/>
              </w:rPr>
              <w:t xml:space="preserve"> 10 mg</w:t>
            </w:r>
          </w:p>
        </w:tc>
      </w:tr>
      <w:tr w:rsidR="00A51C22" w:rsidRPr="00731800" w14:paraId="11641076" w14:textId="77777777" w:rsidTr="00745BC8">
        <w:trPr>
          <w:jc w:val="center"/>
        </w:trPr>
        <w:tc>
          <w:tcPr>
            <w:tcW w:w="1519" w:type="dxa"/>
            <w:vAlign w:val="bottom"/>
          </w:tcPr>
          <w:p w14:paraId="752C480F" w14:textId="77777777" w:rsidR="00A51C22" w:rsidRPr="00731800" w:rsidRDefault="00A51C22" w:rsidP="00A51C2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bookmarkStart w:id="9" w:name="_Hlk58402368"/>
            <w:r w:rsidRPr="00731800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614" w:type="dxa"/>
            <w:vAlign w:val="bottom"/>
          </w:tcPr>
          <w:p w14:paraId="3ED562C8" w14:textId="77777777" w:rsidR="00A51C22" w:rsidRPr="00731800" w:rsidRDefault="00A51C22" w:rsidP="00A51C2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1800">
              <w:rPr>
                <w:b/>
                <w:sz w:val="20"/>
                <w:szCs w:val="20"/>
              </w:rPr>
              <w:t>Test</w:t>
            </w:r>
          </w:p>
        </w:tc>
        <w:tc>
          <w:tcPr>
            <w:tcW w:w="1596" w:type="dxa"/>
            <w:vAlign w:val="bottom"/>
          </w:tcPr>
          <w:p w14:paraId="1B3B6BE6" w14:textId="77777777" w:rsidR="00A51C22" w:rsidRPr="00731800" w:rsidRDefault="00A51C22" w:rsidP="00A51C2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1800">
              <w:rPr>
                <w:b/>
                <w:sz w:val="20"/>
                <w:szCs w:val="20"/>
              </w:rPr>
              <w:t>Reference</w:t>
            </w:r>
          </w:p>
        </w:tc>
        <w:tc>
          <w:tcPr>
            <w:tcW w:w="1538" w:type="dxa"/>
            <w:vAlign w:val="bottom"/>
          </w:tcPr>
          <w:p w14:paraId="51A716D8" w14:textId="77777777" w:rsidR="00A51C22" w:rsidRPr="00731800" w:rsidRDefault="00A51C22" w:rsidP="00A51C2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1800">
              <w:rPr>
                <w:b/>
                <w:sz w:val="20"/>
                <w:szCs w:val="20"/>
              </w:rPr>
              <w:t>T/R Ratio</w:t>
            </w:r>
          </w:p>
        </w:tc>
        <w:tc>
          <w:tcPr>
            <w:tcW w:w="1675" w:type="dxa"/>
            <w:vAlign w:val="bottom"/>
          </w:tcPr>
          <w:p w14:paraId="12243077" w14:textId="77777777" w:rsidR="00A51C22" w:rsidRPr="00731800" w:rsidRDefault="00A51C22" w:rsidP="00A51C2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1800">
              <w:rPr>
                <w:b/>
                <w:sz w:val="20"/>
                <w:szCs w:val="20"/>
              </w:rPr>
              <w:t>90% C.I.</w:t>
            </w:r>
          </w:p>
        </w:tc>
      </w:tr>
      <w:tr w:rsidR="00A51C22" w:rsidRPr="00731800" w14:paraId="6E18E014" w14:textId="77777777" w:rsidTr="00745BC8">
        <w:trPr>
          <w:jc w:val="center"/>
        </w:trPr>
        <w:tc>
          <w:tcPr>
            <w:tcW w:w="1519" w:type="dxa"/>
            <w:vAlign w:val="bottom"/>
          </w:tcPr>
          <w:p w14:paraId="46D8406E" w14:textId="77777777" w:rsidR="00A51C22" w:rsidRPr="00731800" w:rsidRDefault="00A51C22" w:rsidP="00A51C2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31800">
              <w:rPr>
                <w:b/>
                <w:sz w:val="20"/>
                <w:szCs w:val="20"/>
              </w:rPr>
              <w:t xml:space="preserve">AUC0-t </w:t>
            </w:r>
          </w:p>
          <w:p w14:paraId="712C9353" w14:textId="77777777" w:rsidR="00A51C22" w:rsidRPr="00731800" w:rsidRDefault="00A51C22" w:rsidP="00A51C2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31800">
              <w:rPr>
                <w:b/>
                <w:sz w:val="20"/>
                <w:szCs w:val="20"/>
              </w:rPr>
              <w:t>(</w:t>
            </w:r>
            <w:proofErr w:type="spellStart"/>
            <w:proofErr w:type="gramStart"/>
            <w:r w:rsidRPr="00731800">
              <w:rPr>
                <w:b/>
                <w:sz w:val="20"/>
                <w:szCs w:val="20"/>
              </w:rPr>
              <w:t>ng</w:t>
            </w:r>
            <w:proofErr w:type="spellEnd"/>
            <w:r w:rsidRPr="00731800">
              <w:rPr>
                <w:b/>
                <w:sz w:val="20"/>
                <w:szCs w:val="20"/>
              </w:rPr>
              <w:t xml:space="preserve"> .</w:t>
            </w:r>
            <w:proofErr w:type="gramEnd"/>
            <w:r w:rsidRPr="00731800">
              <w:rPr>
                <w:b/>
                <w:sz w:val="20"/>
                <w:szCs w:val="20"/>
              </w:rPr>
              <w:t xml:space="preserve"> h/ml)</w:t>
            </w:r>
          </w:p>
        </w:tc>
        <w:tc>
          <w:tcPr>
            <w:tcW w:w="1614" w:type="dxa"/>
            <w:vAlign w:val="bottom"/>
          </w:tcPr>
          <w:p w14:paraId="561CCF69" w14:textId="77777777" w:rsidR="00A51C22" w:rsidRPr="00731800" w:rsidRDefault="00A51C22" w:rsidP="00A51C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1800">
              <w:rPr>
                <w:sz w:val="20"/>
                <w:szCs w:val="20"/>
              </w:rPr>
              <w:t>1460.89</w:t>
            </w:r>
          </w:p>
        </w:tc>
        <w:tc>
          <w:tcPr>
            <w:tcW w:w="1596" w:type="dxa"/>
            <w:vAlign w:val="bottom"/>
          </w:tcPr>
          <w:p w14:paraId="2A4DDD84" w14:textId="77777777" w:rsidR="00A51C22" w:rsidRPr="00731800" w:rsidRDefault="00A51C22" w:rsidP="00A51C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1800">
              <w:rPr>
                <w:sz w:val="20"/>
                <w:szCs w:val="20"/>
              </w:rPr>
              <w:t>1430.93</w:t>
            </w:r>
          </w:p>
        </w:tc>
        <w:tc>
          <w:tcPr>
            <w:tcW w:w="1538" w:type="dxa"/>
            <w:vAlign w:val="bottom"/>
          </w:tcPr>
          <w:p w14:paraId="0837D9CA" w14:textId="77777777" w:rsidR="00A51C22" w:rsidRPr="00731800" w:rsidRDefault="00A51C22" w:rsidP="00A51C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1800">
              <w:rPr>
                <w:sz w:val="20"/>
                <w:szCs w:val="20"/>
              </w:rPr>
              <w:t>102.09%</w:t>
            </w:r>
          </w:p>
        </w:tc>
        <w:tc>
          <w:tcPr>
            <w:tcW w:w="1675" w:type="dxa"/>
            <w:vAlign w:val="bottom"/>
          </w:tcPr>
          <w:p w14:paraId="61AABCC6" w14:textId="49DDE9FC" w:rsidR="00A51C22" w:rsidRPr="00731800" w:rsidRDefault="00A51C22" w:rsidP="00A51C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1800">
              <w:rPr>
                <w:sz w:val="20"/>
                <w:szCs w:val="20"/>
              </w:rPr>
              <w:t>(97.24</w:t>
            </w:r>
            <w:r w:rsidR="00745BC8" w:rsidRPr="00731800">
              <w:rPr>
                <w:sz w:val="20"/>
                <w:szCs w:val="20"/>
              </w:rPr>
              <w:t>-</w:t>
            </w:r>
            <w:r w:rsidRPr="00731800">
              <w:rPr>
                <w:sz w:val="20"/>
                <w:szCs w:val="20"/>
              </w:rPr>
              <w:t>107.19)</w:t>
            </w:r>
          </w:p>
        </w:tc>
      </w:tr>
      <w:tr w:rsidR="00A51C22" w:rsidRPr="00731800" w14:paraId="3196BE8C" w14:textId="77777777" w:rsidTr="00745BC8">
        <w:trPr>
          <w:jc w:val="center"/>
        </w:trPr>
        <w:tc>
          <w:tcPr>
            <w:tcW w:w="1519" w:type="dxa"/>
            <w:vAlign w:val="bottom"/>
          </w:tcPr>
          <w:p w14:paraId="4B594B89" w14:textId="77777777" w:rsidR="00A51C22" w:rsidRPr="00731800" w:rsidRDefault="00A51C22" w:rsidP="00A51C22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731800">
              <w:rPr>
                <w:b/>
                <w:sz w:val="20"/>
                <w:szCs w:val="20"/>
              </w:rPr>
              <w:t>Cmax</w:t>
            </w:r>
            <w:proofErr w:type="spellEnd"/>
          </w:p>
          <w:p w14:paraId="3BB3B2BE" w14:textId="77777777" w:rsidR="00A51C22" w:rsidRPr="00731800" w:rsidRDefault="00A51C22" w:rsidP="00A51C2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31800">
              <w:rPr>
                <w:b/>
                <w:sz w:val="20"/>
                <w:szCs w:val="20"/>
              </w:rPr>
              <w:t>(</w:t>
            </w:r>
            <w:proofErr w:type="spellStart"/>
            <w:proofErr w:type="gramStart"/>
            <w:r w:rsidRPr="00731800">
              <w:rPr>
                <w:b/>
                <w:sz w:val="20"/>
                <w:szCs w:val="20"/>
              </w:rPr>
              <w:t>ng</w:t>
            </w:r>
            <w:proofErr w:type="spellEnd"/>
            <w:r w:rsidRPr="00731800">
              <w:rPr>
                <w:b/>
                <w:sz w:val="20"/>
                <w:szCs w:val="20"/>
              </w:rPr>
              <w:t xml:space="preserve"> .</w:t>
            </w:r>
            <w:proofErr w:type="gramEnd"/>
            <w:r w:rsidRPr="00731800">
              <w:rPr>
                <w:b/>
                <w:sz w:val="20"/>
                <w:szCs w:val="20"/>
              </w:rPr>
              <w:t xml:space="preserve"> h/ml)</w:t>
            </w:r>
          </w:p>
        </w:tc>
        <w:tc>
          <w:tcPr>
            <w:tcW w:w="1614" w:type="dxa"/>
            <w:vAlign w:val="bottom"/>
          </w:tcPr>
          <w:p w14:paraId="77DCF30B" w14:textId="77777777" w:rsidR="00A51C22" w:rsidRPr="00731800" w:rsidRDefault="00A51C22" w:rsidP="00A51C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1800">
              <w:rPr>
                <w:sz w:val="20"/>
                <w:szCs w:val="20"/>
              </w:rPr>
              <w:t>187.65</w:t>
            </w:r>
          </w:p>
        </w:tc>
        <w:tc>
          <w:tcPr>
            <w:tcW w:w="1596" w:type="dxa"/>
            <w:vAlign w:val="bottom"/>
          </w:tcPr>
          <w:p w14:paraId="7264ECE5" w14:textId="77777777" w:rsidR="00A51C22" w:rsidRPr="00731800" w:rsidRDefault="00A51C22" w:rsidP="00A51C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1800">
              <w:rPr>
                <w:sz w:val="20"/>
                <w:szCs w:val="20"/>
              </w:rPr>
              <w:t>202.61</w:t>
            </w:r>
          </w:p>
        </w:tc>
        <w:tc>
          <w:tcPr>
            <w:tcW w:w="1538" w:type="dxa"/>
            <w:vAlign w:val="bottom"/>
          </w:tcPr>
          <w:p w14:paraId="24E10FCB" w14:textId="77777777" w:rsidR="00A51C22" w:rsidRPr="00731800" w:rsidRDefault="00A51C22" w:rsidP="00A51C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1800">
              <w:rPr>
                <w:sz w:val="20"/>
                <w:szCs w:val="20"/>
              </w:rPr>
              <w:t>92.62%</w:t>
            </w:r>
          </w:p>
        </w:tc>
        <w:tc>
          <w:tcPr>
            <w:tcW w:w="1675" w:type="dxa"/>
            <w:vAlign w:val="bottom"/>
          </w:tcPr>
          <w:p w14:paraId="6927A94C" w14:textId="2B3E7F71" w:rsidR="00A51C22" w:rsidRPr="00731800" w:rsidRDefault="00A51C22" w:rsidP="00A51C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1800">
              <w:rPr>
                <w:sz w:val="20"/>
                <w:szCs w:val="20"/>
              </w:rPr>
              <w:t>(85.80</w:t>
            </w:r>
            <w:r w:rsidR="00745BC8" w:rsidRPr="00731800">
              <w:rPr>
                <w:sz w:val="20"/>
                <w:szCs w:val="20"/>
              </w:rPr>
              <w:t>-</w:t>
            </w:r>
            <w:r w:rsidRPr="00731800">
              <w:rPr>
                <w:sz w:val="20"/>
                <w:szCs w:val="20"/>
              </w:rPr>
              <w:t>99.97)</w:t>
            </w:r>
          </w:p>
        </w:tc>
      </w:tr>
      <w:bookmarkEnd w:id="9"/>
    </w:tbl>
    <w:p w14:paraId="7F18D6F3" w14:textId="77777777" w:rsidR="00A51C22" w:rsidRPr="00731800" w:rsidRDefault="00A51C22" w:rsidP="00A51C22">
      <w:pPr>
        <w:spacing w:after="0" w:line="240" w:lineRule="auto"/>
        <w:rPr>
          <w:rFonts w:cs="Arial"/>
          <w:i/>
        </w:rPr>
      </w:pPr>
    </w:p>
    <w:p w14:paraId="76FB1D2A" w14:textId="77777777" w:rsidR="00A51C22" w:rsidRPr="00731800" w:rsidRDefault="00A51C22" w:rsidP="00A51C22">
      <w:pPr>
        <w:spacing w:after="0" w:line="240" w:lineRule="auto"/>
        <w:rPr>
          <w:rFonts w:cs="Arial"/>
        </w:rPr>
      </w:pPr>
      <w:r w:rsidRPr="00731800">
        <w:rPr>
          <w:rFonts w:cs="Arial"/>
          <w:i/>
        </w:rPr>
        <w:t xml:space="preserve">Conclusioni sulla </w:t>
      </w:r>
      <w:proofErr w:type="spellStart"/>
      <w:r w:rsidRPr="00731800">
        <w:rPr>
          <w:rFonts w:cs="Arial"/>
          <w:i/>
        </w:rPr>
        <w:t>bioequivalenza</w:t>
      </w:r>
      <w:proofErr w:type="spellEnd"/>
      <w:r w:rsidRPr="00731800">
        <w:rPr>
          <w:rFonts w:cs="Arial"/>
        </w:rPr>
        <w:t>.</w:t>
      </w:r>
    </w:p>
    <w:p w14:paraId="1A9ABBE3" w14:textId="77777777" w:rsidR="00A51C22" w:rsidRPr="00731800" w:rsidRDefault="00A51C22" w:rsidP="00A51C22">
      <w:pPr>
        <w:spacing w:after="0" w:line="240" w:lineRule="auto"/>
        <w:jc w:val="both"/>
        <w:rPr>
          <w:rFonts w:cs="Arial"/>
        </w:rPr>
      </w:pPr>
      <w:r w:rsidRPr="00731800">
        <w:rPr>
          <w:rFonts w:cs="Arial"/>
        </w:rPr>
        <w:t xml:space="preserve">I risultati degli studi di </w:t>
      </w:r>
      <w:proofErr w:type="spellStart"/>
      <w:r w:rsidRPr="00731800">
        <w:rPr>
          <w:rFonts w:cs="Arial"/>
        </w:rPr>
        <w:t>bioequivalenza</w:t>
      </w:r>
      <w:proofErr w:type="spellEnd"/>
      <w:r w:rsidRPr="00731800">
        <w:rPr>
          <w:rFonts w:cs="Arial"/>
        </w:rPr>
        <w:t xml:space="preserve"> mostrano che gli intervalli di confidenza dei parametri farmacocinetici studiati cadono nel </w:t>
      </w:r>
      <w:proofErr w:type="spellStart"/>
      <w:r w:rsidRPr="00731800">
        <w:rPr>
          <w:rFonts w:cs="Arial"/>
        </w:rPr>
        <w:t>range</w:t>
      </w:r>
      <w:proofErr w:type="spellEnd"/>
      <w:r w:rsidRPr="00731800">
        <w:rPr>
          <w:rFonts w:cs="Arial"/>
        </w:rPr>
        <w:t xml:space="preserve"> di accettabilità di 80-125%, in accordo con le linee guida correnti.</w:t>
      </w:r>
    </w:p>
    <w:p w14:paraId="3D26AF09" w14:textId="77777777" w:rsidR="00A51C22" w:rsidRPr="00731800" w:rsidRDefault="00A51C22" w:rsidP="00A51C22">
      <w:pPr>
        <w:spacing w:after="0" w:line="240" w:lineRule="auto"/>
        <w:jc w:val="both"/>
      </w:pPr>
    </w:p>
    <w:p w14:paraId="1015AF42" w14:textId="77777777" w:rsidR="00A51C22" w:rsidRPr="00731800" w:rsidRDefault="00A51C22" w:rsidP="00A51C22">
      <w:pPr>
        <w:spacing w:after="0" w:line="240" w:lineRule="auto"/>
        <w:jc w:val="both"/>
        <w:rPr>
          <w:rFonts w:ascii="Calibri" w:hAnsi="Calibri"/>
        </w:rPr>
      </w:pPr>
    </w:p>
    <w:p w14:paraId="2AF1394A" w14:textId="77777777" w:rsidR="00A51C22" w:rsidRPr="00731800" w:rsidRDefault="00A51C22" w:rsidP="00A51C22">
      <w:pPr>
        <w:spacing w:after="0" w:line="240" w:lineRule="auto"/>
        <w:jc w:val="both"/>
        <w:rPr>
          <w:rFonts w:ascii="Calibri" w:hAnsi="Calibri" w:cs="Arial"/>
        </w:rPr>
      </w:pPr>
      <w:r w:rsidRPr="00731800">
        <w:rPr>
          <w:rFonts w:ascii="Calibri" w:hAnsi="Calibri"/>
        </w:rPr>
        <w:t xml:space="preserve">Lo studio di </w:t>
      </w:r>
      <w:proofErr w:type="spellStart"/>
      <w:r w:rsidRPr="00731800">
        <w:rPr>
          <w:rFonts w:ascii="Calibri" w:hAnsi="Calibri"/>
        </w:rPr>
        <w:t>bioequivalenza</w:t>
      </w:r>
      <w:proofErr w:type="spellEnd"/>
      <w:r w:rsidRPr="00731800">
        <w:rPr>
          <w:rFonts w:ascii="Calibri" w:hAnsi="Calibri"/>
        </w:rPr>
        <w:t xml:space="preserve"> con il dosaggio da 20 mg è uno studio comparativo, randomizzato, a dose singola, in aperto, 2-periodi, crossover condotto in 32 volontari adulti sani di sesso femminile e maschile con somministrazione a stomaco pieno. Un soddisfacente periodo di wash-out di 7</w:t>
      </w:r>
      <w:r w:rsidRPr="00731800">
        <w:rPr>
          <w:rFonts w:ascii="Calibri" w:hAnsi="Calibri" w:cs="Arial"/>
        </w:rPr>
        <w:t xml:space="preserve"> giorni è stato previsto tra le somministrazioni in ogni gruppo.</w:t>
      </w:r>
    </w:p>
    <w:p w14:paraId="032F9C36" w14:textId="77777777" w:rsidR="00A51C22" w:rsidRPr="00731800" w:rsidRDefault="00A51C22" w:rsidP="00A51C22">
      <w:pPr>
        <w:spacing w:after="0" w:line="240" w:lineRule="auto"/>
        <w:jc w:val="both"/>
        <w:rPr>
          <w:rFonts w:ascii="Calibri" w:hAnsi="Calibri" w:cs="Arial"/>
        </w:rPr>
      </w:pPr>
      <w:r w:rsidRPr="00731800">
        <w:rPr>
          <w:rFonts w:ascii="Calibri" w:hAnsi="Calibri" w:cs="Arial"/>
        </w:rPr>
        <w:t>Campioni di sangue sono stati prelevati al tempo zero (</w:t>
      </w:r>
      <w:proofErr w:type="spellStart"/>
      <w:r w:rsidRPr="00731800">
        <w:rPr>
          <w:rFonts w:ascii="Calibri" w:hAnsi="Calibri" w:cs="Arial"/>
        </w:rPr>
        <w:t>pre</w:t>
      </w:r>
      <w:proofErr w:type="spellEnd"/>
      <w:r w:rsidRPr="00731800">
        <w:rPr>
          <w:rFonts w:ascii="Calibri" w:hAnsi="Calibri" w:cs="Arial"/>
        </w:rPr>
        <w:t xml:space="preserve">-dose) e a specificati tempi fino a 48 ore dopo la somministrazione. I livelli plasmatici di </w:t>
      </w:r>
      <w:proofErr w:type="spellStart"/>
      <w:r w:rsidRPr="00731800">
        <w:rPr>
          <w:rFonts w:ascii="Calibri" w:hAnsi="Calibri" w:cs="Arial"/>
        </w:rPr>
        <w:t>rivaroxaban</w:t>
      </w:r>
      <w:proofErr w:type="spellEnd"/>
      <w:r w:rsidRPr="00731800">
        <w:rPr>
          <w:rFonts w:ascii="Calibri" w:hAnsi="Calibri" w:cs="Arial"/>
        </w:rPr>
        <w:t xml:space="preserve"> sono stati determinati mediante un metodo analitico LC-MS/MS opportunamente convalidato.</w:t>
      </w:r>
    </w:p>
    <w:p w14:paraId="54886C4D" w14:textId="77777777" w:rsidR="00A51C22" w:rsidRPr="00731800" w:rsidRDefault="00A51C22" w:rsidP="00A51C22">
      <w:pPr>
        <w:spacing w:after="0" w:line="240" w:lineRule="auto"/>
        <w:contextualSpacing/>
        <w:jc w:val="both"/>
        <w:rPr>
          <w:rFonts w:ascii="Calibri" w:hAnsi="Calibri" w:cs="Arial"/>
        </w:rPr>
      </w:pPr>
      <w:r w:rsidRPr="00731800">
        <w:rPr>
          <w:rFonts w:ascii="Calibri" w:hAnsi="Calibri" w:cs="Arial"/>
        </w:rPr>
        <w:t xml:space="preserve">Per </w:t>
      </w:r>
      <w:proofErr w:type="spellStart"/>
      <w:r w:rsidRPr="00731800">
        <w:rPr>
          <w:rFonts w:ascii="Calibri" w:hAnsi="Calibri" w:cs="Arial"/>
        </w:rPr>
        <w:t>rivaroxaban</w:t>
      </w:r>
      <w:proofErr w:type="spellEnd"/>
      <w:r w:rsidRPr="00731800">
        <w:rPr>
          <w:rFonts w:ascii="Calibri" w:hAnsi="Calibri" w:cs="Arial"/>
        </w:rPr>
        <w:t xml:space="preserve"> sono state definite le seguenti variabili farmacocinetiche: </w:t>
      </w:r>
      <w:proofErr w:type="spellStart"/>
      <w:r w:rsidRPr="00731800">
        <w:rPr>
          <w:rFonts w:ascii="Calibri" w:hAnsi="Calibri" w:cs="Arial"/>
        </w:rPr>
        <w:t>C</w:t>
      </w:r>
      <w:r w:rsidRPr="00731800">
        <w:rPr>
          <w:rFonts w:ascii="Calibri" w:hAnsi="Calibri" w:cs="Arial"/>
          <w:vertAlign w:val="subscript"/>
        </w:rPr>
        <w:t>max</w:t>
      </w:r>
      <w:proofErr w:type="spellEnd"/>
      <w:r w:rsidRPr="00731800">
        <w:rPr>
          <w:rFonts w:ascii="Calibri" w:hAnsi="Calibri" w:cs="Arial"/>
        </w:rPr>
        <w:t>, AUC</w:t>
      </w:r>
      <w:r w:rsidRPr="00731800">
        <w:rPr>
          <w:rFonts w:ascii="Calibri" w:hAnsi="Calibri" w:cs="Arial"/>
          <w:vertAlign w:val="subscript"/>
        </w:rPr>
        <w:t>0-t</w:t>
      </w:r>
      <w:r w:rsidRPr="00731800">
        <w:rPr>
          <w:rFonts w:ascii="Calibri" w:hAnsi="Calibri" w:cs="Arial"/>
        </w:rPr>
        <w:t>, AUC</w:t>
      </w:r>
      <w:r w:rsidRPr="00731800">
        <w:rPr>
          <w:rFonts w:ascii="Calibri" w:hAnsi="Calibri" w:cs="Arial"/>
          <w:vertAlign w:val="subscript"/>
        </w:rPr>
        <w:t>0-</w:t>
      </w:r>
      <w:r w:rsidRPr="00731800">
        <w:rPr>
          <w:rFonts w:ascii="Calibri" w:hAnsi="Calibri" w:cs="Arial"/>
          <w:vertAlign w:val="subscript"/>
          <w:lang w:val="en-GB"/>
        </w:rPr>
        <w:sym w:font="Symbol" w:char="00A5"/>
      </w:r>
      <w:r w:rsidRPr="00731800">
        <w:rPr>
          <w:rFonts w:ascii="Calibri" w:hAnsi="Calibri" w:cs="Arial"/>
        </w:rPr>
        <w:t xml:space="preserve">, </w:t>
      </w:r>
      <w:proofErr w:type="spellStart"/>
      <w:r w:rsidRPr="00731800">
        <w:rPr>
          <w:rFonts w:ascii="Calibri" w:hAnsi="Calibri" w:cs="Arial"/>
        </w:rPr>
        <w:t>t</w:t>
      </w:r>
      <w:r w:rsidRPr="00731800">
        <w:rPr>
          <w:rFonts w:ascii="Calibri" w:hAnsi="Calibri" w:cs="Arial"/>
          <w:vertAlign w:val="subscript"/>
        </w:rPr>
        <w:t>max</w:t>
      </w:r>
      <w:proofErr w:type="spellEnd"/>
      <w:r w:rsidRPr="00731800">
        <w:rPr>
          <w:rFonts w:ascii="Calibri" w:hAnsi="Calibri" w:cs="Arial"/>
        </w:rPr>
        <w:t xml:space="preserve">, t½ e AUC estrapolata. La </w:t>
      </w:r>
      <w:proofErr w:type="spellStart"/>
      <w:r w:rsidRPr="00731800">
        <w:rPr>
          <w:rFonts w:ascii="Calibri" w:hAnsi="Calibri" w:cs="Arial"/>
        </w:rPr>
        <w:t>bioequivalenza</w:t>
      </w:r>
      <w:proofErr w:type="spellEnd"/>
      <w:r w:rsidRPr="00731800">
        <w:rPr>
          <w:rFonts w:ascii="Calibri" w:hAnsi="Calibri" w:cs="Arial"/>
        </w:rPr>
        <w:t xml:space="preserve"> tra medicinale test e medicinale di riferimento è dimostrata se gli intervalli di confidenza al 90% per la trasformata logaritmica di </w:t>
      </w:r>
      <w:proofErr w:type="spellStart"/>
      <w:r w:rsidRPr="00731800">
        <w:rPr>
          <w:rFonts w:ascii="Calibri" w:hAnsi="Calibri" w:cs="Arial"/>
        </w:rPr>
        <w:t>C</w:t>
      </w:r>
      <w:r w:rsidRPr="00731800">
        <w:rPr>
          <w:rFonts w:ascii="Calibri" w:hAnsi="Calibri" w:cs="Arial"/>
          <w:vertAlign w:val="subscript"/>
        </w:rPr>
        <w:t>max</w:t>
      </w:r>
      <w:proofErr w:type="spellEnd"/>
      <w:r w:rsidRPr="00731800">
        <w:rPr>
          <w:rFonts w:ascii="Calibri" w:hAnsi="Calibri" w:cs="Arial"/>
        </w:rPr>
        <w:t xml:space="preserve"> e AUC</w:t>
      </w:r>
      <w:r w:rsidRPr="00731800">
        <w:rPr>
          <w:rFonts w:ascii="Calibri" w:hAnsi="Calibri" w:cs="Arial"/>
          <w:vertAlign w:val="subscript"/>
        </w:rPr>
        <w:t>0-t</w:t>
      </w:r>
      <w:r w:rsidRPr="00731800">
        <w:rPr>
          <w:rFonts w:ascii="Calibri" w:hAnsi="Calibri" w:cs="Arial"/>
        </w:rPr>
        <w:t xml:space="preserve">, cadono nel </w:t>
      </w:r>
      <w:proofErr w:type="spellStart"/>
      <w:r w:rsidRPr="00731800">
        <w:rPr>
          <w:rFonts w:ascii="Calibri" w:hAnsi="Calibri" w:cs="Arial"/>
        </w:rPr>
        <w:t>range</w:t>
      </w:r>
      <w:proofErr w:type="spellEnd"/>
      <w:r w:rsidRPr="00731800">
        <w:rPr>
          <w:rFonts w:ascii="Calibri" w:hAnsi="Calibri" w:cs="Arial"/>
        </w:rPr>
        <w:t xml:space="preserve"> di accettabilità di 0.80-1.25 (80%-125%).</w:t>
      </w:r>
    </w:p>
    <w:p w14:paraId="10AFB805" w14:textId="77777777" w:rsidR="00A51C22" w:rsidRPr="00731800" w:rsidRDefault="00A51C22" w:rsidP="00A51C22">
      <w:pPr>
        <w:spacing w:after="0" w:line="240" w:lineRule="auto"/>
        <w:contextualSpacing/>
        <w:jc w:val="both"/>
      </w:pPr>
    </w:p>
    <w:p w14:paraId="40334D77" w14:textId="77777777" w:rsidR="00A51C22" w:rsidRPr="00731800" w:rsidRDefault="00A51C22" w:rsidP="00A51C22">
      <w:pPr>
        <w:spacing w:after="0" w:line="240" w:lineRule="auto"/>
        <w:contextualSpacing/>
        <w:jc w:val="both"/>
        <w:rPr>
          <w:u w:val="single"/>
        </w:rPr>
      </w:pPr>
      <w:r w:rsidRPr="00731800">
        <w:rPr>
          <w:u w:val="single"/>
        </w:rPr>
        <w:t>Risultati</w:t>
      </w:r>
    </w:p>
    <w:p w14:paraId="0B2FAA2C" w14:textId="77777777" w:rsidR="00A51C22" w:rsidRPr="00731800" w:rsidRDefault="00A51C22" w:rsidP="00A51C22">
      <w:pPr>
        <w:spacing w:after="0" w:line="240" w:lineRule="auto"/>
        <w:contextualSpacing/>
        <w:jc w:val="both"/>
        <w:rPr>
          <w:rFonts w:ascii="Calibri" w:hAnsi="Calibri" w:cs="Arial"/>
        </w:rPr>
      </w:pPr>
      <w:r w:rsidRPr="00731800">
        <w:rPr>
          <w:rFonts w:ascii="Calibri" w:hAnsi="Calibri" w:cs="Arial"/>
        </w:rPr>
        <w:t xml:space="preserve">32 volontari sani sono stati arruolati nello studio. 31 soggetti </w:t>
      </w:r>
      <w:r w:rsidRPr="00731800">
        <w:t xml:space="preserve">hanno completato la fase clinica e </w:t>
      </w:r>
      <w:r w:rsidRPr="00731800">
        <w:rPr>
          <w:rFonts w:ascii="Calibri" w:hAnsi="Calibri" w:cs="Arial"/>
        </w:rPr>
        <w:t>sono stati inclusi nell’analisi farmacocinetica.</w:t>
      </w:r>
    </w:p>
    <w:p w14:paraId="3EA00897" w14:textId="77777777" w:rsidR="00A51C22" w:rsidRPr="00731800" w:rsidRDefault="00A51C22" w:rsidP="00A51C22">
      <w:pPr>
        <w:keepNext/>
        <w:spacing w:after="0" w:line="240" w:lineRule="auto"/>
        <w:jc w:val="both"/>
        <w:outlineLvl w:val="0"/>
        <w:rPr>
          <w:rFonts w:ascii="Calibri" w:eastAsia="Times New Roman" w:hAnsi="Calibri" w:cs="Arial"/>
          <w:i/>
        </w:rPr>
      </w:pPr>
    </w:p>
    <w:p w14:paraId="1C7661F3" w14:textId="77777777" w:rsidR="00A51C22" w:rsidRPr="00731800" w:rsidRDefault="00A51C22" w:rsidP="00A51C22">
      <w:pPr>
        <w:keepNext/>
        <w:spacing w:after="0" w:line="240" w:lineRule="auto"/>
        <w:jc w:val="both"/>
        <w:outlineLvl w:val="0"/>
        <w:rPr>
          <w:rFonts w:ascii="Calibri" w:eastAsia="Times New Roman" w:hAnsi="Calibri" w:cs="Arial"/>
        </w:rPr>
      </w:pPr>
      <w:r w:rsidRPr="00731800">
        <w:rPr>
          <w:rFonts w:ascii="Calibri" w:eastAsia="Times New Roman" w:hAnsi="Calibri" w:cs="Arial"/>
          <w:i/>
        </w:rPr>
        <w:t>Sicurezza</w:t>
      </w:r>
    </w:p>
    <w:p w14:paraId="049859A2" w14:textId="77777777" w:rsidR="00A51C22" w:rsidRPr="00731800" w:rsidRDefault="00A51C22" w:rsidP="00A51C2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/>
        </w:rPr>
      </w:pPr>
      <w:r w:rsidRPr="00731800">
        <w:rPr>
          <w:rFonts w:ascii="Calibri" w:hAnsi="Calibri" w:cs="Arial"/>
        </w:rPr>
        <w:t>Nel corso dello studio, si sono manifestati 6 eventi avversi correlati al trattamento in 6 soggetti. Non sono stati rilevati eventi avversi gravi.</w:t>
      </w:r>
    </w:p>
    <w:p w14:paraId="63B351B9" w14:textId="77777777" w:rsidR="00A51C22" w:rsidRPr="00731800" w:rsidRDefault="00A51C22" w:rsidP="00A51C22">
      <w:pPr>
        <w:spacing w:after="0" w:line="240" w:lineRule="auto"/>
      </w:pPr>
    </w:p>
    <w:p w14:paraId="7153170C" w14:textId="77777777" w:rsidR="00A51C22" w:rsidRPr="00731800" w:rsidRDefault="00A51C22" w:rsidP="00A51C22">
      <w:pPr>
        <w:keepNext/>
        <w:spacing w:after="0" w:line="240" w:lineRule="auto"/>
        <w:jc w:val="both"/>
        <w:outlineLvl w:val="0"/>
        <w:rPr>
          <w:rFonts w:eastAsia="Times New Roman" w:cs="Arial"/>
        </w:rPr>
      </w:pPr>
      <w:r w:rsidRPr="00731800">
        <w:rPr>
          <w:rFonts w:eastAsia="Times New Roman" w:cs="Arial"/>
          <w:i/>
        </w:rPr>
        <w:t>Parametri farmacocinetici</w:t>
      </w:r>
      <w:r w:rsidRPr="00731800">
        <w:rPr>
          <w:rFonts w:eastAsia="Times New Roman" w:cs="Arial"/>
        </w:rPr>
        <w:t xml:space="preserve">. </w:t>
      </w:r>
    </w:p>
    <w:p w14:paraId="1BA81655" w14:textId="77777777" w:rsidR="00A51C22" w:rsidRPr="00731800" w:rsidRDefault="00A51C22" w:rsidP="00A51C22">
      <w:pPr>
        <w:keepNext/>
        <w:spacing w:after="0" w:line="240" w:lineRule="auto"/>
        <w:jc w:val="both"/>
        <w:outlineLvl w:val="0"/>
        <w:rPr>
          <w:rFonts w:eastAsia="Times New Roman" w:cs="Arial"/>
        </w:rPr>
      </w:pPr>
      <w:r w:rsidRPr="00731800">
        <w:rPr>
          <w:rFonts w:eastAsia="Times New Roman" w:cs="Arial"/>
        </w:rPr>
        <w:t xml:space="preserve">La sintesi dei risultati dello studio di </w:t>
      </w:r>
      <w:proofErr w:type="spellStart"/>
      <w:r w:rsidRPr="00731800">
        <w:rPr>
          <w:rFonts w:eastAsia="Times New Roman" w:cs="Arial"/>
        </w:rPr>
        <w:t>bioequivalenza</w:t>
      </w:r>
      <w:proofErr w:type="spellEnd"/>
      <w:r w:rsidRPr="00731800">
        <w:rPr>
          <w:rFonts w:eastAsia="Times New Roman" w:cs="Arial"/>
        </w:rPr>
        <w:t xml:space="preserve"> è riportata nella tabella che segue.</w:t>
      </w:r>
    </w:p>
    <w:p w14:paraId="1A6D6ECF" w14:textId="77777777" w:rsidR="00D34E31" w:rsidRPr="00731800" w:rsidRDefault="00D34E31" w:rsidP="00A51C22">
      <w:pPr>
        <w:keepNext/>
        <w:spacing w:after="0" w:line="240" w:lineRule="auto"/>
        <w:jc w:val="both"/>
        <w:outlineLvl w:val="0"/>
        <w:rPr>
          <w:rFonts w:eastAsia="Times New Roman" w:cs="Arial"/>
        </w:rPr>
      </w:pPr>
    </w:p>
    <w:p w14:paraId="63B9F013" w14:textId="77777777" w:rsidR="00A51C22" w:rsidRPr="00731800" w:rsidRDefault="00A51C22" w:rsidP="00A51C22">
      <w:pPr>
        <w:spacing w:after="0" w:line="240" w:lineRule="auto"/>
        <w:jc w:val="both"/>
        <w:rPr>
          <w:rFonts w:ascii="Calibri" w:hAnsi="Calibri"/>
        </w:rPr>
      </w:pPr>
    </w:p>
    <w:tbl>
      <w:tblPr>
        <w:tblW w:w="40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519"/>
        <w:gridCol w:w="1615"/>
        <w:gridCol w:w="1596"/>
        <w:gridCol w:w="1537"/>
        <w:gridCol w:w="1675"/>
      </w:tblGrid>
      <w:tr w:rsidR="00A51C22" w:rsidRPr="00731800" w14:paraId="693C9042" w14:textId="77777777" w:rsidTr="008E1B41">
        <w:trPr>
          <w:jc w:val="center"/>
        </w:trPr>
        <w:tc>
          <w:tcPr>
            <w:tcW w:w="7942" w:type="dxa"/>
            <w:gridSpan w:val="5"/>
            <w:shd w:val="clear" w:color="auto" w:fill="auto"/>
            <w:vAlign w:val="bottom"/>
          </w:tcPr>
          <w:p w14:paraId="6F3BEE94" w14:textId="77777777" w:rsidR="00A51C22" w:rsidRPr="00731800" w:rsidRDefault="00D34E31" w:rsidP="00A51C2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731800">
              <w:rPr>
                <w:b/>
                <w:bCs/>
                <w:sz w:val="20"/>
                <w:szCs w:val="20"/>
              </w:rPr>
              <w:t>Rivaroxaban</w:t>
            </w:r>
            <w:proofErr w:type="spellEnd"/>
            <w:r w:rsidRPr="00731800">
              <w:rPr>
                <w:b/>
                <w:bCs/>
                <w:sz w:val="20"/>
                <w:szCs w:val="20"/>
              </w:rPr>
              <w:t xml:space="preserve"> 2</w:t>
            </w:r>
            <w:r w:rsidR="00A51C22" w:rsidRPr="00731800">
              <w:rPr>
                <w:b/>
                <w:bCs/>
                <w:sz w:val="20"/>
                <w:szCs w:val="20"/>
              </w:rPr>
              <w:t>0 mg</w:t>
            </w:r>
          </w:p>
        </w:tc>
      </w:tr>
      <w:tr w:rsidR="00A51C22" w:rsidRPr="00731800" w14:paraId="157F22D8" w14:textId="77777777" w:rsidTr="008E1B41">
        <w:trPr>
          <w:jc w:val="center"/>
        </w:trPr>
        <w:tc>
          <w:tcPr>
            <w:tcW w:w="1519" w:type="dxa"/>
            <w:vAlign w:val="bottom"/>
          </w:tcPr>
          <w:p w14:paraId="537734C7" w14:textId="77777777" w:rsidR="00A51C22" w:rsidRPr="00731800" w:rsidRDefault="00A51C22" w:rsidP="00A51C2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1800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615" w:type="dxa"/>
            <w:vAlign w:val="bottom"/>
          </w:tcPr>
          <w:p w14:paraId="1F30995A" w14:textId="77777777" w:rsidR="00A51C22" w:rsidRPr="00731800" w:rsidRDefault="00A51C22" w:rsidP="00A51C2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1800">
              <w:rPr>
                <w:b/>
                <w:sz w:val="20"/>
                <w:szCs w:val="20"/>
              </w:rPr>
              <w:t>Test</w:t>
            </w:r>
          </w:p>
        </w:tc>
        <w:tc>
          <w:tcPr>
            <w:tcW w:w="1596" w:type="dxa"/>
            <w:vAlign w:val="bottom"/>
          </w:tcPr>
          <w:p w14:paraId="2677CA1E" w14:textId="77777777" w:rsidR="00A51C22" w:rsidRPr="00731800" w:rsidRDefault="00A51C22" w:rsidP="00A51C2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1800">
              <w:rPr>
                <w:b/>
                <w:sz w:val="20"/>
                <w:szCs w:val="20"/>
              </w:rPr>
              <w:t>Reference</w:t>
            </w:r>
          </w:p>
        </w:tc>
        <w:tc>
          <w:tcPr>
            <w:tcW w:w="1537" w:type="dxa"/>
            <w:vAlign w:val="bottom"/>
          </w:tcPr>
          <w:p w14:paraId="5C91B21F" w14:textId="77777777" w:rsidR="00A51C22" w:rsidRPr="00731800" w:rsidRDefault="00A51C22" w:rsidP="00A51C2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1800">
              <w:rPr>
                <w:b/>
                <w:sz w:val="20"/>
                <w:szCs w:val="20"/>
              </w:rPr>
              <w:t>T/R Ratio</w:t>
            </w:r>
          </w:p>
        </w:tc>
        <w:tc>
          <w:tcPr>
            <w:tcW w:w="1675" w:type="dxa"/>
            <w:vAlign w:val="bottom"/>
          </w:tcPr>
          <w:p w14:paraId="5C6B2534" w14:textId="77777777" w:rsidR="00A51C22" w:rsidRPr="00731800" w:rsidRDefault="00A51C22" w:rsidP="00A51C2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1800">
              <w:rPr>
                <w:b/>
                <w:sz w:val="20"/>
                <w:szCs w:val="20"/>
              </w:rPr>
              <w:t>90% C.I.</w:t>
            </w:r>
          </w:p>
        </w:tc>
      </w:tr>
      <w:tr w:rsidR="00A51C22" w:rsidRPr="00731800" w14:paraId="51D893F1" w14:textId="77777777" w:rsidTr="008E1B41">
        <w:trPr>
          <w:jc w:val="center"/>
        </w:trPr>
        <w:tc>
          <w:tcPr>
            <w:tcW w:w="1519" w:type="dxa"/>
            <w:vAlign w:val="bottom"/>
          </w:tcPr>
          <w:p w14:paraId="496881F9" w14:textId="77777777" w:rsidR="00A51C22" w:rsidRPr="00731800" w:rsidRDefault="00A51C22" w:rsidP="00A51C2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31800">
              <w:rPr>
                <w:b/>
                <w:sz w:val="20"/>
                <w:szCs w:val="20"/>
              </w:rPr>
              <w:t>AUC0-t</w:t>
            </w:r>
          </w:p>
          <w:p w14:paraId="494F0E90" w14:textId="77777777" w:rsidR="00A51C22" w:rsidRPr="00731800" w:rsidRDefault="00A51C22" w:rsidP="00A51C2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31800">
              <w:rPr>
                <w:b/>
                <w:sz w:val="20"/>
                <w:szCs w:val="20"/>
              </w:rPr>
              <w:t>(</w:t>
            </w:r>
            <w:proofErr w:type="spellStart"/>
            <w:r w:rsidRPr="00731800">
              <w:rPr>
                <w:b/>
                <w:sz w:val="20"/>
                <w:szCs w:val="20"/>
              </w:rPr>
              <w:t>ng.h</w:t>
            </w:r>
            <w:proofErr w:type="spellEnd"/>
            <w:r w:rsidRPr="00731800">
              <w:rPr>
                <w:b/>
                <w:sz w:val="20"/>
                <w:szCs w:val="20"/>
              </w:rPr>
              <w:t>/</w:t>
            </w:r>
            <w:proofErr w:type="spellStart"/>
            <w:r w:rsidRPr="00731800">
              <w:rPr>
                <w:b/>
                <w:sz w:val="20"/>
                <w:szCs w:val="20"/>
              </w:rPr>
              <w:t>mL</w:t>
            </w:r>
            <w:proofErr w:type="spellEnd"/>
            <w:r w:rsidRPr="00731800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615" w:type="dxa"/>
            <w:vAlign w:val="bottom"/>
          </w:tcPr>
          <w:p w14:paraId="78EE93BC" w14:textId="77777777" w:rsidR="00A51C22" w:rsidRPr="00731800" w:rsidRDefault="00A51C22" w:rsidP="00A51C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1800">
              <w:rPr>
                <w:sz w:val="20"/>
                <w:szCs w:val="20"/>
              </w:rPr>
              <w:t>2590.99</w:t>
            </w:r>
          </w:p>
        </w:tc>
        <w:tc>
          <w:tcPr>
            <w:tcW w:w="1596" w:type="dxa"/>
            <w:vAlign w:val="bottom"/>
          </w:tcPr>
          <w:p w14:paraId="73A682F0" w14:textId="77777777" w:rsidR="00A51C22" w:rsidRPr="00731800" w:rsidRDefault="00A51C22" w:rsidP="00A51C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1800">
              <w:rPr>
                <w:sz w:val="20"/>
                <w:szCs w:val="20"/>
              </w:rPr>
              <w:t>2616.51</w:t>
            </w:r>
          </w:p>
        </w:tc>
        <w:tc>
          <w:tcPr>
            <w:tcW w:w="1537" w:type="dxa"/>
            <w:vAlign w:val="bottom"/>
          </w:tcPr>
          <w:p w14:paraId="55FA23E7" w14:textId="77777777" w:rsidR="00A51C22" w:rsidRPr="00731800" w:rsidRDefault="00A51C22" w:rsidP="00A51C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1800">
              <w:rPr>
                <w:sz w:val="20"/>
                <w:szCs w:val="20"/>
              </w:rPr>
              <w:t>99.02%</w:t>
            </w:r>
          </w:p>
        </w:tc>
        <w:tc>
          <w:tcPr>
            <w:tcW w:w="1675" w:type="dxa"/>
            <w:vAlign w:val="bottom"/>
          </w:tcPr>
          <w:p w14:paraId="7840325A" w14:textId="77777777" w:rsidR="00A51C22" w:rsidRPr="00731800" w:rsidRDefault="00A51C22" w:rsidP="00A51C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1800">
              <w:rPr>
                <w:sz w:val="20"/>
                <w:szCs w:val="20"/>
              </w:rPr>
              <w:t>(95.20, 103.00)</w:t>
            </w:r>
          </w:p>
        </w:tc>
      </w:tr>
      <w:tr w:rsidR="00A51C22" w:rsidRPr="00731800" w14:paraId="0A2701B9" w14:textId="77777777" w:rsidTr="008E1B41">
        <w:trPr>
          <w:jc w:val="center"/>
        </w:trPr>
        <w:tc>
          <w:tcPr>
            <w:tcW w:w="1519" w:type="dxa"/>
            <w:vAlign w:val="bottom"/>
          </w:tcPr>
          <w:p w14:paraId="7CB05818" w14:textId="77777777" w:rsidR="00A51C22" w:rsidRPr="00731800" w:rsidRDefault="00A51C22" w:rsidP="00A51C22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731800">
              <w:rPr>
                <w:b/>
                <w:sz w:val="20"/>
                <w:szCs w:val="20"/>
              </w:rPr>
              <w:t>Cmax</w:t>
            </w:r>
            <w:proofErr w:type="spellEnd"/>
          </w:p>
          <w:p w14:paraId="14307EDE" w14:textId="77777777" w:rsidR="00A51C22" w:rsidRPr="00731800" w:rsidRDefault="00A51C22" w:rsidP="00A51C2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31800">
              <w:rPr>
                <w:b/>
                <w:sz w:val="20"/>
                <w:szCs w:val="20"/>
              </w:rPr>
              <w:t>(</w:t>
            </w:r>
            <w:proofErr w:type="spellStart"/>
            <w:r w:rsidRPr="00731800">
              <w:rPr>
                <w:b/>
                <w:sz w:val="20"/>
                <w:szCs w:val="20"/>
              </w:rPr>
              <w:t>ng.h</w:t>
            </w:r>
            <w:proofErr w:type="spellEnd"/>
            <w:r w:rsidRPr="00731800">
              <w:rPr>
                <w:b/>
                <w:sz w:val="20"/>
                <w:szCs w:val="20"/>
              </w:rPr>
              <w:t>/</w:t>
            </w:r>
            <w:proofErr w:type="spellStart"/>
            <w:r w:rsidRPr="00731800">
              <w:rPr>
                <w:b/>
                <w:sz w:val="20"/>
                <w:szCs w:val="20"/>
              </w:rPr>
              <w:t>mL</w:t>
            </w:r>
            <w:proofErr w:type="spellEnd"/>
            <w:r w:rsidRPr="00731800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615" w:type="dxa"/>
            <w:vAlign w:val="bottom"/>
          </w:tcPr>
          <w:p w14:paraId="237FBEBA" w14:textId="77777777" w:rsidR="00A51C22" w:rsidRPr="00731800" w:rsidRDefault="00A51C22" w:rsidP="00A51C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1800">
              <w:rPr>
                <w:sz w:val="20"/>
                <w:szCs w:val="20"/>
              </w:rPr>
              <w:t>343.53</w:t>
            </w:r>
          </w:p>
        </w:tc>
        <w:tc>
          <w:tcPr>
            <w:tcW w:w="1596" w:type="dxa"/>
            <w:vAlign w:val="bottom"/>
          </w:tcPr>
          <w:p w14:paraId="76C4A242" w14:textId="77777777" w:rsidR="00A51C22" w:rsidRPr="00731800" w:rsidRDefault="00A51C22" w:rsidP="00A51C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1800">
              <w:rPr>
                <w:sz w:val="20"/>
                <w:szCs w:val="20"/>
              </w:rPr>
              <w:t>368.02</w:t>
            </w:r>
          </w:p>
        </w:tc>
        <w:tc>
          <w:tcPr>
            <w:tcW w:w="1537" w:type="dxa"/>
            <w:vAlign w:val="bottom"/>
          </w:tcPr>
          <w:p w14:paraId="7091C31F" w14:textId="77777777" w:rsidR="00A51C22" w:rsidRPr="00731800" w:rsidRDefault="00A51C22" w:rsidP="00A51C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1800">
              <w:rPr>
                <w:sz w:val="20"/>
                <w:szCs w:val="20"/>
              </w:rPr>
              <w:t>93.35%</w:t>
            </w:r>
          </w:p>
        </w:tc>
        <w:tc>
          <w:tcPr>
            <w:tcW w:w="1675" w:type="dxa"/>
            <w:vAlign w:val="bottom"/>
          </w:tcPr>
          <w:p w14:paraId="22F773ED" w14:textId="77777777" w:rsidR="00A51C22" w:rsidRPr="00731800" w:rsidRDefault="00A51C22" w:rsidP="00A51C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1800">
              <w:rPr>
                <w:sz w:val="20"/>
                <w:szCs w:val="20"/>
              </w:rPr>
              <w:t>(88.02, 99.00)</w:t>
            </w:r>
          </w:p>
        </w:tc>
      </w:tr>
    </w:tbl>
    <w:p w14:paraId="1579D9A5" w14:textId="77777777" w:rsidR="00A51C22" w:rsidRPr="00731800" w:rsidRDefault="00A51C22" w:rsidP="00A51C22">
      <w:pPr>
        <w:spacing w:after="0" w:line="240" w:lineRule="auto"/>
        <w:jc w:val="both"/>
        <w:rPr>
          <w:rFonts w:ascii="Calibri" w:hAnsi="Calibri"/>
        </w:rPr>
      </w:pPr>
    </w:p>
    <w:p w14:paraId="7E9F54B2" w14:textId="77777777" w:rsidR="00A51C22" w:rsidRPr="00731800" w:rsidRDefault="00A51C22" w:rsidP="00A51C22">
      <w:pPr>
        <w:spacing w:after="0" w:line="240" w:lineRule="auto"/>
        <w:rPr>
          <w:rFonts w:cs="Arial"/>
        </w:rPr>
      </w:pPr>
      <w:r w:rsidRPr="00731800">
        <w:rPr>
          <w:rFonts w:cs="Arial"/>
          <w:i/>
        </w:rPr>
        <w:lastRenderedPageBreak/>
        <w:t xml:space="preserve">Conclusioni sulla </w:t>
      </w:r>
      <w:proofErr w:type="spellStart"/>
      <w:r w:rsidRPr="00731800">
        <w:rPr>
          <w:rFonts w:cs="Arial"/>
          <w:i/>
        </w:rPr>
        <w:t>bioequivalenza</w:t>
      </w:r>
      <w:proofErr w:type="spellEnd"/>
      <w:r w:rsidRPr="00731800">
        <w:rPr>
          <w:rFonts w:cs="Arial"/>
        </w:rPr>
        <w:t>.</w:t>
      </w:r>
    </w:p>
    <w:p w14:paraId="418134FD" w14:textId="77777777" w:rsidR="00A51C22" w:rsidRPr="00A51C22" w:rsidRDefault="00A51C22" w:rsidP="00A51C22">
      <w:pPr>
        <w:spacing w:after="0" w:line="240" w:lineRule="auto"/>
        <w:jc w:val="both"/>
        <w:rPr>
          <w:rFonts w:cs="Arial"/>
        </w:rPr>
      </w:pPr>
      <w:r w:rsidRPr="00731800">
        <w:rPr>
          <w:rFonts w:cs="Arial"/>
        </w:rPr>
        <w:t xml:space="preserve">I risultati degli studi di </w:t>
      </w:r>
      <w:proofErr w:type="spellStart"/>
      <w:r w:rsidRPr="00731800">
        <w:rPr>
          <w:rFonts w:cs="Arial"/>
        </w:rPr>
        <w:t>bioequivalenza</w:t>
      </w:r>
      <w:proofErr w:type="spellEnd"/>
      <w:r w:rsidRPr="00731800">
        <w:rPr>
          <w:rFonts w:cs="Arial"/>
        </w:rPr>
        <w:t xml:space="preserve"> mostrano che gli intervalli di confidenza dei parametri farmacocinetici studiati cadono nel </w:t>
      </w:r>
      <w:proofErr w:type="spellStart"/>
      <w:r w:rsidRPr="00731800">
        <w:rPr>
          <w:rFonts w:cs="Arial"/>
        </w:rPr>
        <w:t>range</w:t>
      </w:r>
      <w:proofErr w:type="spellEnd"/>
      <w:r w:rsidRPr="00731800">
        <w:rPr>
          <w:rFonts w:cs="Arial"/>
        </w:rPr>
        <w:t xml:space="preserve"> di accettabilità di 80-125%, in accordo con le linee guida correnti.</w:t>
      </w:r>
    </w:p>
    <w:p w14:paraId="14DA9F5C" w14:textId="77777777" w:rsidR="00A51C22" w:rsidRPr="00A51C22" w:rsidRDefault="00A51C22" w:rsidP="00A51C22">
      <w:pPr>
        <w:spacing w:after="0" w:line="240" w:lineRule="auto"/>
        <w:jc w:val="both"/>
        <w:rPr>
          <w:rFonts w:cs="Arial"/>
        </w:rPr>
      </w:pPr>
    </w:p>
    <w:p w14:paraId="222050E9" w14:textId="77777777" w:rsidR="00A51C22" w:rsidRPr="00A51C22" w:rsidRDefault="00A51C22" w:rsidP="00A51C22">
      <w:pPr>
        <w:spacing w:after="0" w:line="240" w:lineRule="auto"/>
        <w:jc w:val="both"/>
        <w:rPr>
          <w:rFonts w:cs="Arial"/>
          <w:b/>
        </w:rPr>
      </w:pPr>
      <w:r w:rsidRPr="00A51C22">
        <w:rPr>
          <w:rFonts w:cs="Arial"/>
          <w:b/>
        </w:rPr>
        <w:t>Efficacia e sicurezza clinica</w:t>
      </w:r>
    </w:p>
    <w:p w14:paraId="4CCCAEDE" w14:textId="0AA58270" w:rsidR="00A51C22" w:rsidRPr="00A51C22" w:rsidRDefault="00A51C22" w:rsidP="00A51C22">
      <w:pPr>
        <w:spacing w:after="0" w:line="240" w:lineRule="auto"/>
        <w:jc w:val="both"/>
        <w:rPr>
          <w:rFonts w:cs="Arial"/>
        </w:rPr>
      </w:pPr>
      <w:r w:rsidRPr="00A51C22">
        <w:rPr>
          <w:rFonts w:cs="Arial"/>
        </w:rPr>
        <w:t xml:space="preserve">Non sono stati presentati nuovi dati di efficacia e sicurezza clinica: il profilo di sicurezza e l’efficacia del principio attivo di </w:t>
      </w:r>
      <w:r w:rsidR="00374093">
        <w:rPr>
          <w:rFonts w:eastAsia="Calibri" w:cs="Calibri"/>
          <w:color w:val="000000"/>
          <w:lang w:eastAsia="it-IT"/>
        </w:rPr>
        <w:t>INDIFAXA</w:t>
      </w:r>
      <w:r w:rsidRPr="00A51C22">
        <w:rPr>
          <w:rFonts w:cs="Arial"/>
        </w:rPr>
        <w:t xml:space="preserve"> è ben conosciuto. </w:t>
      </w:r>
    </w:p>
    <w:p w14:paraId="635D6BA3" w14:textId="77777777" w:rsidR="00A51C22" w:rsidRPr="00A51C22" w:rsidRDefault="00A51C22" w:rsidP="00A51C22">
      <w:pPr>
        <w:spacing w:after="0" w:line="240" w:lineRule="auto"/>
        <w:jc w:val="both"/>
        <w:rPr>
          <w:highlight w:val="yellow"/>
        </w:rPr>
      </w:pPr>
    </w:p>
    <w:p w14:paraId="11F74920" w14:textId="77777777" w:rsidR="00A51C22" w:rsidRPr="00EB0FD9" w:rsidRDefault="00A51C22" w:rsidP="00A51C22">
      <w:pPr>
        <w:spacing w:after="0" w:line="240" w:lineRule="auto"/>
        <w:contextualSpacing/>
        <w:jc w:val="both"/>
        <w:rPr>
          <w:b/>
        </w:rPr>
      </w:pPr>
      <w:r w:rsidRPr="00EB0FD9">
        <w:rPr>
          <w:b/>
        </w:rPr>
        <w:t>Piano di Valutazione del Rischio (</w:t>
      </w:r>
      <w:proofErr w:type="spellStart"/>
      <w:r w:rsidRPr="00EB0FD9">
        <w:rPr>
          <w:b/>
          <w:i/>
        </w:rPr>
        <w:t>Risk</w:t>
      </w:r>
      <w:proofErr w:type="spellEnd"/>
      <w:r w:rsidRPr="00EB0FD9">
        <w:rPr>
          <w:b/>
          <w:i/>
        </w:rPr>
        <w:t xml:space="preserve"> Management Plan</w:t>
      </w:r>
      <w:r w:rsidRPr="00EB0FD9">
        <w:rPr>
          <w:b/>
        </w:rPr>
        <w:t xml:space="preserve"> - RMP)</w:t>
      </w:r>
    </w:p>
    <w:p w14:paraId="56BCFC3B" w14:textId="1284AA6E" w:rsidR="00A51C22" w:rsidRPr="00EB0FD9" w:rsidRDefault="00A51C22" w:rsidP="00A51C22">
      <w:pPr>
        <w:spacing w:after="0" w:line="240" w:lineRule="auto"/>
        <w:contextualSpacing/>
        <w:jc w:val="both"/>
      </w:pPr>
      <w:r w:rsidRPr="00EB0FD9">
        <w:t xml:space="preserve">È stato presentato un RMP in accordo a quanto previsto dalla Direttiva 2001/83/EU </w:t>
      </w:r>
      <w:proofErr w:type="spellStart"/>
      <w:r w:rsidRPr="00EB0FD9">
        <w:t>s.m.i.</w:t>
      </w:r>
      <w:proofErr w:type="spellEnd"/>
      <w:r w:rsidRPr="00EB0FD9">
        <w:t xml:space="preserve"> che descrive le attività di farmacovigilanza e gli interventi definiti al fine di identificare, caratterizzare, prevenire o minimizzare i rischi collegati all’uso di </w:t>
      </w:r>
      <w:r w:rsidR="00374093">
        <w:rPr>
          <w:rFonts w:eastAsia="Calibri" w:cs="Calibri"/>
          <w:color w:val="000000"/>
          <w:lang w:eastAsia="it-IT"/>
        </w:rPr>
        <w:t>INDIFAXA</w:t>
      </w:r>
      <w:r w:rsidRPr="00EB0FD9">
        <w:t>.</w:t>
      </w:r>
    </w:p>
    <w:p w14:paraId="2B2558B3" w14:textId="77777777" w:rsidR="00A51C22" w:rsidRPr="00EB0FD9" w:rsidRDefault="00A51C22" w:rsidP="00A51C22">
      <w:pPr>
        <w:spacing w:after="0" w:line="240" w:lineRule="auto"/>
        <w:contextualSpacing/>
        <w:jc w:val="both"/>
      </w:pPr>
      <w:r w:rsidRPr="00EB0FD9">
        <w:t>Il riassunto delle problematiche di sicurezza è riportato nella tabella seguente.</w:t>
      </w:r>
    </w:p>
    <w:p w14:paraId="52C888C4" w14:textId="77777777" w:rsidR="00A51C22" w:rsidRPr="00EB0FD9" w:rsidRDefault="00A51C22" w:rsidP="00A51C22">
      <w:pPr>
        <w:spacing w:after="0" w:line="240" w:lineRule="auto"/>
        <w:contextualSpacing/>
        <w:jc w:val="both"/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2732"/>
        <w:gridCol w:w="6024"/>
      </w:tblGrid>
      <w:tr w:rsidR="00A51C22" w:rsidRPr="00EB0FD9" w14:paraId="2B16680D" w14:textId="77777777" w:rsidTr="008E1B41">
        <w:trPr>
          <w:jc w:val="center"/>
        </w:trPr>
        <w:tc>
          <w:tcPr>
            <w:tcW w:w="1560" w:type="pct"/>
            <w:shd w:val="clear" w:color="auto" w:fill="auto"/>
          </w:tcPr>
          <w:p w14:paraId="7233BAD1" w14:textId="77777777" w:rsidR="00A51C22" w:rsidRPr="00EB0FD9" w:rsidRDefault="00A51C22" w:rsidP="00A51C22">
            <w:pPr>
              <w:spacing w:after="0" w:line="240" w:lineRule="auto"/>
              <w:jc w:val="both"/>
              <w:rPr>
                <w:rFonts w:eastAsia="Times New Roman" w:cs="Verdana"/>
                <w:sz w:val="20"/>
                <w:szCs w:val="20"/>
                <w:lang w:val="en-GB" w:eastAsia="en-GB"/>
              </w:rPr>
            </w:pPr>
            <w:proofErr w:type="spellStart"/>
            <w:r w:rsidRPr="00EB0FD9">
              <w:rPr>
                <w:rFonts w:eastAsia="Times New Roman" w:cs="Verdana"/>
                <w:sz w:val="20"/>
                <w:szCs w:val="20"/>
                <w:lang w:val="en-GB" w:eastAsia="en-GB"/>
              </w:rPr>
              <w:t>Rischi</w:t>
            </w:r>
            <w:proofErr w:type="spellEnd"/>
            <w:r w:rsidRPr="00EB0FD9">
              <w:rPr>
                <w:rFonts w:eastAsia="Times New Roman" w:cs="Verdana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EB0FD9">
              <w:rPr>
                <w:rFonts w:eastAsia="Times New Roman" w:cs="Verdana"/>
                <w:sz w:val="20"/>
                <w:szCs w:val="20"/>
                <w:lang w:val="en-GB" w:eastAsia="en-GB"/>
              </w:rPr>
              <w:t>importanti</w:t>
            </w:r>
            <w:proofErr w:type="spellEnd"/>
            <w:r w:rsidRPr="00EB0FD9">
              <w:rPr>
                <w:rFonts w:eastAsia="Times New Roman" w:cs="Verdana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EB0FD9">
              <w:rPr>
                <w:rFonts w:eastAsia="Times New Roman" w:cs="Verdana"/>
                <w:sz w:val="20"/>
                <w:szCs w:val="20"/>
                <w:lang w:val="en-GB" w:eastAsia="en-GB"/>
              </w:rPr>
              <w:t>identificati</w:t>
            </w:r>
            <w:proofErr w:type="spellEnd"/>
          </w:p>
        </w:tc>
        <w:tc>
          <w:tcPr>
            <w:tcW w:w="3440" w:type="pct"/>
            <w:shd w:val="clear" w:color="auto" w:fill="auto"/>
          </w:tcPr>
          <w:p w14:paraId="4592C82E" w14:textId="77777777" w:rsidR="00A51C22" w:rsidRPr="00EB0FD9" w:rsidRDefault="00A51C22" w:rsidP="00A51C22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sz w:val="20"/>
              </w:rPr>
            </w:pPr>
            <w:r w:rsidRPr="00EB0FD9">
              <w:rPr>
                <w:sz w:val="20"/>
              </w:rPr>
              <w:t>Emorragia</w:t>
            </w:r>
          </w:p>
        </w:tc>
      </w:tr>
      <w:tr w:rsidR="00A51C22" w:rsidRPr="00EB0FD9" w14:paraId="11E8A86A" w14:textId="77777777" w:rsidTr="008E1B41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A27E50" w14:textId="77777777" w:rsidR="00A51C22" w:rsidRPr="00EB0FD9" w:rsidRDefault="00A51C22" w:rsidP="00A51C22">
            <w:pPr>
              <w:spacing w:after="0" w:line="240" w:lineRule="auto"/>
              <w:jc w:val="both"/>
              <w:rPr>
                <w:rFonts w:eastAsia="Times New Roman" w:cs="Verdana"/>
                <w:sz w:val="20"/>
                <w:szCs w:val="20"/>
                <w:lang w:val="en-GB" w:eastAsia="en-GB"/>
              </w:rPr>
            </w:pPr>
            <w:proofErr w:type="spellStart"/>
            <w:r w:rsidRPr="00EB0FD9">
              <w:rPr>
                <w:rFonts w:eastAsia="Times New Roman" w:cs="Verdana"/>
                <w:sz w:val="20"/>
                <w:szCs w:val="20"/>
                <w:lang w:val="en-GB" w:eastAsia="en-GB"/>
              </w:rPr>
              <w:t>Rischi</w:t>
            </w:r>
            <w:proofErr w:type="spellEnd"/>
            <w:r w:rsidRPr="00EB0FD9">
              <w:rPr>
                <w:rFonts w:eastAsia="Times New Roman" w:cs="Verdana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EB0FD9">
              <w:rPr>
                <w:rFonts w:eastAsia="Times New Roman" w:cs="Verdana"/>
                <w:sz w:val="20"/>
                <w:szCs w:val="20"/>
                <w:lang w:val="en-GB" w:eastAsia="en-GB"/>
              </w:rPr>
              <w:t>importanti</w:t>
            </w:r>
            <w:proofErr w:type="spellEnd"/>
            <w:r w:rsidRPr="00EB0FD9">
              <w:rPr>
                <w:rFonts w:eastAsia="Times New Roman" w:cs="Verdana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EB0FD9">
              <w:rPr>
                <w:rFonts w:eastAsia="Times New Roman" w:cs="Verdana"/>
                <w:sz w:val="20"/>
                <w:szCs w:val="20"/>
                <w:lang w:val="en-GB" w:eastAsia="en-GB"/>
              </w:rPr>
              <w:t>potenziali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5D47066" w14:textId="66FFFF29" w:rsidR="00A51C22" w:rsidRPr="00EB0FD9" w:rsidRDefault="00374093" w:rsidP="00374093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 xml:space="preserve">Tossicità </w:t>
            </w:r>
            <w:proofErr w:type="spellStart"/>
            <w:r>
              <w:rPr>
                <w:sz w:val="20"/>
                <w:szCs w:val="20"/>
                <w:lang w:eastAsia="en-GB"/>
              </w:rPr>
              <w:t>embrio</w:t>
            </w:r>
            <w:proofErr w:type="spellEnd"/>
            <w:r>
              <w:rPr>
                <w:sz w:val="20"/>
                <w:szCs w:val="20"/>
                <w:lang w:eastAsia="en-GB"/>
              </w:rPr>
              <w:t>-fetale</w:t>
            </w:r>
          </w:p>
        </w:tc>
      </w:tr>
      <w:tr w:rsidR="00A51C22" w:rsidRPr="00EB0FD9" w14:paraId="4D8F0748" w14:textId="77777777" w:rsidTr="008E1B41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5919631" w14:textId="77777777" w:rsidR="00A51C22" w:rsidRPr="00EB0FD9" w:rsidRDefault="00A51C22" w:rsidP="00A51C22">
            <w:pPr>
              <w:spacing w:after="0" w:line="240" w:lineRule="auto"/>
              <w:jc w:val="both"/>
              <w:rPr>
                <w:rFonts w:eastAsia="Times New Roman" w:cs="Verdana"/>
                <w:sz w:val="20"/>
                <w:szCs w:val="20"/>
                <w:lang w:val="en-GB" w:eastAsia="en-GB"/>
              </w:rPr>
            </w:pPr>
            <w:proofErr w:type="spellStart"/>
            <w:r w:rsidRPr="00EB0FD9">
              <w:rPr>
                <w:rFonts w:eastAsia="Times New Roman" w:cs="Verdana"/>
                <w:sz w:val="20"/>
                <w:szCs w:val="20"/>
                <w:lang w:val="en-GB" w:eastAsia="en-GB"/>
              </w:rPr>
              <w:t>Informazioni</w:t>
            </w:r>
            <w:proofErr w:type="spellEnd"/>
            <w:r w:rsidRPr="00EB0FD9">
              <w:rPr>
                <w:rFonts w:eastAsia="Times New Roman" w:cs="Verdana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EB0FD9">
              <w:rPr>
                <w:rFonts w:eastAsia="Times New Roman" w:cs="Verdana"/>
                <w:sz w:val="20"/>
                <w:szCs w:val="20"/>
                <w:lang w:val="en-GB" w:eastAsia="en-GB"/>
              </w:rPr>
              <w:t>mancanti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59F1A" w14:textId="77777777" w:rsidR="00A51C22" w:rsidRPr="00374093" w:rsidRDefault="00A51C22" w:rsidP="00A51C22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sz w:val="20"/>
              </w:rPr>
            </w:pPr>
            <w:r w:rsidRPr="00374093">
              <w:rPr>
                <w:sz w:val="20"/>
              </w:rPr>
              <w:t xml:space="preserve">Terapia correttiva </w:t>
            </w:r>
            <w:proofErr w:type="spellStart"/>
            <w:r w:rsidRPr="00374093">
              <w:rPr>
                <w:sz w:val="20"/>
              </w:rPr>
              <w:t>procoagulante</w:t>
            </w:r>
            <w:proofErr w:type="spellEnd"/>
            <w:r w:rsidRPr="00374093">
              <w:rPr>
                <w:sz w:val="20"/>
              </w:rPr>
              <w:t xml:space="preserve"> per emorragia eccessiva</w:t>
            </w:r>
          </w:p>
          <w:p w14:paraId="76CA64EE" w14:textId="17B634E0" w:rsidR="00A51C22" w:rsidRPr="00374093" w:rsidRDefault="00A51C22" w:rsidP="00374093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sz w:val="20"/>
              </w:rPr>
            </w:pPr>
            <w:r w:rsidRPr="00374093">
              <w:rPr>
                <w:sz w:val="20"/>
              </w:rPr>
              <w:t>Fibrillazione atriale in pazienti con protesi valvolari cardiache</w:t>
            </w:r>
          </w:p>
        </w:tc>
      </w:tr>
    </w:tbl>
    <w:p w14:paraId="031722B6" w14:textId="77777777" w:rsidR="00A51C22" w:rsidRPr="00EB0FD9" w:rsidRDefault="00A51C22" w:rsidP="00A51C22">
      <w:pPr>
        <w:spacing w:after="0" w:line="240" w:lineRule="auto"/>
        <w:contextualSpacing/>
        <w:jc w:val="both"/>
      </w:pPr>
    </w:p>
    <w:p w14:paraId="299B5385" w14:textId="77777777" w:rsidR="00A51C22" w:rsidRPr="00EB0FD9" w:rsidRDefault="00A51C22" w:rsidP="00A51C22">
      <w:pPr>
        <w:spacing w:after="0" w:line="240" w:lineRule="auto"/>
        <w:contextualSpacing/>
        <w:jc w:val="both"/>
      </w:pPr>
      <w:r w:rsidRPr="00EB0FD9">
        <w:t>Azioni routinarie di farmacovigilanza e di minimizzazione del rischio sono proposte per tutte le problematiche di sicurezza.</w:t>
      </w:r>
    </w:p>
    <w:p w14:paraId="46DFE006" w14:textId="77777777" w:rsidR="00A51C22" w:rsidRPr="00EB0FD9" w:rsidRDefault="00A51C22" w:rsidP="00A51C22">
      <w:pPr>
        <w:spacing w:after="0" w:line="240" w:lineRule="auto"/>
        <w:contextualSpacing/>
        <w:jc w:val="both"/>
      </w:pPr>
      <w:r w:rsidRPr="00EB0FD9">
        <w:t>Oltre le misure previste nel Riassunto delle caratteristiche del prodotto sono previste attività addizionali di minimizzazione del rischio.</w:t>
      </w:r>
    </w:p>
    <w:p w14:paraId="15A21455" w14:textId="77777777" w:rsidR="00A51C22" w:rsidRPr="00EB0FD9" w:rsidRDefault="00A51C22" w:rsidP="00A51C22">
      <w:pPr>
        <w:spacing w:after="0" w:line="240" w:lineRule="auto"/>
        <w:ind w:left="720"/>
        <w:contextualSpacing/>
      </w:pPr>
      <w:r w:rsidRPr="00EB0FD9">
        <w:t>Tali misure sono costituite da:</w:t>
      </w:r>
    </w:p>
    <w:p w14:paraId="05F2C5AB" w14:textId="77777777" w:rsidR="00A51C22" w:rsidRPr="00EB0FD9" w:rsidRDefault="00A51C22" w:rsidP="00A51C22">
      <w:pPr>
        <w:numPr>
          <w:ilvl w:val="0"/>
          <w:numId w:val="14"/>
        </w:numPr>
        <w:spacing w:after="0" w:line="240" w:lineRule="auto"/>
        <w:contextualSpacing/>
      </w:pPr>
      <w:r w:rsidRPr="00EB0FD9">
        <w:t>Materiale Educazionale per gli Operatori Sanitari</w:t>
      </w:r>
    </w:p>
    <w:p w14:paraId="4D95DADB" w14:textId="77777777" w:rsidR="00A51C22" w:rsidRPr="00EB0FD9" w:rsidRDefault="00A51C22" w:rsidP="00A51C22">
      <w:pPr>
        <w:numPr>
          <w:ilvl w:val="0"/>
          <w:numId w:val="14"/>
        </w:numPr>
        <w:spacing w:after="0" w:line="240" w:lineRule="auto"/>
        <w:contextualSpacing/>
        <w:jc w:val="both"/>
      </w:pPr>
      <w:r w:rsidRPr="00EB0FD9">
        <w:t>Scheda di allerta per il paziente</w:t>
      </w:r>
    </w:p>
    <w:p w14:paraId="08F9E412" w14:textId="77777777" w:rsidR="00A51C22" w:rsidRPr="00A51C22" w:rsidRDefault="00A51C22" w:rsidP="00A51C22">
      <w:pPr>
        <w:spacing w:after="0" w:line="240" w:lineRule="auto"/>
        <w:contextualSpacing/>
        <w:jc w:val="both"/>
      </w:pPr>
    </w:p>
    <w:p w14:paraId="75AF3837" w14:textId="77777777" w:rsidR="00A51C22" w:rsidRPr="00A51C22" w:rsidRDefault="00A51C22" w:rsidP="00A51C22">
      <w:pPr>
        <w:spacing w:after="0" w:line="240" w:lineRule="auto"/>
        <w:contextualSpacing/>
        <w:jc w:val="both"/>
        <w:rPr>
          <w:b/>
        </w:rPr>
      </w:pPr>
      <w:r w:rsidRPr="00A51C22">
        <w:rPr>
          <w:b/>
        </w:rPr>
        <w:t>Conclusioni</w:t>
      </w:r>
    </w:p>
    <w:p w14:paraId="5E0C803A" w14:textId="01E5355B" w:rsidR="00A51C22" w:rsidRPr="00A51C22" w:rsidRDefault="00A51C22" w:rsidP="00A51C22">
      <w:pPr>
        <w:spacing w:after="0" w:line="240" w:lineRule="auto"/>
        <w:contextualSpacing/>
        <w:jc w:val="both"/>
      </w:pPr>
      <w:r w:rsidRPr="00A51C22">
        <w:t xml:space="preserve">Per la richiesta di AIC di </w:t>
      </w:r>
      <w:r w:rsidR="00374093">
        <w:rPr>
          <w:rFonts w:eastAsia="Calibri" w:cs="Calibri"/>
          <w:color w:val="000000"/>
          <w:lang w:eastAsia="it-IT"/>
        </w:rPr>
        <w:t>INDIFAXA</w:t>
      </w:r>
      <w:r w:rsidRPr="00A51C22">
        <w:rPr>
          <w:rFonts w:eastAsia="Calibri" w:cs="Calibri"/>
          <w:color w:val="000000"/>
          <w:lang w:eastAsia="it-IT"/>
        </w:rPr>
        <w:t xml:space="preserve"> </w:t>
      </w:r>
      <w:r w:rsidRPr="00A51C22">
        <w:t>sono state presentate sufficienti informazioni cliniche.</w:t>
      </w:r>
    </w:p>
    <w:p w14:paraId="20A020CA" w14:textId="27BC6BD7" w:rsidR="00A51C22" w:rsidRPr="00A51C22" w:rsidRDefault="00A51C22" w:rsidP="00A51C22">
      <w:pPr>
        <w:spacing w:after="0" w:line="240" w:lineRule="auto"/>
        <w:contextualSpacing/>
        <w:jc w:val="both"/>
      </w:pPr>
      <w:r w:rsidRPr="00A51C22">
        <w:t xml:space="preserve">Il rapporto beneficio/rischio di </w:t>
      </w:r>
      <w:r w:rsidR="00374093">
        <w:rPr>
          <w:rFonts w:eastAsia="Calibri" w:cs="Calibri"/>
          <w:color w:val="000000"/>
          <w:lang w:eastAsia="it-IT"/>
        </w:rPr>
        <w:t>INDIFAXA</w:t>
      </w:r>
      <w:r w:rsidRPr="00A51C22">
        <w:rPr>
          <w:rFonts w:eastAsia="Calibri" w:cs="Calibri"/>
          <w:color w:val="000000"/>
          <w:lang w:eastAsia="it-IT"/>
        </w:rPr>
        <w:t xml:space="preserve"> </w:t>
      </w:r>
      <w:r w:rsidRPr="00A51C22">
        <w:t>è considerato favorevole dal punto di vista clinico.</w:t>
      </w:r>
    </w:p>
    <w:p w14:paraId="3A16B88E" w14:textId="77777777" w:rsidR="00A51C22" w:rsidRPr="00A51C22" w:rsidRDefault="00A51C22" w:rsidP="00A51C22">
      <w:pPr>
        <w:spacing w:after="0" w:line="240" w:lineRule="auto"/>
        <w:contextualSpacing/>
        <w:jc w:val="both"/>
      </w:pPr>
    </w:p>
    <w:p w14:paraId="14B2EAE4" w14:textId="77777777" w:rsidR="00A51C22" w:rsidRPr="00A51C22" w:rsidRDefault="00A51C22" w:rsidP="00A51C22">
      <w:pPr>
        <w:spacing w:after="0" w:line="240" w:lineRule="auto"/>
        <w:contextualSpacing/>
        <w:jc w:val="both"/>
      </w:pPr>
    </w:p>
    <w:p w14:paraId="2EE9F55C" w14:textId="77777777" w:rsidR="00A51C22" w:rsidRPr="00A51C22" w:rsidRDefault="00A51C22" w:rsidP="00A51C22">
      <w:pPr>
        <w:numPr>
          <w:ilvl w:val="0"/>
          <w:numId w:val="2"/>
        </w:numPr>
        <w:spacing w:after="0" w:line="240" w:lineRule="auto"/>
        <w:contextualSpacing/>
        <w:jc w:val="both"/>
        <w:rPr>
          <w:b/>
        </w:rPr>
      </w:pPr>
      <w:r w:rsidRPr="00A51C22">
        <w:rPr>
          <w:b/>
        </w:rPr>
        <w:t>CONSULTAZIONE SUL FOGLIO ILLUSTRATIVO</w:t>
      </w:r>
    </w:p>
    <w:p w14:paraId="60769DAA" w14:textId="77777777" w:rsidR="00A51C22" w:rsidRPr="00A51C22" w:rsidRDefault="00A51C22" w:rsidP="00A51C22">
      <w:pPr>
        <w:spacing w:after="0" w:line="240" w:lineRule="auto"/>
        <w:jc w:val="both"/>
      </w:pPr>
      <w:r w:rsidRPr="00A51C22">
        <w:t xml:space="preserve">Il foglio illustrativo è stato sottoposto al test di leggibilità in accordo ai requisiti dell’art. 59(3) e 61(1) della direttiva 2001/83/EU </w:t>
      </w:r>
      <w:proofErr w:type="spellStart"/>
      <w:r w:rsidRPr="00A51C22">
        <w:t>s.m.i.</w:t>
      </w:r>
      <w:proofErr w:type="spellEnd"/>
      <w:r w:rsidRPr="00A51C22">
        <w:t xml:space="preserve"> i risultati del test hanno dimostrato che il foglio illustrativo corrisponde ai criteri imposti dalla linea guida sulla leggibilità di etichetta e foglio illustrativo dei medicinali per uso umano.</w:t>
      </w:r>
    </w:p>
    <w:p w14:paraId="418B7B65" w14:textId="77777777" w:rsidR="00A51C22" w:rsidRPr="00A51C22" w:rsidRDefault="00A51C22" w:rsidP="00A51C22">
      <w:pPr>
        <w:spacing w:after="0" w:line="240" w:lineRule="auto"/>
        <w:contextualSpacing/>
        <w:jc w:val="both"/>
      </w:pPr>
    </w:p>
    <w:p w14:paraId="1F09961A" w14:textId="77777777" w:rsidR="00A51C22" w:rsidRPr="00A51C22" w:rsidRDefault="00A51C22" w:rsidP="00A51C22">
      <w:pPr>
        <w:spacing w:after="0" w:line="240" w:lineRule="auto"/>
        <w:jc w:val="both"/>
      </w:pPr>
    </w:p>
    <w:p w14:paraId="4DD03711" w14:textId="77777777" w:rsidR="00A51C22" w:rsidRPr="00A51C22" w:rsidRDefault="00A51C22" w:rsidP="00A51C22">
      <w:pPr>
        <w:numPr>
          <w:ilvl w:val="0"/>
          <w:numId w:val="2"/>
        </w:numPr>
        <w:spacing w:after="0" w:line="240" w:lineRule="auto"/>
        <w:contextualSpacing/>
        <w:jc w:val="both"/>
        <w:rPr>
          <w:b/>
        </w:rPr>
      </w:pPr>
      <w:r w:rsidRPr="00A51C22">
        <w:rPr>
          <w:b/>
        </w:rPr>
        <w:t>CONCLUSIONI, VALUTAZIONE DEL RAPPORTO BENEFICIO/RISCHIO E RACCOMANDAZIONI</w:t>
      </w:r>
    </w:p>
    <w:p w14:paraId="47DD55ED" w14:textId="0CF773E9" w:rsidR="00A51C22" w:rsidRPr="00A51C22" w:rsidRDefault="00A51C22" w:rsidP="00A51C22">
      <w:pPr>
        <w:spacing w:after="0" w:line="240" w:lineRule="auto"/>
        <w:jc w:val="both"/>
      </w:pPr>
      <w:r w:rsidRPr="00A51C22">
        <w:t xml:space="preserve">La qualità di </w:t>
      </w:r>
      <w:r w:rsidR="00796CCD">
        <w:rPr>
          <w:rFonts w:eastAsia="Calibri" w:cs="Calibri"/>
          <w:color w:val="000000"/>
          <w:lang w:eastAsia="it-IT"/>
        </w:rPr>
        <w:t>INDIFAXA</w:t>
      </w:r>
      <w:r w:rsidRPr="00A51C22">
        <w:rPr>
          <w:rFonts w:eastAsia="Calibri" w:cs="Calibri"/>
          <w:color w:val="000000"/>
          <w:lang w:eastAsia="it-IT"/>
        </w:rPr>
        <w:t xml:space="preserve"> </w:t>
      </w:r>
      <w:r w:rsidRPr="00A51C22">
        <w:t>è accettabile e non sono state rilevate criticità da un punto di vista non clinico e clinico.</w:t>
      </w:r>
    </w:p>
    <w:p w14:paraId="11363B45" w14:textId="2CE014D4" w:rsidR="00A51C22" w:rsidRPr="00A51C22" w:rsidRDefault="00A51C22" w:rsidP="00A51C22">
      <w:pPr>
        <w:spacing w:after="0" w:line="240" w:lineRule="auto"/>
        <w:jc w:val="both"/>
      </w:pPr>
      <w:r w:rsidRPr="00731800">
        <w:t xml:space="preserve">Gli studi di </w:t>
      </w:r>
      <w:proofErr w:type="spellStart"/>
      <w:r w:rsidRPr="00731800">
        <w:t>bioequivalenza</w:t>
      </w:r>
      <w:proofErr w:type="spellEnd"/>
      <w:r w:rsidRPr="00731800">
        <w:t xml:space="preserve"> e le sue conclusioni confermano che </w:t>
      </w:r>
      <w:r w:rsidR="00796CCD" w:rsidRPr="00731800">
        <w:rPr>
          <w:rFonts w:eastAsia="Calibri" w:cs="Calibri"/>
          <w:color w:val="000000"/>
          <w:lang w:eastAsia="it-IT"/>
        </w:rPr>
        <w:t>INDIFAXA</w:t>
      </w:r>
      <w:r w:rsidRPr="00731800">
        <w:rPr>
          <w:rFonts w:eastAsia="Calibri" w:cs="Calibri"/>
          <w:color w:val="000000"/>
          <w:lang w:eastAsia="it-IT"/>
        </w:rPr>
        <w:t xml:space="preserve"> </w:t>
      </w:r>
      <w:r w:rsidRPr="00731800">
        <w:t xml:space="preserve">e il medicinale di riferimento </w:t>
      </w:r>
      <w:proofErr w:type="spellStart"/>
      <w:r w:rsidRPr="00731800">
        <w:t>Xarelto</w:t>
      </w:r>
      <w:proofErr w:type="spellEnd"/>
      <w:r w:rsidRPr="00731800">
        <w:t xml:space="preserve"> sono </w:t>
      </w:r>
      <w:proofErr w:type="spellStart"/>
      <w:r w:rsidRPr="00731800">
        <w:t>bioequivalenti</w:t>
      </w:r>
      <w:proofErr w:type="spellEnd"/>
      <w:r w:rsidRPr="00731800">
        <w:t>.</w:t>
      </w:r>
    </w:p>
    <w:p w14:paraId="688C7532" w14:textId="77777777" w:rsidR="00A51C22" w:rsidRPr="00A51C22" w:rsidRDefault="00A51C22" w:rsidP="00A51C22">
      <w:pPr>
        <w:spacing w:after="0" w:line="240" w:lineRule="auto"/>
        <w:jc w:val="both"/>
      </w:pPr>
      <w:r w:rsidRPr="00A51C22">
        <w:t>Il rapporto beneficio/rischio è considerato positivo.</w:t>
      </w:r>
    </w:p>
    <w:p w14:paraId="7E85F50F" w14:textId="2B9D9408" w:rsidR="00796CCD" w:rsidRDefault="00A51C22" w:rsidP="00A51C22">
      <w:pPr>
        <w:spacing w:after="0" w:line="240" w:lineRule="auto"/>
        <w:jc w:val="both"/>
      </w:pPr>
      <w:r w:rsidRPr="00A51C22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A51C22">
        <w:rPr>
          <w:rFonts w:eastAsia="Calibri" w:cs="Calibri"/>
          <w:lang w:eastAsia="it-IT"/>
        </w:rPr>
        <w:t>(</w:t>
      </w:r>
      <w:hyperlink r:id="rId13" w:anchor="/it/" w:history="1">
        <w:r w:rsidR="00796CCD" w:rsidRPr="00163B4B">
          <w:rPr>
            <w:rStyle w:val="Collegamentoipertestuale"/>
          </w:rPr>
          <w:t>https://medicinali.aifa.gov.it/it/#/it/</w:t>
        </w:r>
      </w:hyperlink>
      <w:r w:rsidR="00796CCD">
        <w:t>).</w:t>
      </w:r>
    </w:p>
    <w:p w14:paraId="6F78E2AB" w14:textId="5E35B01B" w:rsidR="00A51C22" w:rsidRPr="00A51C22" w:rsidRDefault="00A51C22" w:rsidP="00A51C22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0B9C9C5B" w14:textId="77777777" w:rsidR="00A51C22" w:rsidRPr="00A51C22" w:rsidRDefault="00A51C22" w:rsidP="00A51C22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122707A2" w14:textId="77777777"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bookmarkEnd w:id="0"/>
    <w:p w14:paraId="7E5C8AA5" w14:textId="77777777" w:rsidR="006B311C" w:rsidRDefault="006B311C" w:rsidP="00A51C22">
      <w:pPr>
        <w:widowControl w:val="0"/>
        <w:spacing w:after="0" w:line="240" w:lineRule="auto"/>
        <w:rPr>
          <w:rFonts w:eastAsia="Calibri" w:cs="Calibri"/>
          <w:lang w:eastAsia="it-IT"/>
        </w:rPr>
      </w:pPr>
    </w:p>
    <w:sectPr w:rsidR="006B311C" w:rsidSect="00EF6711">
      <w:footerReference w:type="default" r:id="rId14"/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AAEFF" w14:textId="77777777" w:rsidR="00CB601B" w:rsidRDefault="00CB601B" w:rsidP="00C07183">
      <w:pPr>
        <w:spacing w:after="0" w:line="240" w:lineRule="auto"/>
      </w:pPr>
      <w:r>
        <w:separator/>
      </w:r>
    </w:p>
  </w:endnote>
  <w:endnote w:type="continuationSeparator" w:id="0">
    <w:p w14:paraId="1A7CF1B2" w14:textId="77777777" w:rsidR="00CB601B" w:rsidRDefault="00CB601B" w:rsidP="00C07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567282" w14:textId="77777777" w:rsidR="00C07183" w:rsidRDefault="00C07183">
    <w:pPr>
      <w:pStyle w:val="Pidipagina"/>
    </w:pPr>
    <w:r w:rsidRPr="00C07183">
      <w:rPr>
        <w:rFonts w:ascii="Times New Roman" w:eastAsia="Times New Roman" w:hAnsi="Times New Roman" w:cs="Times New Roman"/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1A716417" wp14:editId="0B199675">
          <wp:simplePos x="0" y="0"/>
          <wp:positionH relativeFrom="column">
            <wp:posOffset>-739140</wp:posOffset>
          </wp:positionH>
          <wp:positionV relativeFrom="paragraph">
            <wp:posOffset>182880</wp:posOffset>
          </wp:positionV>
          <wp:extent cx="7571740" cy="80010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174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6C30FE" w14:textId="77777777" w:rsidR="00CB601B" w:rsidRDefault="00CB601B" w:rsidP="00C07183">
      <w:pPr>
        <w:spacing w:after="0" w:line="240" w:lineRule="auto"/>
      </w:pPr>
      <w:r>
        <w:separator/>
      </w:r>
    </w:p>
  </w:footnote>
  <w:footnote w:type="continuationSeparator" w:id="0">
    <w:p w14:paraId="4CBCE99A" w14:textId="77777777" w:rsidR="00CB601B" w:rsidRDefault="00CB601B" w:rsidP="00C07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7596C"/>
    <w:multiLevelType w:val="hybridMultilevel"/>
    <w:tmpl w:val="A502DB30"/>
    <w:lvl w:ilvl="0" w:tplc="461AB234">
      <w:numFmt w:val="bullet"/>
      <w:lvlText w:val=""/>
      <w:lvlJc w:val="left"/>
      <w:pPr>
        <w:ind w:left="680" w:hanging="567"/>
      </w:pPr>
      <w:rPr>
        <w:rFonts w:ascii="Symbol" w:eastAsia="Symbol" w:hAnsi="Symbol" w:cs="Symbol" w:hint="default"/>
        <w:w w:val="99"/>
        <w:sz w:val="22"/>
        <w:szCs w:val="22"/>
      </w:rPr>
    </w:lvl>
    <w:lvl w:ilvl="1" w:tplc="F0F8ECF0">
      <w:numFmt w:val="bullet"/>
      <w:lvlText w:val="•"/>
      <w:lvlJc w:val="left"/>
      <w:pPr>
        <w:ind w:left="1596" w:hanging="567"/>
      </w:pPr>
      <w:rPr>
        <w:rFonts w:hint="default"/>
      </w:rPr>
    </w:lvl>
    <w:lvl w:ilvl="2" w:tplc="68C0E6C8">
      <w:numFmt w:val="bullet"/>
      <w:lvlText w:val="•"/>
      <w:lvlJc w:val="left"/>
      <w:pPr>
        <w:ind w:left="2513" w:hanging="567"/>
      </w:pPr>
      <w:rPr>
        <w:rFonts w:hint="default"/>
      </w:rPr>
    </w:lvl>
    <w:lvl w:ilvl="3" w:tplc="403A5F32">
      <w:numFmt w:val="bullet"/>
      <w:lvlText w:val="•"/>
      <w:lvlJc w:val="left"/>
      <w:pPr>
        <w:ind w:left="3430" w:hanging="567"/>
      </w:pPr>
      <w:rPr>
        <w:rFonts w:hint="default"/>
      </w:rPr>
    </w:lvl>
    <w:lvl w:ilvl="4" w:tplc="7E867BFC">
      <w:numFmt w:val="bullet"/>
      <w:lvlText w:val="•"/>
      <w:lvlJc w:val="left"/>
      <w:pPr>
        <w:ind w:left="4347" w:hanging="567"/>
      </w:pPr>
      <w:rPr>
        <w:rFonts w:hint="default"/>
      </w:rPr>
    </w:lvl>
    <w:lvl w:ilvl="5" w:tplc="D0C466B6">
      <w:numFmt w:val="bullet"/>
      <w:lvlText w:val="•"/>
      <w:lvlJc w:val="left"/>
      <w:pPr>
        <w:ind w:left="5263" w:hanging="567"/>
      </w:pPr>
      <w:rPr>
        <w:rFonts w:hint="default"/>
      </w:rPr>
    </w:lvl>
    <w:lvl w:ilvl="6" w:tplc="D944C606">
      <w:numFmt w:val="bullet"/>
      <w:lvlText w:val="•"/>
      <w:lvlJc w:val="left"/>
      <w:pPr>
        <w:ind w:left="6180" w:hanging="567"/>
      </w:pPr>
      <w:rPr>
        <w:rFonts w:hint="default"/>
      </w:rPr>
    </w:lvl>
    <w:lvl w:ilvl="7" w:tplc="7DF49F1E">
      <w:numFmt w:val="bullet"/>
      <w:lvlText w:val="•"/>
      <w:lvlJc w:val="left"/>
      <w:pPr>
        <w:ind w:left="7097" w:hanging="567"/>
      </w:pPr>
      <w:rPr>
        <w:rFonts w:hint="default"/>
      </w:rPr>
    </w:lvl>
    <w:lvl w:ilvl="8" w:tplc="D97AC6EE">
      <w:numFmt w:val="bullet"/>
      <w:lvlText w:val="•"/>
      <w:lvlJc w:val="left"/>
      <w:pPr>
        <w:ind w:left="8014" w:hanging="567"/>
      </w:pPr>
      <w:rPr>
        <w:rFonts w:hint="default"/>
      </w:rPr>
    </w:lvl>
  </w:abstractNum>
  <w:abstractNum w:abstractNumId="1" w15:restartNumberingAfterBreak="0">
    <w:nsid w:val="189F4302"/>
    <w:multiLevelType w:val="hybridMultilevel"/>
    <w:tmpl w:val="CD40C0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757E31"/>
    <w:multiLevelType w:val="hybridMultilevel"/>
    <w:tmpl w:val="FA08A57C"/>
    <w:lvl w:ilvl="0" w:tplc="F3C0CACC">
      <w:start w:val="1"/>
      <w:numFmt w:val="decimal"/>
      <w:lvlText w:val="%1."/>
      <w:lvlJc w:val="left"/>
      <w:pPr>
        <w:ind w:left="112" w:hanging="56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 w:tplc="822072AC">
      <w:numFmt w:val="bullet"/>
      <w:lvlText w:val=""/>
      <w:lvlJc w:val="left"/>
      <w:pPr>
        <w:ind w:left="679" w:hanging="207"/>
      </w:pPr>
      <w:rPr>
        <w:rFonts w:ascii="Symbol" w:eastAsia="Symbol" w:hAnsi="Symbol" w:cs="Symbol" w:hint="default"/>
        <w:w w:val="100"/>
        <w:sz w:val="22"/>
        <w:szCs w:val="22"/>
      </w:rPr>
    </w:lvl>
    <w:lvl w:ilvl="2" w:tplc="A03CA1D4">
      <w:numFmt w:val="bullet"/>
      <w:lvlText w:val="•"/>
      <w:lvlJc w:val="left"/>
      <w:pPr>
        <w:ind w:left="1698" w:hanging="207"/>
      </w:pPr>
      <w:rPr>
        <w:rFonts w:hint="default"/>
      </w:rPr>
    </w:lvl>
    <w:lvl w:ilvl="3" w:tplc="EA707C84">
      <w:numFmt w:val="bullet"/>
      <w:lvlText w:val="•"/>
      <w:lvlJc w:val="left"/>
      <w:pPr>
        <w:ind w:left="2716" w:hanging="207"/>
      </w:pPr>
      <w:rPr>
        <w:rFonts w:hint="default"/>
      </w:rPr>
    </w:lvl>
    <w:lvl w:ilvl="4" w:tplc="4A807C5E">
      <w:numFmt w:val="bullet"/>
      <w:lvlText w:val="•"/>
      <w:lvlJc w:val="left"/>
      <w:pPr>
        <w:ind w:left="3735" w:hanging="207"/>
      </w:pPr>
      <w:rPr>
        <w:rFonts w:hint="default"/>
      </w:rPr>
    </w:lvl>
    <w:lvl w:ilvl="5" w:tplc="8B7ED31E">
      <w:numFmt w:val="bullet"/>
      <w:lvlText w:val="•"/>
      <w:lvlJc w:val="left"/>
      <w:pPr>
        <w:ind w:left="4753" w:hanging="207"/>
      </w:pPr>
      <w:rPr>
        <w:rFonts w:hint="default"/>
      </w:rPr>
    </w:lvl>
    <w:lvl w:ilvl="6" w:tplc="B86444B2">
      <w:numFmt w:val="bullet"/>
      <w:lvlText w:val="•"/>
      <w:lvlJc w:val="left"/>
      <w:pPr>
        <w:ind w:left="5772" w:hanging="207"/>
      </w:pPr>
      <w:rPr>
        <w:rFonts w:hint="default"/>
      </w:rPr>
    </w:lvl>
    <w:lvl w:ilvl="7" w:tplc="F1666A34">
      <w:numFmt w:val="bullet"/>
      <w:lvlText w:val="•"/>
      <w:lvlJc w:val="left"/>
      <w:pPr>
        <w:ind w:left="6790" w:hanging="207"/>
      </w:pPr>
      <w:rPr>
        <w:rFonts w:hint="default"/>
      </w:rPr>
    </w:lvl>
    <w:lvl w:ilvl="8" w:tplc="A77833D0">
      <w:numFmt w:val="bullet"/>
      <w:lvlText w:val="•"/>
      <w:lvlJc w:val="left"/>
      <w:pPr>
        <w:ind w:left="7809" w:hanging="207"/>
      </w:pPr>
      <w:rPr>
        <w:rFonts w:hint="default"/>
      </w:rPr>
    </w:lvl>
  </w:abstractNum>
  <w:abstractNum w:abstractNumId="3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E06461"/>
    <w:multiLevelType w:val="hybridMultilevel"/>
    <w:tmpl w:val="71DA4D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915C00"/>
    <w:multiLevelType w:val="hybridMultilevel"/>
    <w:tmpl w:val="8724E3F0"/>
    <w:lvl w:ilvl="0" w:tplc="046CFC6A">
      <w:numFmt w:val="bullet"/>
      <w:lvlText w:val="-"/>
      <w:lvlJc w:val="left"/>
      <w:pPr>
        <w:ind w:left="679" w:hanging="567"/>
      </w:pPr>
      <w:rPr>
        <w:rFonts w:ascii="Arial" w:eastAsia="Arial" w:hAnsi="Arial" w:cs="Arial" w:hint="default"/>
        <w:w w:val="100"/>
        <w:sz w:val="22"/>
        <w:szCs w:val="22"/>
      </w:rPr>
    </w:lvl>
    <w:lvl w:ilvl="1" w:tplc="F738CB3C">
      <w:numFmt w:val="bullet"/>
      <w:lvlText w:val="•"/>
      <w:lvlJc w:val="left"/>
      <w:pPr>
        <w:ind w:left="1594" w:hanging="567"/>
      </w:pPr>
      <w:rPr>
        <w:rFonts w:hint="default"/>
      </w:rPr>
    </w:lvl>
    <w:lvl w:ilvl="2" w:tplc="66426FEE">
      <w:numFmt w:val="bullet"/>
      <w:lvlText w:val="•"/>
      <w:lvlJc w:val="left"/>
      <w:pPr>
        <w:ind w:left="2509" w:hanging="567"/>
      </w:pPr>
      <w:rPr>
        <w:rFonts w:hint="default"/>
      </w:rPr>
    </w:lvl>
    <w:lvl w:ilvl="3" w:tplc="8F9611F8">
      <w:numFmt w:val="bullet"/>
      <w:lvlText w:val="•"/>
      <w:lvlJc w:val="left"/>
      <w:pPr>
        <w:ind w:left="3423" w:hanging="567"/>
      </w:pPr>
      <w:rPr>
        <w:rFonts w:hint="default"/>
      </w:rPr>
    </w:lvl>
    <w:lvl w:ilvl="4" w:tplc="BD9A55C8">
      <w:numFmt w:val="bullet"/>
      <w:lvlText w:val="•"/>
      <w:lvlJc w:val="left"/>
      <w:pPr>
        <w:ind w:left="4338" w:hanging="567"/>
      </w:pPr>
      <w:rPr>
        <w:rFonts w:hint="default"/>
      </w:rPr>
    </w:lvl>
    <w:lvl w:ilvl="5" w:tplc="52DE5F8C">
      <w:numFmt w:val="bullet"/>
      <w:lvlText w:val="•"/>
      <w:lvlJc w:val="left"/>
      <w:pPr>
        <w:ind w:left="5253" w:hanging="567"/>
      </w:pPr>
      <w:rPr>
        <w:rFonts w:hint="default"/>
      </w:rPr>
    </w:lvl>
    <w:lvl w:ilvl="6" w:tplc="10CE0A2C">
      <w:numFmt w:val="bullet"/>
      <w:lvlText w:val="•"/>
      <w:lvlJc w:val="left"/>
      <w:pPr>
        <w:ind w:left="6167" w:hanging="567"/>
      </w:pPr>
      <w:rPr>
        <w:rFonts w:hint="default"/>
      </w:rPr>
    </w:lvl>
    <w:lvl w:ilvl="7" w:tplc="86DC1FAC">
      <w:numFmt w:val="bullet"/>
      <w:lvlText w:val="•"/>
      <w:lvlJc w:val="left"/>
      <w:pPr>
        <w:ind w:left="7082" w:hanging="567"/>
      </w:pPr>
      <w:rPr>
        <w:rFonts w:hint="default"/>
      </w:rPr>
    </w:lvl>
    <w:lvl w:ilvl="8" w:tplc="7E1469BA">
      <w:numFmt w:val="bullet"/>
      <w:lvlText w:val="•"/>
      <w:lvlJc w:val="left"/>
      <w:pPr>
        <w:ind w:left="7997" w:hanging="567"/>
      </w:pPr>
      <w:rPr>
        <w:rFonts w:hint="default"/>
      </w:rPr>
    </w:lvl>
  </w:abstractNum>
  <w:abstractNum w:abstractNumId="8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E19499D"/>
    <w:multiLevelType w:val="hybridMultilevel"/>
    <w:tmpl w:val="F4ECB43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991613"/>
    <w:multiLevelType w:val="hybridMultilevel"/>
    <w:tmpl w:val="2F205A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4949EE"/>
    <w:multiLevelType w:val="hybridMultilevel"/>
    <w:tmpl w:val="D73EEAB6"/>
    <w:lvl w:ilvl="0" w:tplc="E1BEF24A">
      <w:numFmt w:val="bullet"/>
      <w:lvlText w:val="-"/>
      <w:lvlJc w:val="left"/>
      <w:pPr>
        <w:ind w:left="1239" w:hanging="56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B4D8598E">
      <w:numFmt w:val="bullet"/>
      <w:lvlText w:val="-"/>
      <w:lvlJc w:val="left"/>
      <w:pPr>
        <w:ind w:left="1805" w:hanging="577"/>
      </w:pPr>
      <w:rPr>
        <w:rFonts w:ascii="Arial" w:eastAsia="Arial" w:hAnsi="Arial" w:cs="Arial" w:hint="default"/>
        <w:w w:val="100"/>
        <w:sz w:val="22"/>
        <w:szCs w:val="22"/>
        <w:lang w:val="it-IT" w:eastAsia="it-IT" w:bidi="it-IT"/>
      </w:rPr>
    </w:lvl>
    <w:lvl w:ilvl="2" w:tplc="2AAA4862">
      <w:numFmt w:val="bullet"/>
      <w:lvlText w:val="•"/>
      <w:lvlJc w:val="left"/>
      <w:pPr>
        <w:ind w:left="2871" w:hanging="577"/>
      </w:pPr>
      <w:rPr>
        <w:rFonts w:hint="default"/>
        <w:lang w:val="it-IT" w:eastAsia="it-IT" w:bidi="it-IT"/>
      </w:rPr>
    </w:lvl>
    <w:lvl w:ilvl="3" w:tplc="4F8ABC56">
      <w:numFmt w:val="bullet"/>
      <w:lvlText w:val="•"/>
      <w:lvlJc w:val="left"/>
      <w:pPr>
        <w:ind w:left="3943" w:hanging="577"/>
      </w:pPr>
      <w:rPr>
        <w:rFonts w:hint="default"/>
        <w:lang w:val="it-IT" w:eastAsia="it-IT" w:bidi="it-IT"/>
      </w:rPr>
    </w:lvl>
    <w:lvl w:ilvl="4" w:tplc="C0AE6D88">
      <w:numFmt w:val="bullet"/>
      <w:lvlText w:val="•"/>
      <w:lvlJc w:val="left"/>
      <w:pPr>
        <w:ind w:left="5015" w:hanging="577"/>
      </w:pPr>
      <w:rPr>
        <w:rFonts w:hint="default"/>
        <w:lang w:val="it-IT" w:eastAsia="it-IT" w:bidi="it-IT"/>
      </w:rPr>
    </w:lvl>
    <w:lvl w:ilvl="5" w:tplc="7368F5D6">
      <w:numFmt w:val="bullet"/>
      <w:lvlText w:val="•"/>
      <w:lvlJc w:val="left"/>
      <w:pPr>
        <w:ind w:left="6087" w:hanging="577"/>
      </w:pPr>
      <w:rPr>
        <w:rFonts w:hint="default"/>
        <w:lang w:val="it-IT" w:eastAsia="it-IT" w:bidi="it-IT"/>
      </w:rPr>
    </w:lvl>
    <w:lvl w:ilvl="6" w:tplc="C0D09176">
      <w:numFmt w:val="bullet"/>
      <w:lvlText w:val="•"/>
      <w:lvlJc w:val="left"/>
      <w:pPr>
        <w:ind w:left="7159" w:hanging="577"/>
      </w:pPr>
      <w:rPr>
        <w:rFonts w:hint="default"/>
        <w:lang w:val="it-IT" w:eastAsia="it-IT" w:bidi="it-IT"/>
      </w:rPr>
    </w:lvl>
    <w:lvl w:ilvl="7" w:tplc="F8B61EF6">
      <w:numFmt w:val="bullet"/>
      <w:lvlText w:val="•"/>
      <w:lvlJc w:val="left"/>
      <w:pPr>
        <w:ind w:left="8230" w:hanging="577"/>
      </w:pPr>
      <w:rPr>
        <w:rFonts w:hint="default"/>
        <w:lang w:val="it-IT" w:eastAsia="it-IT" w:bidi="it-IT"/>
      </w:rPr>
    </w:lvl>
    <w:lvl w:ilvl="8" w:tplc="4A32EA5C">
      <w:numFmt w:val="bullet"/>
      <w:lvlText w:val="•"/>
      <w:lvlJc w:val="left"/>
      <w:pPr>
        <w:ind w:left="9302" w:hanging="577"/>
      </w:pPr>
      <w:rPr>
        <w:rFonts w:hint="default"/>
        <w:lang w:val="it-IT" w:eastAsia="it-IT" w:bidi="it-IT"/>
      </w:rPr>
    </w:lvl>
  </w:abstractNum>
  <w:abstractNum w:abstractNumId="12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BD4685"/>
    <w:multiLevelType w:val="hybridMultilevel"/>
    <w:tmpl w:val="442257EC"/>
    <w:lvl w:ilvl="0" w:tplc="821866E2">
      <w:numFmt w:val="bullet"/>
      <w:lvlText w:val="-"/>
      <w:lvlJc w:val="left"/>
      <w:pPr>
        <w:ind w:left="679" w:hanging="567"/>
      </w:pPr>
      <w:rPr>
        <w:rFonts w:ascii="Arial" w:eastAsia="Arial" w:hAnsi="Arial" w:cs="Arial" w:hint="default"/>
        <w:w w:val="100"/>
        <w:sz w:val="22"/>
        <w:szCs w:val="22"/>
      </w:rPr>
    </w:lvl>
    <w:lvl w:ilvl="1" w:tplc="4D86A5F2">
      <w:numFmt w:val="bullet"/>
      <w:lvlText w:val="•"/>
      <w:lvlJc w:val="left"/>
      <w:pPr>
        <w:ind w:left="1596" w:hanging="567"/>
      </w:pPr>
      <w:rPr>
        <w:rFonts w:hint="default"/>
      </w:rPr>
    </w:lvl>
    <w:lvl w:ilvl="2" w:tplc="DEE466D2">
      <w:numFmt w:val="bullet"/>
      <w:lvlText w:val="•"/>
      <w:lvlJc w:val="left"/>
      <w:pPr>
        <w:ind w:left="2513" w:hanging="567"/>
      </w:pPr>
      <w:rPr>
        <w:rFonts w:hint="default"/>
      </w:rPr>
    </w:lvl>
    <w:lvl w:ilvl="3" w:tplc="0896A4B4">
      <w:numFmt w:val="bullet"/>
      <w:lvlText w:val="•"/>
      <w:lvlJc w:val="left"/>
      <w:pPr>
        <w:ind w:left="3429" w:hanging="567"/>
      </w:pPr>
      <w:rPr>
        <w:rFonts w:hint="default"/>
      </w:rPr>
    </w:lvl>
    <w:lvl w:ilvl="4" w:tplc="F9CE0E24">
      <w:numFmt w:val="bullet"/>
      <w:lvlText w:val="•"/>
      <w:lvlJc w:val="left"/>
      <w:pPr>
        <w:ind w:left="4346" w:hanging="567"/>
      </w:pPr>
      <w:rPr>
        <w:rFonts w:hint="default"/>
      </w:rPr>
    </w:lvl>
    <w:lvl w:ilvl="5" w:tplc="C5D883F2">
      <w:numFmt w:val="bullet"/>
      <w:lvlText w:val="•"/>
      <w:lvlJc w:val="left"/>
      <w:pPr>
        <w:ind w:left="5263" w:hanging="567"/>
      </w:pPr>
      <w:rPr>
        <w:rFonts w:hint="default"/>
      </w:rPr>
    </w:lvl>
    <w:lvl w:ilvl="6" w:tplc="49300F20">
      <w:numFmt w:val="bullet"/>
      <w:lvlText w:val="•"/>
      <w:lvlJc w:val="left"/>
      <w:pPr>
        <w:ind w:left="6179" w:hanging="567"/>
      </w:pPr>
      <w:rPr>
        <w:rFonts w:hint="default"/>
      </w:rPr>
    </w:lvl>
    <w:lvl w:ilvl="7" w:tplc="826AAE8E">
      <w:numFmt w:val="bullet"/>
      <w:lvlText w:val="•"/>
      <w:lvlJc w:val="left"/>
      <w:pPr>
        <w:ind w:left="7096" w:hanging="567"/>
      </w:pPr>
      <w:rPr>
        <w:rFonts w:hint="default"/>
      </w:rPr>
    </w:lvl>
    <w:lvl w:ilvl="8" w:tplc="2E7C934C">
      <w:numFmt w:val="bullet"/>
      <w:lvlText w:val="•"/>
      <w:lvlJc w:val="left"/>
      <w:pPr>
        <w:ind w:left="8013" w:hanging="567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12"/>
  </w:num>
  <w:num w:numId="4">
    <w:abstractNumId w:val="5"/>
  </w:num>
  <w:num w:numId="5">
    <w:abstractNumId w:val="4"/>
  </w:num>
  <w:num w:numId="6">
    <w:abstractNumId w:val="9"/>
  </w:num>
  <w:num w:numId="7">
    <w:abstractNumId w:val="2"/>
  </w:num>
  <w:num w:numId="8">
    <w:abstractNumId w:val="7"/>
  </w:num>
  <w:num w:numId="9">
    <w:abstractNumId w:val="11"/>
  </w:num>
  <w:num w:numId="10">
    <w:abstractNumId w:val="13"/>
  </w:num>
  <w:num w:numId="11">
    <w:abstractNumId w:val="0"/>
  </w:num>
  <w:num w:numId="12">
    <w:abstractNumId w:val="1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11749"/>
    <w:rsid w:val="00013020"/>
    <w:rsid w:val="00014743"/>
    <w:rsid w:val="0001478F"/>
    <w:rsid w:val="00022511"/>
    <w:rsid w:val="00022F32"/>
    <w:rsid w:val="00023CEA"/>
    <w:rsid w:val="00035DB7"/>
    <w:rsid w:val="00050F6A"/>
    <w:rsid w:val="00062636"/>
    <w:rsid w:val="00071E63"/>
    <w:rsid w:val="000759F6"/>
    <w:rsid w:val="000808A3"/>
    <w:rsid w:val="000A4BA1"/>
    <w:rsid w:val="000B71F8"/>
    <w:rsid w:val="000B7AC8"/>
    <w:rsid w:val="000C1389"/>
    <w:rsid w:val="000E1F86"/>
    <w:rsid w:val="000E4494"/>
    <w:rsid w:val="000E4A73"/>
    <w:rsid w:val="000F658F"/>
    <w:rsid w:val="00111E9E"/>
    <w:rsid w:val="00112B76"/>
    <w:rsid w:val="00126BC8"/>
    <w:rsid w:val="00131393"/>
    <w:rsid w:val="00137C6A"/>
    <w:rsid w:val="001460CA"/>
    <w:rsid w:val="001678D8"/>
    <w:rsid w:val="00167CC1"/>
    <w:rsid w:val="00172AED"/>
    <w:rsid w:val="001A516D"/>
    <w:rsid w:val="001B4CBF"/>
    <w:rsid w:val="001C0068"/>
    <w:rsid w:val="001C15DF"/>
    <w:rsid w:val="001C1DA3"/>
    <w:rsid w:val="001C4323"/>
    <w:rsid w:val="001F0D20"/>
    <w:rsid w:val="0020484C"/>
    <w:rsid w:val="0021736D"/>
    <w:rsid w:val="00245B04"/>
    <w:rsid w:val="00252FE8"/>
    <w:rsid w:val="00265B61"/>
    <w:rsid w:val="00277A0E"/>
    <w:rsid w:val="0028146C"/>
    <w:rsid w:val="00297F10"/>
    <w:rsid w:val="002A1800"/>
    <w:rsid w:val="002B662A"/>
    <w:rsid w:val="002B7A2E"/>
    <w:rsid w:val="002C2D9F"/>
    <w:rsid w:val="002F2543"/>
    <w:rsid w:val="002F4000"/>
    <w:rsid w:val="00300BEA"/>
    <w:rsid w:val="00301B56"/>
    <w:rsid w:val="003061E0"/>
    <w:rsid w:val="00323648"/>
    <w:rsid w:val="003238CF"/>
    <w:rsid w:val="00324344"/>
    <w:rsid w:val="00340DC4"/>
    <w:rsid w:val="00367CE0"/>
    <w:rsid w:val="00374093"/>
    <w:rsid w:val="0037508A"/>
    <w:rsid w:val="00387CA8"/>
    <w:rsid w:val="003908BD"/>
    <w:rsid w:val="00393407"/>
    <w:rsid w:val="00396D26"/>
    <w:rsid w:val="003B0421"/>
    <w:rsid w:val="003C054E"/>
    <w:rsid w:val="003C6973"/>
    <w:rsid w:val="003D31D1"/>
    <w:rsid w:val="003E1E83"/>
    <w:rsid w:val="0041387F"/>
    <w:rsid w:val="004214DB"/>
    <w:rsid w:val="0042214D"/>
    <w:rsid w:val="00423A97"/>
    <w:rsid w:val="004241AC"/>
    <w:rsid w:val="00445DB2"/>
    <w:rsid w:val="004509BC"/>
    <w:rsid w:val="004532E2"/>
    <w:rsid w:val="004609F8"/>
    <w:rsid w:val="00461D93"/>
    <w:rsid w:val="004631F3"/>
    <w:rsid w:val="0048227B"/>
    <w:rsid w:val="00496C5B"/>
    <w:rsid w:val="004A301A"/>
    <w:rsid w:val="004B20A8"/>
    <w:rsid w:val="004B5B15"/>
    <w:rsid w:val="004E0ADB"/>
    <w:rsid w:val="004E28E5"/>
    <w:rsid w:val="004E5A39"/>
    <w:rsid w:val="004E70F5"/>
    <w:rsid w:val="004F343B"/>
    <w:rsid w:val="00500ACA"/>
    <w:rsid w:val="00502AD0"/>
    <w:rsid w:val="005049A1"/>
    <w:rsid w:val="00504FC1"/>
    <w:rsid w:val="005250B6"/>
    <w:rsid w:val="0052515E"/>
    <w:rsid w:val="0056372C"/>
    <w:rsid w:val="00567615"/>
    <w:rsid w:val="005744D4"/>
    <w:rsid w:val="00577746"/>
    <w:rsid w:val="00577855"/>
    <w:rsid w:val="00577DAC"/>
    <w:rsid w:val="005950D6"/>
    <w:rsid w:val="005A466E"/>
    <w:rsid w:val="005A4BBD"/>
    <w:rsid w:val="005B4C97"/>
    <w:rsid w:val="005B7219"/>
    <w:rsid w:val="005C2427"/>
    <w:rsid w:val="005D18E5"/>
    <w:rsid w:val="005F54B1"/>
    <w:rsid w:val="0060513A"/>
    <w:rsid w:val="00610BAB"/>
    <w:rsid w:val="00621AE2"/>
    <w:rsid w:val="006231AC"/>
    <w:rsid w:val="006329F8"/>
    <w:rsid w:val="00642D6A"/>
    <w:rsid w:val="0064646C"/>
    <w:rsid w:val="00654D9E"/>
    <w:rsid w:val="00656969"/>
    <w:rsid w:val="00663BCD"/>
    <w:rsid w:val="00664931"/>
    <w:rsid w:val="006727BD"/>
    <w:rsid w:val="00682DD2"/>
    <w:rsid w:val="00693E0C"/>
    <w:rsid w:val="006A3A37"/>
    <w:rsid w:val="006B311C"/>
    <w:rsid w:val="006B3E12"/>
    <w:rsid w:val="006C5811"/>
    <w:rsid w:val="006D7B8C"/>
    <w:rsid w:val="006F44C7"/>
    <w:rsid w:val="0070159C"/>
    <w:rsid w:val="0071234F"/>
    <w:rsid w:val="00712DB3"/>
    <w:rsid w:val="00716DF5"/>
    <w:rsid w:val="007170D7"/>
    <w:rsid w:val="007221B6"/>
    <w:rsid w:val="00730C18"/>
    <w:rsid w:val="00731800"/>
    <w:rsid w:val="00740C6D"/>
    <w:rsid w:val="00745609"/>
    <w:rsid w:val="00745BC8"/>
    <w:rsid w:val="00747E46"/>
    <w:rsid w:val="00766E26"/>
    <w:rsid w:val="0078608F"/>
    <w:rsid w:val="0078680B"/>
    <w:rsid w:val="007871CA"/>
    <w:rsid w:val="00792148"/>
    <w:rsid w:val="00796CCD"/>
    <w:rsid w:val="00797416"/>
    <w:rsid w:val="007A1C0E"/>
    <w:rsid w:val="007B2CF1"/>
    <w:rsid w:val="007B587B"/>
    <w:rsid w:val="007D2539"/>
    <w:rsid w:val="007D4E1E"/>
    <w:rsid w:val="007E4E98"/>
    <w:rsid w:val="008001A4"/>
    <w:rsid w:val="00811B01"/>
    <w:rsid w:val="00823F4C"/>
    <w:rsid w:val="008375CF"/>
    <w:rsid w:val="0084067E"/>
    <w:rsid w:val="00851C86"/>
    <w:rsid w:val="00853EC6"/>
    <w:rsid w:val="008547B3"/>
    <w:rsid w:val="00861786"/>
    <w:rsid w:val="008618F4"/>
    <w:rsid w:val="00873BE5"/>
    <w:rsid w:val="008819D4"/>
    <w:rsid w:val="00881BCB"/>
    <w:rsid w:val="0088216F"/>
    <w:rsid w:val="008971B7"/>
    <w:rsid w:val="008A0BBC"/>
    <w:rsid w:val="008A3FF8"/>
    <w:rsid w:val="008A6FEC"/>
    <w:rsid w:val="008B46E3"/>
    <w:rsid w:val="008B60D7"/>
    <w:rsid w:val="008C3877"/>
    <w:rsid w:val="008C3D30"/>
    <w:rsid w:val="008C75F9"/>
    <w:rsid w:val="008D0FB7"/>
    <w:rsid w:val="008D1529"/>
    <w:rsid w:val="008E447C"/>
    <w:rsid w:val="008F117D"/>
    <w:rsid w:val="00913CD0"/>
    <w:rsid w:val="009225A2"/>
    <w:rsid w:val="00922F4B"/>
    <w:rsid w:val="009254CC"/>
    <w:rsid w:val="00943785"/>
    <w:rsid w:val="009568D6"/>
    <w:rsid w:val="00957832"/>
    <w:rsid w:val="0096051D"/>
    <w:rsid w:val="0098470E"/>
    <w:rsid w:val="00997F05"/>
    <w:rsid w:val="009A23DE"/>
    <w:rsid w:val="009A260F"/>
    <w:rsid w:val="009B03DB"/>
    <w:rsid w:val="009C3E8B"/>
    <w:rsid w:val="009D3446"/>
    <w:rsid w:val="009D58B1"/>
    <w:rsid w:val="009E0140"/>
    <w:rsid w:val="009E2BC0"/>
    <w:rsid w:val="009F3867"/>
    <w:rsid w:val="009F395B"/>
    <w:rsid w:val="009F5439"/>
    <w:rsid w:val="009F584E"/>
    <w:rsid w:val="00A01AB1"/>
    <w:rsid w:val="00A03645"/>
    <w:rsid w:val="00A046AC"/>
    <w:rsid w:val="00A11FD6"/>
    <w:rsid w:val="00A240E9"/>
    <w:rsid w:val="00A247C5"/>
    <w:rsid w:val="00A320B3"/>
    <w:rsid w:val="00A36603"/>
    <w:rsid w:val="00A40FF3"/>
    <w:rsid w:val="00A47604"/>
    <w:rsid w:val="00A51C22"/>
    <w:rsid w:val="00A62D55"/>
    <w:rsid w:val="00A84362"/>
    <w:rsid w:val="00A86F5A"/>
    <w:rsid w:val="00A908B9"/>
    <w:rsid w:val="00A966D1"/>
    <w:rsid w:val="00AA516E"/>
    <w:rsid w:val="00AD051C"/>
    <w:rsid w:val="00AD4BE6"/>
    <w:rsid w:val="00AD6749"/>
    <w:rsid w:val="00AF52E2"/>
    <w:rsid w:val="00B023E9"/>
    <w:rsid w:val="00B03E01"/>
    <w:rsid w:val="00B0598D"/>
    <w:rsid w:val="00B1186F"/>
    <w:rsid w:val="00B15135"/>
    <w:rsid w:val="00B30431"/>
    <w:rsid w:val="00B36584"/>
    <w:rsid w:val="00B41D1E"/>
    <w:rsid w:val="00B43172"/>
    <w:rsid w:val="00B566B6"/>
    <w:rsid w:val="00B6550D"/>
    <w:rsid w:val="00B862CA"/>
    <w:rsid w:val="00BA0ACD"/>
    <w:rsid w:val="00BB00D4"/>
    <w:rsid w:val="00BB2AF8"/>
    <w:rsid w:val="00BB47E8"/>
    <w:rsid w:val="00BB7B54"/>
    <w:rsid w:val="00BC3A3B"/>
    <w:rsid w:val="00BC74C2"/>
    <w:rsid w:val="00BD39EB"/>
    <w:rsid w:val="00BE7CDB"/>
    <w:rsid w:val="00BF55B9"/>
    <w:rsid w:val="00BF7A42"/>
    <w:rsid w:val="00C058E1"/>
    <w:rsid w:val="00C07183"/>
    <w:rsid w:val="00C17BE2"/>
    <w:rsid w:val="00C2462C"/>
    <w:rsid w:val="00C2565A"/>
    <w:rsid w:val="00C42AAC"/>
    <w:rsid w:val="00C51FF1"/>
    <w:rsid w:val="00C56FA9"/>
    <w:rsid w:val="00C64A13"/>
    <w:rsid w:val="00C66597"/>
    <w:rsid w:val="00C74500"/>
    <w:rsid w:val="00C96874"/>
    <w:rsid w:val="00CB601B"/>
    <w:rsid w:val="00CB7879"/>
    <w:rsid w:val="00CC1489"/>
    <w:rsid w:val="00CC3E3D"/>
    <w:rsid w:val="00CC52A3"/>
    <w:rsid w:val="00CC7AFF"/>
    <w:rsid w:val="00CD4167"/>
    <w:rsid w:val="00CE62A1"/>
    <w:rsid w:val="00CF49DA"/>
    <w:rsid w:val="00D1274E"/>
    <w:rsid w:val="00D20170"/>
    <w:rsid w:val="00D212AA"/>
    <w:rsid w:val="00D228EB"/>
    <w:rsid w:val="00D34E31"/>
    <w:rsid w:val="00D36F9A"/>
    <w:rsid w:val="00D60600"/>
    <w:rsid w:val="00DA386C"/>
    <w:rsid w:val="00DB021E"/>
    <w:rsid w:val="00DB359A"/>
    <w:rsid w:val="00DC187E"/>
    <w:rsid w:val="00E10D6C"/>
    <w:rsid w:val="00E20E87"/>
    <w:rsid w:val="00E25D34"/>
    <w:rsid w:val="00E26828"/>
    <w:rsid w:val="00E37A4B"/>
    <w:rsid w:val="00E43089"/>
    <w:rsid w:val="00E619C8"/>
    <w:rsid w:val="00E70757"/>
    <w:rsid w:val="00E83F8D"/>
    <w:rsid w:val="00EB0FD9"/>
    <w:rsid w:val="00EB4398"/>
    <w:rsid w:val="00EC3589"/>
    <w:rsid w:val="00ED72E4"/>
    <w:rsid w:val="00EF062E"/>
    <w:rsid w:val="00EF6711"/>
    <w:rsid w:val="00F1246A"/>
    <w:rsid w:val="00F27C7F"/>
    <w:rsid w:val="00F302F5"/>
    <w:rsid w:val="00F35F38"/>
    <w:rsid w:val="00F5226F"/>
    <w:rsid w:val="00F560DF"/>
    <w:rsid w:val="00F66767"/>
    <w:rsid w:val="00F67DFC"/>
    <w:rsid w:val="00F707AB"/>
    <w:rsid w:val="00F74FD0"/>
    <w:rsid w:val="00F756E8"/>
    <w:rsid w:val="00F76E16"/>
    <w:rsid w:val="00F76F77"/>
    <w:rsid w:val="00F85989"/>
    <w:rsid w:val="00F8666A"/>
    <w:rsid w:val="00F90F1F"/>
    <w:rsid w:val="00F96473"/>
    <w:rsid w:val="00F964BE"/>
    <w:rsid w:val="00FA2702"/>
    <w:rsid w:val="00FB3BF5"/>
    <w:rsid w:val="00FB4181"/>
    <w:rsid w:val="00FC0183"/>
    <w:rsid w:val="00FD415D"/>
    <w:rsid w:val="00FF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114B38"/>
  <w15:docId w15:val="{60B59FE6-18A8-4844-A803-0590BAD3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36F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36F9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36F9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36F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36F9A"/>
    <w:rPr>
      <w:b/>
      <w:bCs/>
      <w:sz w:val="20"/>
      <w:szCs w:val="20"/>
    </w:rPr>
  </w:style>
  <w:style w:type="character" w:styleId="Enfasigrassetto">
    <w:name w:val="Strong"/>
    <w:uiPriority w:val="22"/>
    <w:qFormat/>
    <w:rsid w:val="00022F32"/>
    <w:rPr>
      <w:b/>
      <w:bCs/>
    </w:rPr>
  </w:style>
  <w:style w:type="paragraph" w:styleId="Revisione">
    <w:name w:val="Revision"/>
    <w:hidden/>
    <w:uiPriority w:val="99"/>
    <w:semiHidden/>
    <w:rsid w:val="00022F32"/>
    <w:pPr>
      <w:spacing w:after="0" w:line="240" w:lineRule="auto"/>
    </w:pPr>
  </w:style>
  <w:style w:type="paragraph" w:customStyle="1" w:styleId="BodytextAgency">
    <w:name w:val="Body text (Agency)"/>
    <w:basedOn w:val="Normale"/>
    <w:uiPriority w:val="99"/>
    <w:rsid w:val="004509BC"/>
    <w:pPr>
      <w:spacing w:after="140" w:line="280" w:lineRule="atLeast"/>
    </w:pPr>
    <w:rPr>
      <w:rFonts w:ascii="Verdana" w:eastAsia="Times New Roman" w:hAnsi="Verdana" w:cs="Verdana"/>
      <w:sz w:val="18"/>
      <w:szCs w:val="18"/>
      <w:lang w:val="en-GB" w:eastAsia="en-GB"/>
    </w:rPr>
  </w:style>
  <w:style w:type="paragraph" w:styleId="Intestazione">
    <w:name w:val="header"/>
    <w:basedOn w:val="Normale"/>
    <w:link w:val="Intestazione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7183"/>
  </w:style>
  <w:style w:type="paragraph" w:styleId="Pidipagina">
    <w:name w:val="footer"/>
    <w:basedOn w:val="Normale"/>
    <w:link w:val="Pidipagina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7183"/>
  </w:style>
  <w:style w:type="paragraph" w:customStyle="1" w:styleId="Default">
    <w:name w:val="Default"/>
    <w:rsid w:val="00A51C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unhideWhenUsed/>
    <w:rsid w:val="00A51C22"/>
    <w:pPr>
      <w:widowControl w:val="0"/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51C22"/>
    <w:rPr>
      <w:rFonts w:ascii="Times New Roman" w:eastAsia="Times New Roman" w:hAnsi="Times New Roman" w:cs="Times New Roman"/>
      <w:lang w:val="en-US"/>
    </w:rPr>
  </w:style>
  <w:style w:type="character" w:customStyle="1" w:styleId="mark68b79lzdu">
    <w:name w:val="mark68b79lzdu"/>
    <w:basedOn w:val="Carpredefinitoparagrafo"/>
    <w:rsid w:val="007D4E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edicinali.aifa.gov.it/i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edicinali.aifa.gov.it/it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medicinali.aifa.gov.it/i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ma.europa.eu/en/medicines/human/EPAR/xarelto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0F01A0-7D63-482F-8384-582D0A2CA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4461</Words>
  <Characters>25433</Characters>
  <Application>Microsoft Office Word</Application>
  <DocSecurity>0</DocSecurity>
  <Lines>211</Lines>
  <Paragraphs>59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AIFA</dc:creator>
  <cp:lastModifiedBy>Rovazzani Dario Davide</cp:lastModifiedBy>
  <cp:revision>6</cp:revision>
  <dcterms:created xsi:type="dcterms:W3CDTF">2025-06-18T09:43:00Z</dcterms:created>
  <dcterms:modified xsi:type="dcterms:W3CDTF">2025-06-18T10:57:00Z</dcterms:modified>
</cp:coreProperties>
</file>