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6A585279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3F1F" w:rsidRPr="00DB4923" w:rsidRDefault="00393F1F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:rsidR="00393F1F" w:rsidRPr="00DB4923" w:rsidRDefault="00393F1F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BF7A42" w:rsidRPr="00A31CC1" w:rsidRDefault="003D3566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MADRAS</w:t>
      </w:r>
    </w:p>
    <w:p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:rsidR="00860251" w:rsidRPr="00860251" w:rsidRDefault="008C75BF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>(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>
        <w:rPr>
          <w:rFonts w:cstheme="minorHAnsi"/>
          <w:snapToGrid w:val="0"/>
          <w:sz w:val="24"/>
          <w:szCs w:val="24"/>
        </w:rPr>
        <w:t xml:space="preserve"> e 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>)</w:t>
      </w:r>
    </w:p>
    <w:p w:rsidR="00860251" w:rsidRPr="00860251" w:rsidRDefault="00860251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:rsidR="004241AC" w:rsidRDefault="008C75BF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8C75BF">
        <w:rPr>
          <w:rFonts w:cstheme="minorHAnsi"/>
          <w:snapToGrid w:val="0"/>
          <w:sz w:val="24"/>
          <w:szCs w:val="24"/>
        </w:rPr>
        <w:t>100 mg + 33 mg soluzione iniettabile con lidocaina</w:t>
      </w:r>
    </w:p>
    <w:p w:rsidR="002B0A82" w:rsidRPr="00A31CC1" w:rsidRDefault="002B0A82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>2</w:t>
      </w:r>
      <w:r w:rsidRPr="008C75BF">
        <w:rPr>
          <w:rFonts w:cstheme="minorHAnsi"/>
          <w:snapToGrid w:val="0"/>
          <w:sz w:val="24"/>
          <w:szCs w:val="24"/>
        </w:rPr>
        <w:t xml:space="preserve">00 mg + </w:t>
      </w:r>
      <w:r>
        <w:rPr>
          <w:rFonts w:cstheme="minorHAnsi"/>
          <w:snapToGrid w:val="0"/>
          <w:sz w:val="24"/>
          <w:szCs w:val="24"/>
        </w:rPr>
        <w:t>40</w:t>
      </w:r>
      <w:r w:rsidRPr="008C75BF">
        <w:rPr>
          <w:rFonts w:cstheme="minorHAnsi"/>
          <w:snapToGrid w:val="0"/>
          <w:sz w:val="24"/>
          <w:szCs w:val="24"/>
        </w:rPr>
        <w:t xml:space="preserve"> mg soluzione iniettabile con lidocaina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97416" w:rsidRPr="00A31CC1" w:rsidRDefault="003D356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S.F. Group S.r.l</w:t>
      </w:r>
    </w:p>
    <w:p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</w:p>
    <w:p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3D3566">
        <w:rPr>
          <w:rFonts w:cstheme="minorHAnsi"/>
          <w:b/>
          <w:sz w:val="24"/>
          <w:szCs w:val="24"/>
        </w:rPr>
        <w:t>049413</w:t>
      </w:r>
    </w:p>
    <w:p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2A1800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3D3566">
        <w:rPr>
          <w:rFonts w:eastAsia="Calibri" w:cstheme="minorHAnsi"/>
          <w:b/>
          <w:color w:val="000000"/>
          <w:sz w:val="24"/>
          <w:szCs w:val="24"/>
          <w:lang w:eastAsia="it-IT"/>
        </w:rPr>
        <w:t>MADRAS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:rsidR="00BB2AF8" w:rsidRPr="00A31CC1" w:rsidRDefault="003D3566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contenente 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 attiv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="008C75BF">
        <w:rPr>
          <w:rFonts w:cstheme="minorHAnsi"/>
          <w:snapToGrid w:val="0"/>
          <w:sz w:val="24"/>
          <w:szCs w:val="24"/>
        </w:rPr>
        <w:t>d</w:t>
      </w:r>
      <w:r w:rsidR="008C75B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8C75B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8C75B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8C75BF">
        <w:rPr>
          <w:rFonts w:cstheme="minorHAnsi"/>
          <w:snapToGrid w:val="0"/>
          <w:sz w:val="24"/>
          <w:szCs w:val="24"/>
        </w:rPr>
        <w:t xml:space="preserve"> (</w:t>
      </w:r>
      <w:r w:rsidR="008C75BF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8C75BF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8C75BF">
        <w:rPr>
          <w:rFonts w:cstheme="minorHAnsi"/>
          <w:snapToGrid w:val="0"/>
          <w:sz w:val="24"/>
          <w:szCs w:val="24"/>
        </w:rPr>
        <w:t>) e l</w:t>
      </w:r>
      <w:r w:rsidR="008C75BF" w:rsidRPr="008C75BF">
        <w:rPr>
          <w:rFonts w:cstheme="minorHAnsi"/>
          <w:snapToGrid w:val="0"/>
          <w:sz w:val="24"/>
          <w:szCs w:val="24"/>
        </w:rPr>
        <w:t>idocaina cloridrato</w:t>
      </w:r>
      <w:r w:rsidR="00860251" w:rsidRPr="0086025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 xml:space="preserve">ed è disponibile come soluzione iniettabile contenenti i principi attivi al dosaggio </w:t>
      </w:r>
      <w:r w:rsidR="008C75BF" w:rsidRPr="008C75BF">
        <w:rPr>
          <w:rFonts w:cstheme="minorHAnsi"/>
          <w:snapToGrid w:val="0"/>
          <w:sz w:val="24"/>
          <w:szCs w:val="24"/>
        </w:rPr>
        <w:t>100 mg + 33 mg</w:t>
      </w:r>
      <w:r w:rsidR="002B0A82">
        <w:rPr>
          <w:rFonts w:cstheme="minorHAnsi"/>
          <w:snapToGrid w:val="0"/>
          <w:sz w:val="24"/>
          <w:szCs w:val="24"/>
        </w:rPr>
        <w:t xml:space="preserve"> o 2</w:t>
      </w:r>
      <w:r w:rsidR="002B0A82" w:rsidRPr="008C75BF">
        <w:rPr>
          <w:rFonts w:cstheme="minorHAnsi"/>
          <w:snapToGrid w:val="0"/>
          <w:sz w:val="24"/>
          <w:szCs w:val="24"/>
        </w:rPr>
        <w:t xml:space="preserve">00 mg + </w:t>
      </w:r>
      <w:r w:rsidR="002B0A82">
        <w:rPr>
          <w:rFonts w:cstheme="minorHAnsi"/>
          <w:snapToGrid w:val="0"/>
          <w:sz w:val="24"/>
          <w:szCs w:val="24"/>
        </w:rPr>
        <w:t>40</w:t>
      </w:r>
      <w:r w:rsidR="002B0A82" w:rsidRPr="008C75BF">
        <w:rPr>
          <w:rFonts w:cstheme="minorHAnsi"/>
          <w:snapToGrid w:val="0"/>
          <w:sz w:val="24"/>
          <w:szCs w:val="24"/>
        </w:rPr>
        <w:t xml:space="preserve"> mg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6B311C" w:rsidRPr="00A31CC1" w:rsidRDefault="006B311C" w:rsidP="00BB2AF8">
      <w:pPr>
        <w:widowControl w:val="0"/>
        <w:spacing w:after="0" w:line="240" w:lineRule="auto"/>
        <w:jc w:val="both"/>
        <w:rPr>
          <w:rFonts w:eastAsia="Calibri" w:cstheme="minorHAnsi"/>
          <w:i/>
          <w:color w:val="000000"/>
          <w:sz w:val="24"/>
          <w:szCs w:val="24"/>
          <w:highlight w:val="green"/>
          <w:lang w:eastAsia="it-IT"/>
        </w:rPr>
      </w:pPr>
    </w:p>
    <w:p w:rsidR="00B03E01" w:rsidRPr="00A31CC1" w:rsidRDefault="003D3566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CLASTEON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C058E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autorizzato </w:t>
      </w:r>
      <w:r w:rsidR="00F76F77" w:rsidRPr="00356175">
        <w:rPr>
          <w:rFonts w:eastAsia="Calibri" w:cstheme="minorHAnsi"/>
          <w:color w:val="000000"/>
          <w:sz w:val="24"/>
          <w:szCs w:val="24"/>
          <w:lang w:eastAsia="it-IT"/>
        </w:rPr>
        <w:t>in Italia</w:t>
      </w:r>
      <w:r w:rsidR="00A84362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da </w:t>
      </w:r>
      <w:r w:rsidR="00CC1489" w:rsidRPr="00356175">
        <w:rPr>
          <w:rFonts w:eastAsia="Calibri" w:cstheme="minorHAnsi"/>
          <w:color w:val="000000"/>
          <w:sz w:val="24"/>
          <w:szCs w:val="24"/>
          <w:lang w:eastAsia="it-IT"/>
        </w:rPr>
        <w:t>almeno 8 anni</w:t>
      </w:r>
      <w:r w:rsidR="00356175" w:rsidRP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B15135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356175">
        <w:rPr>
          <w:rFonts w:cstheme="minorHAnsi"/>
          <w:color w:val="000000"/>
          <w:sz w:val="24"/>
          <w:szCs w:val="24"/>
        </w:rPr>
        <w:t>può essere immesso in commercio solo dopo che sono trascorsi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 10 anni dall'autorizzazione iniziale del medicinale di riferimento. 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Sul sito dell’Agenzia Italiana del Farmaco (AIFA) (</w:t>
      </w:r>
      <w:r w:rsidR="00A35BC4" w:rsidRPr="007B35D3">
        <w:rPr>
          <w:rFonts w:cstheme="minorHAnsi"/>
          <w:sz w:val="24"/>
          <w:szCs w:val="24"/>
        </w:rPr>
        <w:t>https://medicinali.aifa.gov.it/it/#/it/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>)</w:t>
      </w:r>
      <w:r w:rsidR="00B03E01" w:rsidRPr="00A31CC1">
        <w:rPr>
          <w:rFonts w:cstheme="minorHAnsi"/>
          <w:sz w:val="24"/>
          <w:szCs w:val="24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CLASTEON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8C75BF" w:rsidRPr="008C75BF" w:rsidRDefault="003D3566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90DD0" w:rsidRPr="00A90DD0">
        <w:rPr>
          <w:rFonts w:eastAsia="Calibri" w:cstheme="minorHAnsi"/>
          <w:sz w:val="24"/>
          <w:szCs w:val="24"/>
          <w:lang w:eastAsia="it-IT"/>
        </w:rPr>
        <w:t xml:space="preserve">per </w:t>
      </w:r>
      <w:r w:rsidR="008C75BF" w:rsidRPr="008C75BF">
        <w:rPr>
          <w:rFonts w:eastAsia="Calibri" w:cstheme="minorHAnsi"/>
          <w:sz w:val="24"/>
          <w:szCs w:val="24"/>
          <w:lang w:eastAsia="it-IT"/>
        </w:rPr>
        <w:t>trattamento: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- della perdita di consistenza delle ossa in seguito a tumore (osteolisi tumorali);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- di tumore del midollo osseo (mieloma multiplo);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lastRenderedPageBreak/>
        <w:t>- dell’eccessiva funzionalità delle paratiroidi (iperparatiroidismo primario).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È inoltre utilizzato nelle donne per la prevenzione e il trattamento della perdita di consistenza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delle ossa (osteoporosi) dopo la menopausa (periodo di interruzione permanente del ciclo</w:t>
      </w:r>
    </w:p>
    <w:p w:rsidR="00BB2AF8" w:rsidRPr="00A31CC1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mestruale).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</w:t>
      </w:r>
      <w:r w:rsidR="003D3566"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È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3D3566">
        <w:rPr>
          <w:rFonts w:eastAsia="Calibri" w:cstheme="minorHAnsi"/>
          <w:b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:rsidR="00300BEA" w:rsidRPr="00A90DD0" w:rsidRDefault="003D3566" w:rsidP="00A90DD0">
      <w:pPr>
        <w:pStyle w:val="PreformattatoHTML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MADRAS</w:t>
      </w:r>
      <w:r w:rsidR="00300BEA" w:rsidRPr="00A90DD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860251" w:rsidRPr="00860251">
        <w:rPr>
          <w:rFonts w:asciiTheme="minorHAnsi" w:eastAsiaTheme="minorHAnsi" w:hAnsiTheme="minorHAnsi" w:cstheme="minorHAnsi"/>
          <w:sz w:val="24"/>
          <w:szCs w:val="24"/>
          <w:lang w:eastAsia="en-US"/>
        </w:rPr>
        <w:t>può essere ottenuto solo su prescrizione da parte del medico (ricetta ripetibile).</w:t>
      </w:r>
    </w:p>
    <w:p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97329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AD7214">
        <w:rPr>
          <w:rFonts w:eastAsia="Calibri" w:cstheme="minorHAnsi"/>
          <w:color w:val="000000"/>
          <w:sz w:val="24"/>
          <w:szCs w:val="24"/>
        </w:rPr>
        <w:t xml:space="preserve">La dose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adatta</w:t>
      </w:r>
      <w:r w:rsidRPr="00AD7214">
        <w:rPr>
          <w:rFonts w:eastAsia="Calibri" w:cstheme="minorHAnsi"/>
          <w:color w:val="000000"/>
          <w:sz w:val="24"/>
          <w:szCs w:val="24"/>
        </w:rPr>
        <w:t xml:space="preserve">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sarà stabilita dal medico curante</w:t>
      </w:r>
      <w:r w:rsidRPr="00AD7214">
        <w:rPr>
          <w:rFonts w:eastAsia="Calibri" w:cstheme="minorHAnsi"/>
          <w:color w:val="000000"/>
          <w:sz w:val="24"/>
          <w:szCs w:val="24"/>
        </w:rPr>
        <w:t>.</w:t>
      </w:r>
      <w:r w:rsidR="00AD7214">
        <w:rPr>
          <w:rFonts w:eastAsia="Calibri" w:cstheme="minorHAnsi"/>
          <w:color w:val="000000"/>
          <w:sz w:val="24"/>
          <w:szCs w:val="24"/>
        </w:rPr>
        <w:t xml:space="preserve">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La durata del trattamento, solitamente a lungo termine, è in funzione dell'evoluzione della malattia.</w:t>
      </w:r>
    </w:p>
    <w:p w:rsidR="00AD7214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5A79EC">
        <w:rPr>
          <w:rFonts w:eastAsia="Calibri" w:cstheme="minorHAnsi"/>
          <w:color w:val="000000"/>
          <w:sz w:val="24"/>
          <w:szCs w:val="24"/>
        </w:rPr>
        <w:t>Non è richiesto alcun aggiustamento della dose nei pazienti anziani</w:t>
      </w:r>
      <w:r w:rsidR="00AD7214">
        <w:rPr>
          <w:rFonts w:eastAsia="Calibri" w:cstheme="minorHAnsi"/>
          <w:color w:val="000000"/>
          <w:sz w:val="24"/>
          <w:szCs w:val="24"/>
        </w:rPr>
        <w:t>.</w:t>
      </w:r>
    </w:p>
    <w:p w:rsidR="005A79EC" w:rsidRPr="005A79EC" w:rsidRDefault="00AD7214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>Potrebbe essere richiesto un</w:t>
      </w:r>
      <w:r w:rsidRPr="005A79EC">
        <w:rPr>
          <w:rFonts w:eastAsia="Calibri" w:cstheme="minorHAnsi"/>
          <w:color w:val="000000"/>
          <w:sz w:val="24"/>
          <w:szCs w:val="24"/>
        </w:rPr>
        <w:t xml:space="preserve"> aggiustamento della dose</w:t>
      </w:r>
      <w:r w:rsidR="005A79EC" w:rsidRPr="005A79EC">
        <w:rPr>
          <w:rFonts w:eastAsia="Calibri" w:cstheme="minorHAnsi"/>
          <w:color w:val="000000"/>
          <w:sz w:val="24"/>
          <w:szCs w:val="24"/>
        </w:rPr>
        <w:t xml:space="preserve"> nei pazienti con alterata funzionalità renale.</w:t>
      </w:r>
    </w:p>
    <w:p w:rsidR="00BB2AF8" w:rsidRPr="00A31CC1" w:rsidRDefault="00297329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97329">
        <w:rPr>
          <w:rFonts w:eastAsia="Calibri" w:cstheme="minorHAnsi"/>
          <w:color w:val="000000"/>
          <w:sz w:val="24"/>
          <w:szCs w:val="24"/>
        </w:rPr>
        <w:t>La sicurezza e l’efficacia del farmaco in pazienti pediatrici non sono state stabilite.</w:t>
      </w: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5A79EC" w:rsidRDefault="00297329" w:rsidP="002973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Il medicinale è solo per uso intramuscolare (da iniettare cioè in un muscolo) e non deve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essere somministrato all’interno di un vaso sanguigno (per via endovenosa). L’iniezione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accidentale in una vena aumenta il rischio che si verifichino reazioni avverse gravi dovute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all’elevata quantità nel sangue dell’anestetico lidocaina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5A79EC" w:rsidRPr="00A31CC1" w:rsidRDefault="005A79E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3D3566">
        <w:rPr>
          <w:rFonts w:eastAsia="Calibri" w:cstheme="minorHAnsi"/>
          <w:b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:rsidR="004D4F2A" w:rsidRDefault="003D3566" w:rsidP="00AD72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A579AF" w:rsidRPr="00A579AF">
        <w:rPr>
          <w:rFonts w:cstheme="minorHAnsi"/>
          <w:sz w:val="24"/>
          <w:szCs w:val="24"/>
        </w:rPr>
        <w:t>M05BA02</w:t>
      </w:r>
      <w:r w:rsidR="00A579AF">
        <w:rPr>
          <w:rFonts w:cstheme="minorHAnsi"/>
          <w:sz w:val="24"/>
          <w:szCs w:val="24"/>
        </w:rPr>
        <w:t xml:space="preserve"> e N01BB02</w:t>
      </w:r>
      <w:r w:rsidR="005527E7">
        <w:rPr>
          <w:rFonts w:cstheme="minorHAnsi"/>
          <w:sz w:val="24"/>
          <w:szCs w:val="24"/>
        </w:rPr>
        <w:t>,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AD7214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 attiv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AD7214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="00AD7214">
        <w:rPr>
          <w:rFonts w:cstheme="minorHAnsi"/>
          <w:snapToGrid w:val="0"/>
          <w:sz w:val="24"/>
          <w:szCs w:val="24"/>
        </w:rPr>
        <w:t>d</w:t>
      </w:r>
      <w:r w:rsidR="00AD7214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D7214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D7214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D7214">
        <w:rPr>
          <w:rFonts w:cstheme="minorHAnsi"/>
          <w:snapToGrid w:val="0"/>
          <w:sz w:val="24"/>
          <w:szCs w:val="24"/>
        </w:rPr>
        <w:t xml:space="preserve"> (</w:t>
      </w:r>
      <w:r w:rsidR="00AD7214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AD7214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AD7214">
        <w:rPr>
          <w:rFonts w:cstheme="minorHAnsi"/>
          <w:snapToGrid w:val="0"/>
          <w:sz w:val="24"/>
          <w:szCs w:val="24"/>
        </w:rPr>
        <w:t>) e l</w:t>
      </w:r>
      <w:r w:rsidR="00AD7214" w:rsidRPr="008C75BF">
        <w:rPr>
          <w:rFonts w:cstheme="minorHAnsi"/>
          <w:snapToGrid w:val="0"/>
          <w:sz w:val="24"/>
          <w:szCs w:val="24"/>
        </w:rPr>
        <w:t>idocaina cloridrato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</w:p>
    <w:p w:rsidR="004D4F2A" w:rsidRDefault="00AD7214" w:rsidP="004D4F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Il 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un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principio attivo che appartiene ad un gruppo di farmaci per il trattamento delle malattie delle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ossa, chiamati </w:t>
      </w:r>
      <w:proofErr w:type="spellStart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bisfosfonati</w:t>
      </w:r>
      <w:proofErr w:type="spellEnd"/>
      <w:r w:rsidR="00873571" w:rsidRPr="0087357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86760D">
        <w:rPr>
          <w:rFonts w:cstheme="minorHAnsi"/>
          <w:sz w:val="24"/>
          <w:szCs w:val="24"/>
        </w:rPr>
        <w:t>Agisce sulle cellule</w:t>
      </w:r>
      <w:r w:rsidR="004D4F2A" w:rsidRPr="004D4F2A">
        <w:rPr>
          <w:rFonts w:cstheme="minorHAnsi"/>
          <w:sz w:val="24"/>
          <w:szCs w:val="24"/>
        </w:rPr>
        <w:t xml:space="preserve"> coinvolte nella degradazione del tessuto osseo. </w:t>
      </w:r>
    </w:p>
    <w:p w:rsidR="00BB2AF8" w:rsidRDefault="00AD7214" w:rsidP="00AD721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>
        <w:rPr>
          <w:rFonts w:cstheme="minorHAnsi"/>
          <w:snapToGrid w:val="0"/>
          <w:sz w:val="24"/>
          <w:szCs w:val="24"/>
        </w:rPr>
        <w:t>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 xml:space="preserve"> è </w:t>
      </w:r>
      <w:r w:rsidRPr="00AD7214">
        <w:rPr>
          <w:rFonts w:cstheme="minorHAnsi"/>
          <w:snapToGrid w:val="0"/>
          <w:sz w:val="24"/>
          <w:szCs w:val="24"/>
        </w:rPr>
        <w:t>principio attivo che appartiene al gruppo di</w:t>
      </w:r>
      <w:r>
        <w:rPr>
          <w:rFonts w:cstheme="minorHAnsi"/>
          <w:snapToGrid w:val="0"/>
          <w:sz w:val="24"/>
          <w:szCs w:val="24"/>
        </w:rPr>
        <w:t xml:space="preserve"> </w:t>
      </w:r>
      <w:r w:rsidRPr="00AD7214">
        <w:rPr>
          <w:rFonts w:cstheme="minorHAnsi"/>
          <w:snapToGrid w:val="0"/>
          <w:sz w:val="24"/>
          <w:szCs w:val="24"/>
        </w:rPr>
        <w:t>farmaci chiamati “anestetici locali”</w:t>
      </w:r>
      <w:r>
        <w:rPr>
          <w:rFonts w:cstheme="minorHAnsi"/>
          <w:snapToGrid w:val="0"/>
          <w:sz w:val="24"/>
          <w:szCs w:val="24"/>
        </w:rPr>
        <w:t xml:space="preserve">. </w:t>
      </w:r>
      <w:r w:rsidRPr="00AD7214">
        <w:rPr>
          <w:rFonts w:cstheme="minorHAnsi"/>
          <w:snapToGrid w:val="0"/>
          <w:sz w:val="24"/>
          <w:szCs w:val="24"/>
        </w:rPr>
        <w:t xml:space="preserve">Blocca la conduzione dell'impulso lungo le fibre nervose. Ciò si traduce in una ridotta sensibilità al dolore, seguita da una ridotta sensibilità al freddo, al caldo e al tatto. </w:t>
      </w:r>
    </w:p>
    <w:p w:rsidR="00873571" w:rsidRPr="00A31CC1" w:rsidRDefault="00873571" w:rsidP="008735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3D3566">
        <w:rPr>
          <w:rFonts w:eastAsia="Calibri" w:cstheme="minorHAnsi"/>
          <w:b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:rsidR="008C75F9" w:rsidRPr="00A31CC1" w:rsidRDefault="003D3566" w:rsidP="008C75F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8C75F9" w:rsidRPr="00A31CC1">
        <w:rPr>
          <w:rFonts w:cstheme="minorHAnsi"/>
          <w:sz w:val="24"/>
          <w:szCs w:val="24"/>
        </w:rPr>
        <w:t xml:space="preserve"> è un medicinale</w:t>
      </w:r>
      <w:r w:rsidR="00DE56E9">
        <w:rPr>
          <w:rFonts w:cstheme="minorHAnsi"/>
          <w:sz w:val="24"/>
          <w:szCs w:val="24"/>
        </w:rPr>
        <w:t xml:space="preserve"> generico </w:t>
      </w:r>
      <w:r w:rsidR="005A79EC" w:rsidRPr="00A31CC1">
        <w:rPr>
          <w:rFonts w:cstheme="minorHAnsi"/>
          <w:sz w:val="24"/>
          <w:szCs w:val="24"/>
        </w:rPr>
        <w:t xml:space="preserve">ed è utilizzato come </w:t>
      </w:r>
      <w:r w:rsidR="004D4F2A">
        <w:rPr>
          <w:rFonts w:cstheme="minorHAnsi"/>
          <w:sz w:val="24"/>
          <w:szCs w:val="24"/>
        </w:rPr>
        <w:t>soluzione iniettabile</w:t>
      </w:r>
      <w:r w:rsidR="00A35BC4">
        <w:rPr>
          <w:rFonts w:cstheme="minorHAnsi"/>
          <w:sz w:val="24"/>
          <w:szCs w:val="24"/>
        </w:rPr>
        <w:t xml:space="preserve"> </w:t>
      </w:r>
      <w:r w:rsidR="00FF0CE7" w:rsidRPr="00D55F57">
        <w:rPr>
          <w:rFonts w:cstheme="minorHAnsi"/>
          <w:sz w:val="24"/>
          <w:szCs w:val="24"/>
        </w:rPr>
        <w:t xml:space="preserve">nella stessa composizione </w:t>
      </w:r>
      <w:r w:rsidR="00DD29DC">
        <w:rPr>
          <w:rFonts w:cstheme="minorHAnsi"/>
          <w:sz w:val="24"/>
          <w:szCs w:val="24"/>
        </w:rPr>
        <w:t xml:space="preserve">in sostanza attiva </w:t>
      </w:r>
      <w:r w:rsidR="00FF0CE7" w:rsidRPr="00D55F57">
        <w:rPr>
          <w:rFonts w:cstheme="minorHAnsi"/>
          <w:sz w:val="24"/>
          <w:szCs w:val="24"/>
        </w:rPr>
        <w:t>del medicinale di rifermento</w:t>
      </w:r>
      <w:r w:rsidR="00FF0CE7">
        <w:rPr>
          <w:rFonts w:cstheme="minorHAnsi"/>
          <w:sz w:val="24"/>
          <w:szCs w:val="24"/>
        </w:rPr>
        <w:t xml:space="preserve"> </w:t>
      </w:r>
      <w:r w:rsidR="008C75BF">
        <w:rPr>
          <w:rFonts w:cstheme="minorHAnsi"/>
          <w:sz w:val="24"/>
          <w:szCs w:val="24"/>
        </w:rPr>
        <w:t>CLASTEON</w:t>
      </w:r>
      <w:r w:rsidR="00A579AF">
        <w:rPr>
          <w:rFonts w:cstheme="minorHAnsi"/>
          <w:sz w:val="24"/>
          <w:szCs w:val="24"/>
        </w:rPr>
        <w:t xml:space="preserve">, contiene gli stessi eccipienti in quantità simile </w:t>
      </w:r>
      <w:r w:rsidR="00FF0CE7">
        <w:rPr>
          <w:rFonts w:cstheme="minorHAnsi"/>
          <w:sz w:val="24"/>
          <w:szCs w:val="24"/>
        </w:rPr>
        <w:t>e</w:t>
      </w:r>
      <w:r w:rsidR="00DD29DC">
        <w:rPr>
          <w:rFonts w:cstheme="minorHAnsi"/>
          <w:sz w:val="24"/>
          <w:szCs w:val="24"/>
        </w:rPr>
        <w:t xml:space="preserve"> </w:t>
      </w:r>
      <w:r w:rsidR="005A79EC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5A79EC" w:rsidRPr="00A579AF">
        <w:rPr>
          <w:rFonts w:cstheme="minorHAnsi"/>
          <w:i/>
          <w:sz w:val="24"/>
          <w:szCs w:val="24"/>
        </w:rPr>
        <w:t>in vitro</w:t>
      </w:r>
      <w:r w:rsidR="00FF0CE7">
        <w:rPr>
          <w:rFonts w:cstheme="minorHAnsi"/>
          <w:sz w:val="24"/>
          <w:szCs w:val="24"/>
        </w:rPr>
        <w:t xml:space="preserve">. </w:t>
      </w:r>
      <w:r w:rsidR="005A79EC">
        <w:rPr>
          <w:rFonts w:cstheme="minorHAnsi"/>
          <w:sz w:val="24"/>
          <w:szCs w:val="24"/>
        </w:rPr>
        <w:t>Pertanto,</w:t>
      </w:r>
      <w:r w:rsidR="005A79E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5A79EC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FF0CE7">
        <w:rPr>
          <w:rFonts w:cstheme="minorHAnsi"/>
          <w:sz w:val="24"/>
          <w:szCs w:val="24"/>
        </w:rPr>
        <w:t xml:space="preserve"> </w:t>
      </w:r>
      <w:r w:rsidR="00FF0CE7" w:rsidRPr="005A79EC">
        <w:rPr>
          <w:rFonts w:cstheme="minorHAnsi"/>
          <w:sz w:val="24"/>
          <w:szCs w:val="24"/>
        </w:rPr>
        <w:t xml:space="preserve">in accordo </w:t>
      </w:r>
      <w:r w:rsidR="00FF0CE7">
        <w:rPr>
          <w:rFonts w:cstheme="minorHAnsi"/>
          <w:sz w:val="24"/>
          <w:szCs w:val="24"/>
        </w:rPr>
        <w:t>alle linee guida applicabili per questo tipo di prodotto</w:t>
      </w:r>
      <w:r w:rsidR="005A79EC" w:rsidRPr="00A31CC1">
        <w:rPr>
          <w:rFonts w:cstheme="minorHAnsi"/>
          <w:sz w:val="24"/>
          <w:szCs w:val="24"/>
        </w:rPr>
        <w:t xml:space="preserve">. </w:t>
      </w:r>
    </w:p>
    <w:p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3D3566">
        <w:rPr>
          <w:rFonts w:eastAsia="Calibri" w:cstheme="minorHAnsi"/>
          <w:b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BB2AF8" w:rsidRPr="00A31CC1" w:rsidRDefault="003D3566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equivalente al medicinale di riferimento; pertanto, i suoi benefici e rischi sono sovrapponibili a quelli del medicinale di riferimento. </w:t>
      </w:r>
    </w:p>
    <w:p w:rsidR="00CE7FA7" w:rsidRDefault="00CE7FA7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lang w:eastAsia="it-IT"/>
        </w:rPr>
      </w:pPr>
    </w:p>
    <w:p w:rsidR="006B311C" w:rsidRPr="00A31CC1" w:rsidRDefault="00943785" w:rsidP="00A579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3D3566">
        <w:rPr>
          <w:rFonts w:eastAsia="Calibri" w:cstheme="minorHAnsi"/>
          <w:sz w:val="24"/>
          <w:szCs w:val="24"/>
          <w:lang w:eastAsia="it-IT"/>
        </w:rPr>
        <w:t>MADRAS</w:t>
      </w:r>
      <w:r w:rsidRPr="00CE7FA7">
        <w:rPr>
          <w:rFonts w:eastAsia="Calibri" w:cstheme="minorHAnsi"/>
          <w:sz w:val="24"/>
          <w:szCs w:val="24"/>
          <w:lang w:eastAsia="it-IT"/>
        </w:rPr>
        <w:t xml:space="preserve"> 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sono: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diarrea, nausea, vomito (solitamente di lieve intensità),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abbassamento dei livelli di calcio nel sangue, senza sintomi (ipocalcemia asintomatica),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aumento dei livelli di transaminasi nel sangue (esame per valutare la funzionalità del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fegato), solitamente entro i valori di normalità.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3D3566">
        <w:rPr>
          <w:rFonts w:eastAsia="Calibri" w:cstheme="minorHAnsi"/>
          <w:b/>
          <w:color w:val="000000"/>
          <w:sz w:val="24"/>
          <w:szCs w:val="24"/>
          <w:lang w:eastAsia="it-IT"/>
        </w:rPr>
        <w:t>MADRAS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="003D3566" w:rsidRPr="00A31CC1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:rsidR="00433C5F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, conformemente ai requisiti della normativa vigente, come nel caso del medicinale di riferimento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A35BC4">
        <w:rPr>
          <w:rFonts w:eastAsia="Calibri" w:cstheme="minorHAnsi"/>
          <w:sz w:val="24"/>
          <w:szCs w:val="24"/>
          <w:lang w:eastAsia="it-IT"/>
        </w:rPr>
        <w:t>,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i benefici 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sono s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uperiori ai rischi </w:t>
      </w:r>
      <w:r w:rsidR="00433C5F">
        <w:rPr>
          <w:rFonts w:eastAsia="Calibri" w:cstheme="minorHAnsi"/>
          <w:sz w:val="24"/>
          <w:szCs w:val="24"/>
          <w:lang w:eastAsia="it-IT"/>
        </w:rPr>
        <w:lastRenderedPageBreak/>
        <w:t>individuati. L’AIFA</w:t>
      </w:r>
      <w:r w:rsidR="00433C5F" w:rsidRP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(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classe </w:t>
      </w:r>
      <w:r w:rsidR="00A579AF">
        <w:rPr>
          <w:rFonts w:eastAsia="Calibri" w:cstheme="minorHAnsi"/>
          <w:sz w:val="24"/>
          <w:szCs w:val="24"/>
          <w:lang w:eastAsia="it-IT"/>
        </w:rPr>
        <w:t>C</w:t>
      </w:r>
      <w:r w:rsidR="00433C5F">
        <w:rPr>
          <w:rFonts w:eastAsia="Calibri" w:cstheme="minorHAnsi"/>
          <w:sz w:val="24"/>
          <w:szCs w:val="24"/>
          <w:lang w:eastAsia="it-IT"/>
        </w:rPr>
        <w:t>).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3D3566">
        <w:rPr>
          <w:rFonts w:eastAsia="Calibri" w:cstheme="minorHAnsi"/>
          <w:b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:rsidR="00F1246A" w:rsidRPr="00A31CC1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3D3566">
        <w:rPr>
          <w:rFonts w:eastAsia="Calibri" w:cstheme="minorHAnsi"/>
          <w:b/>
          <w:color w:val="000000"/>
          <w:sz w:val="24"/>
          <w:szCs w:val="24"/>
          <w:lang w:eastAsia="it-IT"/>
        </w:rPr>
        <w:t>MADRAS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3D3566" w:rsidRPr="00BC2826">
        <w:rPr>
          <w:rFonts w:eastAsia="Calibri" w:cstheme="minorHAnsi"/>
          <w:b/>
          <w:bCs/>
          <w:iCs/>
          <w:sz w:val="24"/>
          <w:szCs w:val="24"/>
          <w:lang w:eastAsia="it-IT"/>
        </w:rPr>
        <w:t>11</w:t>
      </w:r>
      <w:r w:rsidR="004F52B3" w:rsidRPr="00BC2826">
        <w:rPr>
          <w:rFonts w:eastAsia="Calibri" w:cstheme="minorHAnsi"/>
          <w:b/>
          <w:bCs/>
          <w:iCs/>
          <w:sz w:val="24"/>
          <w:szCs w:val="24"/>
          <w:lang w:eastAsia="it-IT"/>
        </w:rPr>
        <w:t xml:space="preserve"> </w:t>
      </w:r>
      <w:r w:rsidR="008C75BF" w:rsidRPr="00BC2826">
        <w:rPr>
          <w:rFonts w:eastAsia="Calibri" w:cstheme="minorHAnsi"/>
          <w:b/>
          <w:bCs/>
          <w:iCs/>
          <w:sz w:val="24"/>
          <w:szCs w:val="24"/>
          <w:lang w:eastAsia="it-IT"/>
        </w:rPr>
        <w:t>dicembre</w:t>
      </w:r>
      <w:r w:rsidR="004F52B3" w:rsidRPr="00BC2826">
        <w:rPr>
          <w:rFonts w:eastAsia="Calibri" w:cstheme="minorHAnsi"/>
          <w:b/>
          <w:bCs/>
          <w:iCs/>
          <w:sz w:val="24"/>
          <w:szCs w:val="24"/>
          <w:lang w:eastAsia="it-IT"/>
        </w:rPr>
        <w:t xml:space="preserve"> 2024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r w:rsidR="00A35BC4" w:rsidRPr="00A35BC4">
        <w:t>https://medicinali.aifa.gov.it/it/#/it/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A31CC1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3D3566">
        <w:rPr>
          <w:rFonts w:eastAsia="Calibri" w:cstheme="minorHAnsi"/>
          <w:sz w:val="24"/>
          <w:szCs w:val="24"/>
          <w:lang w:eastAsia="it-IT"/>
        </w:rPr>
        <w:t>1</w:t>
      </w:r>
      <w:r w:rsidR="00AD4303">
        <w:rPr>
          <w:rFonts w:eastAsia="Calibri" w:cstheme="minorHAnsi"/>
          <w:sz w:val="24"/>
          <w:szCs w:val="24"/>
          <w:lang w:eastAsia="it-IT"/>
        </w:rPr>
        <w:t>0</w:t>
      </w:r>
      <w:r w:rsidR="003D3566">
        <w:rPr>
          <w:rFonts w:eastAsia="Calibri" w:cstheme="minorHAnsi"/>
          <w:sz w:val="24"/>
          <w:szCs w:val="24"/>
          <w:lang w:eastAsia="it-IT"/>
        </w:rPr>
        <w:t>/06/2025</w:t>
      </w:r>
      <w:r w:rsidR="00433C5F">
        <w:rPr>
          <w:rFonts w:eastAsia="Calibri" w:cstheme="minorHAnsi"/>
          <w:sz w:val="24"/>
          <w:szCs w:val="24"/>
          <w:lang w:eastAsia="it-IT"/>
        </w:rPr>
        <w:t>.</w:t>
      </w: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D2AEC" w:rsidRDefault="000D2AE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CC52A3" w:rsidRPr="00A31CC1" w:rsidRDefault="00CC52A3" w:rsidP="004E5A39">
      <w:pPr>
        <w:rPr>
          <w:rFonts w:cstheme="minorHAnsi"/>
          <w:sz w:val="24"/>
          <w:szCs w:val="24"/>
        </w:rPr>
      </w:pPr>
    </w:p>
    <w:p w:rsidR="0099120C" w:rsidRPr="00A31CC1" w:rsidRDefault="0099120C" w:rsidP="004E5A39">
      <w:pPr>
        <w:rPr>
          <w:rFonts w:cstheme="minorHAnsi"/>
          <w:sz w:val="24"/>
          <w:szCs w:val="24"/>
        </w:rPr>
      </w:pPr>
    </w:p>
    <w:p w:rsidR="0099120C" w:rsidRDefault="0099120C" w:rsidP="004E5A39">
      <w:pPr>
        <w:rPr>
          <w:rFonts w:cstheme="minorHAnsi"/>
          <w:sz w:val="24"/>
          <w:szCs w:val="24"/>
        </w:rPr>
      </w:pPr>
    </w:p>
    <w:p w:rsidR="008B214E" w:rsidRPr="00A31CC1" w:rsidRDefault="008B214E" w:rsidP="004E5A39">
      <w:pPr>
        <w:rPr>
          <w:rFonts w:cstheme="minorHAnsi"/>
          <w:sz w:val="24"/>
          <w:szCs w:val="24"/>
        </w:rPr>
      </w:pPr>
    </w:p>
    <w:p w:rsidR="0099120C" w:rsidRPr="00A31CC1" w:rsidRDefault="0099120C" w:rsidP="004E5A39">
      <w:pPr>
        <w:rPr>
          <w:rFonts w:cstheme="minorHAnsi"/>
          <w:sz w:val="24"/>
          <w:szCs w:val="24"/>
        </w:rPr>
      </w:pPr>
    </w:p>
    <w:p w:rsidR="006222F7" w:rsidRDefault="006222F7" w:rsidP="004E5A39">
      <w:pPr>
        <w:rPr>
          <w:rFonts w:cstheme="minorHAnsi"/>
          <w:sz w:val="24"/>
          <w:szCs w:val="24"/>
        </w:rPr>
      </w:pPr>
    </w:p>
    <w:p w:rsidR="002F4E1F" w:rsidRDefault="002F4E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EF6711" w:rsidRPr="00A31CC1" w:rsidRDefault="00EF6711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:rsidR="004E5A39" w:rsidRPr="00BC2826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3D3566">
        <w:rPr>
          <w:rFonts w:cstheme="minorHAnsi"/>
          <w:sz w:val="24"/>
          <w:szCs w:val="24"/>
        </w:rPr>
        <w:t>S.F. Group S.r.l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3D3566" w:rsidRPr="00BC2826">
        <w:rPr>
          <w:rFonts w:eastAsia="Calibri" w:cstheme="minorHAnsi"/>
          <w:b/>
          <w:bCs/>
          <w:iCs/>
          <w:sz w:val="24"/>
          <w:szCs w:val="24"/>
          <w:lang w:eastAsia="it-IT"/>
        </w:rPr>
        <w:t>11 dicembre</w:t>
      </w:r>
      <w:r w:rsidR="004F52B3" w:rsidRPr="00BC2826">
        <w:rPr>
          <w:rFonts w:eastAsia="Calibri" w:cstheme="minorHAnsi"/>
          <w:b/>
          <w:bCs/>
          <w:iCs/>
          <w:sz w:val="24"/>
          <w:szCs w:val="24"/>
          <w:lang w:eastAsia="it-IT"/>
        </w:rPr>
        <w:t xml:space="preserve"> 2024</w:t>
      </w:r>
      <w:r w:rsidR="00433C5F" w:rsidRPr="00BC2826">
        <w:rPr>
          <w:rFonts w:eastAsia="Calibri" w:cstheme="minorHAnsi"/>
          <w:b/>
          <w:bCs/>
          <w:iCs/>
          <w:sz w:val="24"/>
          <w:szCs w:val="24"/>
          <w:lang w:eastAsia="it-IT"/>
        </w:rPr>
        <w:t>.</w:t>
      </w:r>
      <w:r w:rsidRPr="00BC2826">
        <w:rPr>
          <w:rFonts w:cstheme="minorHAnsi"/>
          <w:b/>
          <w:sz w:val="24"/>
          <w:szCs w:val="24"/>
        </w:rPr>
        <w:t xml:space="preserve">  </w:t>
      </w:r>
    </w:p>
    <w:p w:rsidR="004E5A39" w:rsidRPr="00BC2826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1" w:name="_GoBack"/>
      <w:bookmarkEnd w:id="1"/>
    </w:p>
    <w:p w:rsidR="004E5A39" w:rsidRPr="00A31CC1" w:rsidRDefault="003D3566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4F52B3" w:rsidRPr="004F52B3">
        <w:rPr>
          <w:rFonts w:eastAsia="Calibri" w:cstheme="minorHAnsi"/>
          <w:color w:val="000000"/>
          <w:sz w:val="24"/>
          <w:szCs w:val="24"/>
          <w:lang w:eastAsia="it-IT"/>
        </w:rPr>
        <w:t>può essere ottenuto solo su prescrizione da parte del medico (ricetta ripetibile)</w:t>
      </w:r>
      <w:r w:rsidR="00433C5F">
        <w:rPr>
          <w:rFonts w:cstheme="minorHAnsi"/>
          <w:sz w:val="24"/>
          <w:szCs w:val="24"/>
        </w:rPr>
        <w:t>.</w:t>
      </w:r>
      <w:r w:rsidR="00F76F77" w:rsidRPr="00A31CC1">
        <w:rPr>
          <w:rFonts w:eastAsia="Calibri" w:cstheme="minorHAnsi"/>
          <w:color w:val="000000"/>
          <w:sz w:val="24"/>
          <w:szCs w:val="24"/>
          <w:highlight w:val="yellow"/>
          <w:lang w:eastAsia="it-IT"/>
        </w:rPr>
        <w:t xml:space="preserve"> </w:t>
      </w:r>
    </w:p>
    <w:p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433C5F">
        <w:rPr>
          <w:rFonts w:cstheme="minorHAnsi"/>
          <w:sz w:val="24"/>
          <w:szCs w:val="24"/>
        </w:rPr>
        <w:t>10(1)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generic</w:t>
      </w:r>
      <w:proofErr w:type="spellEnd"/>
      <w:r w:rsidR="00433C5F" w:rsidRPr="00433C5F">
        <w:rPr>
          <w:rFonts w:cstheme="minorHAnsi"/>
          <w:i/>
          <w:sz w:val="24"/>
          <w:szCs w:val="24"/>
        </w:rPr>
        <w:t xml:space="preserve"> 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application</w:t>
      </w:r>
      <w:proofErr w:type="spellEnd"/>
      <w:r w:rsidR="00F964BE" w:rsidRPr="00A31CC1">
        <w:rPr>
          <w:rFonts w:cstheme="minorHAnsi"/>
          <w:sz w:val="24"/>
          <w:szCs w:val="24"/>
        </w:rPr>
        <w:t>)</w:t>
      </w:r>
      <w:r w:rsidR="00A35BC4">
        <w:rPr>
          <w:rFonts w:cstheme="minorHAnsi"/>
          <w:sz w:val="24"/>
          <w:szCs w:val="24"/>
        </w:rPr>
        <w:t>.</w:t>
      </w:r>
    </w:p>
    <w:p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4E5A39" w:rsidRPr="00A31CC1" w:rsidRDefault="003D3566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principi attiv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not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(</w:t>
      </w:r>
      <w:proofErr w:type="spellStart"/>
      <w:r w:rsidR="00A579AF">
        <w:rPr>
          <w:rFonts w:cstheme="minorHAnsi"/>
          <w:snapToGrid w:val="0"/>
          <w:sz w:val="24"/>
          <w:szCs w:val="24"/>
        </w:rPr>
        <w:t>d</w:t>
      </w:r>
      <w:r w:rsidR="00A579A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579A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proofErr w:type="gramStart"/>
      <w:r w:rsidR="00A579A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579AF">
        <w:rPr>
          <w:rFonts w:cstheme="minorHAnsi"/>
          <w:snapToGrid w:val="0"/>
          <w:sz w:val="24"/>
          <w:szCs w:val="24"/>
        </w:rPr>
        <w:t xml:space="preserve">  e</w:t>
      </w:r>
      <w:proofErr w:type="gramEnd"/>
      <w:r w:rsidR="00A579AF">
        <w:rPr>
          <w:rFonts w:cstheme="minorHAnsi"/>
          <w:snapToGrid w:val="0"/>
          <w:sz w:val="24"/>
          <w:szCs w:val="24"/>
        </w:rPr>
        <w:t xml:space="preserve"> l</w:t>
      </w:r>
      <w:r w:rsidR="00A579AF" w:rsidRPr="008C75BF">
        <w:rPr>
          <w:rFonts w:cstheme="minorHAnsi"/>
          <w:snapToGrid w:val="0"/>
          <w:sz w:val="24"/>
          <w:szCs w:val="24"/>
        </w:rPr>
        <w:t>idocaina clori</w:t>
      </w:r>
      <w:r w:rsidR="00A579AF">
        <w:rPr>
          <w:rFonts w:cstheme="minorHAnsi"/>
          <w:snapToGrid w:val="0"/>
          <w:sz w:val="24"/>
          <w:szCs w:val="24"/>
        </w:rPr>
        <w:t>drato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e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A31CC1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anni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. </w:t>
      </w:r>
      <w:r w:rsidR="0098470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:rsidR="00D55F57" w:rsidRPr="00D55F57" w:rsidRDefault="003D3566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A579AF" w:rsidRPr="00A579AF">
        <w:rPr>
          <w:rFonts w:cstheme="minorHAnsi"/>
          <w:sz w:val="24"/>
          <w:szCs w:val="24"/>
        </w:rPr>
        <w:t>M05BA02</w:t>
      </w:r>
      <w:r w:rsidR="00A579AF">
        <w:rPr>
          <w:rFonts w:cstheme="minorHAnsi"/>
          <w:sz w:val="24"/>
          <w:szCs w:val="24"/>
        </w:rPr>
        <w:t xml:space="preserve"> e N01BB02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 attiv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A579AF">
        <w:rPr>
          <w:rFonts w:cstheme="minorHAnsi"/>
          <w:snapToGrid w:val="0"/>
          <w:sz w:val="24"/>
          <w:szCs w:val="24"/>
        </w:rPr>
        <w:t>d</w:t>
      </w:r>
      <w:r w:rsidR="00A579A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579A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579AF">
        <w:rPr>
          <w:rFonts w:cstheme="minorHAnsi"/>
          <w:snapToGrid w:val="0"/>
          <w:sz w:val="24"/>
          <w:szCs w:val="24"/>
        </w:rPr>
        <w:t xml:space="preserve"> (</w:t>
      </w:r>
      <w:r w:rsidR="00A579AF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A579AF">
        <w:rPr>
          <w:rFonts w:cstheme="minorHAnsi"/>
          <w:snapToGrid w:val="0"/>
          <w:sz w:val="24"/>
          <w:szCs w:val="24"/>
        </w:rPr>
        <w:t>) e l</w:t>
      </w:r>
      <w:r w:rsidR="00A579AF" w:rsidRPr="008C75BF">
        <w:rPr>
          <w:rFonts w:cstheme="minorHAnsi"/>
          <w:snapToGrid w:val="0"/>
          <w:sz w:val="24"/>
          <w:szCs w:val="24"/>
        </w:rPr>
        <w:t>idocaina cloridrato</w:t>
      </w:r>
      <w:r w:rsidR="00D55F57" w:rsidRPr="00D55F57">
        <w:rPr>
          <w:rFonts w:eastAsia="Calibri" w:cstheme="minorHAnsi"/>
          <w:sz w:val="24"/>
          <w:szCs w:val="24"/>
          <w:lang w:eastAsia="it-IT"/>
        </w:rPr>
        <w:t>.</w:t>
      </w:r>
    </w:p>
    <w:p w:rsidR="00A579AF" w:rsidRDefault="00A579AF" w:rsidP="00A579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Il 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un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principio attivo che appartiene ad un gruppo di farmaci per il trattamento delle malattie delle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ossa, chiamati </w:t>
      </w:r>
      <w:proofErr w:type="spellStart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bisfosfonati</w:t>
      </w:r>
      <w:proofErr w:type="spellEnd"/>
      <w:r w:rsidRPr="0087357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4D4F2A">
        <w:rPr>
          <w:rFonts w:cstheme="minorHAnsi"/>
          <w:sz w:val="24"/>
          <w:szCs w:val="24"/>
        </w:rPr>
        <w:t>Inibisce l'azione degli osteoclasti, le cellule dell'organismo coinvolte nella degradazione del tessuto osseo. Questo porta a una minore perdita ossea. La riduzione della perdita ossea contribuisce a rendere le ossa meno soggette a fratture, il che è utile nella prevenzione delle fratture nei pazienti oncologici con metastasi ossee.</w:t>
      </w:r>
      <w:r>
        <w:rPr>
          <w:rFonts w:cstheme="minorHAnsi"/>
          <w:sz w:val="24"/>
          <w:szCs w:val="24"/>
        </w:rPr>
        <w:t xml:space="preserve"> Inoltre, i</w:t>
      </w:r>
      <w:r w:rsidRPr="004D4F2A">
        <w:rPr>
          <w:rFonts w:cstheme="minorHAnsi"/>
          <w:sz w:val="24"/>
          <w:szCs w:val="24"/>
        </w:rPr>
        <w:t xml:space="preserve"> pazienti affetti da tumori possono avere alti livelli di calcio nel sangue, rilasciato dalle ossa. Prevenendo la degradazione ossea, </w:t>
      </w:r>
      <w:r>
        <w:rPr>
          <w:rFonts w:cstheme="minorHAnsi"/>
          <w:sz w:val="24"/>
          <w:szCs w:val="24"/>
        </w:rPr>
        <w:t xml:space="preserve">il </w:t>
      </w:r>
      <w:proofErr w:type="spellStart"/>
      <w:r>
        <w:rPr>
          <w:rFonts w:cstheme="minorHAnsi"/>
          <w:sz w:val="24"/>
          <w:szCs w:val="24"/>
        </w:rPr>
        <w:t>disodio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clodronato</w:t>
      </w:r>
      <w:proofErr w:type="spellEnd"/>
      <w:r w:rsidRPr="004D4F2A">
        <w:rPr>
          <w:rFonts w:cstheme="minorHAnsi"/>
          <w:sz w:val="24"/>
          <w:szCs w:val="24"/>
        </w:rPr>
        <w:t xml:space="preserve"> contribuisce anche a ridurre la quantità di calcio rilasciata nel sangue.</w:t>
      </w:r>
    </w:p>
    <w:p w:rsidR="00A579AF" w:rsidRDefault="00A579AF" w:rsidP="00A579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>
        <w:rPr>
          <w:rFonts w:cstheme="minorHAnsi"/>
          <w:snapToGrid w:val="0"/>
          <w:sz w:val="24"/>
          <w:szCs w:val="24"/>
        </w:rPr>
        <w:t>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 xml:space="preserve"> è </w:t>
      </w:r>
      <w:r w:rsidRPr="00AD7214">
        <w:rPr>
          <w:rFonts w:cstheme="minorHAnsi"/>
          <w:snapToGrid w:val="0"/>
          <w:sz w:val="24"/>
          <w:szCs w:val="24"/>
        </w:rPr>
        <w:t>principio attivo che appartiene al gruppo di</w:t>
      </w:r>
      <w:r>
        <w:rPr>
          <w:rFonts w:cstheme="minorHAnsi"/>
          <w:snapToGrid w:val="0"/>
          <w:sz w:val="24"/>
          <w:szCs w:val="24"/>
        </w:rPr>
        <w:t xml:space="preserve"> </w:t>
      </w:r>
      <w:r w:rsidRPr="00AD7214">
        <w:rPr>
          <w:rFonts w:cstheme="minorHAnsi"/>
          <w:snapToGrid w:val="0"/>
          <w:sz w:val="24"/>
          <w:szCs w:val="24"/>
        </w:rPr>
        <w:t>farmaci chiamati “anestetici locali”</w:t>
      </w:r>
      <w:r>
        <w:rPr>
          <w:rFonts w:cstheme="minorHAnsi"/>
          <w:snapToGrid w:val="0"/>
          <w:sz w:val="24"/>
          <w:szCs w:val="24"/>
        </w:rPr>
        <w:t xml:space="preserve">. </w:t>
      </w:r>
      <w:r w:rsidRPr="00AD7214">
        <w:rPr>
          <w:rFonts w:cstheme="minorHAnsi"/>
          <w:snapToGrid w:val="0"/>
          <w:sz w:val="24"/>
          <w:szCs w:val="24"/>
        </w:rPr>
        <w:t>È un anestetico locale di tipo ammidico. Blocca la conduzione dell'impulso lungo le fibre nervose sensitive in un sito di somministrazione locale ed è reversibile. Ciò si traduce in una ridotta sensibilità al dolore, seguita da una ridotta sensibilità al freddo, al caldo e al tatto. Inoltre, la lidocaina ha un debole effetto antinfiammatorio e parasimpaticolitico. A differenza della maggior parte degli altri anestetici locali, la lidocaina non possiede un effetto vasodilatatore.</w:t>
      </w:r>
    </w:p>
    <w:p w:rsidR="00A01AB1" w:rsidRPr="00A31CC1" w:rsidRDefault="00A01AB1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</w:p>
    <w:p w:rsidR="00265B61" w:rsidRPr="00A31CC1" w:rsidRDefault="003D3566" w:rsidP="00A579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</w:t>
      </w:r>
      <w:r w:rsidR="00692F84" w:rsidRPr="00873571">
        <w:rPr>
          <w:rFonts w:cstheme="minorHAnsi"/>
          <w:sz w:val="24"/>
          <w:szCs w:val="24"/>
        </w:rPr>
        <w:t xml:space="preserve">utilizzato </w:t>
      </w:r>
      <w:r w:rsidR="00D55F57">
        <w:rPr>
          <w:rFonts w:cstheme="minorHAnsi"/>
          <w:sz w:val="24"/>
          <w:szCs w:val="24"/>
        </w:rPr>
        <w:t xml:space="preserve">per </w:t>
      </w:r>
      <w:r w:rsidR="00A579AF">
        <w:rPr>
          <w:rFonts w:cstheme="minorHAnsi"/>
          <w:sz w:val="24"/>
          <w:szCs w:val="24"/>
        </w:rPr>
        <w:t>o</w:t>
      </w:r>
      <w:r w:rsidR="00A579AF" w:rsidRPr="00A579AF">
        <w:rPr>
          <w:rFonts w:cstheme="minorHAnsi"/>
          <w:sz w:val="24"/>
          <w:szCs w:val="24"/>
        </w:rPr>
        <w:t xml:space="preserve">steolisi tumorali, </w:t>
      </w:r>
      <w:r w:rsidR="00A579AF">
        <w:rPr>
          <w:rFonts w:cstheme="minorHAnsi"/>
          <w:sz w:val="24"/>
          <w:szCs w:val="24"/>
        </w:rPr>
        <w:t>m</w:t>
      </w:r>
      <w:r w:rsidR="00A579AF" w:rsidRPr="00A579AF">
        <w:rPr>
          <w:rFonts w:cstheme="minorHAnsi"/>
          <w:sz w:val="24"/>
          <w:szCs w:val="24"/>
        </w:rPr>
        <w:t xml:space="preserve">ieloma multiplo, </w:t>
      </w:r>
      <w:r w:rsidR="00A579AF">
        <w:rPr>
          <w:rFonts w:cstheme="minorHAnsi"/>
          <w:sz w:val="24"/>
          <w:szCs w:val="24"/>
        </w:rPr>
        <w:t>i</w:t>
      </w:r>
      <w:r w:rsidR="00A579AF" w:rsidRPr="00A579AF">
        <w:rPr>
          <w:rFonts w:cstheme="minorHAnsi"/>
          <w:sz w:val="24"/>
          <w:szCs w:val="24"/>
        </w:rPr>
        <w:t xml:space="preserve">perparatiroidismo primario, </w:t>
      </w:r>
      <w:r w:rsidR="00A579AF">
        <w:rPr>
          <w:rFonts w:cstheme="minorHAnsi"/>
          <w:sz w:val="24"/>
          <w:szCs w:val="24"/>
        </w:rPr>
        <w:t>p</w:t>
      </w:r>
      <w:r w:rsidR="00A579AF" w:rsidRPr="00A579AF">
        <w:rPr>
          <w:rFonts w:cstheme="minorHAnsi"/>
          <w:sz w:val="24"/>
          <w:szCs w:val="24"/>
        </w:rPr>
        <w:t>revenzione e trattamento</w:t>
      </w:r>
      <w:r w:rsidR="00A579AF">
        <w:rPr>
          <w:rFonts w:cstheme="minorHAnsi"/>
          <w:sz w:val="24"/>
          <w:szCs w:val="24"/>
        </w:rPr>
        <w:t xml:space="preserve"> dell'osteoporosi post-</w:t>
      </w:r>
      <w:proofErr w:type="spellStart"/>
      <w:r w:rsidR="00A579AF" w:rsidRPr="00A579AF">
        <w:rPr>
          <w:rFonts w:cstheme="minorHAnsi"/>
          <w:sz w:val="24"/>
          <w:szCs w:val="24"/>
        </w:rPr>
        <w:t>menopausale</w:t>
      </w:r>
      <w:proofErr w:type="spellEnd"/>
      <w:r w:rsidR="007B6FC1" w:rsidRPr="007B6FC1">
        <w:rPr>
          <w:rFonts w:cstheme="minorHAnsi"/>
          <w:sz w:val="24"/>
          <w:szCs w:val="24"/>
        </w:rPr>
        <w:t>.</w:t>
      </w:r>
    </w:p>
    <w:p w:rsidR="00393F1F" w:rsidRDefault="00393F1F" w:rsidP="00F964BE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F964BE" w:rsidRPr="00A31CC1" w:rsidRDefault="00D55F57" w:rsidP="00F964B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55F57">
        <w:rPr>
          <w:rFonts w:cstheme="minorHAnsi"/>
          <w:sz w:val="24"/>
          <w:szCs w:val="24"/>
        </w:rPr>
        <w:t xml:space="preserve">Poiché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D55F57">
        <w:rPr>
          <w:rFonts w:cstheme="minorHAnsi"/>
          <w:sz w:val="24"/>
          <w:szCs w:val="24"/>
        </w:rPr>
        <w:t>contiene principi attiv</w:t>
      </w:r>
      <w:r w:rsidR="00A579AF">
        <w:rPr>
          <w:rFonts w:cstheme="minorHAnsi"/>
          <w:sz w:val="24"/>
          <w:szCs w:val="24"/>
        </w:rPr>
        <w:t>i</w:t>
      </w:r>
      <w:r w:rsidRPr="00D55F57">
        <w:rPr>
          <w:rFonts w:cstheme="minorHAnsi"/>
          <w:sz w:val="24"/>
          <w:szCs w:val="24"/>
        </w:rPr>
        <w:t xml:space="preserve"> not</w:t>
      </w:r>
      <w:r w:rsidR="00A579AF">
        <w:rPr>
          <w:rFonts w:cstheme="minorHAnsi"/>
          <w:sz w:val="24"/>
          <w:szCs w:val="24"/>
        </w:rPr>
        <w:t>i</w:t>
      </w:r>
      <w:r w:rsidRPr="00D55F57">
        <w:rPr>
          <w:rFonts w:cstheme="minorHAnsi"/>
          <w:sz w:val="24"/>
          <w:szCs w:val="24"/>
        </w:rPr>
        <w:t xml:space="preserve">, non sono stati forniti nuovi dati non clinici e clinici: questo approccio è accettabile poiché il medicinale di riferimento </w:t>
      </w:r>
      <w:r w:rsidR="008C75BF">
        <w:rPr>
          <w:rFonts w:cstheme="minorHAnsi"/>
          <w:sz w:val="24"/>
          <w:szCs w:val="24"/>
        </w:rPr>
        <w:t>CLASTEON</w:t>
      </w:r>
      <w:r w:rsidRPr="00D55F57">
        <w:rPr>
          <w:rFonts w:cstheme="minorHAnsi"/>
          <w:sz w:val="24"/>
          <w:szCs w:val="24"/>
        </w:rPr>
        <w:t xml:space="preserve"> è autorizza</w:t>
      </w:r>
      <w:r w:rsidR="00A35BC4">
        <w:rPr>
          <w:rFonts w:cstheme="minorHAnsi"/>
          <w:sz w:val="24"/>
          <w:szCs w:val="24"/>
        </w:rPr>
        <w:t xml:space="preserve">to in Italia da oltre 10 anni.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579AF">
        <w:rPr>
          <w:rFonts w:cstheme="minorHAnsi"/>
          <w:sz w:val="24"/>
          <w:szCs w:val="24"/>
        </w:rPr>
        <w:t>è</w:t>
      </w:r>
      <w:r w:rsidR="00A579AF" w:rsidRPr="00A31CC1">
        <w:rPr>
          <w:rFonts w:cstheme="minorHAnsi"/>
          <w:sz w:val="24"/>
          <w:szCs w:val="24"/>
        </w:rPr>
        <w:t xml:space="preserve"> utilizzato come </w:t>
      </w:r>
      <w:r w:rsidR="00A579AF">
        <w:rPr>
          <w:rFonts w:cstheme="minorHAnsi"/>
          <w:sz w:val="24"/>
          <w:szCs w:val="24"/>
        </w:rPr>
        <w:t xml:space="preserve">soluzione iniettabile </w:t>
      </w:r>
      <w:r w:rsidR="00A579AF" w:rsidRPr="00D55F57">
        <w:rPr>
          <w:rFonts w:cstheme="minorHAnsi"/>
          <w:sz w:val="24"/>
          <w:szCs w:val="24"/>
        </w:rPr>
        <w:t xml:space="preserve">nella stessa composizione </w:t>
      </w:r>
      <w:r w:rsidR="00A579AF">
        <w:rPr>
          <w:rFonts w:cstheme="minorHAnsi"/>
          <w:sz w:val="24"/>
          <w:szCs w:val="24"/>
        </w:rPr>
        <w:t xml:space="preserve">in sostanza attiva </w:t>
      </w:r>
      <w:r w:rsidR="00A579AF" w:rsidRPr="00D55F57">
        <w:rPr>
          <w:rFonts w:cstheme="minorHAnsi"/>
          <w:sz w:val="24"/>
          <w:szCs w:val="24"/>
        </w:rPr>
        <w:t>del medicinale di rifermento</w:t>
      </w:r>
      <w:r w:rsidR="00A579AF">
        <w:rPr>
          <w:rFonts w:cstheme="minorHAnsi"/>
          <w:sz w:val="24"/>
          <w:szCs w:val="24"/>
        </w:rPr>
        <w:t xml:space="preserve"> CLASTEON, contiene gli stessi eccipienti in quantità simile</w:t>
      </w:r>
      <w:r w:rsidR="00A579AF" w:rsidRPr="005A79EC">
        <w:rPr>
          <w:rFonts w:cstheme="minorHAnsi"/>
          <w:sz w:val="24"/>
          <w:szCs w:val="24"/>
        </w:rPr>
        <w:t xml:space="preserve"> </w:t>
      </w:r>
      <w:r w:rsidR="00A579AF">
        <w:rPr>
          <w:rFonts w:cstheme="minorHAnsi"/>
          <w:sz w:val="24"/>
          <w:szCs w:val="24"/>
        </w:rPr>
        <w:t xml:space="preserve">e </w:t>
      </w:r>
      <w:r w:rsidR="00A579AF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A579AF" w:rsidRPr="00A579AF">
        <w:rPr>
          <w:rFonts w:cstheme="minorHAnsi"/>
          <w:i/>
          <w:sz w:val="24"/>
          <w:szCs w:val="24"/>
        </w:rPr>
        <w:t>in vitro</w:t>
      </w:r>
      <w:r w:rsidR="00A579AF">
        <w:rPr>
          <w:rFonts w:cstheme="minorHAnsi"/>
          <w:sz w:val="24"/>
          <w:szCs w:val="24"/>
        </w:rPr>
        <w:t>. Pertanto,</w:t>
      </w:r>
      <w:r w:rsidR="00A579AF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579AF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A579AF">
        <w:rPr>
          <w:rFonts w:cstheme="minorHAnsi"/>
          <w:sz w:val="24"/>
          <w:szCs w:val="24"/>
        </w:rPr>
        <w:t xml:space="preserve"> </w:t>
      </w:r>
      <w:r w:rsidR="00A579AF" w:rsidRPr="005A79EC">
        <w:rPr>
          <w:rFonts w:cstheme="minorHAnsi"/>
          <w:sz w:val="24"/>
          <w:szCs w:val="24"/>
        </w:rPr>
        <w:t xml:space="preserve">in accordo </w:t>
      </w:r>
      <w:r w:rsidR="00A579AF">
        <w:rPr>
          <w:rFonts w:cstheme="minorHAnsi"/>
          <w:sz w:val="24"/>
          <w:szCs w:val="24"/>
        </w:rPr>
        <w:t>alle linee guida applicabili per questo tipo di prodotto.</w:t>
      </w:r>
    </w:p>
    <w:p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:rsidR="00692F8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r w:rsidR="003D3566" w:rsidRPr="00A31CC1">
        <w:rPr>
          <w:rFonts w:cstheme="minorHAnsi"/>
          <w:sz w:val="24"/>
          <w:szCs w:val="24"/>
        </w:rPr>
        <w:t>È</w:t>
      </w:r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proofErr w:type="spellStart"/>
      <w:r w:rsidRPr="00A31CC1">
        <w:rPr>
          <w:rFonts w:cstheme="minorHAnsi"/>
          <w:i/>
          <w:sz w:val="24"/>
          <w:szCs w:val="24"/>
        </w:rPr>
        <w:t>Risk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692F84">
        <w:rPr>
          <w:rFonts w:cstheme="minorHAnsi"/>
          <w:sz w:val="24"/>
          <w:szCs w:val="24"/>
        </w:rPr>
        <w:t xml:space="preserve"> </w:t>
      </w:r>
    </w:p>
    <w:p w:rsidR="00B862CA" w:rsidRPr="00A31CC1" w:rsidRDefault="00B862C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titolare di AIC ha presentato una adeguata giustificazione della non presentazione della Valutazione del Rischio ambientale; questo approccio è accettabile in quanto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046AC" w:rsidRPr="00A31CC1" w:rsidRDefault="00A046AC" w:rsidP="002A7EF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:rsidR="00CC52A3" w:rsidRPr="00A31CC1" w:rsidRDefault="00CC52A3" w:rsidP="00EF6711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II.1</w:t>
      </w:r>
      <w:r w:rsidR="001A5948" w:rsidRPr="00196763">
        <w:rPr>
          <w:rFonts w:cstheme="minorHAnsi"/>
          <w:b/>
          <w:sz w:val="24"/>
          <w:szCs w:val="24"/>
        </w:rPr>
        <w:t>.a</w:t>
      </w:r>
      <w:r w:rsidRPr="00196763">
        <w:rPr>
          <w:rFonts w:cstheme="minorHAnsi"/>
          <w:b/>
          <w:sz w:val="24"/>
          <w:szCs w:val="24"/>
        </w:rPr>
        <w:t xml:space="preserve"> PRINCIPIO ATTIVO </w:t>
      </w:r>
      <w:proofErr w:type="spellStart"/>
      <w:r w:rsidR="001A5948" w:rsidRPr="00196763">
        <w:rPr>
          <w:rFonts w:cstheme="minorHAnsi"/>
          <w:b/>
          <w:snapToGrid w:val="0"/>
          <w:sz w:val="24"/>
          <w:szCs w:val="24"/>
        </w:rPr>
        <w:t>disodio</w:t>
      </w:r>
      <w:proofErr w:type="spellEnd"/>
      <w:r w:rsidR="001A5948" w:rsidRPr="00196763">
        <w:rPr>
          <w:rFonts w:cstheme="minorHAnsi"/>
          <w:b/>
          <w:snapToGrid w:val="0"/>
          <w:sz w:val="24"/>
          <w:szCs w:val="24"/>
        </w:rPr>
        <w:t xml:space="preserve"> </w:t>
      </w:r>
      <w:proofErr w:type="spellStart"/>
      <w:r w:rsidR="001A5948" w:rsidRPr="00196763">
        <w:rPr>
          <w:rFonts w:cstheme="minorHAnsi"/>
          <w:b/>
          <w:snapToGrid w:val="0"/>
          <w:sz w:val="24"/>
          <w:szCs w:val="24"/>
        </w:rPr>
        <w:t>clodronato</w:t>
      </w:r>
      <w:proofErr w:type="spellEnd"/>
      <w:r w:rsidR="001A5948" w:rsidRPr="00196763">
        <w:rPr>
          <w:rFonts w:cstheme="minorHAnsi"/>
          <w:b/>
          <w:snapToGrid w:val="0"/>
          <w:sz w:val="24"/>
          <w:szCs w:val="24"/>
        </w:rPr>
        <w:t xml:space="preserve"> (tetraidrato)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Denominazione INN</w:t>
      </w:r>
      <w:r w:rsidRPr="00196763">
        <w:rPr>
          <w:rFonts w:ascii="Calibri" w:hAnsi="Calibri"/>
          <w:sz w:val="24"/>
          <w:szCs w:val="24"/>
        </w:rPr>
        <w:t xml:space="preserve">: </w:t>
      </w:r>
      <w:proofErr w:type="spellStart"/>
      <w:r w:rsidR="001A5948" w:rsidRPr="00196763">
        <w:rPr>
          <w:rFonts w:ascii="Calibri" w:hAnsi="Calibri"/>
          <w:sz w:val="24"/>
          <w:szCs w:val="24"/>
        </w:rPr>
        <w:t>disodio</w:t>
      </w:r>
      <w:proofErr w:type="spellEnd"/>
      <w:r w:rsidR="001A5948" w:rsidRPr="00196763">
        <w:rPr>
          <w:rFonts w:ascii="Calibri" w:hAnsi="Calibri"/>
          <w:sz w:val="24"/>
          <w:szCs w:val="24"/>
        </w:rPr>
        <w:t xml:space="preserve"> </w:t>
      </w:r>
      <w:proofErr w:type="spellStart"/>
      <w:r w:rsidR="001A5948" w:rsidRPr="00196763">
        <w:rPr>
          <w:rFonts w:ascii="Calibri" w:hAnsi="Calibri"/>
          <w:sz w:val="24"/>
          <w:szCs w:val="24"/>
        </w:rPr>
        <w:t>clodronato</w:t>
      </w:r>
      <w:proofErr w:type="spellEnd"/>
      <w:r w:rsidR="001A5948" w:rsidRPr="00196763">
        <w:rPr>
          <w:rFonts w:ascii="Calibri" w:hAnsi="Calibri"/>
          <w:sz w:val="24"/>
          <w:szCs w:val="24"/>
        </w:rPr>
        <w:t xml:space="preserve"> tetraidrato</w:t>
      </w:r>
      <w:r w:rsidRPr="00196763">
        <w:rPr>
          <w:rFonts w:ascii="Calibri" w:hAnsi="Calibri"/>
          <w:sz w:val="24"/>
          <w:szCs w:val="24"/>
        </w:rPr>
        <w:t>.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rFonts w:cstheme="minorHAnsi"/>
          <w:sz w:val="24"/>
          <w:szCs w:val="24"/>
          <w:u w:val="single"/>
        </w:rPr>
        <w:t>Struttura:</w:t>
      </w:r>
    </w:p>
    <w:p w:rsidR="00196763" w:rsidRPr="00196763" w:rsidRDefault="0019676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08791E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noProof/>
          <w:sz w:val="24"/>
          <w:szCs w:val="24"/>
          <w:lang w:eastAsia="it-IT"/>
        </w:rPr>
        <w:drawing>
          <wp:inline distT="0" distB="0" distL="0" distR="0" wp14:anchorId="4BF78D16" wp14:editId="6CCD6956">
            <wp:extent cx="1360715" cy="431780"/>
            <wp:effectExtent l="0" t="0" r="0" b="698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7771" t="55799" r="40504" b="33171"/>
                    <a:stretch/>
                  </pic:blipFill>
                  <pic:spPr bwMode="auto">
                    <a:xfrm>
                      <a:off x="0" y="0"/>
                      <a:ext cx="1360778" cy="43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Formula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08791E" w:rsidRPr="00196763">
        <w:rPr>
          <w:rFonts w:cstheme="minorHAnsi"/>
          <w:sz w:val="24"/>
          <w:szCs w:val="24"/>
        </w:rPr>
        <w:t>CH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Cl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Na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O</w:t>
      </w:r>
      <w:r w:rsidR="0008791E" w:rsidRPr="00196763">
        <w:rPr>
          <w:rFonts w:cstheme="minorHAnsi"/>
          <w:sz w:val="24"/>
          <w:szCs w:val="24"/>
          <w:vertAlign w:val="subscript"/>
        </w:rPr>
        <w:t>6</w:t>
      </w:r>
      <w:r w:rsidR="0008791E" w:rsidRPr="00196763">
        <w:rPr>
          <w:rFonts w:cstheme="minorHAnsi"/>
          <w:sz w:val="24"/>
          <w:szCs w:val="24"/>
        </w:rPr>
        <w:t>P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,4H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O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Peso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08791E" w:rsidRPr="00196763">
        <w:rPr>
          <w:rFonts w:cstheme="minorHAnsi"/>
          <w:sz w:val="24"/>
          <w:szCs w:val="24"/>
        </w:rPr>
        <w:t>360.9</w:t>
      </w:r>
      <w:r w:rsidRPr="00196763">
        <w:rPr>
          <w:rFonts w:cstheme="minorHAnsi"/>
          <w:sz w:val="24"/>
          <w:szCs w:val="24"/>
        </w:rPr>
        <w:t xml:space="preserve"> 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196763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Aspetto</w:t>
      </w:r>
      <w:r w:rsidRPr="00196763">
        <w:rPr>
          <w:rFonts w:ascii="Calibri" w:hAnsi="Calibri"/>
          <w:sz w:val="24"/>
          <w:szCs w:val="24"/>
        </w:rPr>
        <w:t>: polvere cristallina, da bianca a biancastra.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Solubilità</w:t>
      </w:r>
      <w:r w:rsidRPr="00196763">
        <w:rPr>
          <w:rFonts w:ascii="Calibri" w:hAnsi="Calibri"/>
          <w:sz w:val="24"/>
          <w:szCs w:val="24"/>
        </w:rPr>
        <w:t xml:space="preserve">: molto solubile in acqua, praticamente insolubile in etanolo (96%), poco solubile metanolo. 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 xml:space="preserve">Il principio attivo </w:t>
      </w:r>
      <w:proofErr w:type="spellStart"/>
      <w:r w:rsidR="00DA09B3" w:rsidRPr="00196763">
        <w:rPr>
          <w:sz w:val="24"/>
          <w:szCs w:val="24"/>
        </w:rPr>
        <w:t>disodio</w:t>
      </w:r>
      <w:proofErr w:type="spellEnd"/>
      <w:r w:rsidR="00DA09B3" w:rsidRPr="00196763">
        <w:rPr>
          <w:sz w:val="24"/>
          <w:szCs w:val="24"/>
        </w:rPr>
        <w:t xml:space="preserve"> </w:t>
      </w:r>
      <w:proofErr w:type="spellStart"/>
      <w:r w:rsidR="00DA09B3" w:rsidRPr="00196763">
        <w:rPr>
          <w:sz w:val="24"/>
          <w:szCs w:val="24"/>
        </w:rPr>
        <w:t>clodronato</w:t>
      </w:r>
      <w:proofErr w:type="spellEnd"/>
      <w:r w:rsidR="00DA09B3" w:rsidRPr="00196763">
        <w:rPr>
          <w:sz w:val="24"/>
          <w:szCs w:val="24"/>
        </w:rPr>
        <w:t xml:space="preserve"> tetraidrato</w:t>
      </w:r>
      <w:r w:rsidR="00DA09B3" w:rsidRPr="00196763">
        <w:rPr>
          <w:rStyle w:val="NessunoA"/>
          <w:color w:val="auto"/>
          <w:sz w:val="24"/>
          <w:szCs w:val="24"/>
        </w:rPr>
        <w:t xml:space="preserve"> </w:t>
      </w:r>
      <w:r w:rsidRPr="00196763">
        <w:rPr>
          <w:rStyle w:val="NessunoA"/>
          <w:color w:val="auto"/>
          <w:sz w:val="24"/>
          <w:szCs w:val="24"/>
        </w:rPr>
        <w:t xml:space="preserve">è presente in Farmacopea Europea e il </w:t>
      </w:r>
      <w:proofErr w:type="spellStart"/>
      <w:r w:rsidRPr="00196763">
        <w:rPr>
          <w:rStyle w:val="NessunoA"/>
          <w:color w:val="auto"/>
          <w:sz w:val="24"/>
          <w:szCs w:val="24"/>
        </w:rPr>
        <w:t>Direttorato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Europeo per la Qualità dei Medicinali (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European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Directorate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for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Quality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of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Medicinals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– EDQM) ha rilasciato ai produttori proposti il certificato di conformità alla Farmacopea Europea.</w:t>
      </w:r>
    </w:p>
    <w:p w:rsidR="00D55F57" w:rsidRPr="00196763" w:rsidRDefault="00D55F57" w:rsidP="00D55F57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>Tutti gli aspetti di produzione e controllo sono coperti dal certificato di conformità alla Farmacopea Europea.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Il periodo di </w:t>
      </w:r>
      <w:proofErr w:type="spellStart"/>
      <w:r w:rsidRPr="00196763">
        <w:rPr>
          <w:rFonts w:ascii="Calibri" w:hAnsi="Calibri"/>
          <w:i/>
          <w:sz w:val="24"/>
          <w:szCs w:val="24"/>
        </w:rPr>
        <w:t>retest</w:t>
      </w:r>
      <w:proofErr w:type="spellEnd"/>
      <w:r w:rsidRPr="00196763">
        <w:rPr>
          <w:rFonts w:ascii="Calibri" w:hAnsi="Calibri"/>
          <w:sz w:val="24"/>
          <w:szCs w:val="24"/>
        </w:rPr>
        <w:t xml:space="preserve"> è definito in </w:t>
      </w:r>
      <w:r w:rsidR="00DA09B3" w:rsidRPr="00196763">
        <w:rPr>
          <w:rFonts w:ascii="Calibri" w:hAnsi="Calibri"/>
          <w:sz w:val="24"/>
          <w:szCs w:val="24"/>
        </w:rPr>
        <w:t>60</w:t>
      </w:r>
      <w:r w:rsidRPr="00196763">
        <w:rPr>
          <w:rFonts w:ascii="Calibri" w:hAnsi="Calibri"/>
          <w:sz w:val="24"/>
          <w:szCs w:val="24"/>
        </w:rPr>
        <w:t xml:space="preserve"> mesi, quando conservato </w:t>
      </w:r>
      <w:r w:rsidR="00DA09B3" w:rsidRPr="00196763">
        <w:rPr>
          <w:rFonts w:ascii="Calibri" w:hAnsi="Calibri"/>
          <w:sz w:val="24"/>
          <w:szCs w:val="24"/>
        </w:rPr>
        <w:t>in doppia sacca in polietilene inserito in un fustino in fibra o polietilene</w:t>
      </w:r>
      <w:r w:rsidRPr="00196763">
        <w:rPr>
          <w:rFonts w:ascii="Calibri" w:hAnsi="Calibri"/>
          <w:sz w:val="24"/>
          <w:szCs w:val="24"/>
        </w:rPr>
        <w:t>.</w:t>
      </w:r>
    </w:p>
    <w:p w:rsidR="00265B61" w:rsidRPr="00196763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 xml:space="preserve">II.1.b PRINCIPIO ATTIVO </w:t>
      </w:r>
      <w:r w:rsidRPr="00196763">
        <w:rPr>
          <w:rFonts w:cstheme="minorHAnsi"/>
          <w:b/>
          <w:snapToGrid w:val="0"/>
          <w:sz w:val="24"/>
          <w:szCs w:val="24"/>
        </w:rPr>
        <w:t>lidocaina cloridrato (</w:t>
      </w:r>
      <w:r w:rsidRPr="00196763">
        <w:rPr>
          <w:rFonts w:ascii="Calibri" w:hAnsi="Calibri"/>
          <w:b/>
          <w:sz w:val="24"/>
          <w:szCs w:val="24"/>
        </w:rPr>
        <w:t>monoidrato</w:t>
      </w:r>
      <w:r w:rsidRPr="00196763">
        <w:rPr>
          <w:rFonts w:cstheme="minorHAnsi"/>
          <w:b/>
          <w:snapToGrid w:val="0"/>
          <w:sz w:val="24"/>
          <w:szCs w:val="24"/>
        </w:rPr>
        <w:t>)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Denominazione INN</w:t>
      </w:r>
      <w:r w:rsidRPr="00196763">
        <w:rPr>
          <w:rFonts w:ascii="Calibri" w:hAnsi="Calibri"/>
          <w:sz w:val="24"/>
          <w:szCs w:val="24"/>
        </w:rPr>
        <w:t>: lidocaina cloridrato monoidrato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rFonts w:cstheme="minorHAnsi"/>
          <w:sz w:val="24"/>
          <w:szCs w:val="24"/>
          <w:u w:val="single"/>
        </w:rPr>
        <w:t>Struttura:</w:t>
      </w:r>
    </w:p>
    <w:p w:rsidR="00196763" w:rsidRPr="00196763" w:rsidRDefault="0019676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noProof/>
          <w:sz w:val="24"/>
          <w:szCs w:val="24"/>
          <w:lang w:eastAsia="it-IT"/>
        </w:rPr>
        <w:drawing>
          <wp:inline distT="0" distB="0" distL="0" distR="0" wp14:anchorId="3636B316" wp14:editId="4336CEE3">
            <wp:extent cx="1618343" cy="485774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6393" t="46444" r="37761" b="41143"/>
                    <a:stretch/>
                  </pic:blipFill>
                  <pic:spPr bwMode="auto">
                    <a:xfrm>
                      <a:off x="0" y="0"/>
                      <a:ext cx="1618907" cy="485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Formula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Pr="00196763">
        <w:rPr>
          <w:rFonts w:cstheme="minorHAnsi"/>
          <w:sz w:val="24"/>
          <w:szCs w:val="24"/>
        </w:rPr>
        <w:t>C</w:t>
      </w:r>
      <w:r w:rsidRPr="00196763">
        <w:rPr>
          <w:rFonts w:cstheme="minorHAnsi"/>
          <w:sz w:val="24"/>
          <w:szCs w:val="24"/>
          <w:vertAlign w:val="subscript"/>
        </w:rPr>
        <w:t>1</w:t>
      </w:r>
      <w:r w:rsidRPr="00196763">
        <w:rPr>
          <w:rFonts w:cstheme="minorHAnsi"/>
          <w:sz w:val="24"/>
          <w:szCs w:val="24"/>
        </w:rPr>
        <w:t>4H</w:t>
      </w:r>
      <w:r w:rsidRPr="00196763">
        <w:rPr>
          <w:rFonts w:cstheme="minorHAnsi"/>
          <w:sz w:val="24"/>
          <w:szCs w:val="24"/>
          <w:vertAlign w:val="subscript"/>
        </w:rPr>
        <w:t>23</w:t>
      </w:r>
      <w:r w:rsidRPr="00196763">
        <w:rPr>
          <w:rFonts w:cstheme="minorHAnsi"/>
          <w:sz w:val="24"/>
          <w:szCs w:val="24"/>
        </w:rPr>
        <w:t>ClN</w:t>
      </w:r>
      <w:r w:rsidRPr="00196763">
        <w:rPr>
          <w:rFonts w:cstheme="minorHAnsi"/>
          <w:sz w:val="24"/>
          <w:szCs w:val="24"/>
          <w:vertAlign w:val="subscript"/>
        </w:rPr>
        <w:t>2</w:t>
      </w:r>
      <w:proofErr w:type="gramStart"/>
      <w:r w:rsidRPr="00196763">
        <w:rPr>
          <w:rFonts w:cstheme="minorHAnsi"/>
          <w:sz w:val="24"/>
          <w:szCs w:val="24"/>
        </w:rPr>
        <w:t>O,H</w:t>
      </w:r>
      <w:r w:rsidRPr="00196763">
        <w:rPr>
          <w:rFonts w:cstheme="minorHAnsi"/>
          <w:sz w:val="24"/>
          <w:szCs w:val="24"/>
          <w:vertAlign w:val="subscript"/>
        </w:rPr>
        <w:t>2</w:t>
      </w:r>
      <w:r w:rsidRPr="00196763">
        <w:rPr>
          <w:rFonts w:cstheme="minorHAnsi"/>
          <w:sz w:val="24"/>
          <w:szCs w:val="24"/>
        </w:rPr>
        <w:t>O</w:t>
      </w:r>
      <w:proofErr w:type="gramEnd"/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Peso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Pr="00196763">
        <w:rPr>
          <w:rFonts w:cstheme="minorHAnsi"/>
          <w:sz w:val="24"/>
          <w:szCs w:val="24"/>
        </w:rPr>
        <w:t xml:space="preserve">288.8 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196763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CAS</w:t>
      </w:r>
      <w:r w:rsidRPr="00196763">
        <w:rPr>
          <w:rFonts w:cstheme="minorHAnsi"/>
          <w:sz w:val="24"/>
          <w:szCs w:val="24"/>
        </w:rPr>
        <w:t>: [6108-05-0]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Aspetto</w:t>
      </w:r>
      <w:r w:rsidRPr="00196763">
        <w:rPr>
          <w:rFonts w:ascii="Calibri" w:hAnsi="Calibri"/>
          <w:sz w:val="24"/>
          <w:szCs w:val="24"/>
        </w:rPr>
        <w:t>: polvere cristallina, da bianca a biancastra.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Solubilità</w:t>
      </w:r>
      <w:r w:rsidRPr="00196763">
        <w:rPr>
          <w:rFonts w:ascii="Calibri" w:hAnsi="Calibri"/>
          <w:sz w:val="24"/>
          <w:szCs w:val="24"/>
        </w:rPr>
        <w:t xml:space="preserve">: solubilissimo in acqua, molto solubile in etanolo (96%). 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A09B3" w:rsidRPr="00196763" w:rsidRDefault="00DA09B3" w:rsidP="00DA09B3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 xml:space="preserve">Il principio attivo </w:t>
      </w:r>
      <w:r w:rsidRPr="00196763">
        <w:rPr>
          <w:sz w:val="24"/>
          <w:szCs w:val="24"/>
        </w:rPr>
        <w:t>lidocaina cloridrato monoidrato</w:t>
      </w:r>
      <w:r w:rsidRPr="00196763">
        <w:rPr>
          <w:rStyle w:val="NessunoA"/>
          <w:color w:val="auto"/>
          <w:sz w:val="24"/>
          <w:szCs w:val="24"/>
        </w:rPr>
        <w:t xml:space="preserve"> è presente in Farmacopea Europea e il </w:t>
      </w:r>
      <w:proofErr w:type="spellStart"/>
      <w:r w:rsidRPr="00196763">
        <w:rPr>
          <w:rStyle w:val="NessunoA"/>
          <w:color w:val="auto"/>
          <w:sz w:val="24"/>
          <w:szCs w:val="24"/>
        </w:rPr>
        <w:t>Direttorato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Europeo per la Qualità dei Medicinali (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European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Directorate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for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Quality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of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Medicinals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– EDQM) ha rilasciato ai produttori proposti il certificato di conformità alla Farmacopea Europea.</w:t>
      </w:r>
    </w:p>
    <w:p w:rsidR="00DA09B3" w:rsidRPr="00196763" w:rsidRDefault="00DA09B3" w:rsidP="00DA09B3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>Tutti gli aspetti di produzione e controllo sono coperti dal certificato di conformità alla Farmacopea Europea.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lastRenderedPageBreak/>
        <w:t xml:space="preserve">Il periodo di </w:t>
      </w:r>
      <w:proofErr w:type="spellStart"/>
      <w:r w:rsidRPr="00196763">
        <w:rPr>
          <w:rFonts w:ascii="Calibri" w:hAnsi="Calibri"/>
          <w:i/>
          <w:sz w:val="24"/>
          <w:szCs w:val="24"/>
        </w:rPr>
        <w:t>retest</w:t>
      </w:r>
      <w:proofErr w:type="spellEnd"/>
      <w:r w:rsidRPr="00196763">
        <w:rPr>
          <w:rFonts w:ascii="Calibri" w:hAnsi="Calibri"/>
          <w:sz w:val="24"/>
          <w:szCs w:val="24"/>
        </w:rPr>
        <w:t xml:space="preserve"> è definito in 60 mesi, quando conservato in doppia sacca in polietilene inserito in un fustino in fibra.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B7AC8" w:rsidRPr="00196763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II.2 PRODOTTO FINITO</w:t>
      </w: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Descrizione e composizione</w:t>
      </w:r>
    </w:p>
    <w:p w:rsidR="00D55F57" w:rsidRPr="00196763" w:rsidRDefault="003D3566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D55F57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D55F57" w:rsidRPr="00196763">
        <w:rPr>
          <w:rFonts w:ascii="Calibri" w:eastAsia="Calibri" w:hAnsi="Calibri" w:cs="Calibri"/>
          <w:sz w:val="24"/>
          <w:szCs w:val="24"/>
        </w:rPr>
        <w:t xml:space="preserve">è disponibile </w:t>
      </w:r>
      <w:r w:rsidR="002B0A82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soluzione iniettabile contenenti i principi attivi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disodio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 xml:space="preserve"> (sale disodico dell’acido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>) e lidocaina cloridrato</w:t>
      </w:r>
      <w:r w:rsidR="002B0A82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al dosaggio </w:t>
      </w:r>
      <w:r w:rsidR="002B0A82" w:rsidRPr="00196763">
        <w:rPr>
          <w:rFonts w:cstheme="minorHAnsi"/>
          <w:snapToGrid w:val="0"/>
          <w:sz w:val="24"/>
          <w:szCs w:val="24"/>
        </w:rPr>
        <w:t>100 mg + 33 mg o 200 mg + 40 mg</w:t>
      </w:r>
      <w:r w:rsidR="00D55F57"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6D7F9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Gli eccipienti </w:t>
      </w:r>
      <w:r w:rsidR="002B0A82" w:rsidRPr="00196763">
        <w:rPr>
          <w:rFonts w:ascii="Calibri" w:hAnsi="Calibri"/>
          <w:sz w:val="24"/>
          <w:szCs w:val="24"/>
        </w:rPr>
        <w:t xml:space="preserve">sono </w:t>
      </w:r>
      <w:r w:rsidR="006D7F91" w:rsidRPr="00196763">
        <w:rPr>
          <w:rFonts w:ascii="Calibri" w:hAnsi="Calibri"/>
          <w:sz w:val="24"/>
          <w:szCs w:val="24"/>
        </w:rPr>
        <w:t>sodio idrogeno carbonato e acqua per preparazioni iniettabili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Tutti gli eccipienti sono conformi alle relative monografie</w:t>
      </w:r>
      <w:r w:rsidR="0012623C" w:rsidRPr="00196763">
        <w:rPr>
          <w:rFonts w:ascii="Calibri" w:hAnsi="Calibri"/>
          <w:sz w:val="24"/>
          <w:szCs w:val="24"/>
        </w:rPr>
        <w:t xml:space="preserve"> di Farmacopea Europea</w:t>
      </w:r>
      <w:r w:rsidRPr="00196763">
        <w:rPr>
          <w:rStyle w:val="Hyperlink0"/>
          <w:rFonts w:ascii="Calibri" w:hAnsi="Calibri"/>
          <w:sz w:val="24"/>
          <w:szCs w:val="24"/>
        </w:rPr>
        <w:t xml:space="preserve">.  </w:t>
      </w:r>
    </w:p>
    <w:p w:rsidR="00D55F57" w:rsidRPr="00196763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Nessun eccipiente è </w:t>
      </w:r>
      <w:r w:rsidR="002B0A82" w:rsidRPr="00196763">
        <w:rPr>
          <w:rFonts w:ascii="Calibri" w:hAnsi="Calibri"/>
          <w:sz w:val="24"/>
          <w:szCs w:val="24"/>
        </w:rPr>
        <w:t xml:space="preserve">di origine animale. Nessun eccipiente è </w:t>
      </w:r>
      <w:r w:rsidRPr="00196763">
        <w:rPr>
          <w:rFonts w:ascii="Calibri" w:hAnsi="Calibri"/>
          <w:sz w:val="24"/>
          <w:szCs w:val="24"/>
        </w:rPr>
        <w:t>ottenuto da organismi geneticamente modificati; non sono presenti eccipienti mai utilizzati nell’uomo.</w:t>
      </w:r>
    </w:p>
    <w:p w:rsidR="00D55F57" w:rsidRPr="00196763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Sviluppo farmaceutico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Sono stati forniti dettagli dello sviluppo farmaceutico e questi sono stati ritenuti soddisfacenti.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 xml:space="preserve">Produzione 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Sono stati forniti una descrizione del metodo di produzione e il relativo </w:t>
      </w:r>
      <w:r w:rsidRPr="00196763">
        <w:rPr>
          <w:rFonts w:ascii="Calibri" w:hAnsi="Calibri"/>
          <w:i/>
          <w:sz w:val="24"/>
          <w:szCs w:val="24"/>
        </w:rPr>
        <w:t>flow-chart</w:t>
      </w:r>
      <w:r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Specifiche del prodotto finito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</w:t>
      </w:r>
      <w:r w:rsidR="002B0A82" w:rsidRPr="00196763">
        <w:rPr>
          <w:rFonts w:ascii="Calibri" w:hAnsi="Calibri"/>
          <w:sz w:val="24"/>
          <w:szCs w:val="24"/>
        </w:rPr>
        <w:t>dati adeguati</w:t>
      </w:r>
      <w:r w:rsidRPr="00196763">
        <w:rPr>
          <w:rFonts w:ascii="Calibri" w:hAnsi="Calibri"/>
          <w:sz w:val="24"/>
          <w:szCs w:val="24"/>
        </w:rPr>
        <w:t xml:space="preserve"> per gli standard di riferimento utilizzati.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Contenitore</w:t>
      </w:r>
    </w:p>
    <w:p w:rsidR="00D55F57" w:rsidRPr="00196763" w:rsidRDefault="003D3566" w:rsidP="006D7F9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100 mg + 33 mg è disponibile in fiale da 3,3 </w:t>
      </w:r>
      <w:proofErr w:type="spellStart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>mL</w:t>
      </w:r>
      <w:proofErr w:type="spellEnd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vetro neutro incolore</w:t>
      </w:r>
      <w:r w:rsidR="00D55F57" w:rsidRPr="00196763">
        <w:rPr>
          <w:rFonts w:ascii="Calibri" w:hAnsi="Calibri"/>
          <w:sz w:val="24"/>
          <w:szCs w:val="24"/>
        </w:rPr>
        <w:t>.</w:t>
      </w:r>
      <w:r w:rsidR="006D7F91" w:rsidRPr="00196763">
        <w:rPr>
          <w:rFonts w:ascii="Calibri" w:hAnsi="Calibri"/>
          <w:sz w:val="24"/>
          <w:szCs w:val="24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200 mg + 40 mg è disponibile in fiale da 4 </w:t>
      </w:r>
      <w:proofErr w:type="spellStart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>mL</w:t>
      </w:r>
      <w:proofErr w:type="spellEnd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vetro neutro incolore</w:t>
      </w:r>
      <w:r w:rsidR="006D7F91"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Sono state fornite specifiche e certificati analitici per tutti i componenti del confezionamento primario, che è adeguato per il medicinale.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Stabilità</w:t>
      </w:r>
    </w:p>
    <w:p w:rsidR="004E5A39" w:rsidRPr="00196763" w:rsidRDefault="00D55F57" w:rsidP="00D55F5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 è stato autorizzato un periodo di validità per il prodotto integro pari a </w:t>
      </w:r>
      <w:r w:rsidR="006D7F91" w:rsidRPr="00196763">
        <w:rPr>
          <w:rFonts w:ascii="Calibri" w:hAnsi="Calibri"/>
          <w:sz w:val="24"/>
          <w:szCs w:val="24"/>
        </w:rPr>
        <w:t>36 mesi</w:t>
      </w:r>
      <w:r w:rsidRPr="00196763">
        <w:rPr>
          <w:rFonts w:ascii="Calibri" w:hAnsi="Calibri"/>
          <w:sz w:val="24"/>
          <w:szCs w:val="24"/>
        </w:rPr>
        <w:t xml:space="preserve">, </w:t>
      </w:r>
      <w:r w:rsidR="006D7F91" w:rsidRPr="00196763">
        <w:rPr>
          <w:rFonts w:ascii="Calibri" w:hAnsi="Calibri"/>
          <w:sz w:val="24"/>
          <w:szCs w:val="24"/>
        </w:rPr>
        <w:t>senza nessuna condizione particolare di conservazione</w:t>
      </w:r>
      <w:r w:rsidRPr="00196763">
        <w:rPr>
          <w:rFonts w:ascii="Calibri" w:hAnsi="Calibri"/>
          <w:sz w:val="24"/>
          <w:szCs w:val="24"/>
        </w:rPr>
        <w:t>.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:rsidR="004E5A39" w:rsidRPr="00A31CC1" w:rsidRDefault="0012623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</w:t>
      </w:r>
      <w:r w:rsidR="004E5A39" w:rsidRPr="00A31CC1">
        <w:rPr>
          <w:rFonts w:cstheme="minorHAnsi"/>
          <w:sz w:val="24"/>
          <w:szCs w:val="24"/>
        </w:rPr>
        <w:t xml:space="preserve"> qualità 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="009041E2">
        <w:rPr>
          <w:rFonts w:cstheme="minorHAnsi"/>
          <w:sz w:val="24"/>
          <w:szCs w:val="24"/>
        </w:rPr>
        <w:t xml:space="preserve"> </w:t>
      </w:r>
      <w:r w:rsidR="00BA0ACD" w:rsidRPr="00A31CC1">
        <w:rPr>
          <w:rFonts w:cstheme="minorHAnsi"/>
          <w:sz w:val="24"/>
          <w:szCs w:val="24"/>
        </w:rPr>
        <w:t>present</w:t>
      </w:r>
      <w:r w:rsidR="006D7F91">
        <w:rPr>
          <w:rFonts w:cstheme="minorHAnsi"/>
          <w:sz w:val="24"/>
          <w:szCs w:val="24"/>
        </w:rPr>
        <w:t>i</w:t>
      </w:r>
      <w:r w:rsidR="00BA0ACD" w:rsidRPr="00A31CC1">
        <w:rPr>
          <w:rFonts w:cstheme="minorHAnsi"/>
          <w:sz w:val="24"/>
          <w:szCs w:val="24"/>
        </w:rPr>
        <w:t xml:space="preserve"> nel medicinale di riferimento</w:t>
      </w:r>
      <w:r w:rsidRPr="00A31CC1">
        <w:rPr>
          <w:rFonts w:cstheme="minorHAnsi"/>
          <w:sz w:val="24"/>
          <w:szCs w:val="24"/>
        </w:rPr>
        <w:t xml:space="preserve">: questo approccio è accettabile poiché il medicinale di riferimento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9F395B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autorizzato in Italia da oltre 10 anni</w:t>
      </w:r>
      <w:r w:rsidR="000808A3" w:rsidRPr="00A31CC1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:rsidR="00610BAB" w:rsidRPr="00A31CC1" w:rsidRDefault="00610BAB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:rsidR="00853EC6" w:rsidRPr="00A31CC1" w:rsidRDefault="003D3566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B6FC1">
        <w:rPr>
          <w:rFonts w:cstheme="minorHAnsi"/>
          <w:sz w:val="24"/>
          <w:szCs w:val="24"/>
        </w:rPr>
        <w:t xml:space="preserve">è </w:t>
      </w:r>
      <w:r w:rsidR="007B6FC1" w:rsidRPr="00873571">
        <w:rPr>
          <w:rFonts w:cstheme="minorHAnsi"/>
          <w:sz w:val="24"/>
          <w:szCs w:val="24"/>
        </w:rPr>
        <w:t xml:space="preserve">utilizzato </w:t>
      </w:r>
      <w:r w:rsidR="006D7F91">
        <w:rPr>
          <w:rFonts w:cstheme="minorHAnsi"/>
          <w:sz w:val="24"/>
          <w:szCs w:val="24"/>
        </w:rPr>
        <w:t>per o</w:t>
      </w:r>
      <w:r w:rsidR="006D7F91" w:rsidRPr="00A579AF">
        <w:rPr>
          <w:rFonts w:cstheme="minorHAnsi"/>
          <w:sz w:val="24"/>
          <w:szCs w:val="24"/>
        </w:rPr>
        <w:t xml:space="preserve">steolisi tumorali, </w:t>
      </w:r>
      <w:r w:rsidR="006D7F91">
        <w:rPr>
          <w:rFonts w:cstheme="minorHAnsi"/>
          <w:sz w:val="24"/>
          <w:szCs w:val="24"/>
        </w:rPr>
        <w:t>m</w:t>
      </w:r>
      <w:r w:rsidR="006D7F91" w:rsidRPr="00A579AF">
        <w:rPr>
          <w:rFonts w:cstheme="minorHAnsi"/>
          <w:sz w:val="24"/>
          <w:szCs w:val="24"/>
        </w:rPr>
        <w:t xml:space="preserve">ieloma multiplo, </w:t>
      </w:r>
      <w:r w:rsidR="006D7F91">
        <w:rPr>
          <w:rFonts w:cstheme="minorHAnsi"/>
          <w:sz w:val="24"/>
          <w:szCs w:val="24"/>
        </w:rPr>
        <w:t>i</w:t>
      </w:r>
      <w:r w:rsidR="006D7F91" w:rsidRPr="00A579AF">
        <w:rPr>
          <w:rFonts w:cstheme="minorHAnsi"/>
          <w:sz w:val="24"/>
          <w:szCs w:val="24"/>
        </w:rPr>
        <w:t xml:space="preserve">perparatiroidismo primario, </w:t>
      </w:r>
      <w:r w:rsidR="006D7F91">
        <w:rPr>
          <w:rFonts w:cstheme="minorHAnsi"/>
          <w:sz w:val="24"/>
          <w:szCs w:val="24"/>
        </w:rPr>
        <w:t>p</w:t>
      </w:r>
      <w:r w:rsidR="006D7F91" w:rsidRPr="00A579AF">
        <w:rPr>
          <w:rFonts w:cstheme="minorHAnsi"/>
          <w:sz w:val="24"/>
          <w:szCs w:val="24"/>
        </w:rPr>
        <w:t>revenzione e trattamento</w:t>
      </w:r>
      <w:r w:rsidR="006D7F91">
        <w:rPr>
          <w:rFonts w:cstheme="minorHAnsi"/>
          <w:sz w:val="24"/>
          <w:szCs w:val="24"/>
        </w:rPr>
        <w:t xml:space="preserve"> dell'osteoporosi post-</w:t>
      </w:r>
      <w:proofErr w:type="spellStart"/>
      <w:r w:rsidR="006D7F91" w:rsidRPr="00A579AF">
        <w:rPr>
          <w:rFonts w:cstheme="minorHAnsi"/>
          <w:sz w:val="24"/>
          <w:szCs w:val="24"/>
        </w:rPr>
        <w:t>menopausale</w:t>
      </w:r>
      <w:proofErr w:type="spellEnd"/>
      <w:r w:rsidR="00853EC6" w:rsidRPr="00A31CC1">
        <w:rPr>
          <w:rFonts w:cstheme="minorHAnsi"/>
          <w:sz w:val="24"/>
          <w:szCs w:val="24"/>
        </w:rPr>
        <w:t>.</w:t>
      </w:r>
    </w:p>
    <w:p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7B35D3">
        <w:rPr>
          <w:rFonts w:cstheme="minorHAnsi"/>
          <w:b/>
          <w:sz w:val="24"/>
          <w:szCs w:val="24"/>
        </w:rPr>
        <w:t>Posologia e modalità di somministrazione</w:t>
      </w: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7B35D3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7B35D3">
        <w:rPr>
          <w:rFonts w:eastAsia="Calibri" w:cstheme="minorHAnsi"/>
          <w:sz w:val="24"/>
          <w:szCs w:val="24"/>
          <w:lang w:eastAsia="it-IT"/>
        </w:rPr>
        <w:t>(</w:t>
      </w:r>
      <w:r w:rsidR="007D5BBB" w:rsidRPr="007B35D3">
        <w:rPr>
          <w:rFonts w:cstheme="minorHAnsi"/>
          <w:sz w:val="24"/>
          <w:szCs w:val="24"/>
        </w:rPr>
        <w:t>https://medicinali.aifa.gov.it/it/#/it/</w:t>
      </w:r>
      <w:r w:rsidRPr="007B35D3">
        <w:rPr>
          <w:rFonts w:eastAsia="Calibri" w:cstheme="minorHAnsi"/>
          <w:sz w:val="24"/>
          <w:szCs w:val="24"/>
          <w:lang w:eastAsia="it-IT"/>
        </w:rPr>
        <w:t>).</w:t>
      </w: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7B35D3">
        <w:rPr>
          <w:rFonts w:eastAsia="Times New Roman" w:cstheme="minorHAnsi"/>
          <w:b/>
          <w:sz w:val="24"/>
          <w:szCs w:val="24"/>
        </w:rPr>
        <w:t>Farmacologia clinica</w:t>
      </w:r>
    </w:p>
    <w:p w:rsidR="004631F3" w:rsidRDefault="004E5A39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F4E1F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2F4E1F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nel medicinale </w:t>
      </w:r>
      <w:r w:rsidR="00BA0ACD" w:rsidRPr="00A31CC1">
        <w:rPr>
          <w:rFonts w:cstheme="minorHAnsi"/>
          <w:sz w:val="24"/>
          <w:szCs w:val="24"/>
        </w:rPr>
        <w:t xml:space="preserve">di riferimento </w:t>
      </w:r>
      <w:r w:rsidR="008C75BF">
        <w:rPr>
          <w:rFonts w:cstheme="minorHAnsi"/>
          <w:sz w:val="24"/>
          <w:szCs w:val="24"/>
        </w:rPr>
        <w:t>CLASTEON</w:t>
      </w:r>
      <w:r w:rsidR="00FF0CE7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="007B6FC1">
        <w:rPr>
          <w:rFonts w:cstheme="minorHAnsi"/>
          <w:sz w:val="24"/>
          <w:szCs w:val="24"/>
        </w:rPr>
        <w:t>anni</w:t>
      </w:r>
      <w:r w:rsidRPr="00A31CC1">
        <w:rPr>
          <w:rFonts w:cstheme="minorHAnsi"/>
          <w:sz w:val="24"/>
          <w:szCs w:val="24"/>
        </w:rPr>
        <w:t>.</w:t>
      </w:r>
      <w:r w:rsidR="006727BD" w:rsidRPr="00A31CC1">
        <w:rPr>
          <w:rFonts w:cstheme="minorHAnsi"/>
          <w:sz w:val="24"/>
          <w:szCs w:val="24"/>
        </w:rPr>
        <w:t xml:space="preserve"> </w:t>
      </w:r>
    </w:p>
    <w:p w:rsidR="007B6FC1" w:rsidRPr="00A31CC1" w:rsidRDefault="007B6FC1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049A1" w:rsidRPr="00A31CC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:rsidR="002F4E1F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:rsidR="00FF0CE7" w:rsidRPr="00A31CC1" w:rsidRDefault="003D3566" w:rsidP="00FF0CE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FF0CE7" w:rsidRPr="00A31CC1">
        <w:rPr>
          <w:rFonts w:cstheme="minorHAnsi"/>
          <w:sz w:val="24"/>
          <w:szCs w:val="24"/>
        </w:rPr>
        <w:t xml:space="preserve"> </w:t>
      </w:r>
      <w:r w:rsidR="00386429" w:rsidRPr="00D55F57">
        <w:rPr>
          <w:rFonts w:cstheme="minorHAnsi"/>
          <w:sz w:val="24"/>
          <w:szCs w:val="24"/>
        </w:rPr>
        <w:t xml:space="preserve">è somministrato </w:t>
      </w:r>
      <w:r w:rsidR="006D7F91" w:rsidRPr="00A31CC1">
        <w:rPr>
          <w:rFonts w:cstheme="minorHAnsi"/>
          <w:sz w:val="24"/>
          <w:szCs w:val="24"/>
        </w:rPr>
        <w:t xml:space="preserve">come </w:t>
      </w:r>
      <w:r w:rsidR="006D7F91">
        <w:rPr>
          <w:rFonts w:cstheme="minorHAnsi"/>
          <w:sz w:val="24"/>
          <w:szCs w:val="24"/>
        </w:rPr>
        <w:t xml:space="preserve">soluzione iniettabile </w:t>
      </w:r>
      <w:r w:rsidR="006D7F91" w:rsidRPr="00D55F57">
        <w:rPr>
          <w:rFonts w:cstheme="minorHAnsi"/>
          <w:sz w:val="24"/>
          <w:szCs w:val="24"/>
        </w:rPr>
        <w:t xml:space="preserve">nella stessa composizione </w:t>
      </w:r>
      <w:r w:rsidR="006D7F91">
        <w:rPr>
          <w:rFonts w:cstheme="minorHAnsi"/>
          <w:sz w:val="24"/>
          <w:szCs w:val="24"/>
        </w:rPr>
        <w:t xml:space="preserve">in sostanza attiva </w:t>
      </w:r>
      <w:r w:rsidR="006D7F91" w:rsidRPr="00D55F57">
        <w:rPr>
          <w:rFonts w:cstheme="minorHAnsi"/>
          <w:sz w:val="24"/>
          <w:szCs w:val="24"/>
        </w:rPr>
        <w:t>del medicinale di rifermento</w:t>
      </w:r>
      <w:r w:rsidR="006D7F91">
        <w:rPr>
          <w:rFonts w:cstheme="minorHAnsi"/>
          <w:sz w:val="24"/>
          <w:szCs w:val="24"/>
        </w:rPr>
        <w:t xml:space="preserve"> CLASTEON, contiene gli stessi eccipienti in quantità simile</w:t>
      </w:r>
      <w:r w:rsidR="006D7F91" w:rsidRPr="005A79EC">
        <w:rPr>
          <w:rFonts w:cstheme="minorHAnsi"/>
          <w:sz w:val="24"/>
          <w:szCs w:val="24"/>
        </w:rPr>
        <w:t xml:space="preserve"> </w:t>
      </w:r>
      <w:r w:rsidR="006D7F91">
        <w:rPr>
          <w:rFonts w:cstheme="minorHAnsi"/>
          <w:sz w:val="24"/>
          <w:szCs w:val="24"/>
        </w:rPr>
        <w:t xml:space="preserve">e </w:t>
      </w:r>
      <w:r w:rsidR="006D7F91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6D7F91" w:rsidRPr="00A579AF">
        <w:rPr>
          <w:rFonts w:cstheme="minorHAnsi"/>
          <w:i/>
          <w:sz w:val="24"/>
          <w:szCs w:val="24"/>
        </w:rPr>
        <w:t>in vitro</w:t>
      </w:r>
      <w:r w:rsidR="006D7F91">
        <w:rPr>
          <w:rFonts w:cstheme="minorHAnsi"/>
          <w:sz w:val="24"/>
          <w:szCs w:val="24"/>
        </w:rPr>
        <w:t>.</w:t>
      </w:r>
      <w:r w:rsidR="00FF0CE7">
        <w:rPr>
          <w:rFonts w:cstheme="minorHAnsi"/>
          <w:sz w:val="24"/>
          <w:szCs w:val="24"/>
        </w:rPr>
        <w:t xml:space="preserve"> Pertanto,</w:t>
      </w:r>
      <w:r w:rsidR="00FF0CE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F0CE7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386429">
        <w:rPr>
          <w:rFonts w:cstheme="minorHAnsi"/>
          <w:sz w:val="24"/>
          <w:szCs w:val="24"/>
        </w:rPr>
        <w:t xml:space="preserve"> </w:t>
      </w:r>
      <w:r w:rsidR="006D7F91" w:rsidRPr="006D7F91">
        <w:rPr>
          <w:rFonts w:cstheme="minorHAnsi"/>
          <w:sz w:val="24"/>
          <w:szCs w:val="24"/>
        </w:rPr>
        <w:t>in accordo a quanto previsto da “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Guideline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on the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Investigation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of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Bioequivalence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CPMP/EWP/QWP/1401/98 Rev. 1/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Corr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*,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Appendix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II</w:t>
      </w:r>
      <w:r w:rsidR="006D7F91">
        <w:rPr>
          <w:rFonts w:cstheme="minorHAnsi"/>
          <w:sz w:val="24"/>
          <w:szCs w:val="24"/>
        </w:rPr>
        <w:t>”</w:t>
      </w:r>
      <w:r w:rsidR="00FF0CE7" w:rsidRPr="00A31CC1">
        <w:rPr>
          <w:rFonts w:cstheme="minorHAnsi"/>
          <w:sz w:val="24"/>
          <w:szCs w:val="24"/>
        </w:rPr>
        <w:t xml:space="preserve">. </w:t>
      </w:r>
    </w:p>
    <w:p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5B15" w:rsidRPr="00A31CC1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proofErr w:type="spellStart"/>
      <w:r w:rsidRPr="00A31CC1">
        <w:rPr>
          <w:rFonts w:cstheme="minorHAnsi"/>
          <w:b/>
          <w:i/>
          <w:sz w:val="24"/>
          <w:szCs w:val="24"/>
        </w:rPr>
        <w:t>Risk</w:t>
      </w:r>
      <w:proofErr w:type="spellEnd"/>
      <w:r w:rsidRPr="00A31CC1">
        <w:rPr>
          <w:rFonts w:cstheme="minorHAnsi"/>
          <w:b/>
          <w:i/>
          <w:sz w:val="24"/>
          <w:szCs w:val="24"/>
        </w:rPr>
        <w:t xml:space="preserve">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:rsidR="004E5A39" w:rsidRPr="00A31CC1" w:rsidRDefault="0059055D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 w:firstRow="1" w:lastRow="1" w:firstColumn="1" w:lastColumn="1" w:noHBand="0" w:noVBand="1"/>
      </w:tblPr>
      <w:tblGrid>
        <w:gridCol w:w="3167"/>
        <w:gridCol w:w="6717"/>
      </w:tblGrid>
      <w:tr w:rsidR="0059055D" w:rsidRPr="0059055D" w:rsidTr="00D02C4C">
        <w:trPr>
          <w:trHeight w:val="408"/>
        </w:trPr>
        <w:tc>
          <w:tcPr>
            <w:tcW w:w="1602" w:type="pct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Rischi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importanti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identificati</w:t>
            </w:r>
            <w:proofErr w:type="spellEnd"/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Osteonecrosi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della mandibola (per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408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Compromissione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renale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 xml:space="preserve"> (per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clodronato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)</w:t>
            </w:r>
          </w:p>
        </w:tc>
      </w:tr>
      <w:tr w:rsidR="0059055D" w:rsidRPr="0059055D" w:rsidTr="00D02C4C">
        <w:trPr>
          <w:trHeight w:val="408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Tossicità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cardiaca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 xml:space="preserve"> (per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lidocaina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)</w:t>
            </w:r>
          </w:p>
        </w:tc>
      </w:tr>
      <w:tr w:rsidR="0059055D" w:rsidRPr="0059055D" w:rsidTr="00D02C4C">
        <w:trPr>
          <w:trHeight w:val="408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Del="00560856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Tossicità del Sistema nervoso centrale (per lidocaina)</w:t>
            </w:r>
          </w:p>
        </w:tc>
      </w:tr>
      <w:tr w:rsidR="0059055D" w:rsidRPr="0059055D" w:rsidTr="00D02C4C">
        <w:trPr>
          <w:trHeight w:val="412"/>
        </w:trPr>
        <w:tc>
          <w:tcPr>
            <w:tcW w:w="1602" w:type="pct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Rischi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importanti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potenziali</w:t>
            </w:r>
            <w:proofErr w:type="spellEnd"/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Aumento del livello delle transaminasi (per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220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 xml:space="preserve">Disturbi oculari e visivi </w:t>
            </w:r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 xml:space="preserve">(per </w:t>
            </w:r>
            <w:proofErr w:type="spellStart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220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proofErr w:type="spellStart"/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>Osteonecrosi</w:t>
            </w:r>
            <w:proofErr w:type="spellEnd"/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 xml:space="preserve"> del canale uditivo esterno </w:t>
            </w:r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 xml:space="preserve">(per </w:t>
            </w:r>
            <w:proofErr w:type="spellStart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220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 xml:space="preserve">Frattura atipica del femore </w:t>
            </w:r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 xml:space="preserve">(per </w:t>
            </w:r>
            <w:proofErr w:type="spellStart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220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>Crisi di ipertermia familiare maligna nei pazienti a rischio (per lidocaina)</w:t>
            </w:r>
          </w:p>
        </w:tc>
      </w:tr>
      <w:tr w:rsidR="0059055D" w:rsidRPr="0059055D" w:rsidTr="00D02C4C">
        <w:trPr>
          <w:trHeight w:val="606"/>
        </w:trPr>
        <w:tc>
          <w:tcPr>
            <w:tcW w:w="1602" w:type="pct"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Informazioni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mancanti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 xml:space="preserve">Fertilità, gravidanza e allattamento (per </w:t>
            </w:r>
            <w:proofErr w:type="spellStart"/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>clodronato</w:t>
            </w:r>
            <w:proofErr w:type="spellEnd"/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>)</w:t>
            </w:r>
          </w:p>
        </w:tc>
      </w:tr>
    </w:tbl>
    <w:p w:rsidR="0059055D" w:rsidRDefault="0059055D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2E75F8" w:rsidRPr="002E75F8" w:rsidRDefault="002E75F8" w:rsidP="002E75F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:rsidR="009254CC" w:rsidRPr="00A31CC1" w:rsidRDefault="002E75F8" w:rsidP="002E75F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>Oltre le misure previste nel Riassunto delle caratteristiche del prodotto non sono previste attività addizional</w:t>
      </w:r>
      <w:r>
        <w:rPr>
          <w:rFonts w:cstheme="minorHAnsi"/>
          <w:sz w:val="24"/>
          <w:szCs w:val="24"/>
        </w:rPr>
        <w:t>i di minimizzazione del rischio</w:t>
      </w:r>
      <w:r w:rsidR="00386429" w:rsidRPr="00386429">
        <w:rPr>
          <w:rFonts w:cstheme="minorHAnsi"/>
          <w:sz w:val="24"/>
          <w:szCs w:val="24"/>
        </w:rPr>
        <w:t>.</w:t>
      </w:r>
      <w:r w:rsidR="009254CC" w:rsidRPr="00A31CC1">
        <w:rPr>
          <w:rFonts w:cstheme="minorHAnsi"/>
          <w:sz w:val="24"/>
          <w:szCs w:val="24"/>
        </w:rPr>
        <w:t xml:space="preserve">  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2F4E1F">
        <w:rPr>
          <w:rFonts w:cstheme="minorHAnsi"/>
          <w:i/>
          <w:sz w:val="24"/>
          <w:szCs w:val="24"/>
        </w:rPr>
        <w:t>Summary</w:t>
      </w:r>
      <w:proofErr w:type="spellEnd"/>
      <w:r w:rsidR="009568D6" w:rsidRPr="002F4E1F">
        <w:rPr>
          <w:rFonts w:cstheme="minorHAnsi"/>
          <w:i/>
          <w:sz w:val="24"/>
          <w:szCs w:val="24"/>
        </w:rPr>
        <w:t xml:space="preserve"> </w:t>
      </w:r>
      <w:r w:rsidRPr="002F4E1F">
        <w:rPr>
          <w:rFonts w:cstheme="minorHAnsi"/>
          <w:i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:rsidR="004E5A39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:rsidR="003974FD" w:rsidRPr="00A31CC1" w:rsidRDefault="002E75F8" w:rsidP="003974F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2E75F8">
        <w:rPr>
          <w:rFonts w:cstheme="minorHAnsi"/>
          <w:sz w:val="24"/>
          <w:szCs w:val="24"/>
        </w:rPr>
        <w:t>s.m.i.</w:t>
      </w:r>
      <w:proofErr w:type="spellEnd"/>
      <w:r w:rsidRPr="002E75F8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</w:t>
      </w:r>
      <w:r>
        <w:rPr>
          <w:rFonts w:cstheme="minorHAnsi"/>
          <w:sz w:val="24"/>
          <w:szCs w:val="24"/>
        </w:rPr>
        <w:t>vo dei medicinali per uso umano</w:t>
      </w:r>
      <w:r w:rsidR="003974FD">
        <w:rPr>
          <w:rFonts w:cstheme="minorHAnsi"/>
          <w:sz w:val="24"/>
          <w:szCs w:val="24"/>
        </w:rPr>
        <w:t>.</w:t>
      </w:r>
    </w:p>
    <w:p w:rsidR="003974FD" w:rsidRPr="00A31CC1" w:rsidRDefault="003974F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631F3" w:rsidRPr="00A31CC1" w:rsidRDefault="004631F3" w:rsidP="00125003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3D3566">
        <w:rPr>
          <w:rFonts w:eastAsia="Calibri" w:cstheme="minorHAnsi"/>
          <w:color w:val="000000"/>
          <w:sz w:val="24"/>
          <w:szCs w:val="24"/>
          <w:lang w:eastAsia="it-IT"/>
        </w:rPr>
        <w:t>MADRAS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r w:rsidR="00386429" w:rsidRPr="007B35D3">
        <w:rPr>
          <w:rFonts w:cstheme="minorHAnsi"/>
          <w:sz w:val="24"/>
          <w:szCs w:val="24"/>
        </w:rPr>
        <w:t>https://medicinali.aifa.gov.it/it/#/it/</w:t>
      </w:r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1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E88" w:rsidRDefault="004A5E88" w:rsidP="00C07183">
      <w:pPr>
        <w:spacing w:after="0" w:line="240" w:lineRule="auto"/>
      </w:pPr>
      <w:r>
        <w:separator/>
      </w:r>
    </w:p>
  </w:endnote>
  <w:endnote w:type="continuationSeparator" w:id="0">
    <w:p w:rsidR="004A5E88" w:rsidRDefault="004A5E88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F1F" w:rsidRDefault="003C60FD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0288" behindDoc="1" locked="0" layoutInCell="1" allowOverlap="1" wp14:editId="72A676DD">
          <wp:simplePos x="0" y="0"/>
          <wp:positionH relativeFrom="page">
            <wp:posOffset>9024</wp:posOffset>
          </wp:positionH>
          <wp:positionV relativeFrom="page">
            <wp:posOffset>10053989</wp:posOffset>
          </wp:positionV>
          <wp:extent cx="7560310" cy="788035"/>
          <wp:effectExtent l="0" t="0" r="2540" b="0"/>
          <wp:wrapNone/>
          <wp:docPr id="7" name="Immagin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E88" w:rsidRDefault="004A5E88" w:rsidP="00C07183">
      <w:pPr>
        <w:spacing w:after="0" w:line="240" w:lineRule="auto"/>
      </w:pPr>
      <w:r>
        <w:separator/>
      </w:r>
    </w:p>
  </w:footnote>
  <w:footnote w:type="continuationSeparator" w:id="0">
    <w:p w:rsidR="004A5E88" w:rsidRDefault="004A5E88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1B04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8791E"/>
    <w:rsid w:val="000A4BA1"/>
    <w:rsid w:val="000B7AC8"/>
    <w:rsid w:val="000C1389"/>
    <w:rsid w:val="000D2AEC"/>
    <w:rsid w:val="000E1F86"/>
    <w:rsid w:val="000E4494"/>
    <w:rsid w:val="000E4A73"/>
    <w:rsid w:val="000F658F"/>
    <w:rsid w:val="00111E9E"/>
    <w:rsid w:val="00112B76"/>
    <w:rsid w:val="00125003"/>
    <w:rsid w:val="0012623C"/>
    <w:rsid w:val="00126BC8"/>
    <w:rsid w:val="001334B1"/>
    <w:rsid w:val="001460CA"/>
    <w:rsid w:val="00172AED"/>
    <w:rsid w:val="00196763"/>
    <w:rsid w:val="001A516D"/>
    <w:rsid w:val="001A5948"/>
    <w:rsid w:val="001B2799"/>
    <w:rsid w:val="001B2B1E"/>
    <w:rsid w:val="001B599D"/>
    <w:rsid w:val="001C15DF"/>
    <w:rsid w:val="001C4323"/>
    <w:rsid w:val="001F0D20"/>
    <w:rsid w:val="001F5E2F"/>
    <w:rsid w:val="0021736D"/>
    <w:rsid w:val="00245B04"/>
    <w:rsid w:val="00252FE8"/>
    <w:rsid w:val="002554FE"/>
    <w:rsid w:val="00265B61"/>
    <w:rsid w:val="00277A0E"/>
    <w:rsid w:val="00295EEA"/>
    <w:rsid w:val="00297329"/>
    <w:rsid w:val="00297F10"/>
    <w:rsid w:val="002A1800"/>
    <w:rsid w:val="002A7EF7"/>
    <w:rsid w:val="002B0A82"/>
    <w:rsid w:val="002B662A"/>
    <w:rsid w:val="002C2324"/>
    <w:rsid w:val="002C2D9F"/>
    <w:rsid w:val="002E75F8"/>
    <w:rsid w:val="002F2543"/>
    <w:rsid w:val="002F4000"/>
    <w:rsid w:val="002F4E1F"/>
    <w:rsid w:val="00300BEA"/>
    <w:rsid w:val="00305B55"/>
    <w:rsid w:val="003061E0"/>
    <w:rsid w:val="00323648"/>
    <w:rsid w:val="003238CF"/>
    <w:rsid w:val="00330DFA"/>
    <w:rsid w:val="00340DC4"/>
    <w:rsid w:val="003460E9"/>
    <w:rsid w:val="003544C6"/>
    <w:rsid w:val="00356175"/>
    <w:rsid w:val="00367CE0"/>
    <w:rsid w:val="00386429"/>
    <w:rsid w:val="00387CA8"/>
    <w:rsid w:val="00393F1F"/>
    <w:rsid w:val="003949F9"/>
    <w:rsid w:val="003974FD"/>
    <w:rsid w:val="003B0421"/>
    <w:rsid w:val="003B68D5"/>
    <w:rsid w:val="003C054E"/>
    <w:rsid w:val="003C60FD"/>
    <w:rsid w:val="003D3566"/>
    <w:rsid w:val="003E1E83"/>
    <w:rsid w:val="003E2951"/>
    <w:rsid w:val="0041387F"/>
    <w:rsid w:val="004214DB"/>
    <w:rsid w:val="0042214D"/>
    <w:rsid w:val="00423A97"/>
    <w:rsid w:val="004241AC"/>
    <w:rsid w:val="00433C5F"/>
    <w:rsid w:val="00442A9D"/>
    <w:rsid w:val="00445DB2"/>
    <w:rsid w:val="004509BC"/>
    <w:rsid w:val="004532E2"/>
    <w:rsid w:val="004609F8"/>
    <w:rsid w:val="00461D93"/>
    <w:rsid w:val="004631F3"/>
    <w:rsid w:val="00482C32"/>
    <w:rsid w:val="004A5E88"/>
    <w:rsid w:val="004B20A8"/>
    <w:rsid w:val="004B5B15"/>
    <w:rsid w:val="004C7928"/>
    <w:rsid w:val="004D4F2A"/>
    <w:rsid w:val="004E28E5"/>
    <w:rsid w:val="004E5A39"/>
    <w:rsid w:val="004E70F5"/>
    <w:rsid w:val="004F343B"/>
    <w:rsid w:val="004F52B3"/>
    <w:rsid w:val="00500ACA"/>
    <w:rsid w:val="005049A1"/>
    <w:rsid w:val="00504FC1"/>
    <w:rsid w:val="005250B6"/>
    <w:rsid w:val="005256F6"/>
    <w:rsid w:val="005527E7"/>
    <w:rsid w:val="0056372C"/>
    <w:rsid w:val="00567615"/>
    <w:rsid w:val="005744D4"/>
    <w:rsid w:val="00577746"/>
    <w:rsid w:val="00577DAC"/>
    <w:rsid w:val="0058083D"/>
    <w:rsid w:val="005826A6"/>
    <w:rsid w:val="0059055D"/>
    <w:rsid w:val="005950D6"/>
    <w:rsid w:val="005A466E"/>
    <w:rsid w:val="005A4BBD"/>
    <w:rsid w:val="005A79EC"/>
    <w:rsid w:val="005B4C97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4089"/>
    <w:rsid w:val="0064646C"/>
    <w:rsid w:val="00652AE5"/>
    <w:rsid w:val="00654D9E"/>
    <w:rsid w:val="00663BCD"/>
    <w:rsid w:val="00664931"/>
    <w:rsid w:val="006727BD"/>
    <w:rsid w:val="00692F84"/>
    <w:rsid w:val="006A3A37"/>
    <w:rsid w:val="006A7E65"/>
    <w:rsid w:val="006B311C"/>
    <w:rsid w:val="006B3E12"/>
    <w:rsid w:val="006C0722"/>
    <w:rsid w:val="006C08B4"/>
    <w:rsid w:val="006C5811"/>
    <w:rsid w:val="006D7B8C"/>
    <w:rsid w:val="006D7F91"/>
    <w:rsid w:val="006F44C7"/>
    <w:rsid w:val="007040E0"/>
    <w:rsid w:val="00712DB3"/>
    <w:rsid w:val="00716DF5"/>
    <w:rsid w:val="007170D7"/>
    <w:rsid w:val="007221B6"/>
    <w:rsid w:val="007351FF"/>
    <w:rsid w:val="00745609"/>
    <w:rsid w:val="00747E46"/>
    <w:rsid w:val="00766E26"/>
    <w:rsid w:val="0078608F"/>
    <w:rsid w:val="0078680B"/>
    <w:rsid w:val="00797416"/>
    <w:rsid w:val="007A1C0E"/>
    <w:rsid w:val="007A23BF"/>
    <w:rsid w:val="007B35D3"/>
    <w:rsid w:val="007B6FC1"/>
    <w:rsid w:val="007C0622"/>
    <w:rsid w:val="007D2539"/>
    <w:rsid w:val="007D5BBB"/>
    <w:rsid w:val="007E4E98"/>
    <w:rsid w:val="00811B01"/>
    <w:rsid w:val="00823F4C"/>
    <w:rsid w:val="008375CF"/>
    <w:rsid w:val="00853EC6"/>
    <w:rsid w:val="008547B3"/>
    <w:rsid w:val="00860251"/>
    <w:rsid w:val="0086760D"/>
    <w:rsid w:val="00873571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BF"/>
    <w:rsid w:val="008C75F9"/>
    <w:rsid w:val="008D1529"/>
    <w:rsid w:val="008E3D9E"/>
    <w:rsid w:val="008F117D"/>
    <w:rsid w:val="009041E2"/>
    <w:rsid w:val="00910397"/>
    <w:rsid w:val="009232AA"/>
    <w:rsid w:val="009254CC"/>
    <w:rsid w:val="00943785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35BC4"/>
    <w:rsid w:val="00A40FF3"/>
    <w:rsid w:val="00A47604"/>
    <w:rsid w:val="00A579AF"/>
    <w:rsid w:val="00A62D55"/>
    <w:rsid w:val="00A83AB4"/>
    <w:rsid w:val="00A84362"/>
    <w:rsid w:val="00A86F5A"/>
    <w:rsid w:val="00A908B9"/>
    <w:rsid w:val="00A90DD0"/>
    <w:rsid w:val="00A966D1"/>
    <w:rsid w:val="00AA516E"/>
    <w:rsid w:val="00AC3E39"/>
    <w:rsid w:val="00AC586B"/>
    <w:rsid w:val="00AD051C"/>
    <w:rsid w:val="00AD4303"/>
    <w:rsid w:val="00AD4BE6"/>
    <w:rsid w:val="00AD7214"/>
    <w:rsid w:val="00AF52E2"/>
    <w:rsid w:val="00B023E9"/>
    <w:rsid w:val="00B03E01"/>
    <w:rsid w:val="00B1186F"/>
    <w:rsid w:val="00B15135"/>
    <w:rsid w:val="00B30431"/>
    <w:rsid w:val="00B51571"/>
    <w:rsid w:val="00B66CC1"/>
    <w:rsid w:val="00B862CA"/>
    <w:rsid w:val="00BA0ACD"/>
    <w:rsid w:val="00BB2AF8"/>
    <w:rsid w:val="00BB7B54"/>
    <w:rsid w:val="00BC2826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6597"/>
    <w:rsid w:val="00C74500"/>
    <w:rsid w:val="00C801B0"/>
    <w:rsid w:val="00CC1489"/>
    <w:rsid w:val="00CC52A3"/>
    <w:rsid w:val="00CC7AFF"/>
    <w:rsid w:val="00CE62A1"/>
    <w:rsid w:val="00CE7FA7"/>
    <w:rsid w:val="00CF08A6"/>
    <w:rsid w:val="00D20170"/>
    <w:rsid w:val="00D212AA"/>
    <w:rsid w:val="00D36F9A"/>
    <w:rsid w:val="00D55F57"/>
    <w:rsid w:val="00D60600"/>
    <w:rsid w:val="00D6711E"/>
    <w:rsid w:val="00D77291"/>
    <w:rsid w:val="00DA09B3"/>
    <w:rsid w:val="00DB021E"/>
    <w:rsid w:val="00DB359A"/>
    <w:rsid w:val="00DC187E"/>
    <w:rsid w:val="00DD29DC"/>
    <w:rsid w:val="00DE56E9"/>
    <w:rsid w:val="00E10D6C"/>
    <w:rsid w:val="00E207B1"/>
    <w:rsid w:val="00E20E87"/>
    <w:rsid w:val="00E25D34"/>
    <w:rsid w:val="00E26828"/>
    <w:rsid w:val="00E41201"/>
    <w:rsid w:val="00E42578"/>
    <w:rsid w:val="00E43089"/>
    <w:rsid w:val="00E83F8D"/>
    <w:rsid w:val="00E8749D"/>
    <w:rsid w:val="00EB4398"/>
    <w:rsid w:val="00EC3589"/>
    <w:rsid w:val="00ED19E3"/>
    <w:rsid w:val="00ED72E4"/>
    <w:rsid w:val="00EF062E"/>
    <w:rsid w:val="00EF53CA"/>
    <w:rsid w:val="00EF6711"/>
    <w:rsid w:val="00F1246A"/>
    <w:rsid w:val="00F27C7F"/>
    <w:rsid w:val="00F35F38"/>
    <w:rsid w:val="00F66767"/>
    <w:rsid w:val="00F67DFC"/>
    <w:rsid w:val="00F70FE8"/>
    <w:rsid w:val="00F76F77"/>
    <w:rsid w:val="00F85989"/>
    <w:rsid w:val="00F866D1"/>
    <w:rsid w:val="00F90F1F"/>
    <w:rsid w:val="00F96473"/>
    <w:rsid w:val="00F964BE"/>
    <w:rsid w:val="00FA2702"/>
    <w:rsid w:val="00FA271D"/>
    <w:rsid w:val="00FB3BF5"/>
    <w:rsid w:val="00FB4181"/>
    <w:rsid w:val="00FC0183"/>
    <w:rsid w:val="00FC3F54"/>
    <w:rsid w:val="00FD415D"/>
    <w:rsid w:val="00FF0CE7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NessunoA">
    <w:name w:val="Nessuno A"/>
    <w:rsid w:val="00D55F57"/>
    <w:rPr>
      <w:lang w:val="it-IT"/>
    </w:rPr>
  </w:style>
  <w:style w:type="character" w:customStyle="1" w:styleId="Nessuno">
    <w:name w:val="Nessuno"/>
    <w:rsid w:val="00D55F57"/>
  </w:style>
  <w:style w:type="paragraph" w:customStyle="1" w:styleId="CorpoA">
    <w:name w:val="Corpo A"/>
    <w:rsid w:val="00D55F5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">
    <w:name w:val="Hyperlink.0"/>
    <w:basedOn w:val="Carpredefinitoparagrafo"/>
    <w:rsid w:val="00D55F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3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0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1ADCE-BEFB-4F78-A727-F6DB44C1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Rovazzani Dario Davide</cp:lastModifiedBy>
  <cp:revision>6</cp:revision>
  <dcterms:created xsi:type="dcterms:W3CDTF">2025-06-10T13:42:00Z</dcterms:created>
  <dcterms:modified xsi:type="dcterms:W3CDTF">2025-06-12T10:53:00Z</dcterms:modified>
</cp:coreProperties>
</file>