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910244" w14:textId="77777777" w:rsidR="00C0641A" w:rsidRDefault="00C0641A" w:rsidP="009A35CE">
      <w:pPr>
        <w:tabs>
          <w:tab w:val="left" w:pos="1995"/>
        </w:tabs>
        <w:rPr>
          <w:noProof/>
        </w:rPr>
      </w:pPr>
    </w:p>
    <w:p w14:paraId="7910F505" w14:textId="77777777" w:rsidR="00E10D4B" w:rsidRDefault="00E10D4B" w:rsidP="00186D2B">
      <w:pPr>
        <w:tabs>
          <w:tab w:val="left" w:pos="1995"/>
        </w:tabs>
        <w:ind w:left="360"/>
        <w:jc w:val="center"/>
        <w:rPr>
          <w:noProof/>
        </w:rPr>
      </w:pPr>
    </w:p>
    <w:p w14:paraId="1A94B449" w14:textId="77777777" w:rsidR="00E10D4B" w:rsidRPr="00EB6905" w:rsidRDefault="00197CCC" w:rsidP="00186D2B">
      <w:pPr>
        <w:tabs>
          <w:tab w:val="left" w:pos="1995"/>
        </w:tabs>
        <w:ind w:left="360"/>
        <w:jc w:val="center"/>
        <w:rPr>
          <w:rFonts w:ascii="Calibri" w:hAnsi="Calibri" w:cs="Arial"/>
          <w:b/>
          <w:sz w:val="20"/>
          <w:szCs w:val="20"/>
        </w:rPr>
      </w:pPr>
      <w:r w:rsidRPr="00197CCC">
        <w:rPr>
          <w:rFonts w:ascii="Calibri" w:hAnsi="Calibri"/>
          <w:b/>
          <w:noProof/>
          <w:color w:val="808080"/>
          <w:sz w:val="20"/>
          <w:szCs w:val="20"/>
        </w:rPr>
        <w:drawing>
          <wp:inline distT="0" distB="0" distL="0" distR="0" wp14:anchorId="343241CA" wp14:editId="0712B662">
            <wp:extent cx="2542002" cy="944815"/>
            <wp:effectExtent l="0" t="0" r="0" b="0"/>
            <wp:docPr id="2" name="Immagin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magine 1"/>
                    <pic:cNvPicPr>
                      <a:picLocks/>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542002" cy="944815"/>
                    </a:xfrm>
                    <a:prstGeom prst="rect">
                      <a:avLst/>
                    </a:prstGeom>
                    <a:noFill/>
                    <a:ln>
                      <a:noFill/>
                    </a:ln>
                  </pic:spPr>
                </pic:pic>
              </a:graphicData>
            </a:graphic>
          </wp:inline>
        </w:drawing>
      </w:r>
    </w:p>
    <w:p w14:paraId="55D5048C" w14:textId="77777777" w:rsidR="00D23B40" w:rsidRPr="00EB6905" w:rsidRDefault="00D23B40" w:rsidP="00AD4120">
      <w:pPr>
        <w:pStyle w:val="Titolo5"/>
        <w:jc w:val="left"/>
        <w:rPr>
          <w:rFonts w:ascii="Calibri" w:hAnsi="Calibri"/>
          <w:sz w:val="24"/>
          <w:szCs w:val="24"/>
        </w:rPr>
      </w:pPr>
    </w:p>
    <w:p w14:paraId="681C5941" w14:textId="77777777" w:rsidR="00F7268E" w:rsidRDefault="00F7268E" w:rsidP="004A3704">
      <w:pPr>
        <w:pStyle w:val="Titolo5"/>
        <w:rPr>
          <w:rFonts w:ascii="Calibri" w:hAnsi="Calibri"/>
          <w:sz w:val="24"/>
          <w:szCs w:val="24"/>
        </w:rPr>
      </w:pPr>
    </w:p>
    <w:p w14:paraId="6496B2BB" w14:textId="77777777" w:rsidR="00EA42D3" w:rsidRDefault="009A35CE" w:rsidP="009A35CE">
      <w:pPr>
        <w:jc w:val="center"/>
        <w:rPr>
          <w:rFonts w:ascii="Calibri" w:hAnsi="Calibri" w:cs="Calibri"/>
          <w:b/>
          <w:bCs/>
        </w:rPr>
      </w:pPr>
      <w:r w:rsidRPr="00EA42D3">
        <w:rPr>
          <w:rFonts w:ascii="Calibri" w:hAnsi="Calibri" w:cs="Calibri"/>
          <w:b/>
          <w:bCs/>
        </w:rPr>
        <w:t>DICHIARAZIONE SULLA INSUSSISTENZA DI CAUSE DI INCONFERIBILITA’</w:t>
      </w:r>
    </w:p>
    <w:p w14:paraId="676BBE79" w14:textId="70C502A8" w:rsidR="001B0405" w:rsidRDefault="009A35CE" w:rsidP="009A35CE">
      <w:pPr>
        <w:jc w:val="center"/>
        <w:rPr>
          <w:rFonts w:ascii="Calibri" w:hAnsi="Calibri" w:cs="Calibri"/>
          <w:b/>
          <w:bCs/>
        </w:rPr>
      </w:pPr>
      <w:r w:rsidRPr="00EA42D3">
        <w:rPr>
          <w:rFonts w:ascii="Calibri" w:hAnsi="Calibri" w:cs="Calibri"/>
          <w:b/>
          <w:bCs/>
        </w:rPr>
        <w:t xml:space="preserve"> </w:t>
      </w:r>
      <w:r w:rsidR="001B0405">
        <w:rPr>
          <w:rFonts w:ascii="Calibri" w:hAnsi="Calibri" w:cs="Calibri"/>
          <w:b/>
          <w:bCs/>
        </w:rPr>
        <w:t>(articolo</w:t>
      </w:r>
      <w:r w:rsidRPr="00EA42D3">
        <w:rPr>
          <w:rFonts w:ascii="Calibri" w:hAnsi="Calibri" w:cs="Calibri"/>
          <w:b/>
          <w:bCs/>
        </w:rPr>
        <w:t xml:space="preserve"> 20</w:t>
      </w:r>
      <w:r w:rsidR="00EA42D3">
        <w:rPr>
          <w:rFonts w:ascii="Calibri" w:hAnsi="Calibri" w:cs="Calibri"/>
          <w:b/>
          <w:bCs/>
        </w:rPr>
        <w:t xml:space="preserve">, </w:t>
      </w:r>
      <w:r w:rsidR="001B0405">
        <w:rPr>
          <w:rFonts w:ascii="Calibri" w:hAnsi="Calibri" w:cs="Calibri"/>
          <w:b/>
          <w:bCs/>
        </w:rPr>
        <w:t>comma</w:t>
      </w:r>
      <w:r w:rsidR="00EA42D3">
        <w:rPr>
          <w:rFonts w:ascii="Calibri" w:hAnsi="Calibri" w:cs="Calibri"/>
          <w:b/>
          <w:bCs/>
        </w:rPr>
        <w:t xml:space="preserve"> 1,</w:t>
      </w:r>
      <w:r w:rsidR="001B0405">
        <w:rPr>
          <w:rFonts w:ascii="Calibri" w:hAnsi="Calibri" w:cs="Calibri"/>
          <w:b/>
          <w:bCs/>
        </w:rPr>
        <w:t xml:space="preserve"> decreto legislativo </w:t>
      </w:r>
      <w:r w:rsidR="001B0405" w:rsidRPr="001B0405">
        <w:rPr>
          <w:rFonts w:ascii="Calibri" w:hAnsi="Calibri" w:cs="Calibri"/>
          <w:b/>
          <w:bCs/>
        </w:rPr>
        <w:t>8 aprile 2013, n. 39</w:t>
      </w:r>
      <w:r w:rsidR="001B0405">
        <w:rPr>
          <w:rFonts w:ascii="Calibri" w:hAnsi="Calibri" w:cs="Calibri"/>
          <w:b/>
          <w:bCs/>
        </w:rPr>
        <w:t>)</w:t>
      </w:r>
    </w:p>
    <w:p w14:paraId="650C3240" w14:textId="77777777" w:rsidR="009A35CE" w:rsidRPr="00EA42D3" w:rsidRDefault="009A35CE" w:rsidP="009A35CE">
      <w:pPr>
        <w:pStyle w:val="Intestazione"/>
        <w:tabs>
          <w:tab w:val="left" w:pos="708"/>
        </w:tabs>
        <w:spacing w:line="360" w:lineRule="auto"/>
        <w:jc w:val="both"/>
        <w:rPr>
          <w:rFonts w:ascii="Calibri" w:hAnsi="Calibri" w:cs="Arial"/>
          <w:b/>
          <w:bCs/>
        </w:rPr>
      </w:pPr>
    </w:p>
    <w:p w14:paraId="09BBD9C8" w14:textId="48CD5FDE" w:rsidR="009F6003" w:rsidRDefault="009F6003" w:rsidP="00EA42D3">
      <w:pPr>
        <w:pStyle w:val="Intestazione"/>
        <w:tabs>
          <w:tab w:val="left" w:pos="708"/>
        </w:tabs>
        <w:spacing w:line="360" w:lineRule="auto"/>
        <w:jc w:val="both"/>
        <w:rPr>
          <w:rFonts w:ascii="Calibri" w:hAnsi="Calibri" w:cs="Arial"/>
        </w:rPr>
      </w:pPr>
      <w:r>
        <w:rPr>
          <w:rFonts w:ascii="Calibri" w:hAnsi="Calibri" w:cs="Arial"/>
        </w:rPr>
        <w:t>Il/l</w:t>
      </w:r>
      <w:r w:rsidR="00832290">
        <w:rPr>
          <w:rFonts w:ascii="Calibri" w:hAnsi="Calibri" w:cs="Arial"/>
        </w:rPr>
        <w:t>a sottoscritt</w:t>
      </w:r>
      <w:r>
        <w:rPr>
          <w:rFonts w:ascii="Calibri" w:hAnsi="Calibri" w:cs="Arial"/>
        </w:rPr>
        <w:t>o/a dott./</w:t>
      </w:r>
      <w:r w:rsidR="009859BE">
        <w:rPr>
          <w:rFonts w:ascii="Calibri" w:hAnsi="Calibri" w:cs="Arial"/>
        </w:rPr>
        <w:t>dott.</w:t>
      </w:r>
      <w:r w:rsidR="00832290">
        <w:rPr>
          <w:rFonts w:ascii="Calibri" w:hAnsi="Calibri" w:cs="Arial"/>
        </w:rPr>
        <w:t>ssa</w:t>
      </w:r>
      <w:r w:rsidR="001B0405">
        <w:rPr>
          <w:rFonts w:ascii="Calibri" w:hAnsi="Calibri" w:cs="Arial"/>
        </w:rPr>
        <w:t>………</w:t>
      </w:r>
    </w:p>
    <w:p w14:paraId="15D9F067" w14:textId="15508DFF" w:rsidR="00A72C00" w:rsidRDefault="00AF143E" w:rsidP="00EA42D3">
      <w:pPr>
        <w:pStyle w:val="Intestazione"/>
        <w:tabs>
          <w:tab w:val="left" w:pos="708"/>
        </w:tabs>
        <w:spacing w:line="360" w:lineRule="auto"/>
        <w:jc w:val="both"/>
        <w:rPr>
          <w:rFonts w:ascii="Calibri" w:hAnsi="Calibri" w:cs="Arial"/>
        </w:rPr>
      </w:pPr>
      <w:r>
        <w:rPr>
          <w:rFonts w:ascii="Calibri" w:hAnsi="Calibri" w:cs="Arial"/>
        </w:rPr>
        <w:t>d</w:t>
      </w:r>
      <w:r w:rsidR="009A35CE">
        <w:rPr>
          <w:rFonts w:ascii="Calibri" w:hAnsi="Calibri" w:cs="Arial"/>
        </w:rPr>
        <w:t>irigente</w:t>
      </w:r>
      <w:r w:rsidR="001B0405">
        <w:rPr>
          <w:rFonts w:ascii="Calibri" w:hAnsi="Calibri" w:cs="Arial"/>
        </w:rPr>
        <w:t>………………</w:t>
      </w:r>
      <w:r w:rsidR="009A35CE">
        <w:rPr>
          <w:rFonts w:ascii="Calibri" w:hAnsi="Calibri" w:cs="Arial"/>
        </w:rPr>
        <w:t xml:space="preserve"> </w:t>
      </w:r>
    </w:p>
    <w:p w14:paraId="045B1CE9" w14:textId="709C3B4A" w:rsidR="00EA42D3" w:rsidRDefault="009A35CE" w:rsidP="00EA42D3">
      <w:pPr>
        <w:pStyle w:val="Intestazione"/>
        <w:tabs>
          <w:tab w:val="left" w:pos="708"/>
        </w:tabs>
        <w:spacing w:line="360" w:lineRule="auto"/>
        <w:jc w:val="both"/>
        <w:rPr>
          <w:rFonts w:ascii="Calibri" w:hAnsi="Calibri"/>
          <w:iCs/>
        </w:rPr>
      </w:pPr>
      <w:r>
        <w:rPr>
          <w:rFonts w:ascii="Calibri" w:hAnsi="Calibri"/>
          <w:iCs/>
        </w:rPr>
        <w:t xml:space="preserve">in riferimento al conferimento dell’incarico, </w:t>
      </w:r>
      <w:r w:rsidR="00DF2D87">
        <w:rPr>
          <w:rFonts w:ascii="Calibri" w:hAnsi="Calibri"/>
          <w:iCs/>
        </w:rPr>
        <w:t>a decorrere dal</w:t>
      </w:r>
      <w:r w:rsidR="003A09B5">
        <w:rPr>
          <w:rFonts w:ascii="Calibri" w:hAnsi="Calibri"/>
          <w:iCs/>
        </w:rPr>
        <w:t>la data del provvedimento</w:t>
      </w:r>
      <w:r w:rsidR="00E96A97">
        <w:rPr>
          <w:rFonts w:ascii="Calibri" w:hAnsi="Calibri"/>
          <w:iCs/>
        </w:rPr>
        <w:t>,</w:t>
      </w:r>
      <w:r>
        <w:rPr>
          <w:rFonts w:ascii="Calibri" w:hAnsi="Calibri"/>
          <w:iCs/>
        </w:rPr>
        <w:t xml:space="preserve"> di d</w:t>
      </w:r>
      <w:r>
        <w:rPr>
          <w:rFonts w:ascii="Calibri" w:hAnsi="Calibri" w:cs="Calibri"/>
        </w:rPr>
        <w:t>irigente del</w:t>
      </w:r>
      <w:r w:rsidRPr="00EA3192">
        <w:rPr>
          <w:rFonts w:ascii="Calibri" w:hAnsi="Calibri" w:cs="Calibri"/>
        </w:rPr>
        <w:t>l’</w:t>
      </w:r>
      <w:r w:rsidR="00832290">
        <w:rPr>
          <w:rFonts w:ascii="Calibri" w:hAnsi="Calibri" w:cs="Calibri"/>
        </w:rPr>
        <w:t>Ufficio</w:t>
      </w:r>
      <w:r w:rsidR="00AF143E">
        <w:rPr>
          <w:rFonts w:ascii="Calibri" w:hAnsi="Calibri" w:cs="Calibri"/>
        </w:rPr>
        <w:t xml:space="preserve"> valutazioni cliniche</w:t>
      </w:r>
      <w:r w:rsidR="00A72C00">
        <w:rPr>
          <w:rFonts w:ascii="Calibri" w:hAnsi="Calibri" w:cs="Calibri"/>
        </w:rPr>
        <w:t>,</w:t>
      </w:r>
      <w:r w:rsidRPr="00EA3192">
        <w:rPr>
          <w:rFonts w:ascii="Calibri" w:hAnsi="Calibri" w:cs="Calibri"/>
        </w:rPr>
        <w:t xml:space="preserve"> </w:t>
      </w:r>
      <w:r>
        <w:rPr>
          <w:rFonts w:ascii="Calibri" w:hAnsi="Calibri" w:cs="Calibri"/>
        </w:rPr>
        <w:t xml:space="preserve">collocato nella fascia retributiva </w:t>
      </w:r>
      <w:r w:rsidR="00AF143E">
        <w:rPr>
          <w:rFonts w:ascii="Calibri" w:hAnsi="Calibri" w:cs="Calibri"/>
        </w:rPr>
        <w:t>B</w:t>
      </w:r>
      <w:r>
        <w:rPr>
          <w:rFonts w:ascii="Calibri" w:hAnsi="Calibri" w:cs="Calibri"/>
        </w:rPr>
        <w:t xml:space="preserve">, </w:t>
      </w:r>
      <w:r>
        <w:rPr>
          <w:rFonts w:ascii="Calibri" w:hAnsi="Calibri"/>
          <w:iCs/>
        </w:rPr>
        <w:t>consapevole</w:t>
      </w:r>
      <w:r w:rsidR="00EA42D3">
        <w:rPr>
          <w:rFonts w:ascii="Calibri" w:hAnsi="Calibri"/>
          <w:iCs/>
        </w:rPr>
        <w:t xml:space="preserve"> delle sanzioni </w:t>
      </w:r>
      <w:r w:rsidR="00EA42D3" w:rsidRPr="00EA42D3">
        <w:rPr>
          <w:rFonts w:ascii="Calibri" w:hAnsi="Calibri"/>
          <w:iCs/>
        </w:rPr>
        <w:t xml:space="preserve">previste dal codice penale e dalle disposizioni in materia </w:t>
      </w:r>
      <w:r w:rsidR="00EA42D3">
        <w:rPr>
          <w:rFonts w:ascii="Calibri" w:hAnsi="Calibri"/>
          <w:iCs/>
        </w:rPr>
        <w:t xml:space="preserve">penali nel caso di dichiarazioni </w:t>
      </w:r>
      <w:r w:rsidR="001B0405">
        <w:rPr>
          <w:rFonts w:ascii="Calibri" w:hAnsi="Calibri"/>
          <w:iCs/>
        </w:rPr>
        <w:t xml:space="preserve">mendaci, </w:t>
      </w:r>
      <w:r w:rsidR="00EA42D3">
        <w:rPr>
          <w:rFonts w:ascii="Calibri" w:hAnsi="Calibri"/>
          <w:iCs/>
        </w:rPr>
        <w:t>non veritiere e falsità negli atti, richiamate dall’art. 76</w:t>
      </w:r>
      <w:r w:rsidR="001B0405">
        <w:rPr>
          <w:rFonts w:ascii="Calibri" w:hAnsi="Calibri"/>
          <w:iCs/>
        </w:rPr>
        <w:t>,</w:t>
      </w:r>
      <w:r w:rsidR="00EA42D3">
        <w:rPr>
          <w:rFonts w:ascii="Calibri" w:hAnsi="Calibri"/>
          <w:iCs/>
        </w:rPr>
        <w:t xml:space="preserve"> D.P.R. </w:t>
      </w:r>
      <w:r w:rsidR="001B0405">
        <w:rPr>
          <w:rFonts w:ascii="Calibri" w:hAnsi="Calibri"/>
          <w:iCs/>
        </w:rPr>
        <w:t xml:space="preserve">28 dicembre 2000, n. </w:t>
      </w:r>
      <w:r w:rsidR="00EA42D3">
        <w:rPr>
          <w:rFonts w:ascii="Calibri" w:hAnsi="Calibri"/>
          <w:iCs/>
        </w:rPr>
        <w:t xml:space="preserve">445, </w:t>
      </w:r>
    </w:p>
    <w:p w14:paraId="7B9073EF" w14:textId="3670BEBB" w:rsidR="009A35CE" w:rsidRPr="00EA42D3" w:rsidRDefault="009A35CE" w:rsidP="00EA42D3">
      <w:pPr>
        <w:pStyle w:val="Intestazione"/>
        <w:tabs>
          <w:tab w:val="left" w:pos="708"/>
        </w:tabs>
        <w:spacing w:line="360" w:lineRule="auto"/>
        <w:jc w:val="center"/>
        <w:rPr>
          <w:rFonts w:ascii="Calibri" w:hAnsi="Calibri"/>
          <w:bCs/>
        </w:rPr>
      </w:pPr>
      <w:r>
        <w:rPr>
          <w:rFonts w:ascii="Calibri" w:hAnsi="Calibri"/>
          <w:b/>
          <w:i/>
          <w:iCs/>
        </w:rPr>
        <w:t>DICHIARA</w:t>
      </w:r>
    </w:p>
    <w:p w14:paraId="6FBC88F7" w14:textId="52EEF290" w:rsidR="009A35CE" w:rsidRDefault="009A35CE" w:rsidP="009A35CE">
      <w:pPr>
        <w:pStyle w:val="Corpotesto"/>
        <w:spacing w:line="360" w:lineRule="auto"/>
        <w:jc w:val="both"/>
        <w:rPr>
          <w:rFonts w:ascii="Calibri" w:hAnsi="Calibri"/>
          <w:iCs/>
        </w:rPr>
      </w:pPr>
      <w:r>
        <w:rPr>
          <w:rFonts w:ascii="Calibri" w:hAnsi="Calibri"/>
          <w:iCs/>
        </w:rPr>
        <w:t xml:space="preserve">ai sensi e per gli effetti delle disposizioni previste dall’art. 20, comma </w:t>
      </w:r>
      <w:r w:rsidR="009F6003">
        <w:rPr>
          <w:rFonts w:ascii="Calibri" w:hAnsi="Calibri"/>
          <w:iCs/>
        </w:rPr>
        <w:t>1</w:t>
      </w:r>
      <w:r w:rsidR="00EA42D3">
        <w:rPr>
          <w:rFonts w:ascii="Calibri" w:hAnsi="Calibri"/>
          <w:iCs/>
        </w:rPr>
        <w:t>,</w:t>
      </w:r>
      <w:r>
        <w:rPr>
          <w:rFonts w:ascii="Calibri" w:hAnsi="Calibri"/>
          <w:iCs/>
        </w:rPr>
        <w:t xml:space="preserve"> decreto legislativo</w:t>
      </w:r>
      <w:r w:rsidR="00EA42D3">
        <w:rPr>
          <w:rFonts w:ascii="Calibri" w:hAnsi="Calibri"/>
          <w:iCs/>
        </w:rPr>
        <w:t xml:space="preserve"> </w:t>
      </w:r>
      <w:r>
        <w:rPr>
          <w:rFonts w:ascii="Calibri" w:hAnsi="Calibri"/>
          <w:iCs/>
        </w:rPr>
        <w:t xml:space="preserve">8 aprile 2013, n. 39, recante disposizioni in materia di inconferibilità e incompatibilità di incarichi presso le pubbliche amministrazioni e presso gli enti privati in controllo pubblico, che non sussiste a proprio carico alcuna delle cause di inconferibilità di cui al </w:t>
      </w:r>
      <w:r w:rsidR="001B0405">
        <w:rPr>
          <w:rFonts w:ascii="Calibri" w:hAnsi="Calibri"/>
          <w:iCs/>
        </w:rPr>
        <w:t>citato</w:t>
      </w:r>
      <w:r>
        <w:rPr>
          <w:rFonts w:ascii="Calibri" w:hAnsi="Calibri"/>
          <w:iCs/>
        </w:rPr>
        <w:t xml:space="preserve"> decreto legislativo e, in particolare:</w:t>
      </w:r>
    </w:p>
    <w:p w14:paraId="2EDF505C" w14:textId="0BA42BA3" w:rsidR="009A35CE" w:rsidRDefault="009A35CE" w:rsidP="009A35CE">
      <w:pPr>
        <w:pStyle w:val="Corpotesto"/>
        <w:spacing w:line="360" w:lineRule="auto"/>
        <w:jc w:val="both"/>
        <w:rPr>
          <w:rFonts w:ascii="Calibri" w:hAnsi="Calibri"/>
          <w:iCs/>
        </w:rPr>
      </w:pPr>
      <w:r>
        <w:rPr>
          <w:rFonts w:ascii="Calibri" w:hAnsi="Calibri"/>
          <w:iCs/>
        </w:rPr>
        <w:t>- l’insussistenza a proprio carico delle cause di inconferibilità all’incarico come previste dal Capo II, art</w:t>
      </w:r>
      <w:r w:rsidR="001B0405">
        <w:rPr>
          <w:rFonts w:ascii="Calibri" w:hAnsi="Calibri"/>
          <w:iCs/>
        </w:rPr>
        <w:t>icolo</w:t>
      </w:r>
      <w:r>
        <w:rPr>
          <w:rFonts w:ascii="Calibri" w:hAnsi="Calibri"/>
          <w:iCs/>
        </w:rPr>
        <w:t xml:space="preserve"> 3 del decreto legislativo n. 39 del 2013, recante inconferibilità di incarichi in caso di condanna per reati contro la pubblica amministrazione:</w:t>
      </w:r>
    </w:p>
    <w:p w14:paraId="481AB12A" w14:textId="77777777" w:rsidR="009A35CE" w:rsidRDefault="009A35CE" w:rsidP="009A35CE">
      <w:pPr>
        <w:pStyle w:val="Corpotesto"/>
        <w:spacing w:line="360" w:lineRule="auto"/>
        <w:jc w:val="both"/>
        <w:rPr>
          <w:rFonts w:ascii="Calibri" w:hAnsi="Calibri"/>
          <w:i/>
          <w:iCs/>
          <w:sz w:val="18"/>
          <w:szCs w:val="18"/>
        </w:rPr>
      </w:pPr>
      <w:r>
        <w:rPr>
          <w:rFonts w:ascii="Calibri" w:hAnsi="Calibri"/>
          <w:iCs/>
        </w:rPr>
        <w:tab/>
      </w:r>
      <w:r>
        <w:rPr>
          <w:rFonts w:ascii="Calibri" w:hAnsi="Calibri"/>
          <w:iCs/>
          <w:sz w:val="18"/>
          <w:szCs w:val="18"/>
        </w:rPr>
        <w:t xml:space="preserve">1.  A coloro che siano stati condannati, anche con sentenza non passata in giudicato, per uno dei reati previsti dal capo I del titolo II del libro secondo del codice penale, non possono essere attribuiti: </w:t>
      </w:r>
    </w:p>
    <w:p w14:paraId="430B66A2" w14:textId="77777777" w:rsidR="009A35CE" w:rsidRDefault="009A35CE" w:rsidP="009A35CE">
      <w:pPr>
        <w:pStyle w:val="Corpotesto"/>
        <w:spacing w:line="360" w:lineRule="auto"/>
        <w:jc w:val="both"/>
        <w:rPr>
          <w:rFonts w:ascii="Calibri" w:hAnsi="Calibri"/>
          <w:iCs/>
          <w:sz w:val="18"/>
          <w:szCs w:val="18"/>
        </w:rPr>
      </w:pPr>
      <w:r>
        <w:rPr>
          <w:rFonts w:ascii="Calibri" w:hAnsi="Calibri"/>
          <w:iCs/>
          <w:sz w:val="18"/>
          <w:szCs w:val="18"/>
        </w:rPr>
        <w:tab/>
        <w:t xml:space="preserve">a)  gli incarichi amministrativi di vertice nelle amministrazioni statali, regionali e locali; </w:t>
      </w:r>
    </w:p>
    <w:p w14:paraId="276D2E8B" w14:textId="77777777" w:rsidR="009A35CE" w:rsidRDefault="009A35CE" w:rsidP="009A35CE">
      <w:pPr>
        <w:pStyle w:val="Corpotesto"/>
        <w:spacing w:line="360" w:lineRule="auto"/>
        <w:jc w:val="both"/>
        <w:rPr>
          <w:rFonts w:ascii="Calibri" w:hAnsi="Calibri"/>
          <w:iCs/>
          <w:sz w:val="18"/>
          <w:szCs w:val="18"/>
        </w:rPr>
      </w:pPr>
      <w:r>
        <w:rPr>
          <w:rFonts w:ascii="Calibri" w:hAnsi="Calibri"/>
          <w:iCs/>
          <w:sz w:val="18"/>
          <w:szCs w:val="18"/>
        </w:rPr>
        <w:tab/>
        <w:t xml:space="preserve">b)  gli incarichi di amministratore di ente pubblico, di livello nazionale, regionale e locale; </w:t>
      </w:r>
    </w:p>
    <w:p w14:paraId="229F4E3C" w14:textId="77777777" w:rsidR="009A35CE" w:rsidRDefault="009A35CE" w:rsidP="009A35CE">
      <w:pPr>
        <w:pStyle w:val="Corpotesto"/>
        <w:spacing w:line="360" w:lineRule="auto"/>
        <w:jc w:val="both"/>
        <w:rPr>
          <w:rFonts w:ascii="Calibri" w:hAnsi="Calibri"/>
          <w:iCs/>
          <w:sz w:val="18"/>
          <w:szCs w:val="18"/>
        </w:rPr>
      </w:pPr>
      <w:r>
        <w:rPr>
          <w:rFonts w:ascii="Calibri" w:hAnsi="Calibri"/>
          <w:iCs/>
          <w:sz w:val="18"/>
          <w:szCs w:val="18"/>
        </w:rPr>
        <w:tab/>
        <w:t xml:space="preserve">c)  gli incarichi dirigenziali, interni e esterni, comunque denominati, nelle pubbliche amministrazioni, negli enti pubblici e negli enti di diritto privato in controllo pubblico di livello nazionale, regionale e locale; </w:t>
      </w:r>
    </w:p>
    <w:p w14:paraId="54890F10" w14:textId="77777777" w:rsidR="009A35CE" w:rsidRDefault="009A35CE" w:rsidP="009A35CE">
      <w:pPr>
        <w:pStyle w:val="Corpotesto"/>
        <w:spacing w:line="360" w:lineRule="auto"/>
        <w:jc w:val="both"/>
        <w:rPr>
          <w:rFonts w:ascii="Calibri" w:hAnsi="Calibri"/>
          <w:iCs/>
          <w:sz w:val="18"/>
          <w:szCs w:val="18"/>
        </w:rPr>
      </w:pPr>
      <w:r>
        <w:rPr>
          <w:rFonts w:ascii="Calibri" w:hAnsi="Calibri"/>
          <w:iCs/>
          <w:sz w:val="18"/>
          <w:szCs w:val="18"/>
        </w:rPr>
        <w:tab/>
        <w:t xml:space="preserve">d)  gli incarichi di amministratore di ente di diritto privato in controllo pubblico, di livello nazionale, regionale e locale; </w:t>
      </w:r>
    </w:p>
    <w:p w14:paraId="2913CCA7" w14:textId="77777777" w:rsidR="009A35CE" w:rsidRDefault="009A35CE" w:rsidP="009A35CE">
      <w:pPr>
        <w:pStyle w:val="Corpotesto"/>
        <w:spacing w:line="360" w:lineRule="auto"/>
        <w:jc w:val="both"/>
        <w:rPr>
          <w:rFonts w:ascii="Calibri" w:hAnsi="Calibri"/>
          <w:iCs/>
          <w:sz w:val="18"/>
          <w:szCs w:val="18"/>
        </w:rPr>
      </w:pPr>
      <w:r>
        <w:rPr>
          <w:rFonts w:ascii="Calibri" w:hAnsi="Calibri"/>
          <w:iCs/>
          <w:sz w:val="18"/>
          <w:szCs w:val="18"/>
        </w:rPr>
        <w:tab/>
        <w:t>e)  gli incarichi di direttore generale, direttore sanitario e direttore amministrativo nelle aziende sanitarie locali del servizio sanitario nazionale.</w:t>
      </w:r>
    </w:p>
    <w:p w14:paraId="779EF576" w14:textId="6237C222" w:rsidR="009A35CE" w:rsidRDefault="009A35CE" w:rsidP="009A35CE">
      <w:pPr>
        <w:pStyle w:val="Corpotesto"/>
        <w:spacing w:line="360" w:lineRule="auto"/>
        <w:jc w:val="both"/>
        <w:rPr>
          <w:rFonts w:ascii="Calibri" w:hAnsi="Calibri"/>
          <w:iCs/>
          <w:sz w:val="18"/>
          <w:szCs w:val="18"/>
        </w:rPr>
      </w:pPr>
      <w:r>
        <w:rPr>
          <w:rFonts w:ascii="Calibri" w:hAnsi="Calibri"/>
          <w:iCs/>
          <w:sz w:val="18"/>
          <w:szCs w:val="18"/>
        </w:rPr>
        <w:lastRenderedPageBreak/>
        <w:tab/>
        <w:t xml:space="preserve">2.  Ove la condanna riguardi uno dei reati di cui all'articolo 3, comma 1, della legge 27 </w:t>
      </w:r>
      <w:r>
        <w:rPr>
          <w:rFonts w:ascii="Calibri" w:hAnsi="Calibri"/>
          <w:iCs/>
          <w:sz w:val="18"/>
          <w:szCs w:val="18"/>
        </w:rPr>
        <w:tab/>
        <w:t>marzo 2001, n. 97, l'inconferibilità di cui al comma 1 ha carattere permanente nei casi in cui sia stata inflitta la pena accessoria dell'interdizione perpetua dai pubblici uffici ovvero sia intervenuta la cessazione del rapporto di lavoro a seguito di procedimento disciplinare o la cessazione del rapporto di lavoro autonomo. Ove sia stata inflitta una interdizione temporanea, l'inconferibilità ha la stessa durata dell'interdizione. Negli altri casi l'inconferibilità degli incarichi ha la durata di 5 anni.</w:t>
      </w:r>
    </w:p>
    <w:p w14:paraId="283BA50F" w14:textId="44ADFFB6" w:rsidR="009A35CE" w:rsidRDefault="009A35CE" w:rsidP="009A35CE">
      <w:pPr>
        <w:pStyle w:val="Corpotesto"/>
        <w:spacing w:line="360" w:lineRule="auto"/>
        <w:jc w:val="both"/>
        <w:rPr>
          <w:rFonts w:ascii="Calibri" w:hAnsi="Calibri"/>
          <w:iCs/>
          <w:sz w:val="18"/>
          <w:szCs w:val="18"/>
        </w:rPr>
      </w:pPr>
      <w:r>
        <w:rPr>
          <w:rFonts w:ascii="Calibri" w:hAnsi="Calibri"/>
          <w:iCs/>
          <w:sz w:val="18"/>
          <w:szCs w:val="18"/>
        </w:rPr>
        <w:tab/>
        <w:t>3.  Ove la condanna riguardi uno degli altri reati previsti dal capo I del titolo II del libro II del codice penale, l'inconferibilità ha carattere permanente nei casi in cui sia stata inflitta la pena accessoria dell'interdizione perpetua dai pubblici uffici ovvero sia intervenuta la cessazione del rapporto di lavoro a seguito di procedimento disciplinare o la cessazione del rapporto di lavoro autonomo. Ove sia stata inflitta una interdizione temporanea, l'inconferibilità ha la stessa durata dell'interdizione. Negli altri casi l'inconferibilità ha una durata pari al doppio della pena inflitta, per un periodo comunque non superiore a 5 anni.</w:t>
      </w:r>
    </w:p>
    <w:p w14:paraId="1337E73A" w14:textId="77777777" w:rsidR="009A35CE" w:rsidRDefault="009A35CE" w:rsidP="009A35CE">
      <w:pPr>
        <w:pStyle w:val="Corpotesto"/>
        <w:spacing w:line="360" w:lineRule="auto"/>
        <w:jc w:val="both"/>
        <w:rPr>
          <w:rFonts w:ascii="Calibri" w:hAnsi="Calibri"/>
          <w:iCs/>
          <w:sz w:val="18"/>
          <w:szCs w:val="18"/>
        </w:rPr>
      </w:pPr>
      <w:r>
        <w:rPr>
          <w:rFonts w:ascii="Calibri" w:hAnsi="Calibri"/>
          <w:iCs/>
          <w:sz w:val="18"/>
          <w:szCs w:val="18"/>
        </w:rPr>
        <w:tab/>
        <w:t>4.  Nei casi di cui all'ultimo periodo dei commi 2 e 3, salve le ipotesi di sospensione o cessazione del rapporto, al dirigente di ruolo, per la durata del periodo di inconferibilità, possono essere conferiti incarichi diversi da quelli che comportino l'esercizio delle competenze di amministrazione e gestione. È in ogni caso escluso il conferimento di incarichi relativi ad uffici preposti alla gestione delle risorse finanziarie, all'acquisizione di beni, servizi e forniture, nonché alla concessione o all'erogazione di sovvenzioni, contributi, sussidi, ausili finanziari o attribuzioni di vantaggi economici a soggetti pubblici e privati, di incarichi che comportano esercizio di vigilanza o controllo. Nel caso in cui l'amministrazione non sia in grado di conferire incarichi compatibili con le disposizioni del presente comma, il dirigente viene posto a disposizione del ruolo senza incarico per il periodo di inconferibilità dell'incarico.</w:t>
      </w:r>
    </w:p>
    <w:p w14:paraId="62AE4714" w14:textId="77777777" w:rsidR="009A35CE" w:rsidRDefault="009A35CE" w:rsidP="009A35CE">
      <w:pPr>
        <w:pStyle w:val="Corpotesto"/>
        <w:spacing w:line="360" w:lineRule="auto"/>
        <w:jc w:val="both"/>
        <w:rPr>
          <w:rFonts w:ascii="Calibri" w:hAnsi="Calibri"/>
          <w:iCs/>
          <w:sz w:val="18"/>
          <w:szCs w:val="18"/>
        </w:rPr>
      </w:pPr>
      <w:r>
        <w:rPr>
          <w:rFonts w:ascii="Calibri" w:hAnsi="Calibri"/>
          <w:iCs/>
          <w:sz w:val="18"/>
          <w:szCs w:val="18"/>
        </w:rPr>
        <w:tab/>
        <w:t>5.  La situazione di inconferibilità cessa di diritto ove venga pronunciata, per il medesimo reato, sentenza anche non definitiva, di proscioglimento.</w:t>
      </w:r>
    </w:p>
    <w:p w14:paraId="52E9AE25" w14:textId="77777777" w:rsidR="009A35CE" w:rsidRDefault="009A35CE" w:rsidP="009A35CE">
      <w:pPr>
        <w:pStyle w:val="Corpotesto"/>
        <w:spacing w:line="360" w:lineRule="auto"/>
        <w:jc w:val="both"/>
        <w:rPr>
          <w:rFonts w:ascii="Calibri" w:hAnsi="Calibri"/>
          <w:iCs/>
          <w:sz w:val="18"/>
          <w:szCs w:val="18"/>
        </w:rPr>
      </w:pPr>
      <w:r>
        <w:rPr>
          <w:rFonts w:ascii="Calibri" w:hAnsi="Calibri"/>
          <w:iCs/>
          <w:sz w:val="18"/>
          <w:szCs w:val="18"/>
        </w:rPr>
        <w:tab/>
        <w:t>6.  Nel caso di condanna, anche non definitiva, per uno dei reati di cui ai commi 2 e 3 nei confronti di un soggetto esterno all'amministrazione, ente pubblico o ente di diritto privato in controllo pubblico cui è stato conferito uno degli incarichi di cui al comma 1, sono sospesi l'incarico e l'efficacia del contratto di lavoro subordinato o di lavoro autonomo, stipulato con l'amministrazione, l'ente pubblico o l'ente di diritto privato in controllo pubblico. Per tutto il periodo della sospensione non spetta alcun trattamento economico. In entrambi i casi la sospensione ha la stessa durata dell'inconferibilità stabilita nei commi 2 e 3. Fatto salvo il termine finale del contratto, all'esito della sospensione l'amministrazione valuta la persistenza dell'interesse all'esecuzione dell'incarico, anche in relazione al tempo trascorso.</w:t>
      </w:r>
    </w:p>
    <w:p w14:paraId="69CAA026" w14:textId="77777777" w:rsidR="009A35CE" w:rsidRDefault="009A35CE" w:rsidP="009A35CE">
      <w:pPr>
        <w:pStyle w:val="Corpotesto"/>
        <w:spacing w:line="360" w:lineRule="auto"/>
        <w:jc w:val="both"/>
        <w:rPr>
          <w:rFonts w:ascii="Calibri" w:hAnsi="Calibri"/>
          <w:iCs/>
          <w:sz w:val="18"/>
          <w:szCs w:val="18"/>
        </w:rPr>
      </w:pPr>
      <w:r>
        <w:rPr>
          <w:rFonts w:ascii="Calibri" w:hAnsi="Calibri"/>
          <w:iCs/>
          <w:sz w:val="18"/>
          <w:szCs w:val="18"/>
        </w:rPr>
        <w:tab/>
        <w:t>7.  Agli effetti della presente disposizione, la sentenza di applicazione della pena ai sensi dell'art. 444 c.p.p., è equiparata alla sentenza di condanna.</w:t>
      </w:r>
    </w:p>
    <w:p w14:paraId="1D6EC26D" w14:textId="75F278F1" w:rsidR="009A35CE" w:rsidRDefault="009A35CE" w:rsidP="009A35CE">
      <w:pPr>
        <w:pStyle w:val="Corpotesto"/>
        <w:spacing w:line="360" w:lineRule="auto"/>
        <w:jc w:val="both"/>
        <w:rPr>
          <w:rFonts w:ascii="Verdana" w:hAnsi="Verdana"/>
          <w:iCs/>
          <w:sz w:val="18"/>
          <w:szCs w:val="18"/>
        </w:rPr>
      </w:pPr>
      <w:r>
        <w:rPr>
          <w:rFonts w:ascii="Calibri" w:hAnsi="Calibri"/>
          <w:iCs/>
        </w:rPr>
        <w:t>- l’insussistenza a proprio carico delle cause di inconferibilità all’incarico come previste dal Capo II</w:t>
      </w:r>
      <w:r w:rsidR="001B0405">
        <w:rPr>
          <w:rFonts w:ascii="Calibri" w:hAnsi="Calibri"/>
          <w:iCs/>
        </w:rPr>
        <w:t>I</w:t>
      </w:r>
      <w:r>
        <w:rPr>
          <w:rFonts w:ascii="Calibri" w:hAnsi="Calibri"/>
          <w:iCs/>
        </w:rPr>
        <w:t>, art</w:t>
      </w:r>
      <w:r w:rsidR="001B0405">
        <w:rPr>
          <w:rFonts w:ascii="Calibri" w:hAnsi="Calibri"/>
          <w:iCs/>
        </w:rPr>
        <w:t>icolo</w:t>
      </w:r>
      <w:r>
        <w:rPr>
          <w:rFonts w:ascii="Calibri" w:hAnsi="Calibri"/>
          <w:iCs/>
        </w:rPr>
        <w:t xml:space="preserve"> </w:t>
      </w:r>
      <w:r w:rsidR="001B0405">
        <w:rPr>
          <w:rFonts w:ascii="Calibri" w:hAnsi="Calibri"/>
          <w:iCs/>
        </w:rPr>
        <w:t>4, decreto</w:t>
      </w:r>
      <w:r>
        <w:rPr>
          <w:rFonts w:ascii="Calibri" w:hAnsi="Calibri"/>
          <w:iCs/>
        </w:rPr>
        <w:t xml:space="preserve"> legislativo n. 39</w:t>
      </w:r>
      <w:r w:rsidR="001B0405">
        <w:rPr>
          <w:rFonts w:ascii="Calibri" w:hAnsi="Calibri"/>
          <w:iCs/>
        </w:rPr>
        <w:t>/</w:t>
      </w:r>
      <w:r>
        <w:rPr>
          <w:rFonts w:ascii="Calibri" w:hAnsi="Calibri"/>
          <w:iCs/>
        </w:rPr>
        <w:t xml:space="preserve">2013, recante inconferibilità </w:t>
      </w:r>
      <w:r>
        <w:rPr>
          <w:rFonts w:ascii="Calibri" w:hAnsi="Calibri"/>
        </w:rPr>
        <w:t>di incarichi nelle amministrazioni statali, regionali e locali a soggetti provenienti da enti di diritto privato regolati o finanziati:</w:t>
      </w:r>
      <w:r>
        <w:rPr>
          <w:rFonts w:ascii="Verdana" w:hAnsi="Verdana"/>
          <w:sz w:val="18"/>
          <w:szCs w:val="18"/>
        </w:rPr>
        <w:t xml:space="preserve"> </w:t>
      </w:r>
    </w:p>
    <w:p w14:paraId="3D25834C" w14:textId="77777777" w:rsidR="009A35CE" w:rsidRDefault="009A35CE" w:rsidP="009A35CE">
      <w:pPr>
        <w:pStyle w:val="Corpotesto"/>
        <w:spacing w:line="360" w:lineRule="auto"/>
        <w:ind w:firstLine="708"/>
        <w:jc w:val="both"/>
        <w:rPr>
          <w:rFonts w:ascii="Calibri" w:hAnsi="Calibri"/>
          <w:sz w:val="18"/>
          <w:szCs w:val="18"/>
        </w:rPr>
      </w:pPr>
      <w:r>
        <w:rPr>
          <w:rFonts w:ascii="Calibri" w:hAnsi="Calibri"/>
          <w:iCs/>
          <w:sz w:val="18"/>
          <w:szCs w:val="18"/>
        </w:rPr>
        <w:t>1.  A coloro che, nei due anni precedenti, abbiano svolto incarichi e ricoperto cariche in enti di diritto privato o finanziati dall'amministrazione o dall'ente pubblico che conferisce l'incarico ovvero abbiano svolto in proprio attività professionali, se queste sono regolate, finanziate o comunque retribuite dall'amministrazione o ente che conferisce l'incarico, non possono essere conferiti:</w:t>
      </w:r>
    </w:p>
    <w:p w14:paraId="632AE12F" w14:textId="77777777" w:rsidR="009A35CE" w:rsidRDefault="009A35CE" w:rsidP="009A35CE">
      <w:pPr>
        <w:pStyle w:val="Corpotesto"/>
        <w:spacing w:line="360" w:lineRule="auto"/>
        <w:ind w:firstLine="708"/>
        <w:jc w:val="both"/>
        <w:rPr>
          <w:rFonts w:ascii="Calibri" w:hAnsi="Calibri"/>
          <w:iCs/>
          <w:sz w:val="18"/>
          <w:szCs w:val="18"/>
        </w:rPr>
      </w:pPr>
      <w:r>
        <w:rPr>
          <w:rFonts w:ascii="Calibri" w:hAnsi="Calibri"/>
          <w:iCs/>
          <w:sz w:val="18"/>
          <w:szCs w:val="18"/>
        </w:rPr>
        <w:t xml:space="preserve">a)  gli incarichi amministrativi di vertice nelle amministrazioni statali, regionali e locali; </w:t>
      </w:r>
    </w:p>
    <w:p w14:paraId="7F0DBB76" w14:textId="77777777" w:rsidR="009A35CE" w:rsidRDefault="009A35CE" w:rsidP="009A35CE">
      <w:pPr>
        <w:pStyle w:val="Corpotesto"/>
        <w:spacing w:line="360" w:lineRule="auto"/>
        <w:ind w:firstLine="708"/>
        <w:jc w:val="both"/>
        <w:rPr>
          <w:rFonts w:ascii="Calibri" w:hAnsi="Calibri"/>
          <w:iCs/>
          <w:sz w:val="18"/>
          <w:szCs w:val="18"/>
        </w:rPr>
      </w:pPr>
      <w:r>
        <w:rPr>
          <w:rFonts w:ascii="Calibri" w:hAnsi="Calibri"/>
          <w:iCs/>
          <w:sz w:val="18"/>
          <w:szCs w:val="18"/>
        </w:rPr>
        <w:t xml:space="preserve">b)  gli incarichi di amministratore di ente pubblico, di livello nazionale, regionale e locale; </w:t>
      </w:r>
    </w:p>
    <w:p w14:paraId="4CDD9394" w14:textId="77777777" w:rsidR="009A35CE" w:rsidRDefault="009A35CE" w:rsidP="009A35CE">
      <w:pPr>
        <w:pStyle w:val="Corpotesto"/>
        <w:spacing w:line="360" w:lineRule="auto"/>
        <w:ind w:firstLine="708"/>
        <w:jc w:val="both"/>
        <w:rPr>
          <w:rFonts w:ascii="Calibri" w:hAnsi="Calibri"/>
          <w:iCs/>
          <w:sz w:val="18"/>
          <w:szCs w:val="18"/>
        </w:rPr>
      </w:pPr>
      <w:r>
        <w:rPr>
          <w:rFonts w:ascii="Calibri" w:hAnsi="Calibri"/>
          <w:iCs/>
          <w:sz w:val="18"/>
          <w:szCs w:val="18"/>
        </w:rPr>
        <w:t>c)  gli incarichi dirigenziali esterni, comunque denominati, nelle pubbliche amministrazioni, negli enti pubblici che siano relativi allo specifico settore o ufficio dell'amministrazione che esercita i poteri di regolazione e finanziamento.</w:t>
      </w:r>
    </w:p>
    <w:p w14:paraId="33FE1FC2" w14:textId="493DDC29" w:rsidR="00A72C00" w:rsidRDefault="00EA42D3" w:rsidP="009F6003">
      <w:pPr>
        <w:pStyle w:val="Corpotesto"/>
        <w:spacing w:line="360" w:lineRule="auto"/>
        <w:ind w:firstLine="708"/>
        <w:jc w:val="both"/>
        <w:rPr>
          <w:rFonts w:ascii="Calibri" w:hAnsi="Calibri"/>
          <w:iCs/>
        </w:rPr>
      </w:pPr>
      <w:r w:rsidRPr="00EA42D3">
        <w:rPr>
          <w:rFonts w:ascii="Calibri" w:hAnsi="Calibri"/>
          <w:iCs/>
        </w:rPr>
        <w:t>La dichiarazione sulla insussistenza di una delle cause di inconferibilit</w:t>
      </w:r>
      <w:r w:rsidR="001B0405">
        <w:rPr>
          <w:rFonts w:ascii="Calibri" w:hAnsi="Calibri"/>
          <w:iCs/>
        </w:rPr>
        <w:t>à</w:t>
      </w:r>
      <w:r w:rsidRPr="00EA42D3">
        <w:rPr>
          <w:rFonts w:ascii="Calibri" w:hAnsi="Calibri"/>
          <w:iCs/>
        </w:rPr>
        <w:t xml:space="preserve"> di cui al </w:t>
      </w:r>
      <w:r w:rsidR="00AF143E">
        <w:rPr>
          <w:rFonts w:ascii="Calibri" w:hAnsi="Calibri"/>
          <w:iCs/>
        </w:rPr>
        <w:t>d</w:t>
      </w:r>
      <w:r w:rsidRPr="00EA42D3">
        <w:rPr>
          <w:rFonts w:ascii="Calibri" w:hAnsi="Calibri"/>
          <w:iCs/>
        </w:rPr>
        <w:t>.lgs. n</w:t>
      </w:r>
      <w:r w:rsidR="001B0405">
        <w:rPr>
          <w:rFonts w:ascii="Calibri" w:hAnsi="Calibri"/>
          <w:iCs/>
        </w:rPr>
        <w:t>.</w:t>
      </w:r>
      <w:r w:rsidRPr="00EA42D3">
        <w:rPr>
          <w:rFonts w:ascii="Calibri" w:hAnsi="Calibri"/>
          <w:iCs/>
        </w:rPr>
        <w:t xml:space="preserve"> 39/2013</w:t>
      </w:r>
      <w:r w:rsidR="001B0405">
        <w:rPr>
          <w:rFonts w:ascii="Calibri" w:hAnsi="Calibri"/>
          <w:iCs/>
        </w:rPr>
        <w:t>,</w:t>
      </w:r>
      <w:r w:rsidRPr="00EA42D3">
        <w:rPr>
          <w:rFonts w:ascii="Calibri" w:hAnsi="Calibri"/>
          <w:iCs/>
        </w:rPr>
        <w:t xml:space="preserve"> </w:t>
      </w:r>
      <w:r>
        <w:rPr>
          <w:rFonts w:ascii="Calibri" w:hAnsi="Calibri"/>
          <w:iCs/>
        </w:rPr>
        <w:t>come previsto dall’art. 20, comma 4 della</w:t>
      </w:r>
      <w:r w:rsidR="001B0405">
        <w:rPr>
          <w:rFonts w:ascii="Calibri" w:hAnsi="Calibri"/>
          <w:iCs/>
        </w:rPr>
        <w:t xml:space="preserve"> medesima</w:t>
      </w:r>
      <w:r>
        <w:rPr>
          <w:rFonts w:ascii="Calibri" w:hAnsi="Calibri"/>
          <w:iCs/>
        </w:rPr>
        <w:t xml:space="preserve"> disposizione,</w:t>
      </w:r>
      <w:r w:rsidRPr="00EA42D3">
        <w:rPr>
          <w:rFonts w:ascii="Calibri" w:hAnsi="Calibri"/>
          <w:iCs/>
        </w:rPr>
        <w:t xml:space="preserve"> è condizione per l'acquisizione dell'efficacia dell'incarico</w:t>
      </w:r>
      <w:r>
        <w:rPr>
          <w:rFonts w:ascii="Calibri" w:hAnsi="Calibri"/>
          <w:iCs/>
        </w:rPr>
        <w:t>.</w:t>
      </w:r>
    </w:p>
    <w:p w14:paraId="4877EA2F" w14:textId="5CC0A0B5" w:rsidR="009A35CE" w:rsidRPr="009F6003" w:rsidRDefault="009F6003" w:rsidP="009A35CE">
      <w:pPr>
        <w:pStyle w:val="Corpotesto"/>
        <w:rPr>
          <w:rFonts w:ascii="Calibri" w:hAnsi="Calibri"/>
          <w:b/>
          <w:bCs/>
          <w:i/>
        </w:rPr>
      </w:pPr>
      <w:r w:rsidRPr="009F6003">
        <w:rPr>
          <w:rFonts w:ascii="Calibri" w:hAnsi="Calibri"/>
          <w:i/>
        </w:rPr>
        <w:t>Luogo e data</w:t>
      </w:r>
      <w:r w:rsidR="001B0405">
        <w:rPr>
          <w:rFonts w:ascii="Calibri" w:hAnsi="Calibri"/>
          <w:i/>
        </w:rPr>
        <w:t>…………………………</w:t>
      </w:r>
    </w:p>
    <w:p w14:paraId="3B5FEF9B" w14:textId="77777777" w:rsidR="009A35CE" w:rsidRDefault="009A35CE" w:rsidP="009A35CE">
      <w:pPr>
        <w:pStyle w:val="Corpotesto"/>
        <w:rPr>
          <w:rFonts w:ascii="Calibri" w:hAnsi="Calibri"/>
          <w:i/>
          <w:iCs/>
        </w:rPr>
      </w:pPr>
    </w:p>
    <w:p w14:paraId="6A77E1AD" w14:textId="5AC6D9E7" w:rsidR="009A35CE" w:rsidRDefault="009A35CE" w:rsidP="009A35CE">
      <w:pPr>
        <w:pStyle w:val="Corpotesto"/>
        <w:spacing w:line="360" w:lineRule="auto"/>
        <w:jc w:val="both"/>
        <w:rPr>
          <w:rFonts w:ascii="Calibri" w:hAnsi="Calibri"/>
          <w:i/>
          <w:iCs/>
        </w:rPr>
      </w:pPr>
      <w:r>
        <w:rPr>
          <w:i/>
          <w:iCs/>
        </w:rPr>
        <w:tab/>
      </w:r>
      <w:r>
        <w:rPr>
          <w:i/>
          <w:iCs/>
        </w:rPr>
        <w:tab/>
      </w:r>
      <w:r>
        <w:rPr>
          <w:i/>
          <w:iCs/>
        </w:rPr>
        <w:tab/>
      </w:r>
      <w:r>
        <w:rPr>
          <w:i/>
          <w:iCs/>
        </w:rPr>
        <w:tab/>
      </w:r>
      <w:r>
        <w:rPr>
          <w:i/>
          <w:iCs/>
        </w:rPr>
        <w:tab/>
      </w:r>
      <w:r>
        <w:rPr>
          <w:i/>
          <w:iCs/>
        </w:rPr>
        <w:tab/>
      </w:r>
      <w:r>
        <w:rPr>
          <w:i/>
          <w:iCs/>
        </w:rPr>
        <w:tab/>
        <w:t xml:space="preserve">           </w:t>
      </w:r>
      <w:r w:rsidR="001B0405">
        <w:rPr>
          <w:i/>
          <w:iCs/>
        </w:rPr>
        <w:t xml:space="preserve">      </w:t>
      </w:r>
      <w:r>
        <w:rPr>
          <w:rFonts w:ascii="Calibri" w:hAnsi="Calibri"/>
          <w:i/>
          <w:iCs/>
        </w:rPr>
        <w:t xml:space="preserve">Firma  </w:t>
      </w:r>
    </w:p>
    <w:p w14:paraId="55AE37D5" w14:textId="1FC85172" w:rsidR="001B0405" w:rsidRDefault="001B0405" w:rsidP="001B0405">
      <w:pPr>
        <w:pStyle w:val="Corpotesto"/>
        <w:spacing w:line="360" w:lineRule="auto"/>
        <w:jc w:val="right"/>
        <w:rPr>
          <w:rFonts w:ascii="Calibri" w:hAnsi="Calibri"/>
          <w:i/>
          <w:iCs/>
        </w:rPr>
      </w:pPr>
      <w:r>
        <w:rPr>
          <w:rFonts w:ascii="Calibri" w:hAnsi="Calibri"/>
          <w:i/>
          <w:iCs/>
        </w:rPr>
        <w:t>_________________________</w:t>
      </w:r>
    </w:p>
    <w:p w14:paraId="141997EC" w14:textId="5EB4F373" w:rsidR="009A35CE" w:rsidRPr="00A72C00" w:rsidRDefault="009A35CE" w:rsidP="009A35CE">
      <w:pPr>
        <w:pStyle w:val="Corpotesto"/>
        <w:spacing w:line="360" w:lineRule="auto"/>
        <w:jc w:val="both"/>
        <w:rPr>
          <w:rFonts w:ascii="Arial" w:hAnsi="Arial"/>
          <w:b/>
          <w:bCs/>
          <w:i/>
          <w:iCs/>
          <w:sz w:val="22"/>
        </w:rPr>
      </w:pPr>
      <w:r>
        <w:rPr>
          <w:rFonts w:ascii="Calibri" w:hAnsi="Calibri"/>
          <w:i/>
          <w:iCs/>
        </w:rPr>
        <w:t xml:space="preserve">                                                                           </w:t>
      </w:r>
      <w:r w:rsidR="00A72C00">
        <w:rPr>
          <w:rFonts w:ascii="Calibri" w:hAnsi="Calibri"/>
          <w:i/>
          <w:iCs/>
        </w:rPr>
        <w:t xml:space="preserve">    </w:t>
      </w:r>
      <w:r>
        <w:rPr>
          <w:rFonts w:ascii="Calibri" w:hAnsi="Calibri"/>
          <w:i/>
          <w:iCs/>
        </w:rPr>
        <w:t xml:space="preserve">  </w:t>
      </w:r>
      <w:r w:rsidR="00A72C00">
        <w:rPr>
          <w:rFonts w:ascii="Calibri" w:hAnsi="Calibri"/>
          <w:i/>
          <w:iCs/>
        </w:rPr>
        <w:t xml:space="preserve">  </w:t>
      </w:r>
      <w:r>
        <w:rPr>
          <w:rFonts w:ascii="Calibri" w:hAnsi="Calibri"/>
          <w:i/>
          <w:iCs/>
        </w:rPr>
        <w:t xml:space="preserve">  </w:t>
      </w:r>
    </w:p>
    <w:p w14:paraId="34E5E5B1" w14:textId="77777777" w:rsidR="009A35CE" w:rsidRDefault="009A35CE" w:rsidP="009A35CE">
      <w:pPr>
        <w:pStyle w:val="Corpotesto"/>
        <w:rPr>
          <w:i/>
          <w:iCs/>
        </w:rPr>
      </w:pPr>
    </w:p>
    <w:p w14:paraId="72A9908A" w14:textId="77777777" w:rsidR="009A35CE" w:rsidRDefault="009A35CE" w:rsidP="009A35CE">
      <w:pPr>
        <w:jc w:val="center"/>
        <w:rPr>
          <w:rFonts w:ascii="Calibri" w:hAnsi="Calibri" w:cs="Arial"/>
          <w:i/>
        </w:rPr>
      </w:pPr>
    </w:p>
    <w:p w14:paraId="6E1AE4C8" w14:textId="77777777" w:rsidR="009A35CE" w:rsidRDefault="009A35CE" w:rsidP="009A35CE">
      <w:pPr>
        <w:jc w:val="center"/>
        <w:rPr>
          <w:rFonts w:ascii="Calibri" w:hAnsi="Calibri" w:cs="Arial"/>
        </w:rPr>
      </w:pPr>
    </w:p>
    <w:p w14:paraId="18C7C72B" w14:textId="77777777" w:rsidR="009A35CE" w:rsidRPr="008F7618" w:rsidRDefault="009A35CE" w:rsidP="009A35CE">
      <w:pPr>
        <w:jc w:val="center"/>
        <w:rPr>
          <w:rFonts w:ascii="Calibri" w:hAnsi="Calibri"/>
        </w:rPr>
      </w:pPr>
    </w:p>
    <w:p w14:paraId="43306F7F" w14:textId="77777777" w:rsidR="00221B1D" w:rsidRPr="00932810" w:rsidRDefault="00221B1D" w:rsidP="009A35CE">
      <w:pPr>
        <w:jc w:val="center"/>
        <w:rPr>
          <w:rFonts w:ascii="Calibri" w:hAnsi="Calibri"/>
          <w:snapToGrid w:val="0"/>
        </w:rPr>
      </w:pPr>
    </w:p>
    <w:sectPr w:rsidR="00221B1D" w:rsidRPr="00932810" w:rsidSect="00EF5F67">
      <w:footerReference w:type="even" r:id="rId9"/>
      <w:footerReference w:type="default" r:id="rId10"/>
      <w:pgSz w:w="11906" w:h="16838" w:code="9"/>
      <w:pgMar w:top="851" w:right="1418" w:bottom="244" w:left="1418"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6A7116" w14:textId="77777777" w:rsidR="00A33899" w:rsidRDefault="00A33899">
      <w:r>
        <w:separator/>
      </w:r>
    </w:p>
  </w:endnote>
  <w:endnote w:type="continuationSeparator" w:id="0">
    <w:p w14:paraId="08408CD1" w14:textId="77777777" w:rsidR="00A33899" w:rsidRDefault="00A338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58795" w14:textId="77777777" w:rsidR="006A2A03" w:rsidRDefault="00C85DAF" w:rsidP="0068561F">
    <w:pPr>
      <w:pStyle w:val="Pidipagina"/>
      <w:framePr w:wrap="around" w:vAnchor="text" w:hAnchor="margin" w:xAlign="right" w:y="1"/>
      <w:rPr>
        <w:rStyle w:val="Numeropagina"/>
      </w:rPr>
    </w:pPr>
    <w:r>
      <w:rPr>
        <w:rStyle w:val="Numeropagina"/>
      </w:rPr>
      <w:fldChar w:fldCharType="begin"/>
    </w:r>
    <w:r w:rsidR="006A2A03">
      <w:rPr>
        <w:rStyle w:val="Numeropagina"/>
      </w:rPr>
      <w:instrText xml:space="preserve">PAGE  </w:instrText>
    </w:r>
    <w:r>
      <w:rPr>
        <w:rStyle w:val="Numeropagina"/>
      </w:rPr>
      <w:fldChar w:fldCharType="end"/>
    </w:r>
  </w:p>
  <w:p w14:paraId="663F27A8" w14:textId="77777777" w:rsidR="006A2A03" w:rsidRDefault="006A2A03" w:rsidP="00B92F34">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5D2DA" w14:textId="77777777" w:rsidR="006A2A03" w:rsidRPr="00812C33" w:rsidRDefault="006A2A03" w:rsidP="00947E84">
    <w:pPr>
      <w:jc w:val="center"/>
      <w:rPr>
        <w:rFonts w:ascii="Calibri" w:hAnsi="Calibri"/>
        <w:color w:val="1B4677"/>
        <w:sz w:val="18"/>
      </w:rPr>
    </w:pPr>
    <w:r w:rsidRPr="00812C33">
      <w:rPr>
        <w:rFonts w:ascii="Calibri" w:hAnsi="Calibri"/>
        <w:color w:val="1B4677"/>
        <w:sz w:val="18"/>
      </w:rPr>
      <w:t>_______________________________________________________________</w:t>
    </w:r>
    <w:r>
      <w:rPr>
        <w:rFonts w:ascii="Calibri" w:hAnsi="Calibri"/>
        <w:color w:val="1B4677"/>
        <w:sz w:val="18"/>
      </w:rPr>
      <w:t>______________________________________</w:t>
    </w:r>
  </w:p>
  <w:p w14:paraId="5476B99B" w14:textId="77777777" w:rsidR="006A2A03" w:rsidRDefault="006A2A03" w:rsidP="00947E84">
    <w:pPr>
      <w:pStyle w:val="Pidipagina"/>
      <w:jc w:val="center"/>
      <w:rPr>
        <w:rFonts w:ascii="Calibri" w:hAnsi="Calibri"/>
        <w:i/>
        <w:color w:val="1B4677"/>
        <w:sz w:val="18"/>
        <w:szCs w:val="18"/>
      </w:rPr>
    </w:pPr>
    <w:r w:rsidRPr="00812C33">
      <w:rPr>
        <w:rFonts w:ascii="Calibri" w:hAnsi="Calibri"/>
        <w:i/>
        <w:color w:val="1B4677"/>
        <w:sz w:val="18"/>
        <w:szCs w:val="18"/>
      </w:rPr>
      <w:t>AIFA - Agenzia Italiana del Farmaco – Via del Tritone, 181 – 00187 Roma -</w:t>
    </w:r>
    <w:r>
      <w:rPr>
        <w:rFonts w:ascii="Calibri" w:hAnsi="Calibri"/>
        <w:i/>
        <w:color w:val="1B4677"/>
        <w:sz w:val="18"/>
        <w:szCs w:val="18"/>
      </w:rPr>
      <w:t xml:space="preserve"> </w:t>
    </w:r>
    <w:r w:rsidRPr="00812C33">
      <w:rPr>
        <w:rFonts w:ascii="Calibri" w:hAnsi="Calibri"/>
        <w:i/>
        <w:color w:val="1B4677"/>
        <w:sz w:val="18"/>
        <w:szCs w:val="18"/>
      </w:rPr>
      <w:t>Tel. 06.5978401 -</w:t>
    </w:r>
    <w:r>
      <w:rPr>
        <w:rFonts w:ascii="Calibri" w:hAnsi="Calibri"/>
        <w:i/>
        <w:color w:val="1B4677"/>
        <w:sz w:val="18"/>
        <w:szCs w:val="18"/>
      </w:rPr>
      <w:t xml:space="preserve"> </w:t>
    </w:r>
    <w:hyperlink r:id="rId1" w:history="1">
      <w:r w:rsidRPr="00812C33">
        <w:rPr>
          <w:rStyle w:val="Collegamentoipertestuale"/>
          <w:rFonts w:ascii="Calibri" w:hAnsi="Calibri"/>
          <w:i/>
          <w:color w:val="1B4677"/>
          <w:sz w:val="18"/>
          <w:szCs w:val="18"/>
        </w:rPr>
        <w:t>www.agenziafarmaco.gov.it</w:t>
      </w:r>
    </w:hyperlink>
  </w:p>
  <w:p w14:paraId="69BB42ED" w14:textId="77777777" w:rsidR="006A2A03" w:rsidRPr="00DD1B58" w:rsidRDefault="006A2A03" w:rsidP="00947E84">
    <w:pPr>
      <w:pStyle w:val="Pidipagina"/>
      <w:jc w:val="center"/>
      <w:rPr>
        <w:rFonts w:ascii="Calibri" w:hAnsi="Calibri"/>
        <w:i/>
        <w:color w:val="1B4677"/>
        <w:sz w:val="10"/>
        <w:szCs w:val="18"/>
      </w:rPr>
    </w:pPr>
  </w:p>
  <w:p w14:paraId="50037336" w14:textId="776C96D5" w:rsidR="006A2A03" w:rsidRPr="003A7721" w:rsidRDefault="006A2A03" w:rsidP="00947E84">
    <w:pPr>
      <w:pStyle w:val="Pidipagina"/>
      <w:jc w:val="right"/>
      <w:rPr>
        <w:rFonts w:ascii="Calibri" w:hAnsi="Calibri"/>
        <w:i/>
        <w:color w:val="5F5F5F"/>
        <w:sz w:val="16"/>
        <w:szCs w:val="18"/>
      </w:rPr>
    </w:pPr>
    <w:r w:rsidRPr="003A7721">
      <w:rPr>
        <w:rFonts w:ascii="Calibri" w:hAnsi="Calibri"/>
        <w:i/>
        <w:color w:val="5F5F5F"/>
        <w:sz w:val="16"/>
        <w:szCs w:val="18"/>
      </w:rPr>
      <w:t xml:space="preserve">Pagina </w:t>
    </w:r>
    <w:r w:rsidR="00C85DAF" w:rsidRPr="003A7721">
      <w:rPr>
        <w:rFonts w:ascii="Calibri" w:hAnsi="Calibri"/>
        <w:i/>
        <w:color w:val="5F5F5F"/>
        <w:sz w:val="16"/>
        <w:szCs w:val="18"/>
      </w:rPr>
      <w:fldChar w:fldCharType="begin"/>
    </w:r>
    <w:r w:rsidRPr="003A7721">
      <w:rPr>
        <w:rFonts w:ascii="Calibri" w:hAnsi="Calibri"/>
        <w:i/>
        <w:color w:val="5F5F5F"/>
        <w:sz w:val="16"/>
        <w:szCs w:val="18"/>
      </w:rPr>
      <w:instrText xml:space="preserve"> PAGE </w:instrText>
    </w:r>
    <w:r w:rsidR="00C85DAF" w:rsidRPr="003A7721">
      <w:rPr>
        <w:rFonts w:ascii="Calibri" w:hAnsi="Calibri"/>
        <w:i/>
        <w:color w:val="5F5F5F"/>
        <w:sz w:val="16"/>
        <w:szCs w:val="18"/>
      </w:rPr>
      <w:fldChar w:fldCharType="separate"/>
    </w:r>
    <w:r w:rsidR="00742164">
      <w:rPr>
        <w:rFonts w:ascii="Calibri" w:hAnsi="Calibri"/>
        <w:i/>
        <w:noProof/>
        <w:color w:val="5F5F5F"/>
        <w:sz w:val="16"/>
        <w:szCs w:val="18"/>
      </w:rPr>
      <w:t>1</w:t>
    </w:r>
    <w:r w:rsidR="00C85DAF" w:rsidRPr="003A7721">
      <w:rPr>
        <w:rFonts w:ascii="Calibri" w:hAnsi="Calibri"/>
        <w:i/>
        <w:color w:val="5F5F5F"/>
        <w:sz w:val="16"/>
        <w:szCs w:val="18"/>
      </w:rPr>
      <w:fldChar w:fldCharType="end"/>
    </w:r>
    <w:r w:rsidRPr="003A7721">
      <w:rPr>
        <w:rFonts w:ascii="Calibri" w:hAnsi="Calibri"/>
        <w:i/>
        <w:color w:val="5F5F5F"/>
        <w:sz w:val="16"/>
        <w:szCs w:val="18"/>
      </w:rPr>
      <w:t xml:space="preserve"> di </w:t>
    </w:r>
    <w:r w:rsidR="00C85DAF" w:rsidRPr="003A7721">
      <w:rPr>
        <w:rFonts w:ascii="Calibri" w:hAnsi="Calibri"/>
        <w:i/>
        <w:color w:val="5F5F5F"/>
        <w:sz w:val="16"/>
        <w:szCs w:val="18"/>
      </w:rPr>
      <w:fldChar w:fldCharType="begin"/>
    </w:r>
    <w:r w:rsidRPr="003A7721">
      <w:rPr>
        <w:rFonts w:ascii="Calibri" w:hAnsi="Calibri"/>
        <w:i/>
        <w:color w:val="5F5F5F"/>
        <w:sz w:val="16"/>
        <w:szCs w:val="18"/>
      </w:rPr>
      <w:instrText xml:space="preserve"> NUMPAGES </w:instrText>
    </w:r>
    <w:r w:rsidR="00C85DAF" w:rsidRPr="003A7721">
      <w:rPr>
        <w:rFonts w:ascii="Calibri" w:hAnsi="Calibri"/>
        <w:i/>
        <w:color w:val="5F5F5F"/>
        <w:sz w:val="16"/>
        <w:szCs w:val="18"/>
      </w:rPr>
      <w:fldChar w:fldCharType="separate"/>
    </w:r>
    <w:r w:rsidR="00742164">
      <w:rPr>
        <w:rFonts w:ascii="Calibri" w:hAnsi="Calibri"/>
        <w:i/>
        <w:noProof/>
        <w:color w:val="5F5F5F"/>
        <w:sz w:val="16"/>
        <w:szCs w:val="18"/>
      </w:rPr>
      <w:t>3</w:t>
    </w:r>
    <w:r w:rsidR="00C85DAF" w:rsidRPr="003A7721">
      <w:rPr>
        <w:rFonts w:ascii="Calibri" w:hAnsi="Calibri"/>
        <w:i/>
        <w:color w:val="5F5F5F"/>
        <w:sz w:val="16"/>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90B67C" w14:textId="77777777" w:rsidR="00A33899" w:rsidRDefault="00A33899">
      <w:r>
        <w:separator/>
      </w:r>
    </w:p>
  </w:footnote>
  <w:footnote w:type="continuationSeparator" w:id="0">
    <w:p w14:paraId="076FF140" w14:textId="77777777" w:rsidR="00A33899" w:rsidRDefault="00A338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6F204E"/>
    <w:multiLevelType w:val="hybridMultilevel"/>
    <w:tmpl w:val="9362C10A"/>
    <w:lvl w:ilvl="0" w:tplc="60BA23C4">
      <w:start w:val="1"/>
      <w:numFmt w:val="lowerRoman"/>
      <w:lvlText w:val="%1)"/>
      <w:lvlJc w:val="left"/>
      <w:pPr>
        <w:ind w:left="1080" w:hanging="720"/>
      </w:pPr>
      <w:rPr>
        <w:rFonts w:hint="default"/>
        <w:b w:val="0"/>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7A5B3BAF"/>
    <w:multiLevelType w:val="hybridMultilevel"/>
    <w:tmpl w:val="176000F0"/>
    <w:lvl w:ilvl="0" w:tplc="B182584E">
      <w:start w:val="1"/>
      <w:numFmt w:val="lowerRoman"/>
      <w:lvlText w:val="%1)"/>
      <w:lvlJc w:val="left"/>
      <w:pPr>
        <w:ind w:left="1080" w:hanging="720"/>
      </w:pPr>
      <w:rPr>
        <w:rFonts w:hint="default"/>
        <w:b w:val="0"/>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531261997">
    <w:abstractNumId w:val="1"/>
  </w:num>
  <w:num w:numId="2" w16cid:durableId="4451946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67C"/>
    <w:rsid w:val="00001877"/>
    <w:rsid w:val="00006980"/>
    <w:rsid w:val="00011CF4"/>
    <w:rsid w:val="00011E91"/>
    <w:rsid w:val="00016292"/>
    <w:rsid w:val="00017A78"/>
    <w:rsid w:val="000216E5"/>
    <w:rsid w:val="00023E48"/>
    <w:rsid w:val="00026093"/>
    <w:rsid w:val="00026284"/>
    <w:rsid w:val="000301BF"/>
    <w:rsid w:val="000311E5"/>
    <w:rsid w:val="00032D2B"/>
    <w:rsid w:val="00037074"/>
    <w:rsid w:val="0004108C"/>
    <w:rsid w:val="00041DEB"/>
    <w:rsid w:val="000475C5"/>
    <w:rsid w:val="00054456"/>
    <w:rsid w:val="00054AD0"/>
    <w:rsid w:val="00057B20"/>
    <w:rsid w:val="00060317"/>
    <w:rsid w:val="000636D2"/>
    <w:rsid w:val="000659C9"/>
    <w:rsid w:val="00065A05"/>
    <w:rsid w:val="00073EFC"/>
    <w:rsid w:val="00074E51"/>
    <w:rsid w:val="00080EBD"/>
    <w:rsid w:val="00081A29"/>
    <w:rsid w:val="0008243F"/>
    <w:rsid w:val="000825B9"/>
    <w:rsid w:val="000847BD"/>
    <w:rsid w:val="00087EE7"/>
    <w:rsid w:val="000976A9"/>
    <w:rsid w:val="000A2416"/>
    <w:rsid w:val="000A4CDA"/>
    <w:rsid w:val="000B485A"/>
    <w:rsid w:val="000B7FED"/>
    <w:rsid w:val="000C06E6"/>
    <w:rsid w:val="000C50DB"/>
    <w:rsid w:val="000D6173"/>
    <w:rsid w:val="000D718C"/>
    <w:rsid w:val="000E5057"/>
    <w:rsid w:val="000F50D3"/>
    <w:rsid w:val="000F5260"/>
    <w:rsid w:val="000F721E"/>
    <w:rsid w:val="000F79A5"/>
    <w:rsid w:val="00100039"/>
    <w:rsid w:val="001041CD"/>
    <w:rsid w:val="0010549A"/>
    <w:rsid w:val="00106F5A"/>
    <w:rsid w:val="00113AEF"/>
    <w:rsid w:val="00121A7D"/>
    <w:rsid w:val="00122260"/>
    <w:rsid w:val="00127288"/>
    <w:rsid w:val="0012766E"/>
    <w:rsid w:val="001309D4"/>
    <w:rsid w:val="001336B9"/>
    <w:rsid w:val="00134280"/>
    <w:rsid w:val="001355A3"/>
    <w:rsid w:val="00136949"/>
    <w:rsid w:val="00136DAA"/>
    <w:rsid w:val="00137809"/>
    <w:rsid w:val="001404F4"/>
    <w:rsid w:val="00144E3E"/>
    <w:rsid w:val="0015135E"/>
    <w:rsid w:val="001571FE"/>
    <w:rsid w:val="0016085D"/>
    <w:rsid w:val="00160AD0"/>
    <w:rsid w:val="00162386"/>
    <w:rsid w:val="00162433"/>
    <w:rsid w:val="00164061"/>
    <w:rsid w:val="00171744"/>
    <w:rsid w:val="00174DE6"/>
    <w:rsid w:val="0017626A"/>
    <w:rsid w:val="0017750E"/>
    <w:rsid w:val="00180505"/>
    <w:rsid w:val="00181121"/>
    <w:rsid w:val="00185FB8"/>
    <w:rsid w:val="00186D2B"/>
    <w:rsid w:val="001918C9"/>
    <w:rsid w:val="00193776"/>
    <w:rsid w:val="00193B17"/>
    <w:rsid w:val="00194999"/>
    <w:rsid w:val="00197453"/>
    <w:rsid w:val="00197CCC"/>
    <w:rsid w:val="001A1639"/>
    <w:rsid w:val="001A1C06"/>
    <w:rsid w:val="001A2BE2"/>
    <w:rsid w:val="001A5D90"/>
    <w:rsid w:val="001B0405"/>
    <w:rsid w:val="001B269D"/>
    <w:rsid w:val="001B2B2D"/>
    <w:rsid w:val="001B7699"/>
    <w:rsid w:val="001B7E86"/>
    <w:rsid w:val="001C3610"/>
    <w:rsid w:val="001C4536"/>
    <w:rsid w:val="001C47E5"/>
    <w:rsid w:val="001C66DE"/>
    <w:rsid w:val="001C7D7D"/>
    <w:rsid w:val="001D0787"/>
    <w:rsid w:val="001E19DC"/>
    <w:rsid w:val="001E1E1A"/>
    <w:rsid w:val="001E2D22"/>
    <w:rsid w:val="001F225D"/>
    <w:rsid w:val="001F4022"/>
    <w:rsid w:val="001F6006"/>
    <w:rsid w:val="00207AEE"/>
    <w:rsid w:val="0021085B"/>
    <w:rsid w:val="00211072"/>
    <w:rsid w:val="00215FEF"/>
    <w:rsid w:val="0021770E"/>
    <w:rsid w:val="0022158D"/>
    <w:rsid w:val="00221B1D"/>
    <w:rsid w:val="00223E0F"/>
    <w:rsid w:val="00227CCF"/>
    <w:rsid w:val="00233B98"/>
    <w:rsid w:val="00237175"/>
    <w:rsid w:val="00240238"/>
    <w:rsid w:val="002459BA"/>
    <w:rsid w:val="00245B73"/>
    <w:rsid w:val="00261D39"/>
    <w:rsid w:val="00261DE2"/>
    <w:rsid w:val="0026278D"/>
    <w:rsid w:val="002658CC"/>
    <w:rsid w:val="00267912"/>
    <w:rsid w:val="00267E04"/>
    <w:rsid w:val="00270E32"/>
    <w:rsid w:val="00277333"/>
    <w:rsid w:val="002811F3"/>
    <w:rsid w:val="00282A8D"/>
    <w:rsid w:val="00284F38"/>
    <w:rsid w:val="00294156"/>
    <w:rsid w:val="00294F6E"/>
    <w:rsid w:val="00295B9F"/>
    <w:rsid w:val="00296137"/>
    <w:rsid w:val="00296FA6"/>
    <w:rsid w:val="002A07B6"/>
    <w:rsid w:val="002A1C8F"/>
    <w:rsid w:val="002A23DA"/>
    <w:rsid w:val="002A6080"/>
    <w:rsid w:val="002B0443"/>
    <w:rsid w:val="002B2ACD"/>
    <w:rsid w:val="002B2BD9"/>
    <w:rsid w:val="002B3ABC"/>
    <w:rsid w:val="002B5498"/>
    <w:rsid w:val="002C0635"/>
    <w:rsid w:val="002C1702"/>
    <w:rsid w:val="002C5D9A"/>
    <w:rsid w:val="002C6932"/>
    <w:rsid w:val="002D120E"/>
    <w:rsid w:val="002D49E1"/>
    <w:rsid w:val="002D79DA"/>
    <w:rsid w:val="002E0BBC"/>
    <w:rsid w:val="002E0DCF"/>
    <w:rsid w:val="002E1A88"/>
    <w:rsid w:val="002E2F88"/>
    <w:rsid w:val="002E6B81"/>
    <w:rsid w:val="002E755A"/>
    <w:rsid w:val="002F0737"/>
    <w:rsid w:val="002F16D5"/>
    <w:rsid w:val="002F1C70"/>
    <w:rsid w:val="002F3D28"/>
    <w:rsid w:val="002F70EE"/>
    <w:rsid w:val="002F7E4B"/>
    <w:rsid w:val="00300ABF"/>
    <w:rsid w:val="00301FE5"/>
    <w:rsid w:val="00303020"/>
    <w:rsid w:val="003032EC"/>
    <w:rsid w:val="003112A7"/>
    <w:rsid w:val="00311B5C"/>
    <w:rsid w:val="00311E90"/>
    <w:rsid w:val="003120F9"/>
    <w:rsid w:val="003146AA"/>
    <w:rsid w:val="0032546F"/>
    <w:rsid w:val="0032581C"/>
    <w:rsid w:val="003266D4"/>
    <w:rsid w:val="003300A4"/>
    <w:rsid w:val="00330F50"/>
    <w:rsid w:val="00330F8E"/>
    <w:rsid w:val="00334C7B"/>
    <w:rsid w:val="00340186"/>
    <w:rsid w:val="00340E2A"/>
    <w:rsid w:val="003411FE"/>
    <w:rsid w:val="00345901"/>
    <w:rsid w:val="00346872"/>
    <w:rsid w:val="00350B9F"/>
    <w:rsid w:val="00351B62"/>
    <w:rsid w:val="00354DA1"/>
    <w:rsid w:val="00360083"/>
    <w:rsid w:val="00360C78"/>
    <w:rsid w:val="00361050"/>
    <w:rsid w:val="00362EB5"/>
    <w:rsid w:val="00367A69"/>
    <w:rsid w:val="0037665B"/>
    <w:rsid w:val="00376E3C"/>
    <w:rsid w:val="003770E8"/>
    <w:rsid w:val="00380C4D"/>
    <w:rsid w:val="003811FF"/>
    <w:rsid w:val="003826FB"/>
    <w:rsid w:val="00383363"/>
    <w:rsid w:val="00395C19"/>
    <w:rsid w:val="003976ED"/>
    <w:rsid w:val="003A09B5"/>
    <w:rsid w:val="003A544D"/>
    <w:rsid w:val="003A7721"/>
    <w:rsid w:val="003A7F55"/>
    <w:rsid w:val="003B0048"/>
    <w:rsid w:val="003B4D00"/>
    <w:rsid w:val="003C4665"/>
    <w:rsid w:val="003D54C3"/>
    <w:rsid w:val="003D5C99"/>
    <w:rsid w:val="003E238B"/>
    <w:rsid w:val="003E59C0"/>
    <w:rsid w:val="00400E03"/>
    <w:rsid w:val="00402E8F"/>
    <w:rsid w:val="0040431A"/>
    <w:rsid w:val="00404379"/>
    <w:rsid w:val="004055BB"/>
    <w:rsid w:val="00410CCB"/>
    <w:rsid w:val="00416D0D"/>
    <w:rsid w:val="004170EF"/>
    <w:rsid w:val="0042067C"/>
    <w:rsid w:val="00423886"/>
    <w:rsid w:val="00430235"/>
    <w:rsid w:val="00435350"/>
    <w:rsid w:val="00435FB3"/>
    <w:rsid w:val="00441546"/>
    <w:rsid w:val="00441E8D"/>
    <w:rsid w:val="00441F30"/>
    <w:rsid w:val="00442219"/>
    <w:rsid w:val="0044352B"/>
    <w:rsid w:val="004460CC"/>
    <w:rsid w:val="0044783E"/>
    <w:rsid w:val="00451F8B"/>
    <w:rsid w:val="004542CF"/>
    <w:rsid w:val="00455DB2"/>
    <w:rsid w:val="00463B15"/>
    <w:rsid w:val="0046762B"/>
    <w:rsid w:val="0047212E"/>
    <w:rsid w:val="004732F6"/>
    <w:rsid w:val="004741D9"/>
    <w:rsid w:val="004842B0"/>
    <w:rsid w:val="004846DC"/>
    <w:rsid w:val="00485D7F"/>
    <w:rsid w:val="004908E7"/>
    <w:rsid w:val="00490C14"/>
    <w:rsid w:val="00491C7F"/>
    <w:rsid w:val="004920E7"/>
    <w:rsid w:val="004933EC"/>
    <w:rsid w:val="00494650"/>
    <w:rsid w:val="00494BA1"/>
    <w:rsid w:val="00495CFB"/>
    <w:rsid w:val="0049637E"/>
    <w:rsid w:val="004A1DC4"/>
    <w:rsid w:val="004A3704"/>
    <w:rsid w:val="004A380F"/>
    <w:rsid w:val="004A3CB0"/>
    <w:rsid w:val="004A61D1"/>
    <w:rsid w:val="004B1EE7"/>
    <w:rsid w:val="004C177D"/>
    <w:rsid w:val="004C3C7C"/>
    <w:rsid w:val="004D057B"/>
    <w:rsid w:val="004D2BBC"/>
    <w:rsid w:val="004D569D"/>
    <w:rsid w:val="004D7D9E"/>
    <w:rsid w:val="004E00FE"/>
    <w:rsid w:val="004E3836"/>
    <w:rsid w:val="004E7A8C"/>
    <w:rsid w:val="004F18D9"/>
    <w:rsid w:val="004F1B61"/>
    <w:rsid w:val="004F2281"/>
    <w:rsid w:val="004F242E"/>
    <w:rsid w:val="004F3762"/>
    <w:rsid w:val="004F38ED"/>
    <w:rsid w:val="00504E74"/>
    <w:rsid w:val="00507051"/>
    <w:rsid w:val="00523D51"/>
    <w:rsid w:val="00524611"/>
    <w:rsid w:val="00525EE0"/>
    <w:rsid w:val="005264FA"/>
    <w:rsid w:val="0054232F"/>
    <w:rsid w:val="00542DF6"/>
    <w:rsid w:val="00542FE4"/>
    <w:rsid w:val="00543201"/>
    <w:rsid w:val="005470AB"/>
    <w:rsid w:val="005479A4"/>
    <w:rsid w:val="005505D7"/>
    <w:rsid w:val="00553088"/>
    <w:rsid w:val="00553EC3"/>
    <w:rsid w:val="00555D54"/>
    <w:rsid w:val="00556554"/>
    <w:rsid w:val="00573EE9"/>
    <w:rsid w:val="00580A92"/>
    <w:rsid w:val="00583CF7"/>
    <w:rsid w:val="005843D1"/>
    <w:rsid w:val="0058665C"/>
    <w:rsid w:val="00590F92"/>
    <w:rsid w:val="00593717"/>
    <w:rsid w:val="0059549C"/>
    <w:rsid w:val="00597579"/>
    <w:rsid w:val="005A2D4F"/>
    <w:rsid w:val="005A3998"/>
    <w:rsid w:val="005A792F"/>
    <w:rsid w:val="005B011E"/>
    <w:rsid w:val="005B0223"/>
    <w:rsid w:val="005B4BC0"/>
    <w:rsid w:val="005B7D0F"/>
    <w:rsid w:val="005C171F"/>
    <w:rsid w:val="005C5642"/>
    <w:rsid w:val="005C5D18"/>
    <w:rsid w:val="005C7052"/>
    <w:rsid w:val="005D1C14"/>
    <w:rsid w:val="005D2B55"/>
    <w:rsid w:val="005D5B0E"/>
    <w:rsid w:val="005D6534"/>
    <w:rsid w:val="005D6962"/>
    <w:rsid w:val="005D6EAE"/>
    <w:rsid w:val="005D753E"/>
    <w:rsid w:val="005E3C24"/>
    <w:rsid w:val="005F2FA6"/>
    <w:rsid w:val="005F5D17"/>
    <w:rsid w:val="005F644F"/>
    <w:rsid w:val="00601D06"/>
    <w:rsid w:val="0060228A"/>
    <w:rsid w:val="006050C2"/>
    <w:rsid w:val="00605BDE"/>
    <w:rsid w:val="00607BAB"/>
    <w:rsid w:val="00611571"/>
    <w:rsid w:val="00615070"/>
    <w:rsid w:val="00620477"/>
    <w:rsid w:val="00621473"/>
    <w:rsid w:val="006221AA"/>
    <w:rsid w:val="00624124"/>
    <w:rsid w:val="00624F6C"/>
    <w:rsid w:val="00627961"/>
    <w:rsid w:val="00630AD3"/>
    <w:rsid w:val="00640014"/>
    <w:rsid w:val="00640DCA"/>
    <w:rsid w:val="00641BA0"/>
    <w:rsid w:val="00641BAC"/>
    <w:rsid w:val="00646D91"/>
    <w:rsid w:val="00647EFB"/>
    <w:rsid w:val="0065167B"/>
    <w:rsid w:val="00655437"/>
    <w:rsid w:val="0066089C"/>
    <w:rsid w:val="0066114E"/>
    <w:rsid w:val="00662DE2"/>
    <w:rsid w:val="006635D2"/>
    <w:rsid w:val="00667A14"/>
    <w:rsid w:val="00672EEA"/>
    <w:rsid w:val="00677299"/>
    <w:rsid w:val="00680E5F"/>
    <w:rsid w:val="00683367"/>
    <w:rsid w:val="00684A8E"/>
    <w:rsid w:val="0068561F"/>
    <w:rsid w:val="00685DDF"/>
    <w:rsid w:val="00693DA1"/>
    <w:rsid w:val="00697249"/>
    <w:rsid w:val="006978C5"/>
    <w:rsid w:val="006A2A03"/>
    <w:rsid w:val="006A3ED2"/>
    <w:rsid w:val="006B282C"/>
    <w:rsid w:val="006B786F"/>
    <w:rsid w:val="006C6543"/>
    <w:rsid w:val="006D0E35"/>
    <w:rsid w:val="006D32A7"/>
    <w:rsid w:val="006D3876"/>
    <w:rsid w:val="006D501D"/>
    <w:rsid w:val="006D75D8"/>
    <w:rsid w:val="006E058E"/>
    <w:rsid w:val="006E1F2B"/>
    <w:rsid w:val="006E32A7"/>
    <w:rsid w:val="006E39CA"/>
    <w:rsid w:val="006E5CE0"/>
    <w:rsid w:val="006F2398"/>
    <w:rsid w:val="006F4D05"/>
    <w:rsid w:val="006F4E5F"/>
    <w:rsid w:val="006F7D51"/>
    <w:rsid w:val="0070273E"/>
    <w:rsid w:val="00706EDF"/>
    <w:rsid w:val="00711FFA"/>
    <w:rsid w:val="007130BD"/>
    <w:rsid w:val="007152F1"/>
    <w:rsid w:val="00715EBD"/>
    <w:rsid w:val="00717381"/>
    <w:rsid w:val="007255A9"/>
    <w:rsid w:val="00726561"/>
    <w:rsid w:val="007277CA"/>
    <w:rsid w:val="00730F74"/>
    <w:rsid w:val="0073220F"/>
    <w:rsid w:val="007336B0"/>
    <w:rsid w:val="007372AB"/>
    <w:rsid w:val="00741E48"/>
    <w:rsid w:val="00742164"/>
    <w:rsid w:val="00743F30"/>
    <w:rsid w:val="007446CC"/>
    <w:rsid w:val="0075012B"/>
    <w:rsid w:val="0075093B"/>
    <w:rsid w:val="007538F8"/>
    <w:rsid w:val="00754155"/>
    <w:rsid w:val="00767A66"/>
    <w:rsid w:val="00771D54"/>
    <w:rsid w:val="0077580F"/>
    <w:rsid w:val="00776196"/>
    <w:rsid w:val="00776726"/>
    <w:rsid w:val="00782770"/>
    <w:rsid w:val="00785BA3"/>
    <w:rsid w:val="00793B6A"/>
    <w:rsid w:val="00795017"/>
    <w:rsid w:val="007951CC"/>
    <w:rsid w:val="00795C07"/>
    <w:rsid w:val="007A4330"/>
    <w:rsid w:val="007A6C07"/>
    <w:rsid w:val="007A7925"/>
    <w:rsid w:val="007A7D88"/>
    <w:rsid w:val="007B1955"/>
    <w:rsid w:val="007B7C7D"/>
    <w:rsid w:val="007C2B9E"/>
    <w:rsid w:val="007C2DBC"/>
    <w:rsid w:val="007C4DDB"/>
    <w:rsid w:val="007C5E6C"/>
    <w:rsid w:val="007D067C"/>
    <w:rsid w:val="007D09CF"/>
    <w:rsid w:val="007D0A2D"/>
    <w:rsid w:val="007D2085"/>
    <w:rsid w:val="007D22D4"/>
    <w:rsid w:val="007D2D78"/>
    <w:rsid w:val="007D3381"/>
    <w:rsid w:val="007D34DE"/>
    <w:rsid w:val="007D66D8"/>
    <w:rsid w:val="007D6C20"/>
    <w:rsid w:val="007D76EC"/>
    <w:rsid w:val="007D7AC6"/>
    <w:rsid w:val="007E6C05"/>
    <w:rsid w:val="007F04A9"/>
    <w:rsid w:val="007F2D97"/>
    <w:rsid w:val="007F3719"/>
    <w:rsid w:val="007F3CC4"/>
    <w:rsid w:val="007F4359"/>
    <w:rsid w:val="007F5330"/>
    <w:rsid w:val="00803E45"/>
    <w:rsid w:val="00803ECC"/>
    <w:rsid w:val="0080736E"/>
    <w:rsid w:val="00811200"/>
    <w:rsid w:val="00812111"/>
    <w:rsid w:val="00812C33"/>
    <w:rsid w:val="0082176C"/>
    <w:rsid w:val="00823FFA"/>
    <w:rsid w:val="00825C5C"/>
    <w:rsid w:val="00825CA7"/>
    <w:rsid w:val="00832290"/>
    <w:rsid w:val="008338DA"/>
    <w:rsid w:val="0083611C"/>
    <w:rsid w:val="008370A6"/>
    <w:rsid w:val="008472ED"/>
    <w:rsid w:val="0084768D"/>
    <w:rsid w:val="00850BAE"/>
    <w:rsid w:val="00856EA4"/>
    <w:rsid w:val="008618A7"/>
    <w:rsid w:val="00862FED"/>
    <w:rsid w:val="008651D1"/>
    <w:rsid w:val="00870294"/>
    <w:rsid w:val="00873879"/>
    <w:rsid w:val="00877083"/>
    <w:rsid w:val="00877DA3"/>
    <w:rsid w:val="00880307"/>
    <w:rsid w:val="00881486"/>
    <w:rsid w:val="00884B9E"/>
    <w:rsid w:val="00885E8C"/>
    <w:rsid w:val="00887455"/>
    <w:rsid w:val="008A256D"/>
    <w:rsid w:val="008A31B2"/>
    <w:rsid w:val="008B0673"/>
    <w:rsid w:val="008B2572"/>
    <w:rsid w:val="008B6E12"/>
    <w:rsid w:val="008B7AFF"/>
    <w:rsid w:val="008C52B5"/>
    <w:rsid w:val="008D49D3"/>
    <w:rsid w:val="008E1487"/>
    <w:rsid w:val="008E33CC"/>
    <w:rsid w:val="008E3774"/>
    <w:rsid w:val="008E44B4"/>
    <w:rsid w:val="008E7AF5"/>
    <w:rsid w:val="008F2387"/>
    <w:rsid w:val="008F582B"/>
    <w:rsid w:val="009018AB"/>
    <w:rsid w:val="00902F23"/>
    <w:rsid w:val="009042DF"/>
    <w:rsid w:val="0090471B"/>
    <w:rsid w:val="00904764"/>
    <w:rsid w:val="009054D8"/>
    <w:rsid w:val="00913124"/>
    <w:rsid w:val="00914DE2"/>
    <w:rsid w:val="00922711"/>
    <w:rsid w:val="00926423"/>
    <w:rsid w:val="00927046"/>
    <w:rsid w:val="0093100B"/>
    <w:rsid w:val="009324C8"/>
    <w:rsid w:val="0093255F"/>
    <w:rsid w:val="00932810"/>
    <w:rsid w:val="00933755"/>
    <w:rsid w:val="0093759F"/>
    <w:rsid w:val="00942F61"/>
    <w:rsid w:val="00943D15"/>
    <w:rsid w:val="00943DF8"/>
    <w:rsid w:val="00947E84"/>
    <w:rsid w:val="00950A35"/>
    <w:rsid w:val="00953C76"/>
    <w:rsid w:val="00954A65"/>
    <w:rsid w:val="00956D2F"/>
    <w:rsid w:val="009648E1"/>
    <w:rsid w:val="00964FBC"/>
    <w:rsid w:val="00975736"/>
    <w:rsid w:val="0097753E"/>
    <w:rsid w:val="00981CD0"/>
    <w:rsid w:val="00981FFE"/>
    <w:rsid w:val="009859BE"/>
    <w:rsid w:val="00987482"/>
    <w:rsid w:val="00991F1E"/>
    <w:rsid w:val="00992ACD"/>
    <w:rsid w:val="009939B0"/>
    <w:rsid w:val="0099446C"/>
    <w:rsid w:val="0099680B"/>
    <w:rsid w:val="00997BE9"/>
    <w:rsid w:val="009A33DC"/>
    <w:rsid w:val="009A35CE"/>
    <w:rsid w:val="009A774C"/>
    <w:rsid w:val="009A7DCF"/>
    <w:rsid w:val="009B48BD"/>
    <w:rsid w:val="009C2570"/>
    <w:rsid w:val="009C398B"/>
    <w:rsid w:val="009C56EE"/>
    <w:rsid w:val="009C5B93"/>
    <w:rsid w:val="009D05FC"/>
    <w:rsid w:val="009D3CC9"/>
    <w:rsid w:val="009D4194"/>
    <w:rsid w:val="009D6813"/>
    <w:rsid w:val="009E10BD"/>
    <w:rsid w:val="009E60DE"/>
    <w:rsid w:val="009E642A"/>
    <w:rsid w:val="009E6BA9"/>
    <w:rsid w:val="009F12A2"/>
    <w:rsid w:val="009F5317"/>
    <w:rsid w:val="009F6003"/>
    <w:rsid w:val="009F7527"/>
    <w:rsid w:val="009F790A"/>
    <w:rsid w:val="00A03DD4"/>
    <w:rsid w:val="00A06C3B"/>
    <w:rsid w:val="00A07200"/>
    <w:rsid w:val="00A141D2"/>
    <w:rsid w:val="00A15D04"/>
    <w:rsid w:val="00A212FE"/>
    <w:rsid w:val="00A24A8D"/>
    <w:rsid w:val="00A26272"/>
    <w:rsid w:val="00A31DF7"/>
    <w:rsid w:val="00A33899"/>
    <w:rsid w:val="00A41DA3"/>
    <w:rsid w:val="00A42C8D"/>
    <w:rsid w:val="00A44849"/>
    <w:rsid w:val="00A46412"/>
    <w:rsid w:val="00A51453"/>
    <w:rsid w:val="00A5168E"/>
    <w:rsid w:val="00A566F4"/>
    <w:rsid w:val="00A63D16"/>
    <w:rsid w:val="00A72C00"/>
    <w:rsid w:val="00A75BC3"/>
    <w:rsid w:val="00A7770A"/>
    <w:rsid w:val="00A77AB3"/>
    <w:rsid w:val="00A80168"/>
    <w:rsid w:val="00A805BE"/>
    <w:rsid w:val="00A821A5"/>
    <w:rsid w:val="00A82F16"/>
    <w:rsid w:val="00A84007"/>
    <w:rsid w:val="00A855F0"/>
    <w:rsid w:val="00A85CDE"/>
    <w:rsid w:val="00A87E3D"/>
    <w:rsid w:val="00A94C6F"/>
    <w:rsid w:val="00A95FC9"/>
    <w:rsid w:val="00AA0764"/>
    <w:rsid w:val="00AA3CD2"/>
    <w:rsid w:val="00AA6C51"/>
    <w:rsid w:val="00AA7A0D"/>
    <w:rsid w:val="00AA7BC5"/>
    <w:rsid w:val="00AB1A23"/>
    <w:rsid w:val="00AB34AA"/>
    <w:rsid w:val="00AB3928"/>
    <w:rsid w:val="00AB3EAA"/>
    <w:rsid w:val="00AB40E1"/>
    <w:rsid w:val="00AB43FB"/>
    <w:rsid w:val="00AB7078"/>
    <w:rsid w:val="00AD4120"/>
    <w:rsid w:val="00AD4E29"/>
    <w:rsid w:val="00AD5182"/>
    <w:rsid w:val="00AD556C"/>
    <w:rsid w:val="00AD735E"/>
    <w:rsid w:val="00AD7895"/>
    <w:rsid w:val="00AE1484"/>
    <w:rsid w:val="00AE1E66"/>
    <w:rsid w:val="00AE48D7"/>
    <w:rsid w:val="00AF143E"/>
    <w:rsid w:val="00AF19C6"/>
    <w:rsid w:val="00AF1BBF"/>
    <w:rsid w:val="00AF231B"/>
    <w:rsid w:val="00AF2513"/>
    <w:rsid w:val="00AF4B1E"/>
    <w:rsid w:val="00AF7649"/>
    <w:rsid w:val="00B01F3E"/>
    <w:rsid w:val="00B02E0B"/>
    <w:rsid w:val="00B044EC"/>
    <w:rsid w:val="00B0745A"/>
    <w:rsid w:val="00B07E89"/>
    <w:rsid w:val="00B07FDB"/>
    <w:rsid w:val="00B10869"/>
    <w:rsid w:val="00B11172"/>
    <w:rsid w:val="00B13A2F"/>
    <w:rsid w:val="00B16353"/>
    <w:rsid w:val="00B253FA"/>
    <w:rsid w:val="00B26D1A"/>
    <w:rsid w:val="00B3021B"/>
    <w:rsid w:val="00B319D4"/>
    <w:rsid w:val="00B347B8"/>
    <w:rsid w:val="00B35EBA"/>
    <w:rsid w:val="00B3788D"/>
    <w:rsid w:val="00B43B21"/>
    <w:rsid w:val="00B43CF5"/>
    <w:rsid w:val="00B4497C"/>
    <w:rsid w:val="00B47955"/>
    <w:rsid w:val="00B524A8"/>
    <w:rsid w:val="00B53CEB"/>
    <w:rsid w:val="00B5644D"/>
    <w:rsid w:val="00B62C2A"/>
    <w:rsid w:val="00B62E44"/>
    <w:rsid w:val="00B62F9A"/>
    <w:rsid w:val="00B649FA"/>
    <w:rsid w:val="00B65EF4"/>
    <w:rsid w:val="00B6638F"/>
    <w:rsid w:val="00B7298E"/>
    <w:rsid w:val="00B739A9"/>
    <w:rsid w:val="00B76B6F"/>
    <w:rsid w:val="00B835BC"/>
    <w:rsid w:val="00B8429A"/>
    <w:rsid w:val="00B92F34"/>
    <w:rsid w:val="00B95188"/>
    <w:rsid w:val="00B96A27"/>
    <w:rsid w:val="00BA4580"/>
    <w:rsid w:val="00BA5DB2"/>
    <w:rsid w:val="00BB1199"/>
    <w:rsid w:val="00BB157F"/>
    <w:rsid w:val="00BB2F3E"/>
    <w:rsid w:val="00BB6D8D"/>
    <w:rsid w:val="00BD067D"/>
    <w:rsid w:val="00BD0F38"/>
    <w:rsid w:val="00BD11D3"/>
    <w:rsid w:val="00BD25C6"/>
    <w:rsid w:val="00BD37A2"/>
    <w:rsid w:val="00BD7DAD"/>
    <w:rsid w:val="00BE4494"/>
    <w:rsid w:val="00BE595C"/>
    <w:rsid w:val="00C0641A"/>
    <w:rsid w:val="00C07BC3"/>
    <w:rsid w:val="00C13D39"/>
    <w:rsid w:val="00C13F68"/>
    <w:rsid w:val="00C14281"/>
    <w:rsid w:val="00C15766"/>
    <w:rsid w:val="00C21C07"/>
    <w:rsid w:val="00C2393D"/>
    <w:rsid w:val="00C259F7"/>
    <w:rsid w:val="00C31127"/>
    <w:rsid w:val="00C32ABD"/>
    <w:rsid w:val="00C370F8"/>
    <w:rsid w:val="00C418CB"/>
    <w:rsid w:val="00C430E2"/>
    <w:rsid w:val="00C43389"/>
    <w:rsid w:val="00C44E04"/>
    <w:rsid w:val="00C500E1"/>
    <w:rsid w:val="00C5689A"/>
    <w:rsid w:val="00C56973"/>
    <w:rsid w:val="00C60903"/>
    <w:rsid w:val="00C60AA3"/>
    <w:rsid w:val="00C665D1"/>
    <w:rsid w:val="00C66647"/>
    <w:rsid w:val="00C723DF"/>
    <w:rsid w:val="00C76689"/>
    <w:rsid w:val="00C77747"/>
    <w:rsid w:val="00C81430"/>
    <w:rsid w:val="00C85DAF"/>
    <w:rsid w:val="00C87060"/>
    <w:rsid w:val="00C96351"/>
    <w:rsid w:val="00C97868"/>
    <w:rsid w:val="00CA3657"/>
    <w:rsid w:val="00CA36A8"/>
    <w:rsid w:val="00CA459B"/>
    <w:rsid w:val="00CB03D6"/>
    <w:rsid w:val="00CB111C"/>
    <w:rsid w:val="00CB3816"/>
    <w:rsid w:val="00CB3841"/>
    <w:rsid w:val="00CB4582"/>
    <w:rsid w:val="00CB4E59"/>
    <w:rsid w:val="00CC1E71"/>
    <w:rsid w:val="00CC1F01"/>
    <w:rsid w:val="00CC2366"/>
    <w:rsid w:val="00CC2D9E"/>
    <w:rsid w:val="00CC30E3"/>
    <w:rsid w:val="00CC3538"/>
    <w:rsid w:val="00CC3C52"/>
    <w:rsid w:val="00CD4924"/>
    <w:rsid w:val="00CD49E7"/>
    <w:rsid w:val="00CE0F66"/>
    <w:rsid w:val="00CE188F"/>
    <w:rsid w:val="00CE5DF8"/>
    <w:rsid w:val="00CE7D67"/>
    <w:rsid w:val="00CF25A7"/>
    <w:rsid w:val="00CF2FE7"/>
    <w:rsid w:val="00CF457D"/>
    <w:rsid w:val="00CF732B"/>
    <w:rsid w:val="00D03C2D"/>
    <w:rsid w:val="00D06698"/>
    <w:rsid w:val="00D10E9C"/>
    <w:rsid w:val="00D11A21"/>
    <w:rsid w:val="00D12826"/>
    <w:rsid w:val="00D15A45"/>
    <w:rsid w:val="00D23B40"/>
    <w:rsid w:val="00D24C39"/>
    <w:rsid w:val="00D251EA"/>
    <w:rsid w:val="00D26FDE"/>
    <w:rsid w:val="00D314CE"/>
    <w:rsid w:val="00D32423"/>
    <w:rsid w:val="00D32EC4"/>
    <w:rsid w:val="00D3367C"/>
    <w:rsid w:val="00D34CD5"/>
    <w:rsid w:val="00D370DD"/>
    <w:rsid w:val="00D40CD1"/>
    <w:rsid w:val="00D42275"/>
    <w:rsid w:val="00D46ECB"/>
    <w:rsid w:val="00D5217F"/>
    <w:rsid w:val="00D523D7"/>
    <w:rsid w:val="00D53805"/>
    <w:rsid w:val="00D60462"/>
    <w:rsid w:val="00D6339D"/>
    <w:rsid w:val="00D66A00"/>
    <w:rsid w:val="00D66AA3"/>
    <w:rsid w:val="00D673EB"/>
    <w:rsid w:val="00D700A4"/>
    <w:rsid w:val="00D72067"/>
    <w:rsid w:val="00D73338"/>
    <w:rsid w:val="00D80A04"/>
    <w:rsid w:val="00D8270A"/>
    <w:rsid w:val="00D8429F"/>
    <w:rsid w:val="00D84F30"/>
    <w:rsid w:val="00D84F32"/>
    <w:rsid w:val="00D90AE7"/>
    <w:rsid w:val="00D95833"/>
    <w:rsid w:val="00D97A9F"/>
    <w:rsid w:val="00DA153D"/>
    <w:rsid w:val="00DA1C84"/>
    <w:rsid w:val="00DA2808"/>
    <w:rsid w:val="00DA4371"/>
    <w:rsid w:val="00DA4D59"/>
    <w:rsid w:val="00DA61FF"/>
    <w:rsid w:val="00DA763F"/>
    <w:rsid w:val="00DB360E"/>
    <w:rsid w:val="00DB638A"/>
    <w:rsid w:val="00DB7126"/>
    <w:rsid w:val="00DC4464"/>
    <w:rsid w:val="00DC7DFF"/>
    <w:rsid w:val="00DD092A"/>
    <w:rsid w:val="00DD19D5"/>
    <w:rsid w:val="00DD1E95"/>
    <w:rsid w:val="00DD3B59"/>
    <w:rsid w:val="00DE0D6A"/>
    <w:rsid w:val="00DE66CE"/>
    <w:rsid w:val="00DE704B"/>
    <w:rsid w:val="00DF1E80"/>
    <w:rsid w:val="00DF2D87"/>
    <w:rsid w:val="00DF4693"/>
    <w:rsid w:val="00E0362C"/>
    <w:rsid w:val="00E03CF9"/>
    <w:rsid w:val="00E072FC"/>
    <w:rsid w:val="00E10526"/>
    <w:rsid w:val="00E10D4B"/>
    <w:rsid w:val="00E201A4"/>
    <w:rsid w:val="00E22678"/>
    <w:rsid w:val="00E23A67"/>
    <w:rsid w:val="00E248B2"/>
    <w:rsid w:val="00E33E71"/>
    <w:rsid w:val="00E34B98"/>
    <w:rsid w:val="00E43CBD"/>
    <w:rsid w:val="00E46EB4"/>
    <w:rsid w:val="00E50804"/>
    <w:rsid w:val="00E61348"/>
    <w:rsid w:val="00E61882"/>
    <w:rsid w:val="00E74147"/>
    <w:rsid w:val="00E7545A"/>
    <w:rsid w:val="00E76B5B"/>
    <w:rsid w:val="00E804FB"/>
    <w:rsid w:val="00E8078D"/>
    <w:rsid w:val="00E8424C"/>
    <w:rsid w:val="00E84281"/>
    <w:rsid w:val="00E84967"/>
    <w:rsid w:val="00E91640"/>
    <w:rsid w:val="00E968A7"/>
    <w:rsid w:val="00E96A97"/>
    <w:rsid w:val="00EA391C"/>
    <w:rsid w:val="00EA42D3"/>
    <w:rsid w:val="00EA533E"/>
    <w:rsid w:val="00EA7643"/>
    <w:rsid w:val="00EB3A55"/>
    <w:rsid w:val="00EB475C"/>
    <w:rsid w:val="00EB6905"/>
    <w:rsid w:val="00EC1E86"/>
    <w:rsid w:val="00EC6F9B"/>
    <w:rsid w:val="00ED4696"/>
    <w:rsid w:val="00ED6768"/>
    <w:rsid w:val="00ED6B84"/>
    <w:rsid w:val="00ED72BA"/>
    <w:rsid w:val="00EE1FE5"/>
    <w:rsid w:val="00EE479F"/>
    <w:rsid w:val="00EE67D6"/>
    <w:rsid w:val="00EE6CE0"/>
    <w:rsid w:val="00EF0F1B"/>
    <w:rsid w:val="00EF1242"/>
    <w:rsid w:val="00EF5F67"/>
    <w:rsid w:val="00EF7E58"/>
    <w:rsid w:val="00F00965"/>
    <w:rsid w:val="00F0223B"/>
    <w:rsid w:val="00F0358D"/>
    <w:rsid w:val="00F05F64"/>
    <w:rsid w:val="00F06309"/>
    <w:rsid w:val="00F067AA"/>
    <w:rsid w:val="00F12A8D"/>
    <w:rsid w:val="00F13425"/>
    <w:rsid w:val="00F137C9"/>
    <w:rsid w:val="00F169AB"/>
    <w:rsid w:val="00F20DE9"/>
    <w:rsid w:val="00F20FE0"/>
    <w:rsid w:val="00F2142E"/>
    <w:rsid w:val="00F21B1E"/>
    <w:rsid w:val="00F32F26"/>
    <w:rsid w:val="00F34992"/>
    <w:rsid w:val="00F35AE9"/>
    <w:rsid w:val="00F37AC5"/>
    <w:rsid w:val="00F46354"/>
    <w:rsid w:val="00F51DB1"/>
    <w:rsid w:val="00F52311"/>
    <w:rsid w:val="00F544B5"/>
    <w:rsid w:val="00F61084"/>
    <w:rsid w:val="00F61C10"/>
    <w:rsid w:val="00F6223D"/>
    <w:rsid w:val="00F64BA0"/>
    <w:rsid w:val="00F65AC0"/>
    <w:rsid w:val="00F7268E"/>
    <w:rsid w:val="00F74EC2"/>
    <w:rsid w:val="00F75277"/>
    <w:rsid w:val="00F76C65"/>
    <w:rsid w:val="00F81CE1"/>
    <w:rsid w:val="00F84A7D"/>
    <w:rsid w:val="00F9097D"/>
    <w:rsid w:val="00F914E8"/>
    <w:rsid w:val="00F91B0A"/>
    <w:rsid w:val="00F9266F"/>
    <w:rsid w:val="00F92B99"/>
    <w:rsid w:val="00F92E4D"/>
    <w:rsid w:val="00FA02A8"/>
    <w:rsid w:val="00FA15B1"/>
    <w:rsid w:val="00FA3196"/>
    <w:rsid w:val="00FA4344"/>
    <w:rsid w:val="00FB0C10"/>
    <w:rsid w:val="00FB7A4A"/>
    <w:rsid w:val="00FC0EF1"/>
    <w:rsid w:val="00FC2BFD"/>
    <w:rsid w:val="00FC43CB"/>
    <w:rsid w:val="00FC4403"/>
    <w:rsid w:val="00FC4751"/>
    <w:rsid w:val="00FC7592"/>
    <w:rsid w:val="00FC7C3A"/>
    <w:rsid w:val="00FD0A06"/>
    <w:rsid w:val="00FD18E1"/>
    <w:rsid w:val="00FD30B4"/>
    <w:rsid w:val="00FD778D"/>
    <w:rsid w:val="00FE26C1"/>
    <w:rsid w:val="00FE3983"/>
    <w:rsid w:val="00FE44F9"/>
    <w:rsid w:val="00FE58F5"/>
    <w:rsid w:val="00FE5C09"/>
    <w:rsid w:val="00FE705E"/>
    <w:rsid w:val="00FF1D26"/>
    <w:rsid w:val="00FF1E5C"/>
    <w:rsid w:val="00FF3799"/>
    <w:rsid w:val="00FF4661"/>
    <w:rsid w:val="00FF46C5"/>
    <w:rsid w:val="00FF5CC5"/>
    <w:rsid w:val="00FF6EB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22E3F3"/>
  <w15:docId w15:val="{87F9CC12-A0CC-4243-B480-18080F3DC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42067C"/>
    <w:rPr>
      <w:sz w:val="24"/>
      <w:szCs w:val="24"/>
    </w:rPr>
  </w:style>
  <w:style w:type="paragraph" w:styleId="Titolo5">
    <w:name w:val="heading 5"/>
    <w:basedOn w:val="Normale"/>
    <w:next w:val="Normale"/>
    <w:qFormat/>
    <w:rsid w:val="00E76B5B"/>
    <w:pPr>
      <w:keepNext/>
      <w:widowControl w:val="0"/>
      <w:snapToGrid w:val="0"/>
      <w:spacing w:line="240" w:lineRule="atLeast"/>
      <w:jc w:val="center"/>
      <w:outlineLvl w:val="4"/>
    </w:pPr>
    <w:rPr>
      <w:rFonts w:ascii="Courier New" w:eastAsia="Arial Unicode MS" w:hAnsi="Courier New"/>
      <w:b/>
      <w:sz w:val="22"/>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rsid w:val="004206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rsid w:val="00E46EB4"/>
    <w:pPr>
      <w:tabs>
        <w:tab w:val="center" w:pos="4819"/>
        <w:tab w:val="right" w:pos="9638"/>
      </w:tabs>
    </w:pPr>
  </w:style>
  <w:style w:type="paragraph" w:styleId="Pidipagina">
    <w:name w:val="footer"/>
    <w:basedOn w:val="Normale"/>
    <w:rsid w:val="00E46EB4"/>
    <w:pPr>
      <w:tabs>
        <w:tab w:val="center" w:pos="4819"/>
        <w:tab w:val="right" w:pos="9638"/>
      </w:tabs>
    </w:pPr>
  </w:style>
  <w:style w:type="character" w:styleId="Collegamentoipertestuale">
    <w:name w:val="Hyperlink"/>
    <w:rsid w:val="00E46EB4"/>
    <w:rPr>
      <w:color w:val="0000FF"/>
      <w:u w:val="single"/>
    </w:rPr>
  </w:style>
  <w:style w:type="character" w:styleId="Numeropagina">
    <w:name w:val="page number"/>
    <w:basedOn w:val="Carpredefinitoparagrafo"/>
    <w:rsid w:val="00B92F34"/>
  </w:style>
  <w:style w:type="paragraph" w:styleId="Rientrocorpodeltesto">
    <w:name w:val="Body Text Indent"/>
    <w:basedOn w:val="Normale"/>
    <w:link w:val="RientrocorpodeltestoCarattere"/>
    <w:rsid w:val="00E76B5B"/>
    <w:pPr>
      <w:ind w:firstLine="708"/>
      <w:jc w:val="both"/>
    </w:pPr>
    <w:rPr>
      <w:rFonts w:ascii="Courier New" w:hAnsi="Courier New" w:cs="Courier New"/>
      <w:szCs w:val="20"/>
    </w:rPr>
  </w:style>
  <w:style w:type="paragraph" w:styleId="Rientrocorpodeltesto2">
    <w:name w:val="Body Text Indent 2"/>
    <w:basedOn w:val="Normale"/>
    <w:rsid w:val="00E76B5B"/>
    <w:pPr>
      <w:spacing w:after="120" w:line="480" w:lineRule="auto"/>
      <w:ind w:left="283"/>
    </w:pPr>
    <w:rPr>
      <w:sz w:val="20"/>
      <w:szCs w:val="20"/>
    </w:rPr>
  </w:style>
  <w:style w:type="paragraph" w:styleId="Testofumetto">
    <w:name w:val="Balloon Text"/>
    <w:basedOn w:val="Normale"/>
    <w:semiHidden/>
    <w:rsid w:val="00D40CD1"/>
    <w:rPr>
      <w:rFonts w:ascii="Tahoma" w:hAnsi="Tahoma" w:cs="Tahoma"/>
      <w:sz w:val="16"/>
      <w:szCs w:val="16"/>
    </w:rPr>
  </w:style>
  <w:style w:type="character" w:customStyle="1" w:styleId="estremosel">
    <w:name w:val="estremosel"/>
    <w:basedOn w:val="Carpredefinitoparagrafo"/>
    <w:rsid w:val="00121A7D"/>
  </w:style>
  <w:style w:type="character" w:customStyle="1" w:styleId="nota1">
    <w:name w:val="nota1"/>
    <w:basedOn w:val="Carpredefinitoparagrafo"/>
    <w:rsid w:val="00240238"/>
  </w:style>
  <w:style w:type="character" w:customStyle="1" w:styleId="provvnumart">
    <w:name w:val="provv_numart"/>
    <w:basedOn w:val="Carpredefinitoparagrafo"/>
    <w:rsid w:val="003B0048"/>
  </w:style>
  <w:style w:type="character" w:customStyle="1" w:styleId="provvrubrica">
    <w:name w:val="provv_rubrica"/>
    <w:basedOn w:val="Carpredefinitoparagrafo"/>
    <w:rsid w:val="003B0048"/>
  </w:style>
  <w:style w:type="paragraph" w:customStyle="1" w:styleId="provvestremo">
    <w:name w:val="provv_estremo"/>
    <w:basedOn w:val="Normale"/>
    <w:rsid w:val="00400E03"/>
    <w:pPr>
      <w:spacing w:before="100" w:beforeAutospacing="1" w:after="100" w:afterAutospacing="1"/>
    </w:pPr>
  </w:style>
  <w:style w:type="paragraph" w:customStyle="1" w:styleId="provvr0">
    <w:name w:val="provv_r0"/>
    <w:basedOn w:val="Normale"/>
    <w:rsid w:val="00400E03"/>
    <w:pPr>
      <w:spacing w:before="100" w:beforeAutospacing="1" w:after="100" w:afterAutospacing="1"/>
    </w:pPr>
  </w:style>
  <w:style w:type="paragraph" w:styleId="NormaleWeb">
    <w:name w:val="Normal (Web)"/>
    <w:basedOn w:val="Normale"/>
    <w:uiPriority w:val="99"/>
    <w:rsid w:val="007F3719"/>
    <w:pPr>
      <w:spacing w:before="100" w:beforeAutospacing="1" w:after="100" w:afterAutospacing="1"/>
    </w:pPr>
  </w:style>
  <w:style w:type="character" w:styleId="Enfasigrassetto">
    <w:name w:val="Strong"/>
    <w:qFormat/>
    <w:rsid w:val="007F3719"/>
    <w:rPr>
      <w:b/>
      <w:bCs/>
    </w:rPr>
  </w:style>
  <w:style w:type="paragraph" w:customStyle="1" w:styleId="Corpotestoamargine">
    <w:name w:val="Corpo testo a margine"/>
    <w:basedOn w:val="Normale"/>
    <w:uiPriority w:val="99"/>
    <w:rsid w:val="00D370DD"/>
    <w:pPr>
      <w:autoSpaceDE w:val="0"/>
      <w:autoSpaceDN w:val="0"/>
      <w:spacing w:before="240"/>
      <w:jc w:val="both"/>
    </w:pPr>
  </w:style>
  <w:style w:type="paragraph" w:styleId="Paragrafoelenco">
    <w:name w:val="List Paragraph"/>
    <w:basedOn w:val="Normale"/>
    <w:uiPriority w:val="99"/>
    <w:qFormat/>
    <w:rsid w:val="0093255F"/>
    <w:pPr>
      <w:spacing w:after="200" w:line="276" w:lineRule="auto"/>
      <w:ind w:left="720"/>
    </w:pPr>
    <w:rPr>
      <w:rFonts w:ascii="Calibri" w:eastAsia="Calibri" w:hAnsi="Calibri"/>
      <w:sz w:val="22"/>
      <w:szCs w:val="22"/>
    </w:rPr>
  </w:style>
  <w:style w:type="character" w:customStyle="1" w:styleId="RientrocorpodeltestoCarattere">
    <w:name w:val="Rientro corpo del testo Carattere"/>
    <w:basedOn w:val="Carpredefinitoparagrafo"/>
    <w:link w:val="Rientrocorpodeltesto"/>
    <w:rsid w:val="0070273E"/>
    <w:rPr>
      <w:rFonts w:ascii="Courier New" w:hAnsi="Courier New" w:cs="Courier New"/>
      <w:sz w:val="24"/>
    </w:rPr>
  </w:style>
  <w:style w:type="character" w:customStyle="1" w:styleId="IntestazioneCarattere">
    <w:name w:val="Intestazione Carattere"/>
    <w:link w:val="Intestazione"/>
    <w:rsid w:val="009A35CE"/>
    <w:rPr>
      <w:sz w:val="24"/>
      <w:szCs w:val="24"/>
    </w:rPr>
  </w:style>
  <w:style w:type="paragraph" w:styleId="Corpotesto">
    <w:name w:val="Body Text"/>
    <w:basedOn w:val="Normale"/>
    <w:link w:val="CorpotestoCarattere"/>
    <w:unhideWhenUsed/>
    <w:rsid w:val="009A35CE"/>
    <w:pPr>
      <w:spacing w:after="120"/>
    </w:pPr>
  </w:style>
  <w:style w:type="character" w:customStyle="1" w:styleId="CorpotestoCarattere">
    <w:name w:val="Corpo testo Carattere"/>
    <w:basedOn w:val="Carpredefinitoparagrafo"/>
    <w:link w:val="Corpotesto"/>
    <w:rsid w:val="009A35C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26901">
      <w:bodyDiv w:val="1"/>
      <w:marLeft w:val="0"/>
      <w:marRight w:val="0"/>
      <w:marTop w:val="0"/>
      <w:marBottom w:val="0"/>
      <w:divBdr>
        <w:top w:val="none" w:sz="0" w:space="0" w:color="auto"/>
        <w:left w:val="none" w:sz="0" w:space="0" w:color="auto"/>
        <w:bottom w:val="none" w:sz="0" w:space="0" w:color="auto"/>
        <w:right w:val="none" w:sz="0" w:space="0" w:color="auto"/>
      </w:divBdr>
    </w:div>
    <w:div w:id="70542420">
      <w:bodyDiv w:val="1"/>
      <w:marLeft w:val="0"/>
      <w:marRight w:val="0"/>
      <w:marTop w:val="0"/>
      <w:marBottom w:val="0"/>
      <w:divBdr>
        <w:top w:val="none" w:sz="0" w:space="0" w:color="auto"/>
        <w:left w:val="none" w:sz="0" w:space="0" w:color="auto"/>
        <w:bottom w:val="none" w:sz="0" w:space="0" w:color="auto"/>
        <w:right w:val="none" w:sz="0" w:space="0" w:color="auto"/>
      </w:divBdr>
    </w:div>
    <w:div w:id="188111420">
      <w:bodyDiv w:val="1"/>
      <w:marLeft w:val="0"/>
      <w:marRight w:val="0"/>
      <w:marTop w:val="0"/>
      <w:marBottom w:val="0"/>
      <w:divBdr>
        <w:top w:val="none" w:sz="0" w:space="0" w:color="auto"/>
        <w:left w:val="none" w:sz="0" w:space="0" w:color="auto"/>
        <w:bottom w:val="none" w:sz="0" w:space="0" w:color="auto"/>
        <w:right w:val="none" w:sz="0" w:space="0" w:color="auto"/>
      </w:divBdr>
    </w:div>
    <w:div w:id="189800638">
      <w:bodyDiv w:val="1"/>
      <w:marLeft w:val="0"/>
      <w:marRight w:val="0"/>
      <w:marTop w:val="0"/>
      <w:marBottom w:val="0"/>
      <w:divBdr>
        <w:top w:val="none" w:sz="0" w:space="0" w:color="auto"/>
        <w:left w:val="none" w:sz="0" w:space="0" w:color="auto"/>
        <w:bottom w:val="none" w:sz="0" w:space="0" w:color="auto"/>
        <w:right w:val="none" w:sz="0" w:space="0" w:color="auto"/>
      </w:divBdr>
    </w:div>
    <w:div w:id="331176786">
      <w:bodyDiv w:val="1"/>
      <w:marLeft w:val="0"/>
      <w:marRight w:val="0"/>
      <w:marTop w:val="0"/>
      <w:marBottom w:val="0"/>
      <w:divBdr>
        <w:top w:val="none" w:sz="0" w:space="0" w:color="auto"/>
        <w:left w:val="none" w:sz="0" w:space="0" w:color="auto"/>
        <w:bottom w:val="none" w:sz="0" w:space="0" w:color="auto"/>
        <w:right w:val="none" w:sz="0" w:space="0" w:color="auto"/>
      </w:divBdr>
    </w:div>
    <w:div w:id="398942399">
      <w:bodyDiv w:val="1"/>
      <w:marLeft w:val="0"/>
      <w:marRight w:val="0"/>
      <w:marTop w:val="0"/>
      <w:marBottom w:val="0"/>
      <w:divBdr>
        <w:top w:val="none" w:sz="0" w:space="0" w:color="auto"/>
        <w:left w:val="none" w:sz="0" w:space="0" w:color="auto"/>
        <w:bottom w:val="none" w:sz="0" w:space="0" w:color="auto"/>
        <w:right w:val="none" w:sz="0" w:space="0" w:color="auto"/>
      </w:divBdr>
    </w:div>
    <w:div w:id="454715210">
      <w:bodyDiv w:val="1"/>
      <w:marLeft w:val="0"/>
      <w:marRight w:val="0"/>
      <w:marTop w:val="0"/>
      <w:marBottom w:val="0"/>
      <w:divBdr>
        <w:top w:val="none" w:sz="0" w:space="0" w:color="auto"/>
        <w:left w:val="none" w:sz="0" w:space="0" w:color="auto"/>
        <w:bottom w:val="none" w:sz="0" w:space="0" w:color="auto"/>
        <w:right w:val="none" w:sz="0" w:space="0" w:color="auto"/>
      </w:divBdr>
    </w:div>
    <w:div w:id="512887794">
      <w:bodyDiv w:val="1"/>
      <w:marLeft w:val="0"/>
      <w:marRight w:val="0"/>
      <w:marTop w:val="0"/>
      <w:marBottom w:val="0"/>
      <w:divBdr>
        <w:top w:val="none" w:sz="0" w:space="0" w:color="auto"/>
        <w:left w:val="none" w:sz="0" w:space="0" w:color="auto"/>
        <w:bottom w:val="none" w:sz="0" w:space="0" w:color="auto"/>
        <w:right w:val="none" w:sz="0" w:space="0" w:color="auto"/>
      </w:divBdr>
    </w:div>
    <w:div w:id="581376820">
      <w:bodyDiv w:val="1"/>
      <w:marLeft w:val="0"/>
      <w:marRight w:val="0"/>
      <w:marTop w:val="0"/>
      <w:marBottom w:val="0"/>
      <w:divBdr>
        <w:top w:val="none" w:sz="0" w:space="0" w:color="auto"/>
        <w:left w:val="none" w:sz="0" w:space="0" w:color="auto"/>
        <w:bottom w:val="none" w:sz="0" w:space="0" w:color="auto"/>
        <w:right w:val="none" w:sz="0" w:space="0" w:color="auto"/>
      </w:divBdr>
    </w:div>
    <w:div w:id="596717713">
      <w:bodyDiv w:val="1"/>
      <w:marLeft w:val="0"/>
      <w:marRight w:val="0"/>
      <w:marTop w:val="0"/>
      <w:marBottom w:val="0"/>
      <w:divBdr>
        <w:top w:val="none" w:sz="0" w:space="0" w:color="auto"/>
        <w:left w:val="none" w:sz="0" w:space="0" w:color="auto"/>
        <w:bottom w:val="none" w:sz="0" w:space="0" w:color="auto"/>
        <w:right w:val="none" w:sz="0" w:space="0" w:color="auto"/>
      </w:divBdr>
    </w:div>
    <w:div w:id="809904722">
      <w:bodyDiv w:val="1"/>
      <w:marLeft w:val="0"/>
      <w:marRight w:val="0"/>
      <w:marTop w:val="0"/>
      <w:marBottom w:val="0"/>
      <w:divBdr>
        <w:top w:val="none" w:sz="0" w:space="0" w:color="auto"/>
        <w:left w:val="none" w:sz="0" w:space="0" w:color="auto"/>
        <w:bottom w:val="none" w:sz="0" w:space="0" w:color="auto"/>
        <w:right w:val="none" w:sz="0" w:space="0" w:color="auto"/>
      </w:divBdr>
    </w:div>
    <w:div w:id="935133407">
      <w:bodyDiv w:val="1"/>
      <w:marLeft w:val="0"/>
      <w:marRight w:val="0"/>
      <w:marTop w:val="0"/>
      <w:marBottom w:val="0"/>
      <w:divBdr>
        <w:top w:val="none" w:sz="0" w:space="0" w:color="auto"/>
        <w:left w:val="none" w:sz="0" w:space="0" w:color="auto"/>
        <w:bottom w:val="none" w:sz="0" w:space="0" w:color="auto"/>
        <w:right w:val="none" w:sz="0" w:space="0" w:color="auto"/>
      </w:divBdr>
    </w:div>
    <w:div w:id="1011759747">
      <w:bodyDiv w:val="1"/>
      <w:marLeft w:val="0"/>
      <w:marRight w:val="0"/>
      <w:marTop w:val="0"/>
      <w:marBottom w:val="0"/>
      <w:divBdr>
        <w:top w:val="none" w:sz="0" w:space="0" w:color="auto"/>
        <w:left w:val="none" w:sz="0" w:space="0" w:color="auto"/>
        <w:bottom w:val="none" w:sz="0" w:space="0" w:color="auto"/>
        <w:right w:val="none" w:sz="0" w:space="0" w:color="auto"/>
      </w:divBdr>
    </w:div>
    <w:div w:id="1869490623">
      <w:bodyDiv w:val="1"/>
      <w:marLeft w:val="0"/>
      <w:marRight w:val="0"/>
      <w:marTop w:val="0"/>
      <w:marBottom w:val="0"/>
      <w:divBdr>
        <w:top w:val="none" w:sz="0" w:space="0" w:color="auto"/>
        <w:left w:val="none" w:sz="0" w:space="0" w:color="auto"/>
        <w:bottom w:val="none" w:sz="0" w:space="0" w:color="auto"/>
        <w:right w:val="none" w:sz="0" w:space="0" w:color="auto"/>
      </w:divBdr>
    </w:div>
    <w:div w:id="1876119973">
      <w:bodyDiv w:val="1"/>
      <w:marLeft w:val="0"/>
      <w:marRight w:val="0"/>
      <w:marTop w:val="0"/>
      <w:marBottom w:val="0"/>
      <w:divBdr>
        <w:top w:val="none" w:sz="0" w:space="0" w:color="auto"/>
        <w:left w:val="none" w:sz="0" w:space="0" w:color="auto"/>
        <w:bottom w:val="none" w:sz="0" w:space="0" w:color="auto"/>
        <w:right w:val="none" w:sz="0" w:space="0" w:color="auto"/>
      </w:divBdr>
    </w:div>
    <w:div w:id="2033067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www.agenziafarmaco.gov.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D10500A-9EA1-48A3-AF72-EBD7FD9E5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1057</Words>
  <Characters>6029</Characters>
  <Application>Microsoft Office Word</Application>
  <DocSecurity>0</DocSecurity>
  <Lines>50</Lines>
  <Paragraphs>14</Paragraphs>
  <ScaleCrop>false</ScaleCrop>
  <HeadingPairs>
    <vt:vector size="2" baseType="variant">
      <vt:variant>
        <vt:lpstr>Titolo</vt:lpstr>
      </vt:variant>
      <vt:variant>
        <vt:i4>1</vt:i4>
      </vt:variant>
    </vt:vector>
  </HeadingPairs>
  <TitlesOfParts>
    <vt:vector size="1" baseType="lpstr">
      <vt:lpstr>Lettera oggetto</vt:lpstr>
    </vt:vector>
  </TitlesOfParts>
  <Company>AIFA</Company>
  <LinksUpToDate>false</LinksUpToDate>
  <CharactersWithSpaces>7072</CharactersWithSpaces>
  <SharedDoc>false</SharedDoc>
  <HLinks>
    <vt:vector size="6" baseType="variant">
      <vt:variant>
        <vt:i4>4194386</vt:i4>
      </vt:variant>
      <vt:variant>
        <vt:i4>2</vt:i4>
      </vt:variant>
      <vt:variant>
        <vt:i4>0</vt:i4>
      </vt:variant>
      <vt:variant>
        <vt:i4>5</vt:i4>
      </vt:variant>
      <vt:variant>
        <vt:lpwstr>http://www.agenziafarmaco.gov.it/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Lettera oggetto</dc:title>
  <dc:creator>Preferred Customer</dc:creator>
  <cp:lastModifiedBy>Milonis Alessandro</cp:lastModifiedBy>
  <cp:revision>3</cp:revision>
  <cp:lastPrinted>2019-10-22T10:19:00Z</cp:lastPrinted>
  <dcterms:created xsi:type="dcterms:W3CDTF">2025-06-04T13:12:00Z</dcterms:created>
  <dcterms:modified xsi:type="dcterms:W3CDTF">2026-09-02T09:42:00Z</dcterms:modified>
</cp:coreProperties>
</file>