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60043" w14:textId="77777777" w:rsidR="00C0641A" w:rsidRDefault="00C0641A" w:rsidP="009A35CE">
      <w:pPr>
        <w:tabs>
          <w:tab w:val="left" w:pos="1995"/>
        </w:tabs>
        <w:rPr>
          <w:noProof/>
        </w:rPr>
      </w:pPr>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DBB0EA1"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6754CF">
        <w:rPr>
          <w:rFonts w:ascii="Calibri" w:hAnsi="Calibri" w:cs="Arial"/>
        </w:rPr>
        <w:t xml:space="preserve"> </w:t>
      </w:r>
      <w:r>
        <w:rPr>
          <w:rFonts w:ascii="Calibri" w:hAnsi="Calibri" w:cs="Arial"/>
        </w:rPr>
        <w:t>……….</w:t>
      </w:r>
    </w:p>
    <w:p w14:paraId="54380B24" w14:textId="0B5F013E"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F63D5A">
        <w:rPr>
          <w:rFonts w:ascii="Calibri" w:hAnsi="Calibri" w:cs="Arial"/>
        </w:rPr>
        <w:t>………</w:t>
      </w:r>
    </w:p>
    <w:p w14:paraId="0812068D" w14:textId="57BEF028"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w:t>
      </w:r>
      <w:r w:rsidR="008621E7">
        <w:rPr>
          <w:rFonts w:ascii="Calibri" w:hAnsi="Calibri"/>
          <w:iCs/>
        </w:rPr>
        <w:t>d</w:t>
      </w:r>
      <w:r w:rsidR="008621E7">
        <w:rPr>
          <w:rFonts w:ascii="Calibri" w:hAnsi="Calibri" w:cs="Calibri"/>
        </w:rPr>
        <w:t>irigente del</w:t>
      </w:r>
      <w:r w:rsidR="008621E7" w:rsidRPr="00EA3192">
        <w:rPr>
          <w:rFonts w:ascii="Calibri" w:hAnsi="Calibri" w:cs="Calibri"/>
        </w:rPr>
        <w:t>l’</w:t>
      </w:r>
      <w:r w:rsidR="008621E7">
        <w:rPr>
          <w:rFonts w:ascii="Calibri" w:hAnsi="Calibri" w:cs="Calibri"/>
        </w:rPr>
        <w:t>Ufficio Affari internazionali</w:t>
      </w:r>
      <w:r w:rsidR="008621E7" w:rsidRPr="00EA3192">
        <w:rPr>
          <w:rFonts w:ascii="Calibri" w:hAnsi="Calibri" w:cs="Calibri"/>
        </w:rPr>
        <w:t xml:space="preserve"> </w:t>
      </w:r>
      <w:r w:rsidR="008621E7">
        <w:rPr>
          <w:rFonts w:ascii="Calibri" w:hAnsi="Calibri" w:cs="Calibri"/>
        </w:rPr>
        <w:t>collocato nella fascia retributiva B</w:t>
      </w:r>
      <w:bookmarkStart w:id="0" w:name="_GoBack"/>
      <w:bookmarkEnd w:id="0"/>
      <w:r>
        <w:rPr>
          <w:rFonts w:ascii="Calibri" w:hAnsi="Calibri" w:cs="Calibri"/>
        </w:rPr>
        <w:t xml:space="preserve">, </w:t>
      </w:r>
      <w:r>
        <w:rPr>
          <w:rFonts w:ascii="Calibri" w:hAnsi="Calibri"/>
          <w:iCs/>
        </w:rPr>
        <w:t xml:space="preserve">consapevole delle sanzioni </w:t>
      </w:r>
      <w:r w:rsidR="00721B87" w:rsidRPr="00721B87">
        <w:rPr>
          <w:rFonts w:ascii="Calibri" w:hAnsi="Calibri"/>
          <w:iCs/>
        </w:rPr>
        <w:t>previste dal codice penale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w:t>
      </w:r>
      <w:proofErr w:type="spellStart"/>
      <w:r>
        <w:rPr>
          <w:rFonts w:ascii="Calibri" w:hAnsi="Calibri"/>
          <w:iCs/>
        </w:rPr>
        <w:t>inconferibilità</w:t>
      </w:r>
      <w:proofErr w:type="spellEnd"/>
      <w:r>
        <w:rPr>
          <w:rFonts w:ascii="Calibri" w:hAnsi="Calibri"/>
          <w:iCs/>
        </w:rPr>
        <w:t xml:space="preserve">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2C4EE124"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w:t>
      </w:r>
      <w:proofErr w:type="spellStart"/>
      <w:r>
        <w:rPr>
          <w:rFonts w:ascii="Calibri" w:hAnsi="Calibri"/>
          <w:iCs/>
          <w:sz w:val="18"/>
          <w:szCs w:val="18"/>
        </w:rPr>
        <w:t>ViceMinistro</w:t>
      </w:r>
      <w:proofErr w:type="spellEnd"/>
      <w:r>
        <w:rPr>
          <w:rFonts w:ascii="Calibri" w:hAnsi="Calibri"/>
          <w:iCs/>
          <w:sz w:val="18"/>
          <w:szCs w:val="18"/>
        </w:rPr>
        <w:t>,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ab/>
        <w:t>3.  Gli incarichi dirigenziali, interni 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19D6C3E9" w:rsidR="0009358C" w:rsidRPr="00F63D5A" w:rsidRDefault="00F63D5A" w:rsidP="0009358C">
      <w:pPr>
        <w:pStyle w:val="Corpotesto"/>
        <w:rPr>
          <w:rFonts w:ascii="Calibri" w:hAnsi="Calibri"/>
          <w:b/>
          <w:bCs/>
          <w:i/>
        </w:rPr>
      </w:pPr>
      <w:r w:rsidRPr="00F63D5A">
        <w:rPr>
          <w:rFonts w:ascii="Calibri" w:hAnsi="Calibri"/>
          <w:i/>
        </w:rPr>
        <w:t>Luogo e data</w:t>
      </w:r>
      <w:r w:rsidR="00DD2638">
        <w:rPr>
          <w:rFonts w:ascii="Calibri" w:hAnsi="Calibri"/>
          <w:i/>
        </w:rPr>
        <w:t>………………….</w:t>
      </w:r>
    </w:p>
    <w:p w14:paraId="01254A89" w14:textId="3153B8D2" w:rsidR="0009358C" w:rsidRDefault="0009358C" w:rsidP="0009358C">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Pr>
          <w:i/>
          <w:iCs/>
        </w:rPr>
        <w:t xml:space="preserve">    </w:t>
      </w:r>
      <w:r>
        <w:rPr>
          <w:rFonts w:ascii="Calibri" w:hAnsi="Calibri"/>
          <w:i/>
          <w:iCs/>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43389" w14:textId="77777777" w:rsidR="008E4716" w:rsidRDefault="008E4716">
      <w:r>
        <w:separator/>
      </w:r>
    </w:p>
  </w:endnote>
  <w:endnote w:type="continuationSeparator" w:id="0">
    <w:p w14:paraId="764CC80D" w14:textId="77777777" w:rsidR="008E4716" w:rsidRDefault="008E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5B3667A6"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8621E7">
      <w:rPr>
        <w:rFonts w:ascii="Calibri" w:hAnsi="Calibri"/>
        <w:i/>
        <w:noProof/>
        <w:color w:val="5F5F5F"/>
        <w:sz w:val="16"/>
        <w:szCs w:val="18"/>
      </w:rPr>
      <w:t>2</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8621E7">
      <w:rPr>
        <w:rFonts w:ascii="Calibri" w:hAnsi="Calibri"/>
        <w:i/>
        <w:noProof/>
        <w:color w:val="5F5F5F"/>
        <w:sz w:val="16"/>
        <w:szCs w:val="18"/>
      </w:rPr>
      <w:t>2</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C85FD" w14:textId="77777777" w:rsidR="008E4716" w:rsidRDefault="008E4716">
      <w:r>
        <w:separator/>
      </w:r>
    </w:p>
  </w:footnote>
  <w:footnote w:type="continuationSeparator" w:id="0">
    <w:p w14:paraId="2241A583" w14:textId="77777777" w:rsidR="008E4716" w:rsidRDefault="008E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882"/>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1E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4716"/>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070A7"/>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BD7DC-511E-44E9-81C8-F63116EA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4321</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Polimeni Carmela</cp:lastModifiedBy>
  <cp:revision>3</cp:revision>
  <cp:lastPrinted>2019-10-22T10:19:00Z</cp:lastPrinted>
  <dcterms:created xsi:type="dcterms:W3CDTF">2025-05-28T08:18:00Z</dcterms:created>
  <dcterms:modified xsi:type="dcterms:W3CDTF">2026-02-09T16:03:00Z</dcterms:modified>
</cp:coreProperties>
</file>