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92C77" w14:textId="5D915243" w:rsidR="004241AC" w:rsidRPr="00EF62D3" w:rsidRDefault="00F53956" w:rsidP="004241AC">
      <w:pPr>
        <w:spacing w:after="0" w:line="240" w:lineRule="auto"/>
        <w:jc w:val="center"/>
        <w:rPr>
          <w:rFonts w:cs="Calibri"/>
          <w:sz w:val="24"/>
          <w:szCs w:val="24"/>
          <w:lang w:val="en-US"/>
        </w:rPr>
      </w:pPr>
      <w:r w:rsidRPr="00EF62D3"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2AD84FAC" wp14:editId="637CD5A7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0" b="0"/>
            <wp:wrapSquare wrapText="bothSides"/>
            <wp:docPr id="1233683829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BCC30" w14:textId="77777777" w:rsidR="004241AC" w:rsidRPr="00EF62D3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A852A21" w14:textId="77777777" w:rsidR="006222F7" w:rsidRPr="00EF62D3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0" w:name="Text15"/>
    </w:p>
    <w:p w14:paraId="31ADDB8D" w14:textId="77777777" w:rsidR="006222F7" w:rsidRPr="00EF62D3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5CC8676" w14:textId="77777777" w:rsidR="006222F7" w:rsidRPr="00EF62D3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24F5FB1" w14:textId="77777777" w:rsidR="006222F7" w:rsidRPr="00EF62D3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A16E8D5" w14:textId="77777777" w:rsidR="006222F7" w:rsidRPr="00EF62D3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BEF23EB" w14:textId="0F6A493C" w:rsidR="00823F4C" w:rsidRPr="00EF62D3" w:rsidRDefault="00823F4C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Relazione Pubblica di Valutazione</w:t>
      </w:r>
    </w:p>
    <w:p w14:paraId="0041E7FC" w14:textId="77777777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B6D5A74" w14:textId="77777777" w:rsidR="00823F4C" w:rsidRPr="00EF62D3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D33FEEB" w14:textId="77777777" w:rsidR="004609F8" w:rsidRPr="00EF62D3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4DF960D" w14:textId="77777777" w:rsidR="007C2B5F" w:rsidRPr="00EF62D3" w:rsidRDefault="007C2B5F" w:rsidP="004241AC">
      <w:pPr>
        <w:widowControl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DENOMINAZIONE MEDICINALE</w:t>
      </w:r>
    </w:p>
    <w:p w14:paraId="67B1E3AA" w14:textId="77777777" w:rsidR="0065555C" w:rsidRPr="00EF62D3" w:rsidRDefault="0065555C" w:rsidP="004241AC">
      <w:pPr>
        <w:widowControl w:val="0"/>
        <w:spacing w:after="0" w:line="240" w:lineRule="auto"/>
        <w:jc w:val="center"/>
        <w:rPr>
          <w:rFonts w:cs="Calibri"/>
          <w:bCs/>
          <w:sz w:val="24"/>
          <w:szCs w:val="24"/>
        </w:rPr>
      </w:pPr>
    </w:p>
    <w:p w14:paraId="7BE5F846" w14:textId="1F6B052A" w:rsidR="004609F8" w:rsidRPr="00EF62D3" w:rsidRDefault="002E257E" w:rsidP="004241AC">
      <w:pPr>
        <w:widowControl w:val="0"/>
        <w:spacing w:after="0" w:line="240" w:lineRule="auto"/>
        <w:jc w:val="center"/>
        <w:rPr>
          <w:rFonts w:cs="Calibri"/>
          <w:bCs/>
          <w:sz w:val="24"/>
          <w:szCs w:val="24"/>
        </w:rPr>
      </w:pPr>
      <w:r w:rsidRPr="00EF62D3">
        <w:rPr>
          <w:rFonts w:cs="Calibri"/>
          <w:bCs/>
          <w:sz w:val="24"/>
          <w:szCs w:val="24"/>
        </w:rPr>
        <w:t>ELTROMBOPAG EVER PHARMA</w:t>
      </w:r>
    </w:p>
    <w:p w14:paraId="2F37CC3C" w14:textId="77777777" w:rsidR="002E257E" w:rsidRPr="00EF62D3" w:rsidRDefault="002E257E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</w:p>
    <w:p w14:paraId="40729C3A" w14:textId="508C3EA6" w:rsidR="004241AC" w:rsidRPr="00EF62D3" w:rsidRDefault="004241AC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  <w:r w:rsidRPr="00EF62D3">
        <w:rPr>
          <w:rFonts w:cs="Calibri"/>
          <w:snapToGrid w:val="0"/>
          <w:sz w:val="24"/>
          <w:szCs w:val="24"/>
        </w:rPr>
        <w:t>(</w:t>
      </w:r>
      <w:r w:rsidR="00C2072B" w:rsidRPr="00EF62D3">
        <w:rPr>
          <w:rFonts w:cs="Calibri"/>
          <w:snapToGrid w:val="0"/>
          <w:sz w:val="24"/>
          <w:szCs w:val="24"/>
        </w:rPr>
        <w:t>eltrombopag olamina</w:t>
      </w:r>
      <w:r w:rsidR="002A1800" w:rsidRPr="00EF62D3">
        <w:rPr>
          <w:rFonts w:cs="Calibri"/>
          <w:snapToGrid w:val="0"/>
          <w:sz w:val="24"/>
          <w:szCs w:val="24"/>
        </w:rPr>
        <w:t xml:space="preserve">, </w:t>
      </w:r>
      <w:r w:rsidR="009D6C7E" w:rsidRPr="00EF62D3">
        <w:rPr>
          <w:rFonts w:cs="Calibri"/>
          <w:snapToGrid w:val="0"/>
          <w:sz w:val="24"/>
          <w:szCs w:val="24"/>
        </w:rPr>
        <w:t>compresse rivestite con film, 25 mg e 50 mg</w:t>
      </w:r>
      <w:r w:rsidRPr="00EF62D3">
        <w:rPr>
          <w:rFonts w:cs="Calibri"/>
          <w:snapToGrid w:val="0"/>
          <w:sz w:val="24"/>
          <w:szCs w:val="24"/>
        </w:rPr>
        <w:t>)</w:t>
      </w:r>
    </w:p>
    <w:p w14:paraId="07E02E39" w14:textId="77777777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E59E952" w14:textId="77777777" w:rsidR="004609F8" w:rsidRPr="00EF62D3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A58B380" w14:textId="77777777" w:rsidR="00797416" w:rsidRPr="00EF62D3" w:rsidRDefault="002A1800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Titolare AIC</w:t>
      </w:r>
    </w:p>
    <w:p w14:paraId="5B56B5E9" w14:textId="77777777" w:rsidR="007C2B5F" w:rsidRPr="00EF62D3" w:rsidRDefault="007C2B5F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D374B1D" w14:textId="542023AD" w:rsidR="004609F8" w:rsidRPr="00EF62D3" w:rsidRDefault="00683C58" w:rsidP="004241AC">
      <w:pPr>
        <w:spacing w:after="0" w:line="240" w:lineRule="auto"/>
        <w:jc w:val="center"/>
        <w:rPr>
          <w:rFonts w:cs="Calibri"/>
          <w:bCs/>
          <w:sz w:val="24"/>
          <w:szCs w:val="24"/>
        </w:rPr>
      </w:pPr>
      <w:r w:rsidRPr="00EF62D3">
        <w:rPr>
          <w:rFonts w:cs="Calibri"/>
          <w:bCs/>
          <w:sz w:val="24"/>
          <w:szCs w:val="24"/>
        </w:rPr>
        <w:t>Ever Pharma Italia S.r.l.</w:t>
      </w:r>
    </w:p>
    <w:p w14:paraId="1F9F3B80" w14:textId="77777777" w:rsidR="00683C58" w:rsidRPr="00EF62D3" w:rsidRDefault="00683C58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D499590" w14:textId="048B5E35" w:rsidR="004241AC" w:rsidRPr="00EF62D3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 xml:space="preserve">Numero di AIC: </w:t>
      </w:r>
      <w:r w:rsidR="00672E7F" w:rsidRPr="00EF62D3">
        <w:rPr>
          <w:rFonts w:cs="Calibri"/>
          <w:b/>
          <w:sz w:val="24"/>
          <w:szCs w:val="24"/>
        </w:rPr>
        <w:t>051948</w:t>
      </w:r>
    </w:p>
    <w:p w14:paraId="0AFBA33C" w14:textId="77777777" w:rsidR="00797416" w:rsidRPr="00EF62D3" w:rsidRDefault="00797416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bookmarkEnd w:id="0"/>
    <w:p w14:paraId="72B1FA41" w14:textId="77777777" w:rsidR="004241AC" w:rsidRPr="00EF62D3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0DA7811" w14:textId="77777777" w:rsidR="004E5A39" w:rsidRPr="00EF62D3" w:rsidRDefault="004E5A39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83CDFBE" w14:textId="77777777" w:rsidR="004E5A39" w:rsidRPr="00EF62D3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4"/>
          <w:szCs w:val="24"/>
          <w:lang w:eastAsia="it-IT"/>
        </w:rPr>
      </w:pPr>
      <w:r w:rsidRPr="00EF62D3">
        <w:rPr>
          <w:rFonts w:cs="Calibri"/>
          <w:b/>
          <w:color w:val="000000"/>
          <w:sz w:val="24"/>
          <w:szCs w:val="24"/>
          <w:lang w:eastAsia="it-IT"/>
        </w:rPr>
        <w:t>RIASSUNTO DELLA RELAZIONE PUBBLICA DI VALUTAZIONE</w:t>
      </w:r>
    </w:p>
    <w:p w14:paraId="6260655F" w14:textId="77777777" w:rsidR="004E5A39" w:rsidRPr="00EF62D3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271DD630" w14:textId="1E2E1B9F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 xml:space="preserve">Questa è la sintesi del </w:t>
      </w:r>
      <w:r w:rsidRPr="00EF62D3">
        <w:rPr>
          <w:rFonts w:cs="Calibri"/>
          <w:i/>
          <w:color w:val="000000"/>
          <w:sz w:val="24"/>
          <w:szCs w:val="24"/>
          <w:lang w:eastAsia="it-IT"/>
        </w:rPr>
        <w:t>Public Assessment Report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(PAR) per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>.</w:t>
      </w:r>
      <w:r w:rsidRPr="00EF62D3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6C0722" w:rsidRPr="00EF62D3">
        <w:rPr>
          <w:rFonts w:cs="Calibri"/>
          <w:bCs/>
          <w:color w:val="000000"/>
          <w:sz w:val="24"/>
          <w:szCs w:val="24"/>
          <w:lang w:eastAsia="it-IT"/>
        </w:rPr>
        <w:t xml:space="preserve">In 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>e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sso 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 xml:space="preserve">viene </w:t>
      </w:r>
      <w:r w:rsidRPr="00EF62D3">
        <w:rPr>
          <w:rFonts w:cs="Calibri"/>
          <w:color w:val="000000"/>
          <w:sz w:val="24"/>
          <w:szCs w:val="24"/>
          <w:lang w:eastAsia="it-IT"/>
        </w:rPr>
        <w:t>spiega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>to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come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è stato valutato </w:t>
      </w:r>
      <w:r w:rsidR="000C1389" w:rsidRPr="00EF62D3">
        <w:rPr>
          <w:rFonts w:cs="Calibri"/>
          <w:color w:val="000000"/>
          <w:sz w:val="24"/>
          <w:szCs w:val="24"/>
          <w:lang w:eastAsia="it-IT"/>
        </w:rPr>
        <w:t>dall’AIFA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e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 xml:space="preserve"> quali sono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le sue condizioni di impiego. 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>Il documento n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on intende fornire consigli pratici su come utilizzare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Cs/>
          <w:color w:val="000000"/>
          <w:sz w:val="24"/>
          <w:szCs w:val="24"/>
          <w:lang w:eastAsia="it-IT"/>
        </w:rPr>
        <w:t>.</w:t>
      </w:r>
    </w:p>
    <w:p w14:paraId="3EAEBFC3" w14:textId="515E3DE6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Per informazioni pratiche sull'utilizzo di</w:t>
      </w:r>
      <w:r w:rsidRPr="00EF62D3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6C0722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50FF6AE3" w14:textId="77777777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71B47881" w14:textId="77777777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337FD83D" w14:textId="7925B433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  <w:lang w:eastAsia="it-IT"/>
        </w:rPr>
      </w:pP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1) COS’È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="00797416" w:rsidRPr="00EF62D3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E A COSA SERVE? </w:t>
      </w:r>
    </w:p>
    <w:p w14:paraId="4A975AE0" w14:textId="7DA1591C" w:rsidR="00797416" w:rsidRPr="00EF62D3" w:rsidRDefault="002E257E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97416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color w:val="000000"/>
          <w:sz w:val="24"/>
          <w:szCs w:val="24"/>
          <w:lang w:eastAsia="it-IT"/>
        </w:rPr>
        <w:t>è un medicinale</w:t>
      </w:r>
      <w:r w:rsidR="009565BA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color w:val="000000"/>
          <w:sz w:val="24"/>
          <w:szCs w:val="24"/>
          <w:lang w:eastAsia="it-IT"/>
        </w:rPr>
        <w:t xml:space="preserve">contenente il principio attivo </w:t>
      </w:r>
      <w:r w:rsidR="007C2B5F" w:rsidRPr="00EF62D3">
        <w:rPr>
          <w:rFonts w:cs="Calibri"/>
          <w:snapToGrid w:val="0"/>
          <w:sz w:val="24"/>
          <w:szCs w:val="24"/>
        </w:rPr>
        <w:t>eltrombopag olamina</w:t>
      </w:r>
      <w:r w:rsidR="00797416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color w:val="000000"/>
          <w:sz w:val="24"/>
          <w:szCs w:val="24"/>
          <w:lang w:eastAsia="it-IT"/>
        </w:rPr>
        <w:t xml:space="preserve">ed </w:t>
      </w:r>
      <w:r w:rsidR="00797416" w:rsidRPr="00EF62D3">
        <w:rPr>
          <w:rFonts w:cs="Calibri"/>
          <w:color w:val="000000"/>
          <w:sz w:val="24"/>
          <w:szCs w:val="24"/>
          <w:lang w:eastAsia="it-IT"/>
        </w:rPr>
        <w:t>è disponibile come</w:t>
      </w:r>
      <w:r w:rsidR="007C2B5F" w:rsidRPr="00EF62D3">
        <w:rPr>
          <w:rFonts w:cs="Calibri"/>
          <w:color w:val="000000"/>
          <w:sz w:val="24"/>
          <w:szCs w:val="24"/>
          <w:lang w:eastAsia="it-IT"/>
        </w:rPr>
        <w:t xml:space="preserve"> compresse rivestite </w:t>
      </w:r>
      <w:r w:rsidR="004D6E61" w:rsidRPr="00EF62D3">
        <w:rPr>
          <w:rFonts w:cs="Calibri"/>
          <w:color w:val="000000"/>
          <w:sz w:val="24"/>
          <w:szCs w:val="24"/>
          <w:lang w:eastAsia="it-IT"/>
        </w:rPr>
        <w:t>con film</w:t>
      </w:r>
      <w:r w:rsidR="007C2B5F" w:rsidRPr="00EF62D3">
        <w:rPr>
          <w:rFonts w:cs="Calibri"/>
          <w:color w:val="000000"/>
          <w:sz w:val="24"/>
          <w:szCs w:val="24"/>
          <w:lang w:eastAsia="it-IT"/>
        </w:rPr>
        <w:t>, nei dosaggi 25 mg e 50 mg.</w:t>
      </w:r>
    </w:p>
    <w:p w14:paraId="6E8CB9C3" w14:textId="77777777" w:rsidR="00E972B0" w:rsidRPr="00EF62D3" w:rsidRDefault="00E972B0" w:rsidP="00B03E01">
      <w:pPr>
        <w:widowControl w:val="0"/>
        <w:spacing w:after="0" w:line="240" w:lineRule="auto"/>
        <w:jc w:val="both"/>
        <w:rPr>
          <w:rFonts w:cs="Calibri"/>
          <w:i/>
          <w:color w:val="000000"/>
          <w:sz w:val="24"/>
          <w:szCs w:val="24"/>
          <w:lang w:eastAsia="it-IT"/>
        </w:rPr>
      </w:pPr>
    </w:p>
    <w:p w14:paraId="098F9A9B" w14:textId="65CC6D5F" w:rsidR="00B03E01" w:rsidRPr="00EF62D3" w:rsidRDefault="002E257E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97416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color w:val="000000"/>
          <w:sz w:val="24"/>
          <w:szCs w:val="24"/>
          <w:lang w:eastAsia="it-IT"/>
        </w:rPr>
        <w:t xml:space="preserve">è un “medicinale generico”, cioè è analogo ad un “medicinale di riferimento”, </w:t>
      </w:r>
      <w:r w:rsidR="008D7E5F" w:rsidRPr="00EF62D3">
        <w:rPr>
          <w:rFonts w:cs="Calibri"/>
          <w:color w:val="000000"/>
          <w:sz w:val="24"/>
          <w:szCs w:val="24"/>
          <w:lang w:eastAsia="it-IT"/>
        </w:rPr>
        <w:t>Revolade</w:t>
      </w:r>
      <w:r w:rsidR="00797416" w:rsidRPr="00EF62D3">
        <w:rPr>
          <w:rFonts w:cs="Calibri"/>
          <w:color w:val="000000"/>
          <w:sz w:val="24"/>
          <w:szCs w:val="24"/>
          <w:lang w:eastAsia="it-IT"/>
        </w:rPr>
        <w:t xml:space="preserve">, </w:t>
      </w:r>
      <w:r w:rsidR="00C058E1" w:rsidRPr="00EF62D3">
        <w:rPr>
          <w:rFonts w:cs="Calibri"/>
          <w:color w:val="000000"/>
          <w:sz w:val="24"/>
          <w:szCs w:val="24"/>
          <w:lang w:eastAsia="it-IT"/>
        </w:rPr>
        <w:t>autorizzat</w:t>
      </w:r>
      <w:r w:rsidR="008D7E5F" w:rsidRPr="00EF62D3">
        <w:rPr>
          <w:rFonts w:cs="Calibri"/>
          <w:color w:val="000000"/>
          <w:sz w:val="24"/>
          <w:szCs w:val="24"/>
          <w:lang w:eastAsia="it-IT"/>
        </w:rPr>
        <w:t xml:space="preserve">o </w:t>
      </w:r>
      <w:r w:rsidR="00F76F77" w:rsidRPr="00EF62D3">
        <w:rPr>
          <w:rFonts w:cs="Calibri"/>
          <w:color w:val="000000"/>
          <w:sz w:val="24"/>
          <w:szCs w:val="24"/>
          <w:u w:val="single"/>
          <w:lang w:eastAsia="it-IT"/>
        </w:rPr>
        <w:t>in Italia</w:t>
      </w:r>
      <w:r w:rsidR="00A84362" w:rsidRPr="00EF62D3">
        <w:rPr>
          <w:rFonts w:cs="Calibri"/>
          <w:color w:val="000000"/>
          <w:sz w:val="24"/>
          <w:szCs w:val="24"/>
          <w:u w:val="single"/>
          <w:lang w:eastAsia="it-IT"/>
        </w:rPr>
        <w:t xml:space="preserve"> </w:t>
      </w:r>
      <w:r w:rsidR="00B03E01" w:rsidRPr="00EF62D3">
        <w:rPr>
          <w:rFonts w:cs="Calibri"/>
          <w:color w:val="000000"/>
          <w:sz w:val="24"/>
          <w:szCs w:val="24"/>
          <w:u w:val="single"/>
          <w:lang w:eastAsia="it-IT"/>
        </w:rPr>
        <w:t xml:space="preserve">da </w:t>
      </w:r>
      <w:r w:rsidR="00CC1489" w:rsidRPr="00EF62D3">
        <w:rPr>
          <w:rFonts w:cs="Calibri"/>
          <w:color w:val="000000"/>
          <w:sz w:val="24"/>
          <w:szCs w:val="24"/>
          <w:u w:val="single"/>
          <w:lang w:eastAsia="it-IT"/>
        </w:rPr>
        <w:t>almeno 8 anni</w:t>
      </w:r>
      <w:r w:rsidR="00B03E01" w:rsidRPr="00EF62D3">
        <w:rPr>
          <w:rFonts w:cs="Calibri"/>
          <w:color w:val="000000"/>
          <w:sz w:val="24"/>
          <w:szCs w:val="24"/>
          <w:u w:val="single"/>
          <w:lang w:eastAsia="it-IT"/>
        </w:rPr>
        <w:t xml:space="preserve">. </w:t>
      </w: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15135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15135" w:rsidRPr="00EF62D3">
        <w:rPr>
          <w:rFonts w:cs="Calibri"/>
          <w:color w:val="000000"/>
          <w:sz w:val="24"/>
          <w:szCs w:val="24"/>
        </w:rPr>
        <w:t xml:space="preserve">può essere immesso in commercio solo dopo che sono trascorsi 10 anni dall'autorizzazione iniziale del medicinale di riferimento.  </w:t>
      </w:r>
      <w:r w:rsidR="00B03E01" w:rsidRPr="00EF62D3">
        <w:rPr>
          <w:rFonts w:cs="Calibri"/>
          <w:color w:val="000000"/>
          <w:sz w:val="24"/>
          <w:szCs w:val="24"/>
          <w:lang w:eastAsia="it-IT"/>
        </w:rPr>
        <w:t>Sul sito dell’Agenz</w:t>
      </w:r>
      <w:r w:rsidR="00132B98" w:rsidRPr="00EF62D3">
        <w:rPr>
          <w:rFonts w:cs="Calibri"/>
          <w:color w:val="000000"/>
          <w:sz w:val="24"/>
          <w:szCs w:val="24"/>
          <w:lang w:eastAsia="it-IT"/>
        </w:rPr>
        <w:t xml:space="preserve">ia Italiana del Farmaco (AIFA) </w:t>
      </w:r>
      <w:hyperlink r:id="rId9" w:anchor="/it/" w:history="1">
        <w:r w:rsidR="00132B98" w:rsidRPr="00EF62D3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  <w:r w:rsidR="00132B98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03E01" w:rsidRPr="00EF62D3">
        <w:rPr>
          <w:rFonts w:cs="Calibri"/>
          <w:color w:val="000000"/>
          <w:sz w:val="24"/>
          <w:szCs w:val="24"/>
          <w:lang w:eastAsia="it-IT"/>
        </w:rPr>
        <w:t xml:space="preserve">è possibile consultare il Riassunto delle caratteristiche del prodotto e il foglio illustrativo di </w:t>
      </w:r>
      <w:r w:rsidR="008D7E5F" w:rsidRPr="00EF62D3">
        <w:rPr>
          <w:rFonts w:cs="Calibri"/>
          <w:color w:val="000000"/>
          <w:sz w:val="24"/>
          <w:szCs w:val="24"/>
          <w:lang w:eastAsia="it-IT"/>
        </w:rPr>
        <w:t>Revolade.</w:t>
      </w:r>
    </w:p>
    <w:p w14:paraId="652ACF73" w14:textId="77777777" w:rsidR="00445DB2" w:rsidRPr="00EF62D3" w:rsidRDefault="00445DB2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0176C316" w14:textId="77777777" w:rsidR="00D46147" w:rsidRPr="00EF62D3" w:rsidRDefault="002E257E" w:rsidP="00300B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300BEA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sz w:val="24"/>
          <w:szCs w:val="24"/>
          <w:lang w:eastAsia="it-IT"/>
        </w:rPr>
        <w:t>si usa</w:t>
      </w:r>
      <w:r w:rsidR="00B03E01" w:rsidRPr="00EF62D3">
        <w:rPr>
          <w:rFonts w:cs="Calibri"/>
          <w:sz w:val="24"/>
          <w:szCs w:val="24"/>
          <w:lang w:eastAsia="it-IT"/>
        </w:rPr>
        <w:t xml:space="preserve"> per</w:t>
      </w:r>
      <w:r w:rsidR="00BB2AF8" w:rsidRPr="00EF62D3">
        <w:rPr>
          <w:rFonts w:cs="Calibri"/>
          <w:sz w:val="24"/>
          <w:szCs w:val="24"/>
          <w:lang w:eastAsia="it-IT"/>
        </w:rPr>
        <w:t>:</w:t>
      </w:r>
      <w:r w:rsidR="00B03E01" w:rsidRPr="00EF62D3">
        <w:rPr>
          <w:rFonts w:cs="Calibri"/>
          <w:sz w:val="24"/>
          <w:szCs w:val="24"/>
          <w:lang w:eastAsia="it-IT"/>
        </w:rPr>
        <w:t xml:space="preserve"> </w:t>
      </w:r>
    </w:p>
    <w:p w14:paraId="2A16E24E" w14:textId="77777777" w:rsidR="00D46147" w:rsidRPr="00EF62D3" w:rsidRDefault="00D46147" w:rsidP="00300B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237A50FC" w14:textId="387A2963" w:rsidR="00D46147" w:rsidRPr="00EF62D3" w:rsidRDefault="00D46147" w:rsidP="00D46147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Per trattare un’alterazione della coagulazione del sangue chiamata trombocitopenia immune (primaria) (ITP) in pazienti (di età superiore a 1 anno) che hanno già assunto altri farmaci (corticosteroidi o immunoglobuline), che non sono risultati efficaci.</w:t>
      </w:r>
    </w:p>
    <w:p w14:paraId="474A0DD8" w14:textId="459CE2E8" w:rsidR="00D46147" w:rsidRPr="00EF62D3" w:rsidRDefault="00D46147" w:rsidP="00D46147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La ITP è causata da un basso numero di piastrine nel sangue (trombocitopenia). Le persone con ITP hanno un maggiore rischio di sanguinamento. I sintomi nei pazienti con ITP possono includere petecchie (piccole macchie rotonde rosse piatte sulla pelle), lividi, epistassi (sangue dal naso), sanguinamento delle gengive e non essere in grado di controllare il sanguinamento in caso di tagli o di ferite.</w:t>
      </w:r>
    </w:p>
    <w:p w14:paraId="253352D0" w14:textId="77777777" w:rsidR="00D46147" w:rsidRPr="00EF62D3" w:rsidRDefault="00D46147" w:rsidP="00D46147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A39C25D" w14:textId="30C224BB" w:rsidR="00D46147" w:rsidRPr="00EF62D3" w:rsidRDefault="00D46147" w:rsidP="00D46147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 xml:space="preserve">Nel trattamento del basso numero delle piastrine (trombocitopenia) nei pazienti affetti da epatite da virus C (HCV), se hanno avuto problemi con reazioni avverse durante l'uso di interferone. Molte persone con epatite </w:t>
      </w:r>
      <w:proofErr w:type="gramStart"/>
      <w:r w:rsidRPr="00EF62D3">
        <w:rPr>
          <w:rFonts w:cs="Calibri"/>
          <w:sz w:val="24"/>
          <w:szCs w:val="24"/>
          <w:lang w:eastAsia="it-IT"/>
        </w:rPr>
        <w:t>C hanno</w:t>
      </w:r>
      <w:proofErr w:type="gramEnd"/>
      <w:r w:rsidRPr="00EF62D3">
        <w:rPr>
          <w:rFonts w:cs="Calibri"/>
          <w:sz w:val="24"/>
          <w:szCs w:val="24"/>
          <w:lang w:eastAsia="it-IT"/>
        </w:rPr>
        <w:t xml:space="preserve"> un basso numero di piastrine non solo come risultato della malattia stessa ma anche a causa di alcuni medicinali antivirali che vengono usati per trattarla. Assumendo Eltrombopag Ever Pharma può essere più semplice per lei portare a termine un ciclo completo di farmaco antivirale (peginterferone e ribavirina).</w:t>
      </w:r>
    </w:p>
    <w:p w14:paraId="64E224E7" w14:textId="77777777" w:rsidR="00D46147" w:rsidRPr="00EF62D3" w:rsidRDefault="00D46147" w:rsidP="00D46147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sz w:val="24"/>
          <w:szCs w:val="24"/>
        </w:rPr>
      </w:pPr>
    </w:p>
    <w:p w14:paraId="561BAFBA" w14:textId="77777777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it-IT"/>
        </w:rPr>
      </w:pPr>
    </w:p>
    <w:p w14:paraId="7F315971" w14:textId="71DD7B30" w:rsidR="00BB2AF8" w:rsidRPr="00EF62D3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2) COME </w:t>
      </w:r>
      <w:proofErr w:type="gramStart"/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>E’</w:t>
      </w:r>
      <w:proofErr w:type="gramEnd"/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 PRESCRITTO/USATO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23415351" w14:textId="7BB80F92" w:rsidR="00300BEA" w:rsidRPr="00EF62D3" w:rsidRDefault="002E257E" w:rsidP="001C15DF">
      <w:pPr>
        <w:pStyle w:val="PreformattatoHTML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EF62D3">
        <w:rPr>
          <w:rFonts w:ascii="Calibri" w:eastAsia="Calibri" w:hAnsi="Calibri" w:cs="Calibri"/>
          <w:color w:val="000000"/>
          <w:sz w:val="24"/>
          <w:szCs w:val="24"/>
        </w:rPr>
        <w:t>Eltrombopag Ever Pharma</w:t>
      </w:r>
      <w:r w:rsidR="00300BEA" w:rsidRPr="00EF62D3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BB2AF8" w:rsidRPr="00EF62D3">
        <w:rPr>
          <w:rFonts w:ascii="Calibri" w:eastAsia="Calibri" w:hAnsi="Calibri" w:cs="Calibri"/>
          <w:color w:val="000000"/>
          <w:sz w:val="24"/>
          <w:szCs w:val="24"/>
        </w:rPr>
        <w:t xml:space="preserve">può essere ottenuto </w:t>
      </w:r>
      <w:r w:rsidR="00300BEA" w:rsidRPr="00EF62D3">
        <w:rPr>
          <w:rFonts w:ascii="Calibri" w:eastAsia="Calibri" w:hAnsi="Calibri" w:cs="Calibri"/>
          <w:color w:val="000000"/>
          <w:sz w:val="24"/>
          <w:szCs w:val="24"/>
        </w:rPr>
        <w:t>solo su prescrizione da parte del medico (ricetta ripetibile)</w:t>
      </w:r>
      <w:r w:rsidR="00495754" w:rsidRPr="00EF62D3"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14:paraId="37CC8F88" w14:textId="77777777" w:rsidR="00A47B51" w:rsidRPr="00EF62D3" w:rsidRDefault="00A47B51" w:rsidP="0019430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34C84360" w14:textId="77777777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  <w:r w:rsidRPr="00EF62D3">
        <w:rPr>
          <w:rFonts w:cs="Calibri"/>
          <w:sz w:val="24"/>
          <w:szCs w:val="24"/>
          <w:u w:val="single"/>
        </w:rPr>
        <w:t xml:space="preserve">Per ITP </w:t>
      </w:r>
    </w:p>
    <w:p w14:paraId="01CD7C57" w14:textId="1C55F019" w:rsidR="00A47B51" w:rsidRPr="00EF62D3" w:rsidRDefault="00572390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Negli adulti e nei bambini (da 6 a 17 anni) l</w:t>
      </w:r>
      <w:r w:rsidR="00A47B51" w:rsidRPr="00EF62D3">
        <w:rPr>
          <w:rFonts w:cs="Calibri"/>
          <w:sz w:val="24"/>
          <w:szCs w:val="24"/>
        </w:rPr>
        <w:t xml:space="preserve">a dose iniziale raccomandata giornaliera </w:t>
      </w:r>
      <w:r w:rsidR="00AA556F" w:rsidRPr="00EF62D3">
        <w:rPr>
          <w:rFonts w:cs="Calibri"/>
          <w:sz w:val="24"/>
          <w:szCs w:val="24"/>
        </w:rPr>
        <w:t>p</w:t>
      </w:r>
      <w:r w:rsidR="00A47B51" w:rsidRPr="00EF62D3">
        <w:rPr>
          <w:rFonts w:cs="Calibri"/>
          <w:sz w:val="24"/>
          <w:szCs w:val="24"/>
        </w:rPr>
        <w:t xml:space="preserve">er ITP è </w:t>
      </w:r>
      <w:r w:rsidR="00AA556F" w:rsidRPr="00EF62D3">
        <w:rPr>
          <w:rFonts w:cs="Calibri"/>
          <w:sz w:val="24"/>
          <w:szCs w:val="24"/>
        </w:rPr>
        <w:t xml:space="preserve">di </w:t>
      </w:r>
      <w:r w:rsidR="00A47B51" w:rsidRPr="00EF62D3">
        <w:rPr>
          <w:rFonts w:cs="Calibri"/>
          <w:sz w:val="24"/>
          <w:szCs w:val="24"/>
        </w:rPr>
        <w:t xml:space="preserve">una compressa da 50 mg al giorno. </w:t>
      </w:r>
      <w:r w:rsidR="00733A71" w:rsidRPr="00EF62D3">
        <w:rPr>
          <w:rFonts w:cs="Calibri"/>
          <w:sz w:val="24"/>
          <w:szCs w:val="24"/>
        </w:rPr>
        <w:t>Nei pazienti adulti e pediatrici di origine est/sud-est asiatica, si</w:t>
      </w:r>
      <w:r w:rsidR="00A47B51" w:rsidRPr="00EF62D3">
        <w:rPr>
          <w:rFonts w:cs="Calibri"/>
          <w:sz w:val="24"/>
          <w:szCs w:val="24"/>
        </w:rPr>
        <w:t xml:space="preserve"> </w:t>
      </w:r>
      <w:r w:rsidR="00385A7C">
        <w:rPr>
          <w:rFonts w:cs="Calibri"/>
          <w:sz w:val="24"/>
          <w:szCs w:val="24"/>
        </w:rPr>
        <w:t>potrebbe avere la necessità di</w:t>
      </w:r>
      <w:r w:rsidR="00136EA6" w:rsidRPr="00EF62D3">
        <w:rPr>
          <w:rFonts w:cs="Calibri"/>
          <w:sz w:val="24"/>
          <w:szCs w:val="24"/>
        </w:rPr>
        <w:t xml:space="preserve"> </w:t>
      </w:r>
      <w:r w:rsidR="00A47B51" w:rsidRPr="00EF62D3">
        <w:rPr>
          <w:rFonts w:cs="Calibri"/>
          <w:sz w:val="24"/>
          <w:szCs w:val="24"/>
        </w:rPr>
        <w:t>inizi</w:t>
      </w:r>
      <w:r w:rsidR="00385A7C">
        <w:rPr>
          <w:rFonts w:cs="Calibri"/>
          <w:sz w:val="24"/>
          <w:szCs w:val="24"/>
        </w:rPr>
        <w:t>are</w:t>
      </w:r>
      <w:r w:rsidR="00A47B51" w:rsidRPr="00EF62D3">
        <w:rPr>
          <w:rFonts w:cs="Calibri"/>
          <w:sz w:val="24"/>
          <w:szCs w:val="24"/>
        </w:rPr>
        <w:t xml:space="preserve"> con una dose più bassa, di 25 mg.</w:t>
      </w:r>
    </w:p>
    <w:p w14:paraId="4327CD81" w14:textId="77777777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90394AC" w14:textId="0403E192" w:rsidR="00A47B51" w:rsidRPr="00EF62D3" w:rsidRDefault="00AA556F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Nei b</w:t>
      </w:r>
      <w:r w:rsidR="00A47B51" w:rsidRPr="00EF62D3">
        <w:rPr>
          <w:rFonts w:cs="Calibri"/>
          <w:sz w:val="24"/>
          <w:szCs w:val="24"/>
        </w:rPr>
        <w:t>ambini da 1 a 5 ann</w:t>
      </w:r>
      <w:r w:rsidRPr="00EF62D3">
        <w:rPr>
          <w:rFonts w:cs="Calibri"/>
          <w:sz w:val="24"/>
          <w:szCs w:val="24"/>
        </w:rPr>
        <w:t xml:space="preserve">i </w:t>
      </w:r>
      <w:r w:rsidR="00A47B51" w:rsidRPr="00EF62D3">
        <w:rPr>
          <w:rFonts w:cs="Calibri"/>
          <w:sz w:val="24"/>
          <w:szCs w:val="24"/>
        </w:rPr>
        <w:t>la dose iniziale raccomandata per la ITP è una compressa da 25 mg al giorno.</w:t>
      </w:r>
    </w:p>
    <w:p w14:paraId="496B6DEA" w14:textId="77777777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39648545" w14:textId="77777777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  <w:r w:rsidRPr="00EF62D3">
        <w:rPr>
          <w:rFonts w:cs="Calibri"/>
          <w:sz w:val="24"/>
          <w:szCs w:val="24"/>
          <w:u w:val="single"/>
        </w:rPr>
        <w:t xml:space="preserve">Per Epatite C </w:t>
      </w:r>
    </w:p>
    <w:p w14:paraId="60598B0C" w14:textId="27E8A183" w:rsidR="00A47B51" w:rsidRPr="00EF62D3" w:rsidRDefault="00572390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Negli adulti </w:t>
      </w:r>
      <w:r w:rsidR="00A47B51" w:rsidRPr="00EF62D3">
        <w:rPr>
          <w:rFonts w:cs="Calibri"/>
          <w:sz w:val="24"/>
          <w:szCs w:val="24"/>
        </w:rPr>
        <w:t xml:space="preserve">la dose iniziale raccomandata per l’epatite </w:t>
      </w:r>
      <w:proofErr w:type="gramStart"/>
      <w:r w:rsidR="00A47B51" w:rsidRPr="00EF62D3">
        <w:rPr>
          <w:rFonts w:cs="Calibri"/>
          <w:sz w:val="24"/>
          <w:szCs w:val="24"/>
        </w:rPr>
        <w:t>C è</w:t>
      </w:r>
      <w:proofErr w:type="gramEnd"/>
      <w:r w:rsidR="00A47B51" w:rsidRPr="00EF62D3">
        <w:rPr>
          <w:rFonts w:cs="Calibri"/>
          <w:sz w:val="24"/>
          <w:szCs w:val="24"/>
        </w:rPr>
        <w:t xml:space="preserve"> una compressa da 25 mg al giorno. </w:t>
      </w:r>
      <w:r w:rsidR="00136EA6" w:rsidRPr="00EF62D3">
        <w:rPr>
          <w:rFonts w:cs="Calibri"/>
          <w:sz w:val="24"/>
          <w:szCs w:val="24"/>
        </w:rPr>
        <w:t xml:space="preserve">In pazienti di origine est/sud-est Asiatica la terapia </w:t>
      </w:r>
      <w:r w:rsidR="00A47B51" w:rsidRPr="00EF62D3">
        <w:rPr>
          <w:rFonts w:cs="Calibri"/>
          <w:sz w:val="24"/>
          <w:szCs w:val="24"/>
        </w:rPr>
        <w:t>inizierà con la stessa dose di 25 mg.</w:t>
      </w:r>
    </w:p>
    <w:p w14:paraId="6638232C" w14:textId="77777777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AF1BA5E" w14:textId="000B7B60" w:rsidR="00A47B51" w:rsidRPr="00EF62D3" w:rsidRDefault="00A47B51" w:rsidP="00A47B5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Eltrombopag Ever Pharma può impiegare da 1 a 2 settimane per agire. Sulla base della risposta a Eltrombopag Ever Pharma il medico può raccomandare una modifica della dose giornaliera.</w:t>
      </w:r>
    </w:p>
    <w:p w14:paraId="3D94D25B" w14:textId="77777777" w:rsidR="00E972B0" w:rsidRPr="00EF62D3" w:rsidRDefault="00E972B0" w:rsidP="008A6FEC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4D2F60C6" w14:textId="2288F270" w:rsidR="00BB2AF8" w:rsidRPr="00EF62D3" w:rsidRDefault="001C15DF" w:rsidP="008A6FEC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Le compresse devono essere assunte con un po’ d’acqua</w:t>
      </w:r>
      <w:r w:rsidR="00F97D1C" w:rsidRPr="00EF62D3">
        <w:rPr>
          <w:rFonts w:cs="Calibri"/>
          <w:sz w:val="24"/>
          <w:szCs w:val="24"/>
        </w:rPr>
        <w:t>.</w:t>
      </w:r>
      <w:r w:rsidR="008A6FEC" w:rsidRPr="00EF62D3">
        <w:rPr>
          <w:rFonts w:cs="Calibri"/>
          <w:sz w:val="24"/>
          <w:szCs w:val="24"/>
        </w:rPr>
        <w:t xml:space="preserve"> </w:t>
      </w:r>
    </w:p>
    <w:p w14:paraId="3D9D8D23" w14:textId="77777777" w:rsidR="00887C00" w:rsidRPr="00EF62D3" w:rsidRDefault="00887C00" w:rsidP="008A6FEC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8344F43" w14:textId="3F8EAD23" w:rsidR="00887C00" w:rsidRPr="00EF62D3" w:rsidRDefault="00887C00" w:rsidP="00887C00">
      <w:pPr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L</w:t>
      </w:r>
      <w:r w:rsidR="00136EA6" w:rsidRPr="00EF62D3">
        <w:rPr>
          <w:rFonts w:cs="Calibri"/>
          <w:color w:val="000000"/>
          <w:sz w:val="24"/>
          <w:szCs w:val="24"/>
          <w:lang w:eastAsia="it-IT"/>
        </w:rPr>
        <w:t>e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compress</w:t>
      </w:r>
      <w:r w:rsidR="00136EA6" w:rsidRPr="00EF62D3">
        <w:rPr>
          <w:rFonts w:cs="Calibri"/>
          <w:color w:val="000000"/>
          <w:sz w:val="24"/>
          <w:szCs w:val="24"/>
          <w:lang w:eastAsia="it-IT"/>
        </w:rPr>
        <w:t>e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di Eltrombopag Ever Pharma 25 mg </w:t>
      </w:r>
      <w:r w:rsidR="00136EA6" w:rsidRPr="00EF62D3">
        <w:rPr>
          <w:rFonts w:cs="Calibri"/>
          <w:color w:val="000000"/>
          <w:sz w:val="24"/>
          <w:szCs w:val="24"/>
          <w:lang w:eastAsia="it-IT"/>
        </w:rPr>
        <w:t xml:space="preserve">e 50 mg </w:t>
      </w:r>
      <w:r w:rsidRPr="00EF62D3">
        <w:rPr>
          <w:rFonts w:cs="Calibri"/>
          <w:color w:val="000000"/>
          <w:sz w:val="24"/>
          <w:szCs w:val="24"/>
          <w:lang w:eastAsia="it-IT"/>
        </w:rPr>
        <w:t>p</w:t>
      </w:r>
      <w:r w:rsidR="00136EA6" w:rsidRPr="00EF62D3">
        <w:rPr>
          <w:rFonts w:cs="Calibri"/>
          <w:color w:val="000000"/>
          <w:sz w:val="24"/>
          <w:szCs w:val="24"/>
          <w:lang w:eastAsia="it-IT"/>
        </w:rPr>
        <w:t xml:space="preserve">ossono </w:t>
      </w:r>
      <w:r w:rsidRPr="00EF62D3">
        <w:rPr>
          <w:rFonts w:cs="Calibri"/>
          <w:color w:val="000000"/>
          <w:sz w:val="24"/>
          <w:szCs w:val="24"/>
          <w:lang w:eastAsia="it-IT"/>
        </w:rPr>
        <w:t>essere divis</w:t>
      </w:r>
      <w:r w:rsidR="00136EA6" w:rsidRPr="00EF62D3">
        <w:rPr>
          <w:rFonts w:cs="Calibri"/>
          <w:color w:val="000000"/>
          <w:sz w:val="24"/>
          <w:szCs w:val="24"/>
          <w:lang w:eastAsia="it-IT"/>
        </w:rPr>
        <w:t>e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in dosi uguali.</w:t>
      </w:r>
    </w:p>
    <w:p w14:paraId="2DA06B9D" w14:textId="77777777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11BE5C72" w14:textId="04FFD44B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3) COME FUNZIONA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 xml:space="preserve">? </w:t>
      </w:r>
    </w:p>
    <w:p w14:paraId="5F652EDD" w14:textId="7AC96FFA" w:rsidR="009726BF" w:rsidRPr="00EF62D3" w:rsidRDefault="002E257E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B2AF8" w:rsidRPr="00EF62D3">
        <w:rPr>
          <w:rFonts w:cs="Calibri"/>
          <w:bCs/>
          <w:color w:val="000000"/>
          <w:sz w:val="24"/>
          <w:szCs w:val="24"/>
          <w:lang w:eastAsia="it-IT"/>
        </w:rPr>
        <w:t xml:space="preserve">, il cui codice ATC è </w:t>
      </w:r>
      <w:r w:rsidR="00806579" w:rsidRPr="00EF62D3">
        <w:rPr>
          <w:rFonts w:cs="Calibri"/>
          <w:sz w:val="24"/>
          <w:szCs w:val="24"/>
        </w:rPr>
        <w:t>B02BX05</w:t>
      </w:r>
      <w:r w:rsidR="00136EA6" w:rsidRPr="00EF62D3">
        <w:rPr>
          <w:rFonts w:cs="Calibri"/>
          <w:sz w:val="24"/>
          <w:szCs w:val="24"/>
        </w:rPr>
        <w:t>,</w:t>
      </w:r>
      <w:r w:rsidR="00BB2AF8" w:rsidRPr="00EF62D3">
        <w:rPr>
          <w:rFonts w:eastAsia="DejaVuSans" w:cs="Calibri"/>
          <w:sz w:val="24"/>
          <w:szCs w:val="24"/>
        </w:rPr>
        <w:t xml:space="preserve"> </w:t>
      </w:r>
      <w:r w:rsidR="00BB2AF8" w:rsidRPr="00EF62D3">
        <w:rPr>
          <w:rFonts w:cs="Calibri"/>
          <w:color w:val="000000"/>
          <w:sz w:val="24"/>
          <w:szCs w:val="24"/>
          <w:lang w:eastAsia="it-IT"/>
        </w:rPr>
        <w:t xml:space="preserve">contiene il principio attivo </w:t>
      </w:r>
      <w:r w:rsidR="00806579" w:rsidRPr="00EF62D3">
        <w:rPr>
          <w:rFonts w:cs="Calibri"/>
          <w:color w:val="000000"/>
          <w:sz w:val="24"/>
          <w:szCs w:val="24"/>
          <w:lang w:eastAsia="it-IT"/>
        </w:rPr>
        <w:t>eltrombopag olamina</w:t>
      </w:r>
      <w:r w:rsidR="00F9647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F62D3">
        <w:rPr>
          <w:rFonts w:eastAsia="DejaVuSans" w:cs="Calibri"/>
          <w:sz w:val="24"/>
          <w:szCs w:val="24"/>
        </w:rPr>
        <w:t xml:space="preserve">che </w:t>
      </w:r>
      <w:r w:rsidR="00BB2AF8" w:rsidRPr="00EF62D3">
        <w:rPr>
          <w:rFonts w:cs="Calibri"/>
          <w:sz w:val="24"/>
          <w:szCs w:val="24"/>
        </w:rPr>
        <w:t>appartiene alla classe de</w:t>
      </w:r>
      <w:r w:rsidR="009726BF" w:rsidRPr="00EF62D3">
        <w:rPr>
          <w:rFonts w:cs="Calibri"/>
          <w:sz w:val="24"/>
          <w:szCs w:val="24"/>
        </w:rPr>
        <w:t>gli antiemorragici</w:t>
      </w:r>
      <w:r w:rsidR="00BB2AF8" w:rsidRPr="00EF62D3">
        <w:rPr>
          <w:rFonts w:cs="Calibri"/>
          <w:sz w:val="24"/>
          <w:szCs w:val="24"/>
        </w:rPr>
        <w:t xml:space="preserve"> e agisce </w:t>
      </w:r>
      <w:r w:rsidR="00F813B8" w:rsidRPr="00EF62D3">
        <w:rPr>
          <w:rFonts w:cs="Calibri"/>
          <w:sz w:val="24"/>
          <w:szCs w:val="24"/>
        </w:rPr>
        <w:t>da agonista del recettore della trombopoietina</w:t>
      </w:r>
      <w:r w:rsidR="009726BF" w:rsidRPr="00EF62D3">
        <w:rPr>
          <w:rFonts w:cs="Calibri"/>
          <w:sz w:val="24"/>
          <w:szCs w:val="24"/>
        </w:rPr>
        <w:t xml:space="preserve">, </w:t>
      </w:r>
      <w:r w:rsidR="00F813B8" w:rsidRPr="00EF62D3">
        <w:rPr>
          <w:rFonts w:cs="Calibri"/>
          <w:sz w:val="24"/>
          <w:szCs w:val="24"/>
        </w:rPr>
        <w:t>per aiutare ad aumentare il numero delle piastrine nel sangue. Le piastrine sono cellule del sangue che servono a ridurre o prevenire i sanguinamenti.</w:t>
      </w:r>
    </w:p>
    <w:p w14:paraId="7D1E5FFB" w14:textId="363E85BA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4"/>
          <w:szCs w:val="24"/>
        </w:rPr>
      </w:pPr>
    </w:p>
    <w:p w14:paraId="11550F75" w14:textId="596595C6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  <w:r w:rsidRPr="00EF62D3">
        <w:rPr>
          <w:rFonts w:cs="Calibri"/>
          <w:b/>
          <w:bCs/>
          <w:sz w:val="24"/>
          <w:szCs w:val="24"/>
          <w:lang w:eastAsia="it-IT"/>
        </w:rPr>
        <w:t xml:space="preserve">4) COME È STATO STUDIATO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/>
          <w:bCs/>
          <w:sz w:val="24"/>
          <w:szCs w:val="24"/>
          <w:lang w:eastAsia="it-IT"/>
        </w:rPr>
        <w:t xml:space="preserve">? </w:t>
      </w:r>
    </w:p>
    <w:p w14:paraId="4EA87A0F" w14:textId="01AEAE94" w:rsidR="008C75F9" w:rsidRPr="00EF62D3" w:rsidRDefault="002E257E" w:rsidP="008C75F9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lastRenderedPageBreak/>
        <w:t>Eltrombopag Ever Pharma</w:t>
      </w:r>
      <w:r w:rsidR="00F9647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F96473" w:rsidRPr="00EF62D3">
        <w:rPr>
          <w:rFonts w:cs="Calibri"/>
          <w:sz w:val="24"/>
          <w:szCs w:val="24"/>
        </w:rPr>
        <w:t>è un medicinale generico</w:t>
      </w:r>
      <w:r w:rsidR="003C054E" w:rsidRPr="00EF62D3">
        <w:rPr>
          <w:rFonts w:cs="Calibri"/>
          <w:sz w:val="24"/>
          <w:szCs w:val="24"/>
        </w:rPr>
        <w:t xml:space="preserve">. </w:t>
      </w:r>
      <w:r w:rsidR="00C56FA9" w:rsidRPr="00EF62D3">
        <w:rPr>
          <w:rFonts w:cs="Calibri"/>
          <w:sz w:val="24"/>
          <w:szCs w:val="24"/>
        </w:rPr>
        <w:t xml:space="preserve">Poiché il profilo di sicurezza e l’efficacia del principio attivo di </w:t>
      </w: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C56FA9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C56FA9" w:rsidRPr="00EF62D3">
        <w:rPr>
          <w:rFonts w:cs="Calibri"/>
          <w:sz w:val="24"/>
          <w:szCs w:val="24"/>
        </w:rPr>
        <w:t xml:space="preserve">è ben conosciuto in quanto il medicinale di riferimento </w:t>
      </w:r>
      <w:r w:rsidR="00FB4181" w:rsidRPr="00EF62D3">
        <w:rPr>
          <w:rFonts w:cs="Calibri"/>
          <w:sz w:val="24"/>
          <w:szCs w:val="24"/>
        </w:rPr>
        <w:t xml:space="preserve">è stato autorizzato </w:t>
      </w:r>
      <w:r w:rsidR="00C56FA9" w:rsidRPr="00EF62D3">
        <w:rPr>
          <w:rFonts w:cs="Calibri"/>
          <w:sz w:val="24"/>
          <w:szCs w:val="24"/>
        </w:rPr>
        <w:t xml:space="preserve">da </w:t>
      </w:r>
      <w:r w:rsidR="00FB4181" w:rsidRPr="00EF62D3">
        <w:rPr>
          <w:rFonts w:cs="Calibri"/>
          <w:sz w:val="24"/>
          <w:szCs w:val="24"/>
        </w:rPr>
        <w:t xml:space="preserve">almeno 8 </w:t>
      </w:r>
      <w:r w:rsidR="00C56FA9" w:rsidRPr="00EF62D3">
        <w:rPr>
          <w:rFonts w:cs="Calibri"/>
          <w:sz w:val="24"/>
          <w:szCs w:val="24"/>
        </w:rPr>
        <w:t>anni</w:t>
      </w:r>
      <w:r w:rsidR="00F67DFC" w:rsidRPr="00EF62D3">
        <w:rPr>
          <w:rFonts w:cs="Calibri"/>
          <w:sz w:val="24"/>
          <w:szCs w:val="24"/>
        </w:rPr>
        <w:t xml:space="preserve"> nell’Unione europea</w:t>
      </w:r>
      <w:r w:rsidR="00C56FA9" w:rsidRPr="00EF62D3">
        <w:rPr>
          <w:rFonts w:cs="Calibri"/>
          <w:sz w:val="24"/>
          <w:szCs w:val="24"/>
        </w:rPr>
        <w:t xml:space="preserve">, </w:t>
      </w:r>
      <w:r w:rsidR="00577DAC" w:rsidRPr="00EF62D3">
        <w:rPr>
          <w:rFonts w:cs="Calibri"/>
          <w:sz w:val="24"/>
          <w:szCs w:val="24"/>
        </w:rPr>
        <w:t xml:space="preserve">a supporto dell’efficacia e della sicurezza di </w:t>
      </w: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577DAC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28E5" w:rsidRPr="00EF62D3">
        <w:rPr>
          <w:rFonts w:cs="Calibri"/>
          <w:sz w:val="24"/>
          <w:szCs w:val="24"/>
        </w:rPr>
        <w:t>sono state effettuate prove cliniche</w:t>
      </w:r>
      <w:r w:rsidR="00F96473" w:rsidRPr="00EF62D3">
        <w:rPr>
          <w:rFonts w:cs="Calibri"/>
          <w:sz w:val="24"/>
          <w:szCs w:val="24"/>
        </w:rPr>
        <w:t xml:space="preserve"> </w:t>
      </w:r>
      <w:r w:rsidR="003C054E" w:rsidRPr="00EF62D3">
        <w:rPr>
          <w:rFonts w:cs="Calibri"/>
          <w:sz w:val="24"/>
          <w:szCs w:val="24"/>
        </w:rPr>
        <w:t xml:space="preserve">di confronto con il medicinale di riferimento </w:t>
      </w:r>
      <w:r w:rsidR="00136EA6" w:rsidRPr="00EF62D3">
        <w:rPr>
          <w:rFonts w:cs="Calibri"/>
          <w:sz w:val="24"/>
          <w:szCs w:val="24"/>
        </w:rPr>
        <w:t xml:space="preserve">Revolade </w:t>
      </w:r>
      <w:r w:rsidR="00F96473" w:rsidRPr="00EF62D3">
        <w:rPr>
          <w:rFonts w:cs="Calibri"/>
          <w:sz w:val="24"/>
          <w:szCs w:val="24"/>
        </w:rPr>
        <w:t>per determinare</w:t>
      </w:r>
      <w:r w:rsidR="00F96473" w:rsidRPr="00EF62D3">
        <w:rPr>
          <w:rFonts w:cs="Calibri"/>
          <w:b/>
          <w:sz w:val="24"/>
          <w:szCs w:val="24"/>
        </w:rPr>
        <w:t xml:space="preserve"> </w:t>
      </w:r>
      <w:r w:rsidR="00F96473" w:rsidRPr="00EF62D3">
        <w:rPr>
          <w:rFonts w:cs="Calibri"/>
          <w:sz w:val="24"/>
          <w:szCs w:val="24"/>
        </w:rPr>
        <w:t>la bioequivalenza rispetto a</w:t>
      </w:r>
      <w:r w:rsidR="00136EA6" w:rsidRPr="00EF62D3">
        <w:rPr>
          <w:rFonts w:cs="Calibri"/>
          <w:sz w:val="24"/>
          <w:szCs w:val="24"/>
        </w:rPr>
        <w:t>d esso.</w:t>
      </w:r>
      <w:r w:rsidR="00F96473" w:rsidRPr="00EF62D3">
        <w:rPr>
          <w:rFonts w:cs="Calibri"/>
          <w:sz w:val="24"/>
          <w:szCs w:val="24"/>
        </w:rPr>
        <w:t xml:space="preserve"> Due medicinali sono bioequivalenti quando producono gli stessi livelli di principio attivo nell’organismo. </w:t>
      </w:r>
      <w:r w:rsidR="008C75F9" w:rsidRPr="00EF62D3">
        <w:rPr>
          <w:rFonts w:cs="Calibri"/>
          <w:sz w:val="24"/>
          <w:szCs w:val="24"/>
        </w:rPr>
        <w:t xml:space="preserve"> </w:t>
      </w:r>
    </w:p>
    <w:p w14:paraId="4E9AC587" w14:textId="770ED627" w:rsidR="00D22C34" w:rsidRPr="00EF62D3" w:rsidRDefault="00AC31D4" w:rsidP="00AC31D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Per il dosaggio da </w:t>
      </w:r>
      <w:r w:rsidR="007874EE" w:rsidRPr="00EF62D3">
        <w:rPr>
          <w:rFonts w:cs="Calibri"/>
          <w:sz w:val="24"/>
          <w:szCs w:val="24"/>
        </w:rPr>
        <w:t xml:space="preserve">50 </w:t>
      </w:r>
      <w:r w:rsidRPr="00EF62D3">
        <w:rPr>
          <w:rFonts w:cs="Calibri"/>
          <w:sz w:val="24"/>
          <w:szCs w:val="24"/>
        </w:rPr>
        <w:t>è stata dimostrata l’equivalenza farmaceutica tramite studi comparativi di equivalenza farmaceutica in accordo alle linee guida applicabili</w:t>
      </w:r>
      <w:r w:rsidR="00DA5F9B" w:rsidRPr="00EF62D3">
        <w:rPr>
          <w:rFonts w:cs="Calibri"/>
          <w:sz w:val="24"/>
          <w:szCs w:val="24"/>
        </w:rPr>
        <w:t>.</w:t>
      </w:r>
    </w:p>
    <w:p w14:paraId="0EB2D19B" w14:textId="77777777" w:rsidR="00FF50B2" w:rsidRPr="00EF62D3" w:rsidRDefault="00FF50B2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7D1FD9F5" w14:textId="39042EA4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b/>
          <w:bCs/>
          <w:sz w:val="24"/>
          <w:szCs w:val="24"/>
          <w:lang w:eastAsia="it-IT"/>
        </w:rPr>
        <w:t xml:space="preserve">5) QUAL È IL RAPPORTO BENEFICIO/RISCHIO DI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/>
          <w:sz w:val="24"/>
          <w:szCs w:val="24"/>
          <w:lang w:eastAsia="it-IT"/>
        </w:rPr>
        <w:t>?</w:t>
      </w:r>
      <w:r w:rsidRPr="00EF62D3">
        <w:rPr>
          <w:rFonts w:cs="Calibri"/>
          <w:sz w:val="24"/>
          <w:szCs w:val="24"/>
          <w:lang w:eastAsia="it-IT"/>
        </w:rPr>
        <w:t xml:space="preserve"> </w:t>
      </w:r>
    </w:p>
    <w:p w14:paraId="044E2CF9" w14:textId="303607A9" w:rsidR="00BB2AF8" w:rsidRPr="00EF62D3" w:rsidRDefault="002E257E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170D7" w:rsidRPr="00EF62D3">
        <w:rPr>
          <w:rFonts w:cs="Calibri"/>
          <w:sz w:val="24"/>
          <w:szCs w:val="24"/>
        </w:rPr>
        <w:t xml:space="preserve"> </w:t>
      </w:r>
      <w:r w:rsidR="00BB2AF8" w:rsidRPr="00EF62D3">
        <w:rPr>
          <w:rFonts w:cs="Calibri"/>
          <w:sz w:val="24"/>
          <w:szCs w:val="24"/>
          <w:lang w:eastAsia="it-IT"/>
        </w:rPr>
        <w:t xml:space="preserve">è un medicinale generico ed è bioequivalente al medicinale di riferimento; pertanto, i suoi benefici e rischi sono sovrapponibili a quelli del medicinale di riferimento. </w:t>
      </w:r>
    </w:p>
    <w:p w14:paraId="6AE0E502" w14:textId="77777777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50BE5B63" w14:textId="6FEE95F2" w:rsidR="00BB2AF8" w:rsidRPr="00EF62D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b/>
          <w:bCs/>
          <w:sz w:val="24"/>
          <w:szCs w:val="24"/>
          <w:lang w:eastAsia="it-IT"/>
        </w:rPr>
        <w:t xml:space="preserve">6) PERCHE’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="007170D7" w:rsidRPr="00EF62D3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="00FF50B2" w:rsidRPr="00EF62D3">
        <w:rPr>
          <w:rFonts w:cs="Calibri"/>
          <w:b/>
          <w:bCs/>
          <w:sz w:val="24"/>
          <w:szCs w:val="24"/>
          <w:lang w:eastAsia="it-IT"/>
        </w:rPr>
        <w:t>È</w:t>
      </w:r>
      <w:r w:rsidR="00FF50B2" w:rsidRPr="00EF62D3" w:rsidDel="00FF50B2">
        <w:rPr>
          <w:rFonts w:cs="Calibri"/>
          <w:b/>
          <w:bCs/>
          <w:sz w:val="24"/>
          <w:szCs w:val="24"/>
          <w:lang w:eastAsia="it-IT"/>
        </w:rPr>
        <w:t xml:space="preserve"> </w:t>
      </w:r>
      <w:r w:rsidRPr="00EF62D3">
        <w:rPr>
          <w:rFonts w:cs="Calibri"/>
          <w:b/>
          <w:bCs/>
          <w:sz w:val="24"/>
          <w:szCs w:val="24"/>
          <w:lang w:eastAsia="it-IT"/>
        </w:rPr>
        <w:t xml:space="preserve">STATO APPROVATO? </w:t>
      </w:r>
    </w:p>
    <w:p w14:paraId="31C4C0E7" w14:textId="11FDB5D6" w:rsidR="00BB2AF8" w:rsidRPr="00EF62D3" w:rsidRDefault="000C1389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>A seguito dell’istruttoria condotta d</w:t>
      </w:r>
      <w:r w:rsidR="00330DFA" w:rsidRPr="00EF62D3">
        <w:rPr>
          <w:rFonts w:cs="Calibri"/>
          <w:sz w:val="24"/>
          <w:szCs w:val="24"/>
          <w:lang w:eastAsia="it-IT"/>
        </w:rPr>
        <w:t>a</w:t>
      </w:r>
      <w:r w:rsidRPr="00EF62D3">
        <w:rPr>
          <w:rFonts w:cs="Calibri"/>
          <w:sz w:val="24"/>
          <w:szCs w:val="24"/>
          <w:lang w:eastAsia="it-IT"/>
        </w:rPr>
        <w:t>ll’AIFA</w:t>
      </w:r>
      <w:r w:rsidR="00BB2AF8" w:rsidRPr="00EF62D3">
        <w:rPr>
          <w:rFonts w:cs="Calibri"/>
          <w:sz w:val="24"/>
          <w:szCs w:val="24"/>
          <w:lang w:eastAsia="it-IT"/>
        </w:rPr>
        <w:t xml:space="preserve">, conformemente ai requisiti della normativa vigente, come nel caso del medicinale di riferimento, i benefici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B2AF8" w:rsidRPr="00EF62D3">
        <w:rPr>
          <w:rFonts w:cs="Calibri"/>
          <w:sz w:val="24"/>
          <w:szCs w:val="24"/>
          <w:lang w:eastAsia="it-IT"/>
        </w:rPr>
        <w:t xml:space="preserve"> sono superiori ai rischi individuati. L</w:t>
      </w:r>
      <w:r w:rsidR="003B4584" w:rsidRPr="00EF62D3">
        <w:rPr>
          <w:rFonts w:cs="Calibri"/>
          <w:sz w:val="24"/>
          <w:szCs w:val="24"/>
          <w:lang w:eastAsia="it-IT"/>
        </w:rPr>
        <w:t>’</w:t>
      </w:r>
      <w:r w:rsidR="00F61CF9" w:rsidRPr="00EF62D3">
        <w:rPr>
          <w:rFonts w:cs="Calibri"/>
          <w:sz w:val="24"/>
          <w:szCs w:val="24"/>
          <w:lang w:eastAsia="it-IT"/>
        </w:rPr>
        <w:t>AIFA</w:t>
      </w:r>
      <w:r w:rsidR="00353838" w:rsidRPr="00EF62D3">
        <w:rPr>
          <w:rFonts w:cs="Calibri"/>
          <w:sz w:val="24"/>
          <w:szCs w:val="24"/>
          <w:lang w:eastAsia="it-IT"/>
        </w:rPr>
        <w:t xml:space="preserve"> </w:t>
      </w:r>
      <w:r w:rsidR="00BB2AF8" w:rsidRPr="00EF62D3">
        <w:rPr>
          <w:rFonts w:cs="Calibr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7170D7" w:rsidRPr="00EF62D3">
        <w:rPr>
          <w:rFonts w:cs="Calibri"/>
          <w:sz w:val="24"/>
          <w:szCs w:val="24"/>
          <w:lang w:eastAsia="it-IT"/>
        </w:rPr>
        <w:t xml:space="preserve"> </w:t>
      </w:r>
      <w:r w:rsidR="00F76F77" w:rsidRPr="00EF62D3">
        <w:rPr>
          <w:rFonts w:cs="Calibri"/>
          <w:sz w:val="24"/>
          <w:szCs w:val="24"/>
          <w:lang w:eastAsia="it-IT"/>
        </w:rPr>
        <w:t>(</w:t>
      </w:r>
      <w:r w:rsidR="00145BBC" w:rsidRPr="00EF62D3">
        <w:rPr>
          <w:rFonts w:cs="Calibri"/>
          <w:sz w:val="24"/>
          <w:szCs w:val="24"/>
          <w:lang w:eastAsia="it-IT"/>
        </w:rPr>
        <w:t>classif</w:t>
      </w:r>
      <w:r w:rsidR="0098470E" w:rsidRPr="00EF62D3">
        <w:rPr>
          <w:rFonts w:cs="Calibri"/>
          <w:sz w:val="24"/>
          <w:szCs w:val="24"/>
          <w:lang w:eastAsia="it-IT"/>
        </w:rPr>
        <w:t>icazione provvisoria Cnn</w:t>
      </w:r>
      <w:r w:rsidR="00F76F77" w:rsidRPr="00EF62D3">
        <w:rPr>
          <w:rFonts w:cs="Calibri"/>
          <w:sz w:val="24"/>
          <w:szCs w:val="24"/>
          <w:lang w:eastAsia="it-IT"/>
        </w:rPr>
        <w:t>)</w:t>
      </w:r>
      <w:r w:rsidR="00BB2AF8" w:rsidRPr="00EF62D3">
        <w:rPr>
          <w:rFonts w:cs="Calibri"/>
          <w:sz w:val="24"/>
          <w:szCs w:val="24"/>
          <w:lang w:eastAsia="it-IT"/>
        </w:rPr>
        <w:t xml:space="preserve">. </w:t>
      </w:r>
    </w:p>
    <w:p w14:paraId="46D6293B" w14:textId="77777777" w:rsidR="009C1453" w:rsidRPr="00EF62D3" w:rsidRDefault="009C1453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</w:p>
    <w:p w14:paraId="1B92078F" w14:textId="4D2C3293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4C38AB4D" w14:textId="291BAE56" w:rsidR="004241AC" w:rsidRPr="00EF62D3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 xml:space="preserve">Il titolare </w:t>
      </w:r>
      <w:r w:rsidR="004241AC" w:rsidRPr="00EF62D3">
        <w:rPr>
          <w:rFonts w:cs="Calibr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4241AC" w:rsidRPr="00EF62D3">
        <w:rPr>
          <w:rFonts w:cs="Calibri"/>
          <w:sz w:val="24"/>
          <w:szCs w:val="24"/>
          <w:lang w:eastAsia="it-IT"/>
        </w:rPr>
        <w:t>.</w:t>
      </w:r>
    </w:p>
    <w:p w14:paraId="40AC5027" w14:textId="77777777" w:rsidR="00663BCD" w:rsidRPr="00EF62D3" w:rsidRDefault="00663BCD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2D8BB652" w14:textId="01063741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b/>
          <w:bCs/>
          <w:sz w:val="24"/>
          <w:szCs w:val="24"/>
          <w:lang w:eastAsia="it-IT"/>
        </w:rPr>
        <w:t xml:space="preserve">8) ALTRE INFORMAZIONI RELATIVE A </w:t>
      </w:r>
      <w:r w:rsidR="002E257E" w:rsidRPr="00EF62D3">
        <w:rPr>
          <w:rFonts w:cs="Calibri"/>
          <w:b/>
          <w:color w:val="000000"/>
          <w:sz w:val="24"/>
          <w:szCs w:val="24"/>
          <w:lang w:eastAsia="it-IT"/>
        </w:rPr>
        <w:t>Eltrombopag Ever Pharma</w:t>
      </w:r>
    </w:p>
    <w:p w14:paraId="63DE2C92" w14:textId="3E4B20F0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  <w:lang w:eastAsia="it-IT"/>
        </w:rPr>
      </w:pPr>
      <w:r w:rsidRPr="00EF62D3">
        <w:rPr>
          <w:rFonts w:cs="Calibri"/>
          <w:bCs/>
          <w:iCs/>
          <w:sz w:val="24"/>
          <w:szCs w:val="24"/>
          <w:lang w:eastAsia="it-IT"/>
        </w:rPr>
        <w:t xml:space="preserve">Il </w:t>
      </w:r>
      <w:r w:rsidR="0061105F" w:rsidRPr="00F15A05">
        <w:rPr>
          <w:rFonts w:cs="Calibri"/>
          <w:b/>
          <w:bCs/>
          <w:iCs/>
          <w:sz w:val="24"/>
          <w:szCs w:val="24"/>
          <w:lang w:eastAsia="it-IT"/>
        </w:rPr>
        <w:t>1</w:t>
      </w:r>
      <w:r w:rsidR="008F1489" w:rsidRPr="00F15A05">
        <w:rPr>
          <w:rFonts w:cs="Calibri"/>
          <w:b/>
          <w:bCs/>
          <w:iCs/>
          <w:sz w:val="24"/>
          <w:szCs w:val="24"/>
          <w:lang w:eastAsia="it-IT"/>
        </w:rPr>
        <w:t>6</w:t>
      </w:r>
      <w:r w:rsidR="0061105F" w:rsidRPr="00F15A05">
        <w:rPr>
          <w:rFonts w:cs="Calibri"/>
          <w:b/>
          <w:bCs/>
          <w:iCs/>
          <w:sz w:val="24"/>
          <w:szCs w:val="24"/>
          <w:lang w:eastAsia="it-IT"/>
        </w:rPr>
        <w:t>/03/2026</w:t>
      </w:r>
      <w:r w:rsidRPr="00EF62D3">
        <w:rPr>
          <w:rFonts w:cs="Calibri"/>
          <w:bCs/>
          <w:iCs/>
          <w:sz w:val="24"/>
          <w:szCs w:val="24"/>
          <w:lang w:eastAsia="it-IT"/>
        </w:rPr>
        <w:t xml:space="preserve"> l’AIFA ha rilasciato l’autorizzazione all’immissione in commercio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bCs/>
          <w:sz w:val="24"/>
          <w:szCs w:val="24"/>
          <w:lang w:eastAsia="it-IT"/>
        </w:rPr>
        <w:t xml:space="preserve">. </w:t>
      </w:r>
    </w:p>
    <w:p w14:paraId="5D60D380" w14:textId="77777777" w:rsidR="004E5A39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78F22C65" w14:textId="77777777" w:rsidR="009C1453" w:rsidRPr="00EF62D3" w:rsidRDefault="009C1453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669EB601" w14:textId="77777777" w:rsidR="004E5A39" w:rsidRPr="00EF62D3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 xml:space="preserve">La Relazione Pubblica di Valutazione completa segue questo Riassunto. </w:t>
      </w:r>
    </w:p>
    <w:p w14:paraId="71B942C4" w14:textId="25E1D836" w:rsidR="004241AC" w:rsidRPr="00EF62D3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 xml:space="preserve">Per maggiori informazioni riguardo il trattamento con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170D7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  <w:lang w:eastAsia="it-IT"/>
        </w:rPr>
        <w:t>si può leggere il foglio illustrativo</w:t>
      </w:r>
      <w:r w:rsidR="00FF50B2" w:rsidRPr="00EF62D3">
        <w:rPr>
          <w:rFonts w:cs="Calibri"/>
          <w:sz w:val="24"/>
          <w:szCs w:val="24"/>
          <w:lang w:eastAsia="it-IT"/>
        </w:rPr>
        <w:t>(https://medicinali.aifa.gov.it</w:t>
      </w:r>
      <w:r w:rsidR="00983038" w:rsidRPr="00EF62D3">
        <w:rPr>
          <w:rFonts w:cs="Calibri"/>
          <w:sz w:val="24"/>
          <w:szCs w:val="24"/>
          <w:lang w:eastAsia="it-IT"/>
        </w:rPr>
        <w:t>)</w:t>
      </w:r>
      <w:r w:rsidR="00FF50B2" w:rsidRPr="00EF62D3">
        <w:rPr>
          <w:rFonts w:cs="Calibri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  <w:lang w:eastAsia="it-IT"/>
        </w:rPr>
        <w:t xml:space="preserve">o contattare il medico o </w:t>
      </w:r>
      <w:r w:rsidR="009B03DB" w:rsidRPr="00EF62D3">
        <w:rPr>
          <w:rFonts w:cs="Calibri"/>
          <w:sz w:val="24"/>
          <w:szCs w:val="24"/>
          <w:lang w:eastAsia="it-IT"/>
        </w:rPr>
        <w:t xml:space="preserve">il </w:t>
      </w:r>
      <w:r w:rsidRPr="00EF62D3">
        <w:rPr>
          <w:rFonts w:cs="Calibri"/>
          <w:sz w:val="24"/>
          <w:szCs w:val="24"/>
          <w:lang w:eastAsia="it-IT"/>
        </w:rPr>
        <w:t xml:space="preserve">farmacista. </w:t>
      </w:r>
    </w:p>
    <w:p w14:paraId="6B434373" w14:textId="77777777" w:rsidR="004241AC" w:rsidRPr="00EF62D3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35E7C82B" w14:textId="40E18833" w:rsidR="0061105F" w:rsidRPr="00EF62D3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  <w:lang w:eastAsia="it-IT"/>
        </w:rPr>
        <w:t xml:space="preserve">Questo riassunto è stato redatto in </w:t>
      </w:r>
      <w:r w:rsidR="00B1186F" w:rsidRPr="00EF62D3">
        <w:rPr>
          <w:rFonts w:cs="Calibri"/>
          <w:sz w:val="24"/>
          <w:szCs w:val="24"/>
          <w:lang w:eastAsia="it-IT"/>
        </w:rPr>
        <w:t xml:space="preserve">data </w:t>
      </w:r>
      <w:r w:rsidR="00A61A65" w:rsidRPr="00EF62D3">
        <w:rPr>
          <w:rFonts w:cs="Calibri"/>
          <w:sz w:val="24"/>
          <w:szCs w:val="24"/>
          <w:lang w:eastAsia="it-IT"/>
        </w:rPr>
        <w:t>2</w:t>
      </w:r>
      <w:r w:rsidR="00CF15F6">
        <w:rPr>
          <w:rFonts w:cs="Calibri"/>
          <w:sz w:val="24"/>
          <w:szCs w:val="24"/>
          <w:lang w:eastAsia="it-IT"/>
        </w:rPr>
        <w:t>7</w:t>
      </w:r>
      <w:r w:rsidR="00A61A65" w:rsidRPr="00EF62D3">
        <w:rPr>
          <w:rFonts w:cs="Calibri"/>
          <w:sz w:val="24"/>
          <w:szCs w:val="24"/>
          <w:lang w:eastAsia="it-IT"/>
        </w:rPr>
        <w:t>/</w:t>
      </w:r>
      <w:r w:rsidR="0061105F" w:rsidRPr="00EF62D3">
        <w:rPr>
          <w:rFonts w:cs="Calibri"/>
          <w:sz w:val="24"/>
          <w:szCs w:val="24"/>
          <w:lang w:eastAsia="it-IT"/>
        </w:rPr>
        <w:t>03/2026.</w:t>
      </w:r>
    </w:p>
    <w:p w14:paraId="4CBE1562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34722E0" w14:textId="77777777" w:rsidR="007170D7" w:rsidRPr="00EF62D3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B11AFC9" w14:textId="77777777" w:rsidR="007170D7" w:rsidRPr="00EF62D3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09185A5" w14:textId="77777777" w:rsidR="007170D7" w:rsidRPr="00EF62D3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9C0B353" w14:textId="77777777" w:rsidR="00747DF3" w:rsidRPr="00EF62D3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0AC73B0" w14:textId="77777777" w:rsidR="00747DF3" w:rsidRPr="00EF62D3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2DEE189" w14:textId="77777777" w:rsidR="00747DF3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DC103A7" w14:textId="77777777" w:rsidR="00E42593" w:rsidRDefault="00E4259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2F8A476" w14:textId="77777777" w:rsidR="00E42593" w:rsidRDefault="00E4259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7D0917D" w14:textId="77777777" w:rsidR="009C1453" w:rsidRDefault="009C145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D54FE49" w14:textId="77777777" w:rsidR="009C1453" w:rsidRPr="00EF62D3" w:rsidRDefault="009C145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8518BE4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lastRenderedPageBreak/>
        <w:t>RELAZIONE PUBBLICA DI VALUTAZIONE</w:t>
      </w:r>
    </w:p>
    <w:p w14:paraId="7B707401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41F43D3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E79BA0F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EE3CB6E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4003014" w14:textId="77777777" w:rsidR="004E5A39" w:rsidRPr="00EF62D3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INDICE</w:t>
      </w:r>
    </w:p>
    <w:p w14:paraId="16411F26" w14:textId="77777777" w:rsidR="004E5A39" w:rsidRPr="00EF62D3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B54AAE7" w14:textId="77777777" w:rsidR="004E5A39" w:rsidRPr="00EF62D3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A2D3F4D" w14:textId="77777777" w:rsidR="004E5A39" w:rsidRPr="00EF62D3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4E24F95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INTRODUZIONE</w:t>
      </w:r>
    </w:p>
    <w:p w14:paraId="4913BC1A" w14:textId="77777777" w:rsidR="004E5A39" w:rsidRPr="00EF62D3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5241B66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DI QUALITA’</w:t>
      </w:r>
    </w:p>
    <w:p w14:paraId="253BC563" w14:textId="77777777" w:rsidR="004E5A39" w:rsidRPr="00EF62D3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01103CB0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NON CLINICI</w:t>
      </w:r>
    </w:p>
    <w:p w14:paraId="66F4D79E" w14:textId="77777777" w:rsidR="004E5A39" w:rsidRPr="00EF62D3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5A00C4A1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CLINICI</w:t>
      </w:r>
    </w:p>
    <w:p w14:paraId="6A843FEF" w14:textId="77777777" w:rsidR="004E5A39" w:rsidRPr="00EF62D3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6E959FCB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CONSULTAZIONE SUL FOGLIO ILLUSTRATIVO</w:t>
      </w:r>
    </w:p>
    <w:p w14:paraId="7D202521" w14:textId="77777777" w:rsidR="004E5A39" w:rsidRPr="00EF62D3" w:rsidRDefault="004E5A39" w:rsidP="004E5A39">
      <w:pPr>
        <w:pStyle w:val="Paragrafoelenco"/>
        <w:spacing w:after="0" w:line="240" w:lineRule="auto"/>
        <w:ind w:left="1080"/>
        <w:jc w:val="both"/>
        <w:rPr>
          <w:rFonts w:cs="Calibri"/>
          <w:b/>
          <w:sz w:val="24"/>
          <w:szCs w:val="24"/>
        </w:rPr>
      </w:pPr>
    </w:p>
    <w:p w14:paraId="553D62E4" w14:textId="77777777" w:rsidR="004E5A39" w:rsidRPr="00EF62D3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2F07A111" w14:textId="77777777" w:rsidR="004E5A39" w:rsidRPr="00EF62D3" w:rsidRDefault="004E5A39" w:rsidP="004E5A39">
      <w:pPr>
        <w:rPr>
          <w:rFonts w:cs="Calibri"/>
          <w:sz w:val="24"/>
          <w:szCs w:val="24"/>
        </w:rPr>
      </w:pPr>
    </w:p>
    <w:p w14:paraId="52BAD3A7" w14:textId="77777777" w:rsidR="004E5A39" w:rsidRPr="00EF62D3" w:rsidRDefault="004E5A39" w:rsidP="004E5A39">
      <w:pPr>
        <w:rPr>
          <w:rFonts w:cs="Calibri"/>
          <w:sz w:val="24"/>
          <w:szCs w:val="24"/>
        </w:rPr>
      </w:pPr>
    </w:p>
    <w:p w14:paraId="64569CA3" w14:textId="77777777" w:rsidR="004E5A39" w:rsidRPr="00EF62D3" w:rsidRDefault="004E5A39" w:rsidP="004E5A39">
      <w:pPr>
        <w:rPr>
          <w:rFonts w:cs="Calibri"/>
          <w:sz w:val="24"/>
          <w:szCs w:val="24"/>
        </w:rPr>
      </w:pPr>
    </w:p>
    <w:p w14:paraId="69C3F36D" w14:textId="77777777" w:rsidR="00CC52A3" w:rsidRPr="00EF62D3" w:rsidRDefault="00CC52A3" w:rsidP="004E5A39">
      <w:pPr>
        <w:rPr>
          <w:rFonts w:cs="Calibri"/>
          <w:sz w:val="24"/>
          <w:szCs w:val="24"/>
        </w:rPr>
      </w:pPr>
    </w:p>
    <w:p w14:paraId="1D5E911D" w14:textId="77777777" w:rsidR="0099120C" w:rsidRPr="00EF62D3" w:rsidRDefault="0099120C" w:rsidP="004E5A39">
      <w:pPr>
        <w:rPr>
          <w:rFonts w:cs="Calibri"/>
          <w:sz w:val="24"/>
          <w:szCs w:val="24"/>
        </w:rPr>
      </w:pPr>
    </w:p>
    <w:p w14:paraId="4FF1CA52" w14:textId="77777777" w:rsidR="0099120C" w:rsidRPr="00EF62D3" w:rsidRDefault="0099120C" w:rsidP="004E5A39">
      <w:pPr>
        <w:rPr>
          <w:rFonts w:cs="Calibri"/>
          <w:sz w:val="24"/>
          <w:szCs w:val="24"/>
        </w:rPr>
      </w:pPr>
    </w:p>
    <w:p w14:paraId="09EB7BE4" w14:textId="77777777" w:rsidR="008B214E" w:rsidRPr="00EF62D3" w:rsidRDefault="008B214E" w:rsidP="004E5A39">
      <w:pPr>
        <w:rPr>
          <w:rFonts w:cs="Calibri"/>
          <w:sz w:val="24"/>
          <w:szCs w:val="24"/>
        </w:rPr>
      </w:pPr>
    </w:p>
    <w:p w14:paraId="29FC93F9" w14:textId="77777777" w:rsidR="0099120C" w:rsidRPr="00EF62D3" w:rsidRDefault="0099120C" w:rsidP="004E5A39">
      <w:pPr>
        <w:rPr>
          <w:rFonts w:cs="Calibri"/>
          <w:sz w:val="24"/>
          <w:szCs w:val="24"/>
        </w:rPr>
      </w:pPr>
    </w:p>
    <w:p w14:paraId="59C58F7F" w14:textId="77777777" w:rsidR="00747DF3" w:rsidRPr="00EF62D3" w:rsidRDefault="00747DF3" w:rsidP="004E5A39">
      <w:pPr>
        <w:rPr>
          <w:rFonts w:cs="Calibri"/>
          <w:sz w:val="24"/>
          <w:szCs w:val="24"/>
        </w:rPr>
      </w:pPr>
    </w:p>
    <w:p w14:paraId="0B1EE563" w14:textId="77777777" w:rsidR="00747DF3" w:rsidRPr="00EF62D3" w:rsidRDefault="00747DF3" w:rsidP="004E5A39">
      <w:pPr>
        <w:rPr>
          <w:rFonts w:cs="Calibri"/>
          <w:sz w:val="24"/>
          <w:szCs w:val="24"/>
        </w:rPr>
      </w:pPr>
    </w:p>
    <w:p w14:paraId="3B52D02C" w14:textId="77777777" w:rsidR="00747DF3" w:rsidRPr="00EF62D3" w:rsidRDefault="00747DF3" w:rsidP="004E5A39">
      <w:pPr>
        <w:rPr>
          <w:rFonts w:cs="Calibri"/>
          <w:sz w:val="24"/>
          <w:szCs w:val="24"/>
        </w:rPr>
      </w:pPr>
    </w:p>
    <w:p w14:paraId="0F085C93" w14:textId="77777777" w:rsidR="006A035B" w:rsidRPr="00EF62D3" w:rsidRDefault="006A035B" w:rsidP="004E5A39">
      <w:pPr>
        <w:rPr>
          <w:rFonts w:cs="Calibri"/>
          <w:sz w:val="24"/>
          <w:szCs w:val="24"/>
        </w:rPr>
      </w:pPr>
    </w:p>
    <w:p w14:paraId="3BDBB7CC" w14:textId="77777777" w:rsidR="006A035B" w:rsidRPr="00EF62D3" w:rsidRDefault="006A035B" w:rsidP="004E5A39">
      <w:pPr>
        <w:rPr>
          <w:rFonts w:cs="Calibri"/>
          <w:sz w:val="24"/>
          <w:szCs w:val="24"/>
        </w:rPr>
      </w:pPr>
    </w:p>
    <w:p w14:paraId="7308ED37" w14:textId="77777777" w:rsidR="00441071" w:rsidRDefault="00441071" w:rsidP="004E5A39">
      <w:pPr>
        <w:rPr>
          <w:rFonts w:cs="Calibri"/>
          <w:sz w:val="24"/>
          <w:szCs w:val="24"/>
        </w:rPr>
      </w:pPr>
    </w:p>
    <w:p w14:paraId="4C4DA732" w14:textId="77777777" w:rsidR="00E42593" w:rsidRPr="00EF62D3" w:rsidRDefault="00E42593" w:rsidP="004E5A39">
      <w:pPr>
        <w:rPr>
          <w:rFonts w:cs="Calibri"/>
          <w:sz w:val="24"/>
          <w:szCs w:val="24"/>
        </w:rPr>
      </w:pPr>
    </w:p>
    <w:p w14:paraId="65C9C060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lastRenderedPageBreak/>
        <w:t>INTRODUZIONE</w:t>
      </w:r>
    </w:p>
    <w:p w14:paraId="07E60A5B" w14:textId="633B6423" w:rsidR="004E5A39" w:rsidRPr="00EF62D3" w:rsidRDefault="004E5A39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Sulla base dei dati di qualità, sicurezza ed efficacia, l’AIFA ha rilasciato a </w:t>
      </w:r>
      <w:r w:rsidR="006C56A1" w:rsidRPr="00EF62D3">
        <w:rPr>
          <w:rFonts w:cs="Calibri"/>
          <w:sz w:val="24"/>
          <w:szCs w:val="24"/>
        </w:rPr>
        <w:t xml:space="preserve">Ever Pharma Italia S.r.l. </w:t>
      </w:r>
      <w:r w:rsidR="00B1186F" w:rsidRPr="00EF62D3">
        <w:rPr>
          <w:rFonts w:cs="Calibri"/>
          <w:sz w:val="24"/>
          <w:szCs w:val="24"/>
        </w:rPr>
        <w:t xml:space="preserve"> </w:t>
      </w:r>
      <w:r w:rsidRPr="00EF62D3">
        <w:rPr>
          <w:rFonts w:cs="Calibri"/>
          <w:sz w:val="24"/>
          <w:szCs w:val="24"/>
        </w:rPr>
        <w:t xml:space="preserve">l’autorizzazione all’immissione in commercio (AIC) per il medicinale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170D7" w:rsidRPr="00EF62D3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Pr="00EF62D3">
        <w:rPr>
          <w:rFonts w:cs="Calibri"/>
          <w:bCs/>
          <w:iCs/>
          <w:sz w:val="24"/>
          <w:szCs w:val="24"/>
          <w:lang w:eastAsia="it-IT"/>
        </w:rPr>
        <w:t xml:space="preserve">il </w:t>
      </w:r>
      <w:r w:rsidR="006A035B" w:rsidRPr="00F15A05">
        <w:rPr>
          <w:rFonts w:cs="Calibri"/>
          <w:b/>
          <w:bCs/>
          <w:iCs/>
          <w:sz w:val="24"/>
          <w:szCs w:val="24"/>
          <w:lang w:eastAsia="it-IT"/>
        </w:rPr>
        <w:t>1</w:t>
      </w:r>
      <w:r w:rsidR="00A8243C" w:rsidRPr="00F15A05">
        <w:rPr>
          <w:rFonts w:cs="Calibri"/>
          <w:b/>
          <w:bCs/>
          <w:iCs/>
          <w:sz w:val="24"/>
          <w:szCs w:val="24"/>
          <w:lang w:eastAsia="it-IT"/>
        </w:rPr>
        <w:t>6</w:t>
      </w:r>
      <w:r w:rsidR="006A035B" w:rsidRPr="00F15A05">
        <w:rPr>
          <w:rFonts w:cs="Calibri"/>
          <w:b/>
          <w:bCs/>
          <w:iCs/>
          <w:sz w:val="24"/>
          <w:szCs w:val="24"/>
          <w:lang w:eastAsia="it-IT"/>
        </w:rPr>
        <w:t>/03/2026</w:t>
      </w:r>
      <w:r w:rsidR="00A8243C">
        <w:rPr>
          <w:rFonts w:cs="Calibri"/>
          <w:bCs/>
          <w:iCs/>
          <w:sz w:val="24"/>
          <w:szCs w:val="24"/>
          <w:lang w:eastAsia="it-IT"/>
        </w:rPr>
        <w:t>.</w:t>
      </w:r>
    </w:p>
    <w:p w14:paraId="1F27F29E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2302813" w14:textId="60F03654" w:rsidR="00EF6711" w:rsidRPr="00EF62D3" w:rsidRDefault="002E257E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7170D7" w:rsidRPr="00EF62D3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="00EF6711" w:rsidRPr="00EF62D3">
        <w:rPr>
          <w:rFonts w:cs="Calibri"/>
          <w:color w:val="000000"/>
          <w:sz w:val="24"/>
          <w:szCs w:val="24"/>
          <w:lang w:eastAsia="it-IT"/>
        </w:rPr>
        <w:t xml:space="preserve">può essere ottenuto solo </w:t>
      </w:r>
      <w:r w:rsidR="006A035B" w:rsidRPr="00EF62D3">
        <w:rPr>
          <w:rFonts w:cs="Calibri"/>
          <w:color w:val="000000"/>
          <w:sz w:val="24"/>
          <w:szCs w:val="24"/>
          <w:lang w:eastAsia="it-IT"/>
        </w:rPr>
        <w:t>su prescrizione da parte del medico (ricetta ripetibile).</w:t>
      </w:r>
    </w:p>
    <w:p w14:paraId="0A17A67E" w14:textId="77777777" w:rsidR="006A035B" w:rsidRPr="00EF62D3" w:rsidRDefault="006A035B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C7E5E41" w14:textId="7459FE93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Questa procedura è stata presentata ai sensi dell’art. </w:t>
      </w:r>
      <w:r w:rsidR="006A035B" w:rsidRPr="00EF62D3">
        <w:rPr>
          <w:rFonts w:cs="Calibri"/>
          <w:sz w:val="24"/>
          <w:szCs w:val="24"/>
        </w:rPr>
        <w:t>10 (1)</w:t>
      </w:r>
      <w:r w:rsidRPr="00EF62D3">
        <w:rPr>
          <w:rFonts w:cs="Calibri"/>
          <w:sz w:val="24"/>
          <w:szCs w:val="24"/>
        </w:rPr>
        <w:t xml:space="preserve"> della Direttiva 2001/83/EU s.m.i.</w:t>
      </w:r>
      <w:r w:rsidR="00F964BE" w:rsidRPr="00EF62D3">
        <w:rPr>
          <w:rFonts w:cs="Calibri"/>
          <w:sz w:val="24"/>
          <w:szCs w:val="24"/>
        </w:rPr>
        <w:t xml:space="preserve"> (</w:t>
      </w:r>
      <w:r w:rsidR="006A035B" w:rsidRPr="00EF62D3">
        <w:rPr>
          <w:rFonts w:cs="Calibri"/>
          <w:sz w:val="24"/>
          <w:szCs w:val="24"/>
        </w:rPr>
        <w:t>generic application</w:t>
      </w:r>
      <w:r w:rsidR="00F964BE" w:rsidRPr="00EF62D3">
        <w:rPr>
          <w:rFonts w:cs="Calibri"/>
          <w:sz w:val="24"/>
          <w:szCs w:val="24"/>
        </w:rPr>
        <w:t>)</w:t>
      </w:r>
      <w:r w:rsidR="009C1453">
        <w:rPr>
          <w:rFonts w:cs="Calibri"/>
          <w:sz w:val="24"/>
          <w:szCs w:val="24"/>
        </w:rPr>
        <w:t>.</w:t>
      </w:r>
    </w:p>
    <w:p w14:paraId="46F2DF65" w14:textId="77777777" w:rsidR="0098470E" w:rsidRPr="00EF62D3" w:rsidRDefault="0098470E" w:rsidP="00EF671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6E71023A" w14:textId="4F705402" w:rsidR="004E5A39" w:rsidRPr="00EF62D3" w:rsidRDefault="002E257E" w:rsidP="00EF6711">
      <w:pPr>
        <w:widowControl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42214D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F62D3">
        <w:rPr>
          <w:rFonts w:cs="Calibri"/>
          <w:sz w:val="24"/>
          <w:szCs w:val="24"/>
          <w:lang w:eastAsia="it-IT"/>
        </w:rPr>
        <w:t xml:space="preserve">è un medicinale contenente </w:t>
      </w:r>
      <w:r w:rsidR="006A035B" w:rsidRPr="00EF62D3">
        <w:rPr>
          <w:rFonts w:cs="Calibri"/>
          <w:sz w:val="24"/>
          <w:szCs w:val="24"/>
          <w:lang w:eastAsia="it-IT"/>
        </w:rPr>
        <w:t>il</w:t>
      </w:r>
      <w:r w:rsidR="004E5A39" w:rsidRPr="00EF62D3">
        <w:rPr>
          <w:rFonts w:cs="Calibri"/>
          <w:sz w:val="24"/>
          <w:szCs w:val="24"/>
          <w:lang w:eastAsia="it-IT"/>
        </w:rPr>
        <w:t xml:space="preserve"> principio attivo</w:t>
      </w:r>
      <w:r w:rsidR="0099120C" w:rsidRPr="00EF62D3">
        <w:rPr>
          <w:rFonts w:cs="Calibri"/>
          <w:sz w:val="24"/>
          <w:szCs w:val="24"/>
          <w:lang w:eastAsia="it-IT"/>
        </w:rPr>
        <w:t xml:space="preserve"> </w:t>
      </w:r>
      <w:r w:rsidR="006A035B" w:rsidRPr="00EF62D3">
        <w:rPr>
          <w:rFonts w:cs="Calibri"/>
          <w:sz w:val="24"/>
          <w:szCs w:val="24"/>
          <w:lang w:eastAsia="it-IT"/>
        </w:rPr>
        <w:t>eltrombopag olamina</w:t>
      </w:r>
      <w:r w:rsidR="00027DF9" w:rsidRPr="00EF62D3">
        <w:rPr>
          <w:rFonts w:cs="Calibri"/>
          <w:sz w:val="24"/>
          <w:szCs w:val="24"/>
          <w:lang w:eastAsia="it-IT"/>
        </w:rPr>
        <w:t>,</w:t>
      </w:r>
      <w:r w:rsidR="00F964BE" w:rsidRPr="00EF62D3">
        <w:rPr>
          <w:rFonts w:cs="Calibri"/>
          <w:sz w:val="24"/>
          <w:szCs w:val="24"/>
          <w:lang w:eastAsia="it-IT"/>
        </w:rPr>
        <w:t xml:space="preserve"> </w:t>
      </w:r>
      <w:r w:rsidR="00027DF9" w:rsidRPr="00EF62D3">
        <w:rPr>
          <w:rFonts w:cs="Calibri"/>
          <w:sz w:val="24"/>
          <w:szCs w:val="24"/>
          <w:lang w:eastAsia="it-IT"/>
        </w:rPr>
        <w:t xml:space="preserve">noto </w:t>
      </w:r>
      <w:r w:rsidR="00F964BE" w:rsidRPr="00EF62D3">
        <w:rPr>
          <w:rFonts w:cs="Calibri"/>
          <w:sz w:val="24"/>
          <w:szCs w:val="24"/>
          <w:lang w:eastAsia="it-IT"/>
        </w:rPr>
        <w:t xml:space="preserve">e </w:t>
      </w:r>
      <w:r w:rsidR="004E5A39" w:rsidRPr="00EF62D3">
        <w:rPr>
          <w:rFonts w:cs="Calibri"/>
          <w:sz w:val="24"/>
          <w:szCs w:val="24"/>
          <w:lang w:eastAsia="it-IT"/>
        </w:rPr>
        <w:t>present</w:t>
      </w:r>
      <w:r w:rsidR="00C42AAC" w:rsidRPr="00EF62D3">
        <w:rPr>
          <w:rFonts w:cs="Calibri"/>
          <w:sz w:val="24"/>
          <w:szCs w:val="24"/>
          <w:lang w:eastAsia="it-IT"/>
        </w:rPr>
        <w:t>e</w:t>
      </w:r>
      <w:r w:rsidR="004E5A39" w:rsidRPr="00EF62D3">
        <w:rPr>
          <w:rFonts w:cs="Calibri"/>
          <w:sz w:val="24"/>
          <w:szCs w:val="24"/>
          <w:lang w:eastAsia="it-IT"/>
        </w:rPr>
        <w:t xml:space="preserve"> nel medicinale di riferimento </w:t>
      </w:r>
      <w:r w:rsidR="00027DF9" w:rsidRPr="00EF62D3">
        <w:rPr>
          <w:rFonts w:cs="Calibri"/>
          <w:sz w:val="24"/>
          <w:szCs w:val="24"/>
          <w:lang w:eastAsia="it-IT"/>
        </w:rPr>
        <w:t>Revolade,</w:t>
      </w:r>
      <w:r w:rsidR="0042214D" w:rsidRPr="00EF62D3">
        <w:rPr>
          <w:rFonts w:cs="Calibri"/>
          <w:sz w:val="24"/>
          <w:szCs w:val="24"/>
          <w:lang w:eastAsia="it-IT"/>
        </w:rPr>
        <w:t xml:space="preserve"> aut</w:t>
      </w:r>
      <w:r w:rsidR="004E5A39" w:rsidRPr="00EF62D3">
        <w:rPr>
          <w:rFonts w:cs="Calibri"/>
          <w:sz w:val="24"/>
          <w:szCs w:val="24"/>
          <w:lang w:eastAsia="it-IT"/>
        </w:rPr>
        <w:t xml:space="preserve">orizzato in Italia da più di </w:t>
      </w:r>
      <w:r w:rsidR="007D2539" w:rsidRPr="00EF62D3">
        <w:rPr>
          <w:rFonts w:cs="Calibri"/>
          <w:sz w:val="24"/>
          <w:szCs w:val="24"/>
          <w:lang w:eastAsia="it-IT"/>
        </w:rPr>
        <w:t>8</w:t>
      </w:r>
      <w:r w:rsidR="00027DF9" w:rsidRPr="00EF62D3">
        <w:rPr>
          <w:rFonts w:cs="Calibri"/>
          <w:sz w:val="24"/>
          <w:szCs w:val="24"/>
          <w:lang w:eastAsia="it-IT"/>
        </w:rPr>
        <w:t>.</w:t>
      </w:r>
    </w:p>
    <w:p w14:paraId="006F516D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9DD804D" w14:textId="00EF949B" w:rsidR="00EF6711" w:rsidRPr="00EF62D3" w:rsidRDefault="002E257E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bCs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4E5A39" w:rsidRPr="00EF62D3">
        <w:rPr>
          <w:rFonts w:cs="Calibri"/>
          <w:bCs/>
          <w:sz w:val="24"/>
          <w:szCs w:val="24"/>
          <w:lang w:eastAsia="it-IT"/>
        </w:rPr>
        <w:t xml:space="preserve">, </w:t>
      </w:r>
      <w:r w:rsidR="004E5A39" w:rsidRPr="00EF62D3">
        <w:rPr>
          <w:rFonts w:cs="Calibri"/>
          <w:sz w:val="24"/>
          <w:szCs w:val="24"/>
        </w:rPr>
        <w:t>il cui c</w:t>
      </w:r>
      <w:r w:rsidR="004E5A39" w:rsidRPr="00EF62D3">
        <w:rPr>
          <w:rFonts w:cs="Calibri"/>
          <w:iCs/>
          <w:sz w:val="24"/>
          <w:szCs w:val="24"/>
        </w:rPr>
        <w:t xml:space="preserve">odice ATC è </w:t>
      </w:r>
      <w:r w:rsidR="009108BF" w:rsidRPr="00EF62D3">
        <w:rPr>
          <w:rFonts w:cs="Calibri"/>
          <w:sz w:val="24"/>
          <w:szCs w:val="24"/>
        </w:rPr>
        <w:t>B02BX05</w:t>
      </w:r>
      <w:r w:rsidR="004E5A39" w:rsidRPr="00EF62D3">
        <w:rPr>
          <w:rFonts w:eastAsia="DejaVuSans" w:cs="Calibri"/>
          <w:sz w:val="24"/>
          <w:szCs w:val="24"/>
        </w:rPr>
        <w:t>,</w:t>
      </w:r>
      <w:r w:rsidR="004E5A39" w:rsidRPr="00EF62D3">
        <w:rPr>
          <w:rFonts w:cs="Calibri"/>
          <w:bCs/>
          <w:sz w:val="24"/>
          <w:szCs w:val="24"/>
          <w:lang w:eastAsia="it-IT"/>
        </w:rPr>
        <w:t xml:space="preserve"> </w:t>
      </w:r>
      <w:r w:rsidR="004E5A39" w:rsidRPr="00EF62D3">
        <w:rPr>
          <w:rFonts w:cs="Calibri"/>
          <w:sz w:val="24"/>
          <w:szCs w:val="24"/>
          <w:lang w:eastAsia="it-IT"/>
        </w:rPr>
        <w:t xml:space="preserve">contiene </w:t>
      </w:r>
      <w:r w:rsidR="00C42AAC" w:rsidRPr="00EF62D3">
        <w:rPr>
          <w:rFonts w:cs="Calibri"/>
          <w:sz w:val="24"/>
          <w:szCs w:val="24"/>
          <w:lang w:eastAsia="it-IT"/>
        </w:rPr>
        <w:t>il</w:t>
      </w:r>
      <w:r w:rsidR="004E5A39" w:rsidRPr="00EF62D3">
        <w:rPr>
          <w:rFonts w:cs="Calibri"/>
          <w:sz w:val="24"/>
          <w:szCs w:val="24"/>
          <w:lang w:eastAsia="it-IT"/>
        </w:rPr>
        <w:t xml:space="preserve"> principi</w:t>
      </w:r>
      <w:r w:rsidR="00C42AAC" w:rsidRPr="00EF62D3">
        <w:rPr>
          <w:rFonts w:cs="Calibri"/>
          <w:sz w:val="24"/>
          <w:szCs w:val="24"/>
          <w:lang w:eastAsia="it-IT"/>
        </w:rPr>
        <w:t>o</w:t>
      </w:r>
      <w:r w:rsidR="004E5A39" w:rsidRPr="00EF62D3">
        <w:rPr>
          <w:rFonts w:cs="Calibri"/>
          <w:sz w:val="24"/>
          <w:szCs w:val="24"/>
          <w:lang w:eastAsia="it-IT"/>
        </w:rPr>
        <w:t xml:space="preserve"> attiv</w:t>
      </w:r>
      <w:r w:rsidR="00C42AAC" w:rsidRPr="00EF62D3">
        <w:rPr>
          <w:rFonts w:cs="Calibri"/>
          <w:sz w:val="24"/>
          <w:szCs w:val="24"/>
          <w:lang w:eastAsia="it-IT"/>
        </w:rPr>
        <w:t>o</w:t>
      </w:r>
      <w:r w:rsidR="004E5A39" w:rsidRPr="00EF62D3">
        <w:rPr>
          <w:rFonts w:cs="Calibri"/>
          <w:sz w:val="24"/>
          <w:szCs w:val="24"/>
          <w:lang w:eastAsia="it-IT"/>
        </w:rPr>
        <w:t xml:space="preserve"> </w:t>
      </w:r>
      <w:r w:rsidR="009108BF" w:rsidRPr="00EF62D3">
        <w:rPr>
          <w:rFonts w:cs="Calibri"/>
          <w:sz w:val="24"/>
          <w:szCs w:val="24"/>
          <w:lang w:eastAsia="it-IT"/>
        </w:rPr>
        <w:t>eltrombopag olamina</w:t>
      </w:r>
      <w:r w:rsidR="00B1186F" w:rsidRPr="00EF62D3">
        <w:rPr>
          <w:rFonts w:cs="Calibri"/>
          <w:bCs/>
          <w:sz w:val="24"/>
          <w:szCs w:val="24"/>
          <w:lang w:eastAsia="it-IT"/>
        </w:rPr>
        <w:t xml:space="preserve">, </w:t>
      </w:r>
      <w:r w:rsidR="00E138E6" w:rsidRPr="00EF62D3">
        <w:rPr>
          <w:rFonts w:cs="Calibri"/>
          <w:bCs/>
          <w:sz w:val="24"/>
          <w:szCs w:val="24"/>
          <w:lang w:eastAsia="it-IT"/>
        </w:rPr>
        <w:t xml:space="preserve">e interagisce con il dominio transmembranario del TPO-R umano ed avvia il segnale a cascata simile ma non identico a quello della TPO endogena, inducendo la proliferazione e la differenziazione dalle cellule progenitrici del midollo osseo. </w:t>
      </w:r>
      <w:r w:rsidR="00C123BC" w:rsidRPr="00EF62D3">
        <w:rPr>
          <w:rFonts w:cs="Calibri"/>
          <w:bCs/>
          <w:sz w:val="24"/>
          <w:szCs w:val="24"/>
          <w:lang w:eastAsia="it-IT"/>
        </w:rPr>
        <w:t>La trombopoietina (TPO) è la principale citochina coinvolta nella regolazione della megacariopoiesi e nella produzione di piastrine, ed è il ligante endogeno per il recettore del TPO (TPO-R).</w:t>
      </w:r>
    </w:p>
    <w:p w14:paraId="0224BF80" w14:textId="77777777" w:rsidR="006C56A1" w:rsidRPr="00EF62D3" w:rsidRDefault="006C56A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0DA24783" w14:textId="620CEE9E" w:rsidR="000B2D4A" w:rsidRPr="00EF62D3" w:rsidRDefault="002E257E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42214D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EF62D3">
        <w:rPr>
          <w:rFonts w:cs="Calibri"/>
          <w:sz w:val="24"/>
          <w:szCs w:val="24"/>
        </w:rPr>
        <w:t>è utilizzato</w:t>
      </w:r>
      <w:r w:rsidR="000B2D4A" w:rsidRPr="00EF62D3">
        <w:rPr>
          <w:rFonts w:cs="Calibri"/>
          <w:sz w:val="24"/>
          <w:szCs w:val="24"/>
        </w:rPr>
        <w:t>:</w:t>
      </w:r>
    </w:p>
    <w:p w14:paraId="3E7D5B22" w14:textId="77777777" w:rsidR="000B2D4A" w:rsidRPr="00EF62D3" w:rsidRDefault="000B2D4A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36AF5119" w14:textId="256C1CB7" w:rsidR="000B2D4A" w:rsidRPr="00EF62D3" w:rsidRDefault="000B2D4A" w:rsidP="00A61A65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Per il trattamento di pazienti adulti con trombocitopenia immune primaria (ITP) che sono refrattari ad altri trattamenti (ad esempio corticosteroidi, immunoglobuline)</w:t>
      </w:r>
      <w:r w:rsidR="006C56A1" w:rsidRPr="00EF62D3">
        <w:rPr>
          <w:rFonts w:cs="Calibri"/>
          <w:sz w:val="24"/>
          <w:szCs w:val="24"/>
        </w:rPr>
        <w:t>.</w:t>
      </w:r>
      <w:r w:rsidRPr="00EF62D3">
        <w:rPr>
          <w:rFonts w:cs="Calibri"/>
          <w:sz w:val="24"/>
          <w:szCs w:val="24"/>
        </w:rPr>
        <w:t xml:space="preserve"> </w:t>
      </w:r>
    </w:p>
    <w:p w14:paraId="7EC6F7AE" w14:textId="2FD4C506" w:rsidR="000B2D4A" w:rsidRPr="00EF62D3" w:rsidRDefault="000B2D4A" w:rsidP="000B2D4A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Per il trattamento di pazienti pediatrici di età pari o superiore a 1 anno con trombocitopenia immune primaria (ITP) della durata di almeno 6 mesi dalla diagnosi e che sono refrattari ad altri trattamenti (ad esempio corticosteroidi, immunoglobuline).</w:t>
      </w:r>
    </w:p>
    <w:p w14:paraId="7E48D7F1" w14:textId="109747E1" w:rsidR="000B2D4A" w:rsidRPr="00EF62D3" w:rsidRDefault="000B2D4A" w:rsidP="000B2D4A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In pazienti adulti affetti da infezione cronica da virus dell'epatite C (Hepatitis C virus, HCV) per il trattamento della trombocitopenia, quando il grado di trombocitopenia è il principale fattore che impedisce l’inizio o limita la possibilità di mantenere la terapia ottimale basata sull’interferone</w:t>
      </w:r>
      <w:r w:rsidR="006C56A1" w:rsidRPr="00EF62D3">
        <w:rPr>
          <w:rFonts w:cs="Calibri"/>
          <w:sz w:val="24"/>
          <w:szCs w:val="24"/>
        </w:rPr>
        <w:t>.</w:t>
      </w:r>
    </w:p>
    <w:p w14:paraId="04C23B2A" w14:textId="77777777" w:rsidR="00265B61" w:rsidRPr="00EF62D3" w:rsidRDefault="00265B6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6411CF95" w14:textId="0F4AE264" w:rsidR="0042214D" w:rsidRPr="00EF62D3" w:rsidRDefault="0042214D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La richiesta di AIC è supportata da </w:t>
      </w:r>
      <w:r w:rsidR="006C56A1" w:rsidRPr="00EF62D3">
        <w:rPr>
          <w:rFonts w:cs="Calibri"/>
          <w:sz w:val="24"/>
          <w:szCs w:val="24"/>
        </w:rPr>
        <w:t xml:space="preserve">due </w:t>
      </w:r>
      <w:r w:rsidRPr="00EF62D3">
        <w:rPr>
          <w:rFonts w:cs="Calibri"/>
          <w:sz w:val="24"/>
          <w:szCs w:val="24"/>
        </w:rPr>
        <w:t xml:space="preserve">studi di bioequivalenza che ha confrontato i profili farmacocinetici del medicinale test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 xml:space="preserve">e quelli del medicinale di riferimento </w:t>
      </w:r>
      <w:r w:rsidR="006C56A1" w:rsidRPr="00EF62D3">
        <w:rPr>
          <w:rFonts w:cs="Calibri"/>
          <w:sz w:val="24"/>
          <w:szCs w:val="24"/>
        </w:rPr>
        <w:t xml:space="preserve">Revolade </w:t>
      </w:r>
      <w:r w:rsidRPr="00EF62D3">
        <w:rPr>
          <w:rFonts w:cs="Calibri"/>
          <w:sz w:val="24"/>
          <w:szCs w:val="24"/>
        </w:rPr>
        <w:t xml:space="preserve">autorizzato in </w:t>
      </w:r>
      <w:r w:rsidR="006C56A1" w:rsidRPr="00EF62D3">
        <w:rPr>
          <w:rFonts w:cs="Calibri"/>
          <w:sz w:val="24"/>
          <w:szCs w:val="24"/>
        </w:rPr>
        <w:t>UE</w:t>
      </w:r>
      <w:r w:rsidRPr="00EF62D3">
        <w:rPr>
          <w:rFonts w:cs="Calibri"/>
          <w:sz w:val="24"/>
          <w:szCs w:val="24"/>
        </w:rPr>
        <w:t>.</w:t>
      </w:r>
    </w:p>
    <w:p w14:paraId="1A557F64" w14:textId="682E797E" w:rsidR="0042214D" w:rsidRPr="00EF62D3" w:rsidRDefault="006C56A1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Gli</w:t>
      </w:r>
      <w:r w:rsidR="0042214D" w:rsidRPr="00EF62D3">
        <w:rPr>
          <w:rFonts w:cs="Calibri"/>
          <w:sz w:val="24"/>
          <w:szCs w:val="24"/>
        </w:rPr>
        <w:t xml:space="preserve"> studi di bioequivalenza </w:t>
      </w:r>
      <w:r w:rsidRPr="00EF62D3">
        <w:rPr>
          <w:rFonts w:cs="Calibri"/>
          <w:sz w:val="24"/>
          <w:szCs w:val="24"/>
        </w:rPr>
        <w:t>sono</w:t>
      </w:r>
      <w:r w:rsidR="0042214D" w:rsidRPr="00EF62D3">
        <w:rPr>
          <w:rFonts w:cs="Calibri"/>
          <w:sz w:val="24"/>
          <w:szCs w:val="24"/>
        </w:rPr>
        <w:t xml:space="preserve"> stat</w:t>
      </w:r>
      <w:r w:rsidRPr="00EF62D3">
        <w:rPr>
          <w:rFonts w:cs="Calibri"/>
          <w:sz w:val="24"/>
          <w:szCs w:val="24"/>
        </w:rPr>
        <w:t>i</w:t>
      </w:r>
      <w:r w:rsidR="0042214D" w:rsidRPr="00EF62D3">
        <w:rPr>
          <w:rFonts w:cs="Calibri"/>
          <w:sz w:val="24"/>
          <w:szCs w:val="24"/>
        </w:rPr>
        <w:t xml:space="preserve"> condott</w:t>
      </w:r>
      <w:r w:rsidRPr="00EF62D3">
        <w:rPr>
          <w:rFonts w:cs="Calibri"/>
          <w:sz w:val="24"/>
          <w:szCs w:val="24"/>
        </w:rPr>
        <w:t>i</w:t>
      </w:r>
      <w:r w:rsidR="0042214D" w:rsidRPr="00EF62D3">
        <w:rPr>
          <w:rFonts w:cs="Calibri"/>
          <w:sz w:val="24"/>
          <w:szCs w:val="24"/>
        </w:rPr>
        <w:t xml:space="preserve"> in conformità alle linee guida di Buona Pratica Clinica (</w:t>
      </w:r>
      <w:r w:rsidR="0042214D" w:rsidRPr="00EF62D3">
        <w:rPr>
          <w:rFonts w:cs="Calibri"/>
          <w:i/>
          <w:sz w:val="24"/>
          <w:szCs w:val="24"/>
        </w:rPr>
        <w:t>Good Clinical Practice</w:t>
      </w:r>
      <w:r w:rsidR="0042214D" w:rsidRPr="00EF62D3">
        <w:rPr>
          <w:rFonts w:cs="Calibri"/>
          <w:sz w:val="24"/>
          <w:szCs w:val="24"/>
        </w:rPr>
        <w:t xml:space="preserve"> - GCP)&gt;.</w:t>
      </w:r>
    </w:p>
    <w:p w14:paraId="5D04E742" w14:textId="77777777" w:rsidR="00F964BE" w:rsidRPr="00EF62D3" w:rsidRDefault="00F964BE" w:rsidP="0042214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821D0FA" w14:textId="277472F3" w:rsidR="00983038" w:rsidRPr="00EF62D3" w:rsidRDefault="00983038" w:rsidP="0098303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Per il dosaggio da </w:t>
      </w:r>
      <w:r w:rsidR="00533529" w:rsidRPr="00EF62D3">
        <w:rPr>
          <w:rFonts w:cs="Calibri"/>
          <w:sz w:val="24"/>
          <w:szCs w:val="24"/>
        </w:rPr>
        <w:t xml:space="preserve">50 mg </w:t>
      </w:r>
      <w:r w:rsidRPr="00EF62D3">
        <w:rPr>
          <w:rFonts w:cs="Calibri"/>
          <w:sz w:val="24"/>
          <w:szCs w:val="24"/>
        </w:rPr>
        <w:t>è stata dimostrata l’equivalenza farmaceutica tramite studi comparativi di equivalenza farmaceutica in accordo alle linee guida applicabili</w:t>
      </w:r>
      <w:r w:rsidR="00533529" w:rsidRPr="00EF62D3">
        <w:rPr>
          <w:rFonts w:cs="Calibri"/>
          <w:sz w:val="24"/>
          <w:szCs w:val="24"/>
        </w:rPr>
        <w:t>.</w:t>
      </w:r>
    </w:p>
    <w:p w14:paraId="15DCC168" w14:textId="77777777" w:rsidR="00CF08A6" w:rsidRPr="00EF62D3" w:rsidRDefault="00CF08A6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0F482A7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Le officine coinvolte nella produzione sono conformi alle linee guida di Buona Pratica di Fabbricazione (</w:t>
      </w:r>
      <w:r w:rsidRPr="00EF62D3">
        <w:rPr>
          <w:rFonts w:cs="Calibri"/>
          <w:i/>
          <w:sz w:val="24"/>
          <w:szCs w:val="24"/>
        </w:rPr>
        <w:t>Good Manufacturing Practice</w:t>
      </w:r>
      <w:r w:rsidRPr="00EF62D3">
        <w:rPr>
          <w:rFonts w:cs="Calibri"/>
          <w:sz w:val="24"/>
          <w:szCs w:val="24"/>
        </w:rPr>
        <w:t xml:space="preserve"> - GMP). </w:t>
      </w:r>
    </w:p>
    <w:p w14:paraId="4F4532A2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CB45542" w14:textId="77777777" w:rsidR="00B862CA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lastRenderedPageBreak/>
        <w:t xml:space="preserve">Il sistema di Farmacovigilanza descritto dal titolare dell’AIC è conforme ai requisiti previsti dalla normativa corrente. </w:t>
      </w:r>
      <w:proofErr w:type="gramStart"/>
      <w:r w:rsidRPr="00EF62D3">
        <w:rPr>
          <w:rFonts w:cs="Calibri"/>
          <w:sz w:val="24"/>
          <w:szCs w:val="24"/>
        </w:rPr>
        <w:t>E’</w:t>
      </w:r>
      <w:proofErr w:type="gramEnd"/>
      <w:r w:rsidRPr="00EF62D3">
        <w:rPr>
          <w:rFonts w:cs="Calibri"/>
          <w:sz w:val="24"/>
          <w:szCs w:val="24"/>
        </w:rPr>
        <w:t xml:space="preserve"> stato presentato un Piano di gestione del rischio (</w:t>
      </w:r>
      <w:r w:rsidRPr="00EF62D3">
        <w:rPr>
          <w:rFonts w:cs="Calibri"/>
          <w:i/>
          <w:sz w:val="24"/>
          <w:szCs w:val="24"/>
        </w:rPr>
        <w:t>Risk Management Plan</w:t>
      </w:r>
      <w:r w:rsidRPr="00EF62D3">
        <w:rPr>
          <w:rFonts w:cs="Calibri"/>
          <w:sz w:val="24"/>
          <w:szCs w:val="24"/>
        </w:rPr>
        <w:t xml:space="preserve"> – RMP) accettabile.</w:t>
      </w:r>
      <w:r w:rsidR="00F964BE" w:rsidRPr="00EF62D3">
        <w:rPr>
          <w:rFonts w:cs="Calibri"/>
          <w:sz w:val="24"/>
          <w:szCs w:val="24"/>
        </w:rPr>
        <w:t xml:space="preserve"> </w:t>
      </w:r>
    </w:p>
    <w:p w14:paraId="765F316D" w14:textId="77777777" w:rsidR="009F584E" w:rsidRPr="00EF62D3" w:rsidRDefault="009F584E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6C91F4F" w14:textId="7149176C" w:rsidR="00A046AC" w:rsidRPr="00EF62D3" w:rsidRDefault="00A046AC" w:rsidP="00A046A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Il titolare di AIC ha presentato una adeguata documentazione relativa alla valutazione del rischio ambientale </w:t>
      </w:r>
      <w:r w:rsidRPr="00EF62D3">
        <w:rPr>
          <w:rFonts w:cs="Calibri"/>
          <w:color w:val="000000"/>
          <w:sz w:val="24"/>
          <w:szCs w:val="24"/>
          <w:lang w:eastAsia="it-IT"/>
        </w:rPr>
        <w:t>da cui si evince c</w:t>
      </w:r>
      <w:r w:rsidR="004F343B" w:rsidRPr="00EF62D3">
        <w:rPr>
          <w:rFonts w:cs="Calibri"/>
          <w:color w:val="000000"/>
          <w:sz w:val="24"/>
          <w:szCs w:val="24"/>
          <w:lang w:eastAsia="it-IT"/>
        </w:rPr>
        <w:t>he l’immissione in commercio di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contenente </w:t>
      </w:r>
      <w:r w:rsidR="00431962" w:rsidRPr="00EF62D3">
        <w:rPr>
          <w:rFonts w:cs="Calibri"/>
          <w:color w:val="000000"/>
          <w:sz w:val="24"/>
          <w:szCs w:val="24"/>
          <w:lang w:eastAsia="it-IT"/>
        </w:rPr>
        <w:t>Eltrombopag</w:t>
      </w:r>
      <w:r w:rsidR="00A03645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nella formulazione proposta non comporta rischi per l’ambiente. </w:t>
      </w:r>
    </w:p>
    <w:p w14:paraId="3CC2D08C" w14:textId="77777777" w:rsidR="00A046AC" w:rsidRPr="00EF62D3" w:rsidRDefault="00A046AC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8C76334" w14:textId="77777777" w:rsidR="00747E46" w:rsidRPr="00EF62D3" w:rsidRDefault="00747E46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4357B49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DI QUALITA’</w:t>
      </w:r>
    </w:p>
    <w:p w14:paraId="02C77E9C" w14:textId="64647B57" w:rsidR="00CC52A3" w:rsidRPr="00EF62D3" w:rsidRDefault="00CC52A3" w:rsidP="00EF6711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</w:p>
    <w:p w14:paraId="3A50C70B" w14:textId="1B848CD2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 xml:space="preserve">II.1 PRINCIPIO ATTIVO </w:t>
      </w:r>
    </w:p>
    <w:p w14:paraId="47F0B675" w14:textId="11F4608C" w:rsidR="004E5A39" w:rsidRPr="00EF62D3" w:rsidRDefault="00B51571" w:rsidP="00CC52A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u w:val="single"/>
        </w:rPr>
        <w:t>Denominazione</w:t>
      </w:r>
      <w:r w:rsidR="004E5A39" w:rsidRPr="00EF62D3">
        <w:rPr>
          <w:rFonts w:cs="Calibri"/>
          <w:sz w:val="24"/>
          <w:szCs w:val="24"/>
          <w:u w:val="single"/>
        </w:rPr>
        <w:t xml:space="preserve"> chimic</w:t>
      </w:r>
      <w:r w:rsidR="00B61590" w:rsidRPr="00EF62D3">
        <w:rPr>
          <w:rFonts w:cs="Calibri"/>
          <w:sz w:val="24"/>
          <w:szCs w:val="24"/>
          <w:u w:val="single"/>
        </w:rPr>
        <w:t>a: (Z)-3'-(2-(1-(3,4-</w:t>
      </w:r>
      <w:proofErr w:type="gramStart"/>
      <w:r w:rsidR="00B61590" w:rsidRPr="00EF62D3">
        <w:rPr>
          <w:rFonts w:cs="Calibri"/>
          <w:sz w:val="24"/>
          <w:szCs w:val="24"/>
          <w:u w:val="single"/>
        </w:rPr>
        <w:t>dimethylphenyl)-</w:t>
      </w:r>
      <w:proofErr w:type="gramEnd"/>
      <w:r w:rsidR="00B61590" w:rsidRPr="00EF62D3">
        <w:rPr>
          <w:rFonts w:cs="Calibri"/>
          <w:sz w:val="24"/>
          <w:szCs w:val="24"/>
          <w:u w:val="single"/>
        </w:rPr>
        <w:t>3-methyl-5-oxo-1,5-dihydro-4H-pyrazol-4-ylidene)hydrazinyl)-2'-hydroxy-[1,1'-biphenyl]-3-carboxylic acid;2-aminoethan-1-ol (1:2)</w:t>
      </w:r>
    </w:p>
    <w:p w14:paraId="78947F97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u w:val="single"/>
        </w:rPr>
        <w:t>Struttura</w:t>
      </w:r>
      <w:r w:rsidRPr="00EF62D3">
        <w:rPr>
          <w:rFonts w:cs="Calibri"/>
          <w:sz w:val="24"/>
          <w:szCs w:val="24"/>
        </w:rPr>
        <w:t>:</w:t>
      </w:r>
    </w:p>
    <w:p w14:paraId="5016270F" w14:textId="55BA7E81" w:rsidR="004E5A39" w:rsidRDefault="00593553" w:rsidP="00EF6711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EF62D3">
        <w:rPr>
          <w:noProof/>
          <w:lang w:eastAsia="it-IT"/>
        </w:rPr>
        <w:drawing>
          <wp:inline distT="0" distB="0" distL="0" distR="0" wp14:anchorId="6E94033C" wp14:editId="3F4D15F9">
            <wp:extent cx="2781300" cy="1781175"/>
            <wp:effectExtent l="0" t="0" r="0" b="9525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A7BC" w14:textId="77777777" w:rsidR="00950EC3" w:rsidRPr="00EF62D3" w:rsidRDefault="00950EC3" w:rsidP="00950EC3">
      <w:pPr>
        <w:spacing w:after="0" w:line="240" w:lineRule="auto"/>
        <w:rPr>
          <w:rFonts w:cs="Calibri"/>
          <w:sz w:val="24"/>
          <w:szCs w:val="24"/>
        </w:rPr>
      </w:pPr>
    </w:p>
    <w:p w14:paraId="7CE55B5D" w14:textId="0C5C3385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u w:val="single"/>
        </w:rPr>
        <w:t>Formula molecolare</w:t>
      </w:r>
      <w:r w:rsidRPr="00EF62D3">
        <w:rPr>
          <w:rFonts w:cs="Calibri"/>
          <w:sz w:val="24"/>
          <w:szCs w:val="24"/>
        </w:rPr>
        <w:t>:</w:t>
      </w:r>
      <w:r w:rsidRPr="00EF62D3">
        <w:rPr>
          <w:rStyle w:val="s1"/>
          <w:rFonts w:ascii="Calibri" w:hAnsi="Calibri" w:cs="Calibri"/>
          <w:sz w:val="24"/>
          <w:szCs w:val="24"/>
        </w:rPr>
        <w:t xml:space="preserve"> </w:t>
      </w:r>
      <w:r w:rsidR="00396139" w:rsidRPr="00EF62D3">
        <w:t>C</w:t>
      </w:r>
      <w:r w:rsidR="00396139" w:rsidRPr="00EF62D3">
        <w:rPr>
          <w:vertAlign w:val="subscript"/>
        </w:rPr>
        <w:t>29</w:t>
      </w:r>
      <w:r w:rsidR="00396139" w:rsidRPr="00EF62D3">
        <w:t>H</w:t>
      </w:r>
      <w:r w:rsidR="00396139" w:rsidRPr="00EF62D3">
        <w:rPr>
          <w:vertAlign w:val="subscript"/>
        </w:rPr>
        <w:t>36</w:t>
      </w:r>
      <w:r w:rsidR="00396139" w:rsidRPr="00EF62D3">
        <w:t>N</w:t>
      </w:r>
      <w:r w:rsidR="00396139" w:rsidRPr="00EF62D3">
        <w:rPr>
          <w:vertAlign w:val="subscript"/>
        </w:rPr>
        <w:t>6</w:t>
      </w:r>
      <w:r w:rsidR="00396139" w:rsidRPr="00EF62D3">
        <w:t>O</w:t>
      </w:r>
      <w:r w:rsidR="00396139" w:rsidRPr="00EF62D3">
        <w:rPr>
          <w:vertAlign w:val="subscript"/>
        </w:rPr>
        <w:t>6</w:t>
      </w:r>
    </w:p>
    <w:p w14:paraId="05EEF4BA" w14:textId="53E2D355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u w:val="single"/>
        </w:rPr>
        <w:t>Peso molecolare</w:t>
      </w:r>
      <w:r w:rsidRPr="00EF62D3">
        <w:rPr>
          <w:rFonts w:cs="Calibri"/>
          <w:sz w:val="24"/>
          <w:szCs w:val="24"/>
        </w:rPr>
        <w:t>:</w:t>
      </w:r>
      <w:r w:rsidRPr="00EF62D3">
        <w:rPr>
          <w:rFonts w:cs="Calibri"/>
          <w:color w:val="252525"/>
          <w:sz w:val="24"/>
          <w:szCs w:val="24"/>
          <w:shd w:val="clear" w:color="auto" w:fill="F9F9F9"/>
        </w:rPr>
        <w:t xml:space="preserve"> </w:t>
      </w:r>
      <w:r w:rsidR="00326DCA" w:rsidRPr="00EF62D3">
        <w:rPr>
          <w:rFonts w:cs="Calibri"/>
          <w:sz w:val="24"/>
          <w:szCs w:val="24"/>
        </w:rPr>
        <w:t xml:space="preserve">564.63 </w:t>
      </w:r>
      <w:r w:rsidRPr="00EF62D3">
        <w:rPr>
          <w:rStyle w:val="s1"/>
          <w:rFonts w:ascii="Calibri" w:hAnsi="Calibri" w:cs="Calibri"/>
          <w:sz w:val="24"/>
          <w:szCs w:val="24"/>
        </w:rPr>
        <w:t>g/mol</w:t>
      </w:r>
    </w:p>
    <w:p w14:paraId="3B2F3373" w14:textId="65878EF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u w:val="single"/>
        </w:rPr>
        <w:t>CAS</w:t>
      </w:r>
      <w:r w:rsidRPr="00EF62D3">
        <w:rPr>
          <w:rFonts w:cs="Calibri"/>
          <w:sz w:val="24"/>
          <w:szCs w:val="24"/>
        </w:rPr>
        <w:t xml:space="preserve">: </w:t>
      </w:r>
      <w:r w:rsidR="00CC52A3" w:rsidRPr="00EF62D3">
        <w:rPr>
          <w:rFonts w:cs="Calibri"/>
          <w:sz w:val="24"/>
          <w:szCs w:val="24"/>
        </w:rPr>
        <w:t>[</w:t>
      </w:r>
      <w:r w:rsidR="00401F2D" w:rsidRPr="00EF62D3">
        <w:rPr>
          <w:rFonts w:cs="Calibri"/>
          <w:sz w:val="24"/>
          <w:szCs w:val="24"/>
        </w:rPr>
        <w:t>496775-62-3</w:t>
      </w:r>
      <w:r w:rsidR="00CC52A3" w:rsidRPr="00EF62D3">
        <w:rPr>
          <w:rFonts w:cs="Calibri"/>
          <w:sz w:val="24"/>
          <w:szCs w:val="24"/>
        </w:rPr>
        <w:t>]</w:t>
      </w:r>
    </w:p>
    <w:p w14:paraId="1CD59F3E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5DBF915" w14:textId="36402EFB" w:rsidR="00265B61" w:rsidRPr="00EF62D3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Il principio attivo non è presente in Farmacopea Europea; il produttore ha presentato </w:t>
      </w:r>
      <w:r w:rsidR="00435039" w:rsidRPr="00EF62D3">
        <w:rPr>
          <w:rFonts w:cs="Calibri"/>
          <w:sz w:val="24"/>
          <w:szCs w:val="24"/>
        </w:rPr>
        <w:t>la documentazione sotto forma di Active Substance Master File</w:t>
      </w:r>
      <w:r w:rsidRPr="00EF62D3">
        <w:rPr>
          <w:rFonts w:cs="Calibri"/>
          <w:sz w:val="24"/>
          <w:szCs w:val="24"/>
        </w:rPr>
        <w:t xml:space="preserve"> </w:t>
      </w:r>
      <w:r w:rsidR="00435039" w:rsidRPr="00EF62D3">
        <w:rPr>
          <w:rFonts w:cs="Calibri"/>
          <w:sz w:val="24"/>
          <w:szCs w:val="24"/>
        </w:rPr>
        <w:t>(</w:t>
      </w:r>
      <w:r w:rsidRPr="00EF62D3">
        <w:rPr>
          <w:rFonts w:cs="Calibri"/>
          <w:sz w:val="24"/>
          <w:szCs w:val="24"/>
        </w:rPr>
        <w:t>ASMF</w:t>
      </w:r>
      <w:r w:rsidR="00435039" w:rsidRPr="00EF62D3">
        <w:rPr>
          <w:rFonts w:cs="Calibri"/>
          <w:sz w:val="24"/>
          <w:szCs w:val="24"/>
        </w:rPr>
        <w:t>).</w:t>
      </w:r>
    </w:p>
    <w:p w14:paraId="02EF6CAE" w14:textId="77777777" w:rsidR="00265B61" w:rsidRPr="00EF62D3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La sintesi del principio attivo è stata adeguatamente descritta a partire da idonei materiali di partenza; sono utilizzati appropriati controlli di processo e intermedi di sintesi.</w:t>
      </w:r>
    </w:p>
    <w:p w14:paraId="3628FEB7" w14:textId="77777777" w:rsidR="00265B61" w:rsidRPr="00EF62D3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5DC09277" w14:textId="77777777" w:rsidR="00265B61" w:rsidRPr="00EF62D3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FBFC3DC" w14:textId="77777777" w:rsidR="00265B61" w:rsidRPr="00EF62D3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Sono stati forniti adeguati studi di stabilità per il principio attivo</w:t>
      </w:r>
      <w:r w:rsidR="00435039" w:rsidRPr="00EF62D3">
        <w:rPr>
          <w:rFonts w:cs="Calibri"/>
          <w:sz w:val="24"/>
          <w:szCs w:val="24"/>
        </w:rPr>
        <w:t>.</w:t>
      </w:r>
      <w:r w:rsidRPr="00EF62D3">
        <w:rPr>
          <w:rFonts w:cs="Calibri"/>
          <w:sz w:val="24"/>
          <w:szCs w:val="24"/>
        </w:rPr>
        <w:t xml:space="preserve"> </w:t>
      </w:r>
    </w:p>
    <w:p w14:paraId="62982ECF" w14:textId="77777777" w:rsidR="000B7AC8" w:rsidRPr="00EF62D3" w:rsidRDefault="000B7AC8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3489BA3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II.2 PRODOTTO FINITO</w:t>
      </w:r>
    </w:p>
    <w:p w14:paraId="138766ED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Descrizione e composizione</w:t>
      </w:r>
    </w:p>
    <w:p w14:paraId="4C845A1B" w14:textId="1737CFB8" w:rsidR="004E5A39" w:rsidRPr="00EF62D3" w:rsidRDefault="002E257E" w:rsidP="00EF6711">
      <w:pPr>
        <w:widowControl w:val="0"/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0B7AC8" w:rsidRPr="00EF62D3">
        <w:rPr>
          <w:rFonts w:cs="Calibri"/>
          <w:color w:val="000000"/>
          <w:sz w:val="24"/>
          <w:szCs w:val="24"/>
          <w:lang w:eastAsia="it-IT"/>
        </w:rPr>
        <w:t xml:space="preserve"> è disponibile in </w:t>
      </w:r>
      <w:r w:rsidR="002D2807" w:rsidRPr="00EF62D3">
        <w:rPr>
          <w:rFonts w:cs="Calibri"/>
          <w:color w:val="000000"/>
          <w:sz w:val="24"/>
          <w:szCs w:val="24"/>
          <w:lang w:eastAsia="it-IT"/>
        </w:rPr>
        <w:t>compresse rivestite con film, nei dosaggi 25 mg e 50 mg.</w:t>
      </w:r>
      <w:r w:rsidR="004E5A39" w:rsidRPr="00EF62D3">
        <w:rPr>
          <w:rFonts w:cs="Calibri"/>
          <w:sz w:val="24"/>
          <w:szCs w:val="24"/>
        </w:rPr>
        <w:t xml:space="preserve"> </w:t>
      </w:r>
    </w:p>
    <w:p w14:paraId="0C819DA5" w14:textId="1A0D6A44" w:rsidR="00B30431" w:rsidRPr="00EF62D3" w:rsidRDefault="004E5A39" w:rsidP="005772E7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EF62D3">
        <w:rPr>
          <w:rFonts w:cs="Calibri"/>
          <w:sz w:val="24"/>
          <w:szCs w:val="24"/>
        </w:rPr>
        <w:t>Gli eccipienti sono</w:t>
      </w:r>
      <w:r w:rsidR="000027A4" w:rsidRPr="00EF62D3">
        <w:rPr>
          <w:rFonts w:cs="Calibri"/>
          <w:sz w:val="24"/>
          <w:szCs w:val="24"/>
        </w:rPr>
        <w:t>: Cellulosa microcristallina, Mannitolo, Povidone K29/32, Cellulosa microcristallina</w:t>
      </w:r>
      <w:r w:rsidR="00516966" w:rsidRPr="00EF62D3">
        <w:rPr>
          <w:rFonts w:cs="Calibri"/>
          <w:sz w:val="24"/>
          <w:szCs w:val="24"/>
        </w:rPr>
        <w:t xml:space="preserve">, </w:t>
      </w:r>
      <w:r w:rsidR="000027A4" w:rsidRPr="00EF62D3">
        <w:rPr>
          <w:rFonts w:cs="Calibri"/>
          <w:sz w:val="24"/>
          <w:szCs w:val="24"/>
        </w:rPr>
        <w:t>Sodio amido glicolato (Tipo B)</w:t>
      </w:r>
      <w:r w:rsidR="00516966" w:rsidRPr="00EF62D3">
        <w:rPr>
          <w:rFonts w:cs="Calibri"/>
          <w:sz w:val="24"/>
          <w:szCs w:val="24"/>
        </w:rPr>
        <w:t xml:space="preserve">, </w:t>
      </w:r>
      <w:r w:rsidR="000027A4" w:rsidRPr="00EF62D3">
        <w:rPr>
          <w:rFonts w:cs="Calibri"/>
          <w:sz w:val="24"/>
          <w:szCs w:val="24"/>
        </w:rPr>
        <w:t>Silice colloidale anidra</w:t>
      </w:r>
      <w:r w:rsidR="00516966" w:rsidRPr="00EF62D3">
        <w:rPr>
          <w:rFonts w:cs="Calibri"/>
          <w:sz w:val="24"/>
          <w:szCs w:val="24"/>
        </w:rPr>
        <w:t xml:space="preserve">, </w:t>
      </w:r>
      <w:r w:rsidR="000027A4" w:rsidRPr="00EF62D3">
        <w:rPr>
          <w:rFonts w:cs="Calibri"/>
          <w:sz w:val="24"/>
          <w:szCs w:val="24"/>
        </w:rPr>
        <w:t>Talco (E553b)</w:t>
      </w:r>
      <w:r w:rsidR="00516966" w:rsidRPr="00EF62D3">
        <w:rPr>
          <w:rFonts w:cs="Calibri"/>
          <w:sz w:val="24"/>
          <w:szCs w:val="24"/>
        </w:rPr>
        <w:t xml:space="preserve">, </w:t>
      </w:r>
      <w:r w:rsidR="000027A4" w:rsidRPr="00EF62D3">
        <w:rPr>
          <w:rFonts w:cs="Calibri"/>
          <w:sz w:val="24"/>
          <w:szCs w:val="24"/>
        </w:rPr>
        <w:t>Magnesio stearato</w:t>
      </w:r>
      <w:r w:rsidR="005772E7" w:rsidRPr="00EF62D3">
        <w:rPr>
          <w:rFonts w:cs="Calibri"/>
          <w:sz w:val="24"/>
          <w:szCs w:val="24"/>
        </w:rPr>
        <w:t>, Ipromellosa</w:t>
      </w:r>
      <w:r w:rsidR="00991F75" w:rsidRPr="00EF62D3">
        <w:rPr>
          <w:rFonts w:cs="Calibri"/>
          <w:sz w:val="24"/>
          <w:szCs w:val="24"/>
        </w:rPr>
        <w:t xml:space="preserve">, </w:t>
      </w:r>
      <w:r w:rsidR="005772E7" w:rsidRPr="00EF62D3">
        <w:rPr>
          <w:rFonts w:cs="Calibri"/>
          <w:sz w:val="24"/>
          <w:szCs w:val="24"/>
        </w:rPr>
        <w:t>Titanio diossido</w:t>
      </w:r>
      <w:r w:rsidR="00991F75" w:rsidRPr="00EF62D3">
        <w:rPr>
          <w:rFonts w:cs="Calibri"/>
          <w:sz w:val="24"/>
          <w:szCs w:val="24"/>
        </w:rPr>
        <w:t xml:space="preserve">, </w:t>
      </w:r>
      <w:r w:rsidR="005772E7" w:rsidRPr="00EF62D3">
        <w:rPr>
          <w:rFonts w:cs="Calibri"/>
          <w:sz w:val="24"/>
          <w:szCs w:val="24"/>
        </w:rPr>
        <w:t>Macrogol</w:t>
      </w:r>
      <w:r w:rsidR="00991F75" w:rsidRPr="00EF62D3">
        <w:rPr>
          <w:rFonts w:cs="Calibri"/>
          <w:sz w:val="24"/>
          <w:szCs w:val="24"/>
        </w:rPr>
        <w:t xml:space="preserve">, </w:t>
      </w:r>
      <w:r w:rsidR="005772E7" w:rsidRPr="00EF62D3">
        <w:rPr>
          <w:rFonts w:cs="Calibri"/>
          <w:sz w:val="24"/>
          <w:szCs w:val="24"/>
        </w:rPr>
        <w:t>Ossido di ferro giallo</w:t>
      </w:r>
      <w:r w:rsidR="00991F75" w:rsidRPr="00EF62D3">
        <w:rPr>
          <w:rFonts w:cs="Calibri"/>
          <w:sz w:val="24"/>
          <w:szCs w:val="24"/>
        </w:rPr>
        <w:t xml:space="preserve">, </w:t>
      </w:r>
      <w:r w:rsidR="005772E7" w:rsidRPr="00EF62D3">
        <w:rPr>
          <w:rFonts w:cs="Calibri"/>
          <w:sz w:val="24"/>
          <w:szCs w:val="24"/>
        </w:rPr>
        <w:t>Ossido di ferro rosso</w:t>
      </w:r>
      <w:r w:rsidR="00991F75" w:rsidRPr="00EF62D3">
        <w:rPr>
          <w:rFonts w:cs="Calibri"/>
          <w:sz w:val="24"/>
          <w:szCs w:val="24"/>
        </w:rPr>
        <w:t>.</w:t>
      </w:r>
    </w:p>
    <w:p w14:paraId="638982A1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D654377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Sviluppo farmaceutico</w:t>
      </w:r>
    </w:p>
    <w:p w14:paraId="20D9F211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Sono stati forniti dettagli dello sviluppo farmaceutico e questi sono stati ritenuti soddisfacenti.</w:t>
      </w:r>
    </w:p>
    <w:p w14:paraId="642834BD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57C2A32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 xml:space="preserve">Produzione </w:t>
      </w:r>
    </w:p>
    <w:p w14:paraId="376BC3D0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Sono stati forniti una descrizione del metodo di produzione e la relativa flow-chart.</w:t>
      </w:r>
    </w:p>
    <w:p w14:paraId="3C43E1F2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133FE386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50840A8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Specifiche del prodotto finito</w:t>
      </w:r>
    </w:p>
    <w:p w14:paraId="78A5309D" w14:textId="7CDAF4DC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EF62D3">
        <w:rPr>
          <w:rFonts w:cs="Calibri"/>
          <w:sz w:val="24"/>
          <w:szCs w:val="24"/>
        </w:rPr>
        <w:t>il</w:t>
      </w:r>
      <w:r w:rsidRPr="00EF62D3">
        <w:rPr>
          <w:rFonts w:cs="Calibri"/>
          <w:sz w:val="24"/>
          <w:szCs w:val="24"/>
        </w:rPr>
        <w:t xml:space="preserve"> prodotto finito</w:t>
      </w:r>
      <w:r w:rsidR="00165D07" w:rsidRPr="00EF62D3">
        <w:rPr>
          <w:rFonts w:cs="Calibri"/>
          <w:sz w:val="24"/>
          <w:szCs w:val="24"/>
        </w:rPr>
        <w:t xml:space="preserve"> </w:t>
      </w:r>
      <w:r w:rsidR="000808A3" w:rsidRPr="00EF62D3">
        <w:rPr>
          <w:rFonts w:cs="Calibri"/>
          <w:sz w:val="24"/>
          <w:szCs w:val="24"/>
        </w:rPr>
        <w:t>per i diversi dosaggi del prodott</w:t>
      </w:r>
      <w:r w:rsidR="008767B9" w:rsidRPr="00EF62D3">
        <w:rPr>
          <w:rFonts w:cs="Calibri"/>
          <w:sz w:val="24"/>
          <w:szCs w:val="24"/>
        </w:rPr>
        <w:t>o</w:t>
      </w:r>
      <w:r w:rsidR="000808A3" w:rsidRPr="00EF62D3">
        <w:rPr>
          <w:rFonts w:cs="Calibri"/>
          <w:sz w:val="24"/>
          <w:szCs w:val="24"/>
        </w:rPr>
        <w:t xml:space="preserve"> finito</w:t>
      </w:r>
      <w:r w:rsidRPr="00EF62D3">
        <w:rPr>
          <w:rFonts w:cs="Calibri"/>
          <w:sz w:val="24"/>
          <w:szCs w:val="24"/>
        </w:rPr>
        <w:t xml:space="preserve">: questi dati dimostrano che i lotti prodotti sono in accordo alle specifiche proposte. Sono stati forniti, infine, </w:t>
      </w:r>
      <w:r w:rsidR="00F44B8C" w:rsidRPr="00EF62D3">
        <w:rPr>
          <w:rFonts w:cs="Calibri"/>
          <w:sz w:val="24"/>
          <w:szCs w:val="24"/>
        </w:rPr>
        <w:t>dati adeguati</w:t>
      </w:r>
      <w:r w:rsidRPr="00EF62D3">
        <w:rPr>
          <w:rFonts w:cs="Calibri"/>
          <w:sz w:val="24"/>
          <w:szCs w:val="24"/>
        </w:rPr>
        <w:t xml:space="preserve"> per </w:t>
      </w:r>
      <w:r w:rsidR="00F44B8C" w:rsidRPr="00EF62D3">
        <w:rPr>
          <w:rFonts w:cs="Calibri"/>
          <w:sz w:val="24"/>
          <w:szCs w:val="24"/>
        </w:rPr>
        <w:t>la qualità de</w:t>
      </w:r>
      <w:r w:rsidRPr="00EF62D3">
        <w:rPr>
          <w:rFonts w:cs="Calibri"/>
          <w:sz w:val="24"/>
          <w:szCs w:val="24"/>
        </w:rPr>
        <w:t>gli standard di riferimento utilizzati.</w:t>
      </w:r>
    </w:p>
    <w:p w14:paraId="7446F117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609BFB83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Contenitore</w:t>
      </w:r>
    </w:p>
    <w:p w14:paraId="542BBA0C" w14:textId="77777777" w:rsidR="00C05CC0" w:rsidRPr="00EF62D3" w:rsidRDefault="002E257E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0808A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F62D3">
        <w:rPr>
          <w:rFonts w:cs="Calibri"/>
          <w:sz w:val="24"/>
          <w:szCs w:val="24"/>
        </w:rPr>
        <w:t xml:space="preserve">è confezionato in </w:t>
      </w:r>
      <w:r w:rsidR="00C05CC0" w:rsidRPr="00EF62D3">
        <w:rPr>
          <w:rFonts w:cs="Calibri"/>
          <w:sz w:val="24"/>
          <w:szCs w:val="24"/>
        </w:rPr>
        <w:t>Blister di alluminio (OPA/Alu/PVC) con foglio di alluminio a pressione contenente 28 compresse rivestite con film.</w:t>
      </w:r>
    </w:p>
    <w:p w14:paraId="0FD650EE" w14:textId="5CE18EAF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Sono state fornite </w:t>
      </w:r>
      <w:r w:rsidR="00F44B8C" w:rsidRPr="00EF62D3">
        <w:rPr>
          <w:rFonts w:cs="Calibri"/>
          <w:sz w:val="24"/>
          <w:szCs w:val="24"/>
        </w:rPr>
        <w:t xml:space="preserve">adeguate informazioni relative al </w:t>
      </w:r>
      <w:r w:rsidRPr="00EF62D3">
        <w:rPr>
          <w:rFonts w:cs="Calibri"/>
          <w:sz w:val="24"/>
          <w:szCs w:val="24"/>
        </w:rPr>
        <w:t>confezionamento primario.</w:t>
      </w:r>
    </w:p>
    <w:p w14:paraId="02415DBA" w14:textId="77777777" w:rsidR="00BA0ACD" w:rsidRPr="00EF62D3" w:rsidRDefault="00BA0ACD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0B54AD1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Stabilità</w:t>
      </w:r>
    </w:p>
    <w:p w14:paraId="6603E7C7" w14:textId="4725E3CC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C05CC0" w:rsidRPr="00EF62D3">
        <w:rPr>
          <w:rFonts w:cs="Calibri"/>
          <w:sz w:val="24"/>
          <w:szCs w:val="24"/>
        </w:rPr>
        <w:t>2</w:t>
      </w:r>
      <w:r w:rsidR="00265B61" w:rsidRPr="00EF62D3">
        <w:rPr>
          <w:rFonts w:cs="Calibri"/>
          <w:sz w:val="24"/>
          <w:szCs w:val="24"/>
        </w:rPr>
        <w:t xml:space="preserve"> anni</w:t>
      </w:r>
      <w:r w:rsidR="00904996" w:rsidRPr="00EF62D3">
        <w:rPr>
          <w:rFonts w:cs="Calibri"/>
          <w:sz w:val="24"/>
          <w:szCs w:val="24"/>
        </w:rPr>
        <w:t xml:space="preserve">, </w:t>
      </w:r>
      <w:r w:rsidR="000808A3" w:rsidRPr="00EF62D3">
        <w:rPr>
          <w:rFonts w:cs="Calibri"/>
          <w:sz w:val="24"/>
          <w:szCs w:val="24"/>
        </w:rPr>
        <w:t>al riparo dalla luce</w:t>
      </w:r>
      <w:r w:rsidR="00904996" w:rsidRPr="00EF62D3">
        <w:rPr>
          <w:rFonts w:cs="Calibri"/>
          <w:sz w:val="24"/>
          <w:szCs w:val="24"/>
        </w:rPr>
        <w:t>.</w:t>
      </w:r>
    </w:p>
    <w:p w14:paraId="3EDFA272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467D17F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II.3</w:t>
      </w:r>
      <w:r w:rsidR="00AC3E39" w:rsidRPr="00EF62D3">
        <w:rPr>
          <w:rFonts w:cs="Calibri"/>
          <w:b/>
          <w:sz w:val="24"/>
          <w:szCs w:val="24"/>
        </w:rPr>
        <w:t xml:space="preserve"> </w:t>
      </w:r>
      <w:r w:rsidRPr="00EF62D3">
        <w:rPr>
          <w:rFonts w:cs="Calibri"/>
          <w:b/>
          <w:sz w:val="24"/>
          <w:szCs w:val="24"/>
        </w:rPr>
        <w:t>Discussione sugli aspetti di qualità</w:t>
      </w:r>
    </w:p>
    <w:p w14:paraId="3DDCC60F" w14:textId="20663FA8" w:rsidR="004E5A39" w:rsidRPr="00EF62D3" w:rsidRDefault="00F44B8C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L</w:t>
      </w:r>
      <w:r w:rsidR="004E5A39" w:rsidRPr="00EF62D3">
        <w:rPr>
          <w:rFonts w:cs="Calibri"/>
          <w:sz w:val="24"/>
          <w:szCs w:val="24"/>
        </w:rPr>
        <w:t xml:space="preserve">a qualità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0808A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F62D3">
        <w:rPr>
          <w:rFonts w:cs="Calibri"/>
          <w:sz w:val="24"/>
          <w:szCs w:val="24"/>
        </w:rPr>
        <w:t xml:space="preserve">è considerata adeguata. </w:t>
      </w:r>
      <w:r w:rsidR="00E42578" w:rsidRPr="00EF62D3">
        <w:rPr>
          <w:rFonts w:cs="Calibri"/>
          <w:sz w:val="24"/>
          <w:szCs w:val="24"/>
        </w:rPr>
        <w:t>Pertanto</w:t>
      </w:r>
      <w:r w:rsidR="009F395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F62D3">
        <w:rPr>
          <w:rFonts w:cs="Calibri"/>
          <w:sz w:val="24"/>
          <w:szCs w:val="24"/>
        </w:rPr>
        <w:t>dal punto di vista chimico-farmaceutico</w:t>
      </w:r>
      <w:r w:rsidR="00610BAB" w:rsidRPr="00EF62D3">
        <w:rPr>
          <w:rFonts w:cs="Calibri"/>
          <w:sz w:val="24"/>
          <w:szCs w:val="24"/>
        </w:rPr>
        <w:t xml:space="preserve">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323648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610BAB" w:rsidRPr="00EF62D3">
        <w:rPr>
          <w:rFonts w:cs="Calibri"/>
          <w:sz w:val="24"/>
          <w:szCs w:val="24"/>
        </w:rPr>
        <w:t>è stato considerato accettabile per l’autorizzazione all’immissione in commercio</w:t>
      </w:r>
      <w:r w:rsidR="004E5A39" w:rsidRPr="00EF62D3">
        <w:rPr>
          <w:rFonts w:cs="Calibri"/>
          <w:sz w:val="24"/>
          <w:szCs w:val="24"/>
        </w:rPr>
        <w:t>.</w:t>
      </w:r>
      <w:r w:rsidR="00323648" w:rsidRPr="00EF62D3">
        <w:rPr>
          <w:rFonts w:cs="Calibri"/>
          <w:sz w:val="24"/>
          <w:szCs w:val="24"/>
        </w:rPr>
        <w:t xml:space="preserve"> </w:t>
      </w:r>
    </w:p>
    <w:p w14:paraId="59A70DE1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8CC682C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4C54E5A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NON CLINICI</w:t>
      </w:r>
    </w:p>
    <w:p w14:paraId="44BBA893" w14:textId="195522CD" w:rsidR="009F584E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Non sono stati </w:t>
      </w:r>
      <w:r w:rsidR="00F27C7F" w:rsidRPr="00EF62D3">
        <w:rPr>
          <w:rFonts w:cs="Calibri"/>
          <w:sz w:val="24"/>
          <w:szCs w:val="24"/>
        </w:rPr>
        <w:t>presentati nuovi</w:t>
      </w:r>
      <w:r w:rsidRPr="00EF62D3">
        <w:rPr>
          <w:rFonts w:cs="Calibri"/>
          <w:sz w:val="24"/>
          <w:szCs w:val="24"/>
        </w:rPr>
        <w:t xml:space="preserve"> studi non clinici, in quanto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9F395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contiene principi attiv</w:t>
      </w:r>
      <w:r w:rsidR="00853EC6" w:rsidRPr="00EF62D3">
        <w:rPr>
          <w:rFonts w:cs="Calibri"/>
          <w:sz w:val="24"/>
          <w:szCs w:val="24"/>
        </w:rPr>
        <w:t>i</w:t>
      </w:r>
      <w:r w:rsidRPr="00EF62D3">
        <w:rPr>
          <w:rFonts w:cs="Calibri"/>
          <w:sz w:val="24"/>
          <w:szCs w:val="24"/>
        </w:rPr>
        <w:t xml:space="preserve"> not</w:t>
      </w:r>
      <w:r w:rsidR="00853EC6" w:rsidRPr="00EF62D3">
        <w:rPr>
          <w:rFonts w:cs="Calibri"/>
          <w:sz w:val="24"/>
          <w:szCs w:val="24"/>
        </w:rPr>
        <w:t>i</w:t>
      </w:r>
      <w:r w:rsidR="00F44B8C" w:rsidRPr="00EF62D3">
        <w:rPr>
          <w:rFonts w:cs="Calibri"/>
          <w:sz w:val="24"/>
          <w:szCs w:val="24"/>
        </w:rPr>
        <w:t xml:space="preserve"> presenti </w:t>
      </w:r>
      <w:r w:rsidR="00BA0ACD" w:rsidRPr="00EF62D3">
        <w:rPr>
          <w:rFonts w:cs="Calibri"/>
          <w:sz w:val="24"/>
          <w:szCs w:val="24"/>
        </w:rPr>
        <w:t>nel medicinale di riferimento</w:t>
      </w:r>
      <w:r w:rsidRPr="00EF62D3">
        <w:rPr>
          <w:rFonts w:cs="Calibri"/>
          <w:sz w:val="24"/>
          <w:szCs w:val="24"/>
        </w:rPr>
        <w:t>: questo approccio è accettabile poiché il medicinale di riferimento</w:t>
      </w:r>
      <w:r w:rsidR="00C527A2" w:rsidRPr="00EF62D3">
        <w:rPr>
          <w:rFonts w:cs="Calibri"/>
          <w:sz w:val="24"/>
          <w:szCs w:val="24"/>
        </w:rPr>
        <w:t xml:space="preserve"> Revolade </w:t>
      </w:r>
      <w:r w:rsidRPr="00EF62D3">
        <w:rPr>
          <w:rFonts w:cs="Calibri"/>
          <w:sz w:val="24"/>
          <w:szCs w:val="24"/>
        </w:rPr>
        <w:t>è autorizzato in Italia da oltre 10 anni</w:t>
      </w:r>
      <w:r w:rsidR="00C527A2" w:rsidRPr="00EF62D3">
        <w:rPr>
          <w:rFonts w:cs="Calibri"/>
          <w:sz w:val="24"/>
          <w:szCs w:val="24"/>
        </w:rPr>
        <w:t>.</w:t>
      </w:r>
      <w:r w:rsidR="00C33438" w:rsidRPr="00EF62D3">
        <w:rPr>
          <w:rFonts w:cs="Calibri"/>
          <w:sz w:val="24"/>
          <w:szCs w:val="24"/>
        </w:rPr>
        <w:t xml:space="preserve"> </w:t>
      </w:r>
      <w:r w:rsidR="00C527A2" w:rsidRPr="00EF62D3">
        <w:rPr>
          <w:rFonts w:cs="Calibri"/>
          <w:sz w:val="24"/>
          <w:szCs w:val="24"/>
        </w:rPr>
        <w:t>L’Environmental Risk Assessment (ERA) relativo a eltrombopag olamine è ritenuto accettabile in quanto condotto in conformità alla “Guideline on the environmental risk assessment of medicinal products for human use” EMA/CHMP/SWP/4447/00 Rev.1 (Corr.), applicando correttamente l’approccio graduale previsto e tenendo conto della natura di domanda generica del medicinale.</w:t>
      </w:r>
    </w:p>
    <w:p w14:paraId="088C8EE6" w14:textId="77777777" w:rsidR="00C527A2" w:rsidRDefault="00C527A2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2548C2E" w14:textId="77777777" w:rsidR="00950EC3" w:rsidRPr="00EF62D3" w:rsidRDefault="00950EC3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E3EED83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ASPETTI CLINICI</w:t>
      </w:r>
    </w:p>
    <w:p w14:paraId="7F2A99D2" w14:textId="664C3320" w:rsidR="00853EC6" w:rsidRPr="00EF62D3" w:rsidRDefault="002E257E" w:rsidP="00853EC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9F395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EF62D3">
        <w:rPr>
          <w:rFonts w:cs="Calibri"/>
          <w:sz w:val="24"/>
          <w:szCs w:val="24"/>
        </w:rPr>
        <w:t>è utilizzato</w:t>
      </w:r>
      <w:r w:rsidR="009E49AD" w:rsidRPr="00EF62D3">
        <w:rPr>
          <w:rFonts w:cs="Calibri"/>
          <w:sz w:val="24"/>
          <w:szCs w:val="24"/>
        </w:rPr>
        <w:t>:</w:t>
      </w:r>
    </w:p>
    <w:p w14:paraId="32A85E90" w14:textId="77777777" w:rsidR="009E49AD" w:rsidRPr="00EF62D3" w:rsidRDefault="009E49AD" w:rsidP="00853EC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014E9758" w14:textId="512E7FF6" w:rsidR="009E49AD" w:rsidRPr="00EF62D3" w:rsidRDefault="009E49AD" w:rsidP="009E49AD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Per il trattamento di pazienti adulti con trombocitopenia immune primaria (ITP) che sono refrattari ad altri trattamenti (ad esempio corticosteroidi, immunoglobuline)</w:t>
      </w:r>
      <w:r w:rsidR="00FC1C60" w:rsidRPr="00EF62D3">
        <w:rPr>
          <w:rFonts w:cs="Calibri"/>
          <w:sz w:val="24"/>
          <w:szCs w:val="24"/>
        </w:rPr>
        <w:t>.</w:t>
      </w:r>
    </w:p>
    <w:p w14:paraId="3F10BD79" w14:textId="77777777" w:rsidR="009E49AD" w:rsidRPr="00EF62D3" w:rsidRDefault="009E49AD" w:rsidP="009E49AD">
      <w:pPr>
        <w:pStyle w:val="Paragrafoelenco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00418EC6" w14:textId="7FEFD3C2" w:rsidR="009E49AD" w:rsidRPr="00EF62D3" w:rsidRDefault="009E49AD" w:rsidP="009E49AD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lastRenderedPageBreak/>
        <w:t>Per il trattamento di pazienti pediatrici di età pari o superiore a 1 anno con trombocitopenia immune primaria (ITP) della durata di almeno 6 mesi dalla diagnosi e che sono refrattari ad altri trattamenti (ad esempio corticosteroidi, immunoglobuline)</w:t>
      </w:r>
      <w:r w:rsidR="00FC1C60" w:rsidRPr="00EF62D3">
        <w:rPr>
          <w:rFonts w:cs="Calibri"/>
          <w:sz w:val="24"/>
          <w:szCs w:val="24"/>
        </w:rPr>
        <w:t>.</w:t>
      </w:r>
    </w:p>
    <w:p w14:paraId="6E0EE944" w14:textId="77777777" w:rsidR="009E49AD" w:rsidRPr="00EF62D3" w:rsidRDefault="009E49AD" w:rsidP="009E49AD">
      <w:pPr>
        <w:pStyle w:val="Paragrafoelenco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3CC66CF4" w14:textId="65536A31" w:rsidR="009E49AD" w:rsidRPr="00EF62D3" w:rsidRDefault="009E49AD">
      <w:pPr>
        <w:pStyle w:val="Paragrafoelenco"/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In pazienti adulti affetti da infezione cronica da virus dell'epatite C (Hepatitis C virus, HCV) per il trattamento della trombocitopenia, quando il grado di trombocitopenia è il principale fattore che impedisce l’inizio o limita la possibilità di mantenere la terapia ottimale basata sull’interferone</w:t>
      </w:r>
      <w:r w:rsidR="00FC1C60" w:rsidRPr="00EF62D3">
        <w:rPr>
          <w:rFonts w:cs="Calibri"/>
          <w:sz w:val="24"/>
          <w:szCs w:val="24"/>
        </w:rPr>
        <w:t>.</w:t>
      </w:r>
    </w:p>
    <w:p w14:paraId="05BAF551" w14:textId="77777777" w:rsidR="004E5A39" w:rsidRPr="00EF62D3" w:rsidRDefault="004E5A39" w:rsidP="00EF6711">
      <w:pPr>
        <w:spacing w:after="0" w:line="240" w:lineRule="auto"/>
        <w:ind w:right="6"/>
        <w:jc w:val="both"/>
        <w:rPr>
          <w:rFonts w:cs="Calibri"/>
          <w:sz w:val="24"/>
          <w:szCs w:val="24"/>
        </w:rPr>
      </w:pPr>
    </w:p>
    <w:p w14:paraId="7061EA1B" w14:textId="77777777" w:rsidR="004E5A39" w:rsidRPr="00EF62D3" w:rsidRDefault="004E5A39" w:rsidP="00EF6711">
      <w:pPr>
        <w:spacing w:after="0" w:line="240" w:lineRule="auto"/>
        <w:ind w:right="6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Posologia e modalità di somministrazione</w:t>
      </w:r>
    </w:p>
    <w:p w14:paraId="775F0B29" w14:textId="77777777" w:rsidR="004E5A39" w:rsidRPr="00EF62D3" w:rsidRDefault="004E5A39" w:rsidP="00EF6711">
      <w:pPr>
        <w:spacing w:after="0" w:line="240" w:lineRule="auto"/>
        <w:ind w:right="6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</w:t>
      </w:r>
      <w:hyperlink r:id="rId11" w:anchor="/it/" w:history="1">
        <w:r w:rsidR="00165D07" w:rsidRPr="00EF62D3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</w:p>
    <w:p w14:paraId="5324B638" w14:textId="77777777" w:rsidR="00C74500" w:rsidRPr="00EF62D3" w:rsidRDefault="00C74500" w:rsidP="00997F05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</w:p>
    <w:p w14:paraId="426F5AE9" w14:textId="77777777" w:rsidR="004E5A39" w:rsidRPr="00EF62D3" w:rsidRDefault="004E5A39" w:rsidP="00EF6711">
      <w:pPr>
        <w:spacing w:after="0" w:line="240" w:lineRule="auto"/>
        <w:ind w:right="6"/>
        <w:jc w:val="both"/>
        <w:rPr>
          <w:rFonts w:eastAsia="Times New Roman" w:cs="Calibri"/>
          <w:b/>
          <w:sz w:val="24"/>
          <w:szCs w:val="24"/>
        </w:rPr>
      </w:pPr>
      <w:r w:rsidRPr="00EF62D3">
        <w:rPr>
          <w:rFonts w:eastAsia="Times New Roman" w:cs="Calibri"/>
          <w:b/>
          <w:sz w:val="24"/>
          <w:szCs w:val="24"/>
        </w:rPr>
        <w:t>Farmacologia clinica</w:t>
      </w:r>
    </w:p>
    <w:p w14:paraId="44FF6AF2" w14:textId="6C33EAE1" w:rsidR="00BE7CDB" w:rsidRPr="00EF62D3" w:rsidRDefault="004E5A39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  <w:lang w:eastAsia="it-IT"/>
        </w:rPr>
        <w:t xml:space="preserve">La farmacologia clinica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C56FA9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  <w:lang w:eastAsia="it-IT"/>
        </w:rPr>
        <w:t>è ben conosciuta.</w:t>
      </w:r>
      <w:r w:rsidRPr="00EF62D3">
        <w:rPr>
          <w:rFonts w:cs="Calibri"/>
          <w:sz w:val="24"/>
          <w:szCs w:val="24"/>
        </w:rPr>
        <w:t xml:space="preserve">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C56FA9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contiene principi attiv</w:t>
      </w:r>
      <w:r w:rsidR="00853EC6" w:rsidRPr="00EF62D3">
        <w:rPr>
          <w:rFonts w:cs="Calibri"/>
          <w:sz w:val="24"/>
          <w:szCs w:val="24"/>
        </w:rPr>
        <w:t>i</w:t>
      </w:r>
      <w:r w:rsidRPr="00EF62D3">
        <w:rPr>
          <w:rFonts w:cs="Calibri"/>
          <w:sz w:val="24"/>
          <w:szCs w:val="24"/>
        </w:rPr>
        <w:t xml:space="preserve"> not</w:t>
      </w:r>
      <w:r w:rsidR="00853EC6" w:rsidRPr="00EF62D3">
        <w:rPr>
          <w:rFonts w:cs="Calibri"/>
          <w:sz w:val="24"/>
          <w:szCs w:val="24"/>
        </w:rPr>
        <w:t>i</w:t>
      </w:r>
      <w:r w:rsidRPr="00EF62D3">
        <w:rPr>
          <w:rFonts w:cs="Calibri"/>
          <w:sz w:val="24"/>
          <w:szCs w:val="24"/>
        </w:rPr>
        <w:t xml:space="preserve"> </w:t>
      </w:r>
      <w:r w:rsidR="00745609" w:rsidRPr="00EF62D3">
        <w:rPr>
          <w:rFonts w:cs="Calibri"/>
          <w:sz w:val="24"/>
          <w:szCs w:val="24"/>
        </w:rPr>
        <w:t xml:space="preserve">e </w:t>
      </w:r>
      <w:r w:rsidRPr="00EF62D3">
        <w:rPr>
          <w:rFonts w:cs="Calibri"/>
          <w:sz w:val="24"/>
          <w:szCs w:val="24"/>
        </w:rPr>
        <w:t>present</w:t>
      </w:r>
      <w:r w:rsidR="00745609" w:rsidRPr="00EF62D3">
        <w:rPr>
          <w:rFonts w:cs="Calibri"/>
          <w:sz w:val="24"/>
          <w:szCs w:val="24"/>
        </w:rPr>
        <w:t>i</w:t>
      </w:r>
      <w:r w:rsidRPr="00EF62D3">
        <w:rPr>
          <w:rFonts w:cs="Calibri"/>
          <w:sz w:val="24"/>
          <w:szCs w:val="24"/>
        </w:rPr>
        <w:t xml:space="preserve"> nel medicinale </w:t>
      </w:r>
      <w:r w:rsidR="00BA0ACD" w:rsidRPr="00EF62D3">
        <w:rPr>
          <w:rFonts w:cs="Calibri"/>
          <w:sz w:val="24"/>
          <w:szCs w:val="24"/>
        </w:rPr>
        <w:t xml:space="preserve">di riferimento </w:t>
      </w:r>
      <w:r w:rsidR="00FC1C60" w:rsidRPr="00EF62D3">
        <w:rPr>
          <w:rFonts w:cs="Calibri"/>
          <w:sz w:val="24"/>
          <w:szCs w:val="24"/>
        </w:rPr>
        <w:t xml:space="preserve">Revolade </w:t>
      </w:r>
      <w:r w:rsidRPr="00EF62D3">
        <w:rPr>
          <w:rFonts w:cs="Calibri"/>
          <w:sz w:val="24"/>
          <w:szCs w:val="24"/>
        </w:rPr>
        <w:t xml:space="preserve">autorizzato in Italia da più di </w:t>
      </w:r>
      <w:r w:rsidR="00AD051C" w:rsidRPr="00EF62D3">
        <w:rPr>
          <w:rFonts w:cs="Calibri"/>
          <w:sz w:val="24"/>
          <w:szCs w:val="24"/>
        </w:rPr>
        <w:t xml:space="preserve">8 </w:t>
      </w:r>
      <w:r w:rsidRPr="00EF62D3">
        <w:rPr>
          <w:rFonts w:cs="Calibri"/>
          <w:sz w:val="24"/>
          <w:szCs w:val="24"/>
        </w:rPr>
        <w:t>anni.</w:t>
      </w:r>
      <w:r w:rsidR="006727BD" w:rsidRPr="00EF62D3">
        <w:rPr>
          <w:rFonts w:cs="Calibri"/>
          <w:sz w:val="24"/>
          <w:szCs w:val="24"/>
        </w:rPr>
        <w:t xml:space="preserve"> </w:t>
      </w:r>
      <w:r w:rsidR="00BE7CDB" w:rsidRPr="00EF62D3">
        <w:rPr>
          <w:rFonts w:cs="Calibri"/>
          <w:sz w:val="24"/>
          <w:szCs w:val="24"/>
        </w:rPr>
        <w:t>Con l’eccezione de</w:t>
      </w:r>
      <w:r w:rsidR="00FC1C60" w:rsidRPr="00EF62D3">
        <w:rPr>
          <w:rFonts w:cs="Calibri"/>
          <w:sz w:val="24"/>
          <w:szCs w:val="24"/>
        </w:rPr>
        <w:t>gli</w:t>
      </w:r>
      <w:r w:rsidR="00BE7CDB" w:rsidRPr="00EF62D3">
        <w:rPr>
          <w:rFonts w:cs="Calibri"/>
          <w:sz w:val="24"/>
          <w:szCs w:val="24"/>
        </w:rPr>
        <w:t xml:space="preserve"> studi di bioequivalenza, non sono stati condotti nuovi studi clinici di farmacodinamica e farmacocinetica</w:t>
      </w:r>
      <w:r w:rsidR="00AD051C" w:rsidRPr="00EF62D3">
        <w:rPr>
          <w:rFonts w:cs="Calibri"/>
          <w:sz w:val="24"/>
          <w:szCs w:val="24"/>
        </w:rPr>
        <w:t>.</w:t>
      </w:r>
    </w:p>
    <w:p w14:paraId="15B698A3" w14:textId="77777777" w:rsidR="00AD051C" w:rsidRPr="00EF62D3" w:rsidRDefault="00AD051C" w:rsidP="00BE7CD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90A6D13" w14:textId="77777777" w:rsidR="006727BD" w:rsidRPr="00EF62D3" w:rsidRDefault="006727BD" w:rsidP="006727BD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Studio di bioequivalenza</w:t>
      </w:r>
    </w:p>
    <w:p w14:paraId="40072CCC" w14:textId="57B8B060" w:rsidR="005049A1" w:rsidRPr="00EF62D3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La richiesta di AIC è supportata da </w:t>
      </w:r>
      <w:r w:rsidR="00A76C19" w:rsidRPr="00EF62D3">
        <w:rPr>
          <w:rFonts w:cs="Calibri"/>
          <w:sz w:val="24"/>
          <w:szCs w:val="24"/>
        </w:rPr>
        <w:t>due</w:t>
      </w:r>
      <w:r w:rsidRPr="00EF62D3">
        <w:rPr>
          <w:rFonts w:cs="Calibri"/>
          <w:sz w:val="24"/>
          <w:szCs w:val="24"/>
        </w:rPr>
        <w:t xml:space="preserve"> studi di bioequivalenza che ha</w:t>
      </w:r>
      <w:r w:rsidR="00A76C19" w:rsidRPr="00EF62D3">
        <w:rPr>
          <w:rFonts w:cs="Calibri"/>
          <w:sz w:val="24"/>
          <w:szCs w:val="24"/>
        </w:rPr>
        <w:t>nno</w:t>
      </w:r>
      <w:r w:rsidRPr="00EF62D3">
        <w:rPr>
          <w:rFonts w:cs="Calibri"/>
          <w:sz w:val="24"/>
          <w:szCs w:val="24"/>
        </w:rPr>
        <w:t xml:space="preserve"> confrontato i profili farmacocinetici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C56FA9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e quelli del medicinale di riferimento</w:t>
      </w:r>
      <w:r w:rsidR="00A76C19" w:rsidRPr="00EF62D3">
        <w:rPr>
          <w:rFonts w:cs="Calibri"/>
          <w:sz w:val="24"/>
          <w:szCs w:val="24"/>
        </w:rPr>
        <w:t xml:space="preserve"> Revolade, nei dosaggi da 25mg e 75 mg.</w:t>
      </w:r>
    </w:p>
    <w:p w14:paraId="63532BBD" w14:textId="77777777" w:rsidR="00C007D1" w:rsidRPr="00EF62D3" w:rsidRDefault="00C007D1" w:rsidP="005049A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EF04FBB" w14:textId="3AE92DAA" w:rsidR="00C007D1" w:rsidRPr="00EF62D3" w:rsidRDefault="009941C9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 studio</w:t>
      </w:r>
      <w:r w:rsidR="00C007D1" w:rsidRPr="00EF62D3">
        <w:rPr>
          <w:rFonts w:cstheme="minorHAnsi"/>
          <w:sz w:val="24"/>
          <w:szCs w:val="24"/>
        </w:rPr>
        <w:t xml:space="preserve"> </w:t>
      </w:r>
      <w:r w:rsidR="00A76C19" w:rsidRPr="00EF62D3">
        <w:rPr>
          <w:rFonts w:cstheme="minorHAnsi"/>
          <w:sz w:val="24"/>
          <w:szCs w:val="24"/>
        </w:rPr>
        <w:t>di bioequivalenza</w:t>
      </w:r>
      <w:r>
        <w:rPr>
          <w:rFonts w:cstheme="minorHAnsi"/>
          <w:sz w:val="24"/>
          <w:szCs w:val="24"/>
        </w:rPr>
        <w:t xml:space="preserve"> condotto con il dosaggio da 75</w:t>
      </w:r>
      <w:r w:rsidR="00C007D1" w:rsidRPr="00EF62D3">
        <w:rPr>
          <w:rFonts w:cstheme="minorHAnsi"/>
          <w:sz w:val="24"/>
          <w:szCs w:val="24"/>
        </w:rPr>
        <w:t xml:space="preserve"> ha</w:t>
      </w:r>
      <w:r>
        <w:rPr>
          <w:rFonts w:cstheme="minorHAnsi"/>
          <w:sz w:val="24"/>
          <w:szCs w:val="24"/>
        </w:rPr>
        <w:t xml:space="preserve"> </w:t>
      </w:r>
      <w:r w:rsidR="00C007D1" w:rsidRPr="00EF62D3">
        <w:rPr>
          <w:rFonts w:cstheme="minorHAnsi"/>
          <w:sz w:val="24"/>
          <w:szCs w:val="24"/>
        </w:rPr>
        <w:t>il seguente disegno di studio:</w:t>
      </w:r>
      <w:r w:rsidR="00E21D30">
        <w:rPr>
          <w:rFonts w:cstheme="minorHAnsi"/>
          <w:sz w:val="24"/>
          <w:szCs w:val="24"/>
        </w:rPr>
        <w:t xml:space="preserve"> </w:t>
      </w:r>
      <w:r w:rsidR="00B43D24">
        <w:rPr>
          <w:rFonts w:cstheme="minorHAnsi"/>
          <w:sz w:val="24"/>
          <w:szCs w:val="24"/>
        </w:rPr>
        <w:t>in aperto</w:t>
      </w:r>
      <w:r w:rsidR="00A76C19" w:rsidRPr="00EF62D3">
        <w:rPr>
          <w:rFonts w:cstheme="minorHAnsi"/>
          <w:sz w:val="24"/>
          <w:szCs w:val="24"/>
        </w:rPr>
        <w:t>, randomizzato, a dose singola, 2-periodi, 2 sequenze, 2 trattamenti, crossover</w:t>
      </w:r>
      <w:r w:rsidR="00266329" w:rsidRPr="00EF62D3">
        <w:rPr>
          <w:rFonts w:cstheme="minorHAnsi"/>
          <w:sz w:val="24"/>
          <w:szCs w:val="24"/>
        </w:rPr>
        <w:t>, a digiuno</w:t>
      </w:r>
      <w:r w:rsidR="00C007D1" w:rsidRPr="00EF62D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Quello condotto con il dosaggio da 25 mg è </w:t>
      </w:r>
      <w:r w:rsidR="00B43D24">
        <w:rPr>
          <w:rFonts w:cstheme="minorHAnsi"/>
          <w:sz w:val="24"/>
          <w:szCs w:val="24"/>
        </w:rPr>
        <w:t xml:space="preserve">a doppio cieco, </w:t>
      </w:r>
      <w:r w:rsidRPr="00EF62D3">
        <w:rPr>
          <w:rFonts w:cstheme="minorHAnsi"/>
          <w:sz w:val="24"/>
          <w:szCs w:val="24"/>
        </w:rPr>
        <w:t xml:space="preserve">comparativo, randomizzato, a dose singola, </w:t>
      </w:r>
      <w:r>
        <w:rPr>
          <w:rFonts w:cstheme="minorHAnsi"/>
          <w:sz w:val="24"/>
          <w:szCs w:val="24"/>
        </w:rPr>
        <w:t>3</w:t>
      </w:r>
      <w:r w:rsidRPr="00EF62D3">
        <w:rPr>
          <w:rFonts w:cstheme="minorHAnsi"/>
          <w:sz w:val="24"/>
          <w:szCs w:val="24"/>
        </w:rPr>
        <w:t xml:space="preserve">-periodi, </w:t>
      </w:r>
      <w:r>
        <w:rPr>
          <w:rFonts w:cstheme="minorHAnsi"/>
          <w:sz w:val="24"/>
          <w:szCs w:val="24"/>
        </w:rPr>
        <w:t>6</w:t>
      </w:r>
      <w:r w:rsidRPr="00EF62D3">
        <w:rPr>
          <w:rFonts w:cstheme="minorHAnsi"/>
          <w:sz w:val="24"/>
          <w:szCs w:val="24"/>
        </w:rPr>
        <w:t xml:space="preserve"> sequenze, </w:t>
      </w:r>
      <w:r>
        <w:rPr>
          <w:rFonts w:cstheme="minorHAnsi"/>
          <w:sz w:val="24"/>
          <w:szCs w:val="24"/>
        </w:rPr>
        <w:t>3</w:t>
      </w:r>
      <w:r w:rsidRPr="00EF62D3">
        <w:rPr>
          <w:rFonts w:cstheme="minorHAnsi"/>
          <w:sz w:val="24"/>
          <w:szCs w:val="24"/>
        </w:rPr>
        <w:t xml:space="preserve"> trattamenti, crossover, a digiuno.</w:t>
      </w:r>
      <w:r>
        <w:rPr>
          <w:rFonts w:cstheme="minorHAnsi"/>
          <w:sz w:val="24"/>
          <w:szCs w:val="24"/>
        </w:rPr>
        <w:t xml:space="preserve"> </w:t>
      </w:r>
    </w:p>
    <w:p w14:paraId="57BC7B2A" w14:textId="77777777" w:rsidR="00C007D1" w:rsidRPr="00EF62D3" w:rsidRDefault="00C007D1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C91247" w14:textId="08C1DDAC" w:rsidR="00C007D1" w:rsidRPr="00EF62D3" w:rsidRDefault="00C007D1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F62D3">
        <w:rPr>
          <w:rFonts w:cstheme="minorHAnsi"/>
          <w:sz w:val="24"/>
          <w:szCs w:val="24"/>
        </w:rPr>
        <w:t>Lo studio condotto con il dosaggio da 75 mg ha coinvolto 80 volontari sani,</w:t>
      </w:r>
      <w:r w:rsidR="00266329" w:rsidRPr="00EF62D3">
        <w:rPr>
          <w:rFonts w:cstheme="minorHAnsi"/>
          <w:sz w:val="24"/>
          <w:szCs w:val="24"/>
        </w:rPr>
        <w:t xml:space="preserve"> di cui 72 soggetti hanno concluso lo studio. Lo studio condotto </w:t>
      </w:r>
      <w:r w:rsidRPr="00EF62D3">
        <w:rPr>
          <w:rFonts w:cstheme="minorHAnsi"/>
          <w:sz w:val="24"/>
          <w:szCs w:val="24"/>
        </w:rPr>
        <w:t>con il dosaggio da 25 mg</w:t>
      </w:r>
      <w:r w:rsidR="00266329" w:rsidRPr="00EF62D3">
        <w:rPr>
          <w:rFonts w:cstheme="minorHAnsi"/>
          <w:sz w:val="24"/>
          <w:szCs w:val="24"/>
        </w:rPr>
        <w:t xml:space="preserve"> ha coinvolto</w:t>
      </w:r>
      <w:r w:rsidRPr="00EF62D3">
        <w:rPr>
          <w:rFonts w:cstheme="minorHAnsi"/>
          <w:sz w:val="24"/>
          <w:szCs w:val="24"/>
        </w:rPr>
        <w:t xml:space="preserve"> 78 volontari san</w:t>
      </w:r>
      <w:r w:rsidR="00266329" w:rsidRPr="00EF62D3">
        <w:rPr>
          <w:rFonts w:cstheme="minorHAnsi"/>
          <w:sz w:val="24"/>
          <w:szCs w:val="24"/>
        </w:rPr>
        <w:t xml:space="preserve">i, di </w:t>
      </w:r>
      <w:proofErr w:type="gramStart"/>
      <w:r w:rsidR="00266329" w:rsidRPr="00EF62D3">
        <w:rPr>
          <w:rFonts w:cstheme="minorHAnsi"/>
          <w:sz w:val="24"/>
          <w:szCs w:val="24"/>
        </w:rPr>
        <w:t>cui</w:t>
      </w:r>
      <w:r w:rsidR="00F147D2" w:rsidRPr="00EF62D3">
        <w:rPr>
          <w:rFonts w:cstheme="minorHAnsi"/>
          <w:sz w:val="24"/>
          <w:szCs w:val="24"/>
        </w:rPr>
        <w:t xml:space="preserve">  67</w:t>
      </w:r>
      <w:proofErr w:type="gramEnd"/>
      <w:r w:rsidR="00F147D2" w:rsidRPr="00EF62D3">
        <w:rPr>
          <w:rFonts w:cstheme="minorHAnsi"/>
          <w:sz w:val="24"/>
          <w:szCs w:val="24"/>
        </w:rPr>
        <w:t xml:space="preserve"> soggetti hanno concluso lo studio.</w:t>
      </w:r>
    </w:p>
    <w:p w14:paraId="1137F41E" w14:textId="77777777" w:rsidR="00F147D2" w:rsidRPr="00EF62D3" w:rsidRDefault="00F147D2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DEC45C7" w14:textId="57428B8C" w:rsidR="00A76C19" w:rsidRPr="00EF62D3" w:rsidRDefault="00A76C19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F62D3">
        <w:rPr>
          <w:rFonts w:cstheme="minorHAnsi"/>
          <w:sz w:val="24"/>
          <w:szCs w:val="24"/>
        </w:rPr>
        <w:t>Dopo una notte di digiuno, il medicinale è stato somministrato con acqua. Un soddisfacente periodo di wash-out di 14 giorni è stato previsto tra le somministrazioni in ogni gruppo.</w:t>
      </w:r>
    </w:p>
    <w:p w14:paraId="4C3DD256" w14:textId="77777777" w:rsidR="00A76C19" w:rsidRPr="00EF62D3" w:rsidRDefault="00A76C19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BB0E6C" w14:textId="57F14B00" w:rsidR="00A76C19" w:rsidRPr="00EF62D3" w:rsidRDefault="00A76C19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F62D3">
        <w:rPr>
          <w:rFonts w:cstheme="minorHAnsi"/>
          <w:sz w:val="24"/>
          <w:szCs w:val="24"/>
        </w:rPr>
        <w:t>Campioni di sangue sono stati prelevati al tempo zero (pre-dose) e a specificati tempi fino a 72 ore dopo la somministrazione. I livelli plasmatici di eltrombopag sono stati determinati mediante un metodo analitico HPLC</w:t>
      </w:r>
      <w:r w:rsidR="00CB58DE">
        <w:rPr>
          <w:rFonts w:cstheme="minorHAnsi"/>
          <w:sz w:val="24"/>
          <w:szCs w:val="24"/>
        </w:rPr>
        <w:t xml:space="preserve"> e LC-</w:t>
      </w:r>
      <w:r w:rsidRPr="00EF62D3">
        <w:rPr>
          <w:rFonts w:cstheme="minorHAnsi"/>
          <w:sz w:val="24"/>
          <w:szCs w:val="24"/>
        </w:rPr>
        <w:t>MS/MS opportunamente convalidato.</w:t>
      </w:r>
    </w:p>
    <w:p w14:paraId="752535A0" w14:textId="77777777" w:rsidR="00A76C19" w:rsidRPr="00EF62D3" w:rsidRDefault="00A76C19" w:rsidP="00A76C1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8726A6" w14:textId="1061BB19" w:rsidR="00A76C19" w:rsidRPr="00EF62D3" w:rsidRDefault="00A76C19" w:rsidP="00A76C19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F62D3">
        <w:rPr>
          <w:rFonts w:cstheme="minorHAnsi"/>
          <w:sz w:val="24"/>
          <w:szCs w:val="24"/>
        </w:rPr>
        <w:t>Per eltrombopag sono state definite le seguenti variabili farmacocinetiche: AUC</w:t>
      </w:r>
      <w:r w:rsidRPr="00EF62D3">
        <w:rPr>
          <w:rFonts w:cstheme="minorHAnsi"/>
          <w:sz w:val="24"/>
          <w:szCs w:val="24"/>
          <w:vertAlign w:val="subscript"/>
        </w:rPr>
        <w:t>0‐∞,</w:t>
      </w:r>
      <w:r w:rsidRPr="00EF62D3">
        <w:rPr>
          <w:rFonts w:cstheme="minorHAnsi"/>
          <w:sz w:val="24"/>
          <w:szCs w:val="24"/>
        </w:rPr>
        <w:t xml:space="preserve"> AUC</w:t>
      </w:r>
      <w:r w:rsidRPr="00EF62D3">
        <w:rPr>
          <w:rFonts w:cstheme="minorHAnsi"/>
          <w:sz w:val="24"/>
          <w:szCs w:val="24"/>
          <w:vertAlign w:val="subscript"/>
        </w:rPr>
        <w:t>0‐72</w:t>
      </w:r>
      <w:r w:rsidRPr="00EF62D3">
        <w:rPr>
          <w:rFonts w:cstheme="minorHAnsi"/>
          <w:sz w:val="24"/>
          <w:szCs w:val="24"/>
        </w:rPr>
        <w:t xml:space="preserve">, AUC </w:t>
      </w:r>
      <w:r w:rsidRPr="00EF62D3">
        <w:rPr>
          <w:rFonts w:cstheme="minorHAnsi"/>
          <w:sz w:val="24"/>
          <w:szCs w:val="24"/>
          <w:vertAlign w:val="subscript"/>
        </w:rPr>
        <w:t xml:space="preserve">% </w:t>
      </w:r>
      <w:r w:rsidR="00C007D1" w:rsidRPr="00EF62D3">
        <w:rPr>
          <w:rFonts w:cstheme="minorHAnsi"/>
          <w:sz w:val="24"/>
          <w:szCs w:val="24"/>
          <w:vertAlign w:val="subscript"/>
        </w:rPr>
        <w:t>ratio</w:t>
      </w:r>
      <w:r w:rsidRPr="00EF62D3">
        <w:rPr>
          <w:rFonts w:cstheme="minorHAnsi"/>
          <w:sz w:val="24"/>
          <w:szCs w:val="24"/>
        </w:rPr>
        <w:t>, C</w:t>
      </w:r>
      <w:r w:rsidRPr="00EF62D3">
        <w:rPr>
          <w:rFonts w:cstheme="minorHAnsi"/>
          <w:sz w:val="24"/>
          <w:szCs w:val="24"/>
          <w:vertAlign w:val="subscript"/>
        </w:rPr>
        <w:t>max</w:t>
      </w:r>
      <w:r w:rsidRPr="00EF62D3">
        <w:rPr>
          <w:rFonts w:cstheme="minorHAnsi"/>
          <w:sz w:val="24"/>
          <w:szCs w:val="24"/>
        </w:rPr>
        <w:t>, T</w:t>
      </w:r>
      <w:r w:rsidRPr="00EF62D3">
        <w:rPr>
          <w:rFonts w:cstheme="minorHAnsi"/>
          <w:sz w:val="24"/>
          <w:szCs w:val="24"/>
          <w:vertAlign w:val="subscript"/>
        </w:rPr>
        <w:t>max</w:t>
      </w:r>
      <w:r w:rsidRPr="00EF62D3">
        <w:rPr>
          <w:rFonts w:cstheme="minorHAnsi"/>
          <w:sz w:val="24"/>
          <w:szCs w:val="24"/>
        </w:rPr>
        <w:t>, t</w:t>
      </w:r>
      <w:r w:rsidRPr="00EF62D3">
        <w:rPr>
          <w:rFonts w:cstheme="minorHAnsi"/>
          <w:sz w:val="24"/>
          <w:szCs w:val="24"/>
          <w:vertAlign w:val="subscript"/>
        </w:rPr>
        <w:t>1/2</w:t>
      </w:r>
      <w:r w:rsidRPr="00EF62D3">
        <w:rPr>
          <w:rFonts w:cstheme="minorHAnsi"/>
          <w:sz w:val="24"/>
          <w:szCs w:val="24"/>
        </w:rPr>
        <w:t xml:space="preserve">, </w:t>
      </w:r>
      <w:r w:rsidR="00C007D1" w:rsidRPr="00EF62D3">
        <w:rPr>
          <w:rFonts w:cstheme="minorHAnsi"/>
          <w:sz w:val="24"/>
          <w:szCs w:val="24"/>
        </w:rPr>
        <w:t>K</w:t>
      </w:r>
      <w:r w:rsidR="00C007D1" w:rsidRPr="00EF62D3">
        <w:rPr>
          <w:rFonts w:cstheme="minorHAnsi"/>
          <w:sz w:val="24"/>
          <w:szCs w:val="24"/>
          <w:vertAlign w:val="subscript"/>
        </w:rPr>
        <w:t xml:space="preserve">el </w:t>
      </w:r>
      <w:r w:rsidR="00C007D1" w:rsidRPr="00EF62D3">
        <w:rPr>
          <w:rFonts w:cstheme="minorHAnsi"/>
          <w:sz w:val="24"/>
          <w:szCs w:val="24"/>
        </w:rPr>
        <w:t>e</w:t>
      </w:r>
      <w:r w:rsidRPr="00EF62D3">
        <w:rPr>
          <w:rFonts w:cstheme="minorHAnsi"/>
          <w:sz w:val="24"/>
          <w:szCs w:val="24"/>
        </w:rPr>
        <w:t xml:space="preserve"> </w:t>
      </w:r>
      <w:r w:rsidR="00C007D1" w:rsidRPr="00EF62D3">
        <w:rPr>
          <w:rFonts w:cstheme="minorHAnsi"/>
          <w:sz w:val="24"/>
          <w:szCs w:val="24"/>
        </w:rPr>
        <w:t>Residual Area %</w:t>
      </w:r>
      <w:r w:rsidRPr="00EF62D3">
        <w:rPr>
          <w:rFonts w:cstheme="minorHAnsi"/>
          <w:sz w:val="24"/>
          <w:szCs w:val="24"/>
        </w:rPr>
        <w:t>. La bioequivalenza tra medicinale test e medicinale di riferimento è dimostrata se gli intervalli di confidenza al 90% per la trasformata logaritmica di C</w:t>
      </w:r>
      <w:r w:rsidRPr="00EF62D3">
        <w:rPr>
          <w:rFonts w:cstheme="minorHAnsi"/>
          <w:sz w:val="24"/>
          <w:szCs w:val="24"/>
          <w:vertAlign w:val="subscript"/>
        </w:rPr>
        <w:t>max</w:t>
      </w:r>
      <w:r w:rsidRPr="00EF62D3">
        <w:rPr>
          <w:rFonts w:cstheme="minorHAnsi"/>
          <w:sz w:val="24"/>
          <w:szCs w:val="24"/>
        </w:rPr>
        <w:t xml:space="preserve"> e AUC</w:t>
      </w:r>
      <w:r w:rsidRPr="00EF62D3">
        <w:rPr>
          <w:rFonts w:cstheme="minorHAnsi"/>
          <w:sz w:val="24"/>
          <w:szCs w:val="24"/>
          <w:vertAlign w:val="subscript"/>
        </w:rPr>
        <w:t>0-t</w:t>
      </w:r>
      <w:r w:rsidRPr="00EF62D3">
        <w:rPr>
          <w:rFonts w:cstheme="minorHAnsi"/>
          <w:sz w:val="24"/>
          <w:szCs w:val="24"/>
        </w:rPr>
        <w:t xml:space="preserve">, cadono nel range di accettabilità di 0.80-1.25 (80% - 125%), in accordo a quanto previsto dalle linee guida in materia. </w:t>
      </w:r>
    </w:p>
    <w:p w14:paraId="6EE27AF4" w14:textId="77777777" w:rsidR="00A76C19" w:rsidRPr="00EF62D3" w:rsidRDefault="00A76C19" w:rsidP="00A76C19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E4E5F1B" w14:textId="3A30B48D" w:rsidR="005049A1" w:rsidRPr="00EF62D3" w:rsidRDefault="00C007D1" w:rsidP="005049A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lastRenderedPageBreak/>
        <w:t>Gli studi erano</w:t>
      </w:r>
      <w:r w:rsidR="005049A1" w:rsidRPr="00EF62D3">
        <w:rPr>
          <w:rFonts w:cs="Calibri"/>
          <w:sz w:val="24"/>
          <w:szCs w:val="24"/>
        </w:rPr>
        <w:t xml:space="preserve"> caratterizzat</w:t>
      </w:r>
      <w:r w:rsidRPr="00EF62D3">
        <w:rPr>
          <w:rFonts w:cs="Calibri"/>
          <w:sz w:val="24"/>
          <w:szCs w:val="24"/>
        </w:rPr>
        <w:t>i</w:t>
      </w:r>
      <w:r w:rsidR="005049A1" w:rsidRPr="00EF62D3">
        <w:rPr>
          <w:rFonts w:cs="Calibri"/>
          <w:sz w:val="24"/>
          <w:szCs w:val="24"/>
        </w:rPr>
        <w:t xml:space="preserve"> da un appropriato disegno e</w:t>
      </w:r>
      <w:r w:rsidRPr="00EF62D3">
        <w:rPr>
          <w:rFonts w:cs="Calibri"/>
          <w:sz w:val="24"/>
          <w:szCs w:val="24"/>
        </w:rPr>
        <w:t xml:space="preserve"> sono stati condotti</w:t>
      </w:r>
      <w:r w:rsidR="005049A1" w:rsidRPr="00EF62D3">
        <w:rPr>
          <w:rFonts w:cs="Calibri"/>
          <w:sz w:val="24"/>
          <w:szCs w:val="24"/>
        </w:rPr>
        <w:t xml:space="preserve"> in accordo ai principi GCP.</w:t>
      </w:r>
    </w:p>
    <w:p w14:paraId="47572DF4" w14:textId="1053569F" w:rsidR="00C007D1" w:rsidRPr="00EF62D3" w:rsidRDefault="005049A1" w:rsidP="00C007D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Sono stati forniti certificati analitici per medicinale test e medicinale di riferimento.</w:t>
      </w:r>
    </w:p>
    <w:p w14:paraId="4CFAC291" w14:textId="432576E4" w:rsidR="005049A1" w:rsidRPr="00EF62D3" w:rsidRDefault="005049A1" w:rsidP="00C007D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CA97A60" w14:textId="77777777" w:rsidR="00F147D2" w:rsidRPr="00EF62D3" w:rsidRDefault="005049A1" w:rsidP="005049A1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i/>
          <w:szCs w:val="24"/>
          <w:lang w:val="it-IT"/>
        </w:rPr>
      </w:pPr>
      <w:r w:rsidRPr="00EF62D3">
        <w:rPr>
          <w:rFonts w:ascii="Calibri" w:hAnsi="Calibri" w:cs="Calibri"/>
          <w:b w:val="0"/>
          <w:i/>
          <w:szCs w:val="24"/>
          <w:lang w:val="it-IT"/>
        </w:rPr>
        <w:t>Parametri farmacocinetici</w:t>
      </w:r>
    </w:p>
    <w:p w14:paraId="4B07236B" w14:textId="0F4EEE06" w:rsidR="005049A1" w:rsidRPr="00EF62D3" w:rsidRDefault="005049A1" w:rsidP="005049A1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</w:p>
    <w:p w14:paraId="6BE6AB8A" w14:textId="682ECF80" w:rsidR="005049A1" w:rsidRPr="00EF62D3" w:rsidRDefault="005049A1" w:rsidP="005049A1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  <w:r w:rsidRPr="00EF62D3">
        <w:rPr>
          <w:rFonts w:ascii="Calibri" w:hAnsi="Calibri" w:cs="Calibri"/>
          <w:b w:val="0"/>
          <w:szCs w:val="24"/>
          <w:lang w:val="it-IT"/>
        </w:rPr>
        <w:t xml:space="preserve">La sintesi dei risultati dello studio di bioequivalenza </w:t>
      </w:r>
      <w:r w:rsidR="00C007D1" w:rsidRPr="00EF62D3">
        <w:rPr>
          <w:rFonts w:ascii="Calibri" w:hAnsi="Calibri" w:cs="Calibri"/>
          <w:b w:val="0"/>
          <w:szCs w:val="24"/>
          <w:lang w:val="it-IT"/>
        </w:rPr>
        <w:t xml:space="preserve">condotto con il dosaggio da </w:t>
      </w:r>
      <w:r w:rsidR="00C007D1" w:rsidRPr="00EF62D3">
        <w:rPr>
          <w:rFonts w:ascii="Calibri" w:hAnsi="Calibri" w:cs="Calibri"/>
          <w:szCs w:val="24"/>
          <w:lang w:val="it-IT"/>
        </w:rPr>
        <w:t>75 mg</w:t>
      </w:r>
      <w:r w:rsidR="00F147D2" w:rsidRPr="00EF62D3">
        <w:rPr>
          <w:rFonts w:ascii="Calibri" w:hAnsi="Calibri" w:cs="Calibri"/>
          <w:b w:val="0"/>
          <w:szCs w:val="24"/>
          <w:lang w:val="it-IT"/>
        </w:rPr>
        <w:t xml:space="preserve"> </w:t>
      </w:r>
      <w:r w:rsidRPr="00EF62D3">
        <w:rPr>
          <w:rFonts w:ascii="Calibri" w:hAnsi="Calibri" w:cs="Calibri"/>
          <w:b w:val="0"/>
          <w:szCs w:val="24"/>
          <w:lang w:val="it-IT"/>
        </w:rPr>
        <w:t>è riportata nella tabella che segue.</w:t>
      </w:r>
    </w:p>
    <w:p w14:paraId="0B4FCE03" w14:textId="77777777" w:rsidR="00F44B8C" w:rsidRPr="00EF62D3" w:rsidRDefault="00F44B8C" w:rsidP="00132B98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9"/>
        <w:gridCol w:w="2662"/>
        <w:gridCol w:w="2693"/>
      </w:tblGrid>
      <w:tr w:rsidR="00F147D2" w:rsidRPr="00EF62D3" w14:paraId="51ECD7F2" w14:textId="77777777" w:rsidTr="00F147D2">
        <w:tc>
          <w:tcPr>
            <w:tcW w:w="1799" w:type="dxa"/>
            <w:shd w:val="clear" w:color="auto" w:fill="C0C0C0"/>
          </w:tcPr>
          <w:p w14:paraId="0F9F0CC1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lang w:val="de-DE" w:eastAsia="fi-FI"/>
              </w:rPr>
              <w:t>Trattamento</w:t>
            </w:r>
          </w:p>
        </w:tc>
        <w:tc>
          <w:tcPr>
            <w:tcW w:w="2662" w:type="dxa"/>
            <w:shd w:val="clear" w:color="auto" w:fill="C0C0C0"/>
          </w:tcPr>
          <w:p w14:paraId="63B8FC69" w14:textId="7989991C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lang w:val="de-DE" w:eastAsia="fi-FI"/>
              </w:rPr>
              <w:t>AUC</w:t>
            </w:r>
            <w:r w:rsidRPr="00EF62D3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0-72</w:t>
            </w:r>
          </w:p>
          <w:p w14:paraId="19801E3B" w14:textId="15F28801" w:rsidR="00F147D2" w:rsidRPr="00EF62D3" w:rsidRDefault="00F147D2" w:rsidP="00F147D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ng/ml/h</w:t>
            </w:r>
          </w:p>
        </w:tc>
        <w:tc>
          <w:tcPr>
            <w:tcW w:w="2693" w:type="dxa"/>
            <w:shd w:val="clear" w:color="auto" w:fill="C0C0C0"/>
          </w:tcPr>
          <w:p w14:paraId="1E911DE7" w14:textId="77777777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C</w:t>
            </w:r>
            <w:r w:rsidRPr="00EF62D3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max</w:t>
            </w:r>
          </w:p>
          <w:p w14:paraId="08A58BB2" w14:textId="1B2FEC45" w:rsidR="00F147D2" w:rsidRPr="00EF62D3" w:rsidRDefault="00F147D2" w:rsidP="00F147D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ng/ml</w:t>
            </w:r>
          </w:p>
        </w:tc>
      </w:tr>
      <w:tr w:rsidR="00F147D2" w:rsidRPr="00EF62D3" w14:paraId="172E03F0" w14:textId="77777777" w:rsidTr="00F147D2">
        <w:tc>
          <w:tcPr>
            <w:tcW w:w="1799" w:type="dxa"/>
          </w:tcPr>
          <w:p w14:paraId="0625462B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Test</w:t>
            </w:r>
          </w:p>
          <w:p w14:paraId="5F019EA2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5C2FA3D6" w14:textId="65BF794A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127710,55</w:t>
            </w:r>
          </w:p>
        </w:tc>
        <w:tc>
          <w:tcPr>
            <w:tcW w:w="2693" w:type="dxa"/>
          </w:tcPr>
          <w:p w14:paraId="51A3E250" w14:textId="2EC1566D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10818,68</w:t>
            </w:r>
          </w:p>
        </w:tc>
      </w:tr>
      <w:tr w:rsidR="00F147D2" w:rsidRPr="00EF62D3" w14:paraId="1DA4E60A" w14:textId="77777777" w:rsidTr="00F147D2">
        <w:tc>
          <w:tcPr>
            <w:tcW w:w="1799" w:type="dxa"/>
          </w:tcPr>
          <w:p w14:paraId="5B59BEBD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Reference</w:t>
            </w:r>
          </w:p>
          <w:p w14:paraId="1CF74D7A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5663FB9D" w14:textId="2EC07C39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120528,39</w:t>
            </w:r>
          </w:p>
        </w:tc>
        <w:tc>
          <w:tcPr>
            <w:tcW w:w="2693" w:type="dxa"/>
          </w:tcPr>
          <w:p w14:paraId="49460119" w14:textId="09AC1F2A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9855,79</w:t>
            </w:r>
          </w:p>
        </w:tc>
      </w:tr>
      <w:tr w:rsidR="00F147D2" w:rsidRPr="00EF62D3" w14:paraId="7F2BAB8B" w14:textId="77777777" w:rsidTr="00F147D2">
        <w:tc>
          <w:tcPr>
            <w:tcW w:w="1799" w:type="dxa"/>
          </w:tcPr>
          <w:p w14:paraId="5A19CBD2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*Ratio (90% CI)</w:t>
            </w:r>
          </w:p>
          <w:p w14:paraId="2AAD2E5A" w14:textId="77777777" w:rsidR="00F147D2" w:rsidRPr="00EF62D3" w:rsidRDefault="00F147D2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50D7FE39" w14:textId="16176EE5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105,96 (97,65-114,97)</w:t>
            </w:r>
          </w:p>
        </w:tc>
        <w:tc>
          <w:tcPr>
            <w:tcW w:w="2693" w:type="dxa"/>
          </w:tcPr>
          <w:p w14:paraId="11658854" w14:textId="131F01F8" w:rsidR="00F147D2" w:rsidRPr="00EF62D3" w:rsidRDefault="00F147D2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109,77 (100,35-120,08)</w:t>
            </w:r>
          </w:p>
        </w:tc>
      </w:tr>
      <w:tr w:rsidR="00F44B8C" w:rsidRPr="00EF62D3" w14:paraId="5C557754" w14:textId="77777777" w:rsidTr="00F147D2">
        <w:tc>
          <w:tcPr>
            <w:tcW w:w="7154" w:type="dxa"/>
            <w:gridSpan w:val="3"/>
          </w:tcPr>
          <w:p w14:paraId="4960FA11" w14:textId="77777777" w:rsidR="00F44B8C" w:rsidRPr="00EF62D3" w:rsidRDefault="00F44B8C" w:rsidP="00F44B8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F62D3">
              <w:rPr>
                <w:rFonts w:cs="Calibri"/>
                <w:b/>
                <w:bCs/>
                <w:sz w:val="16"/>
                <w:szCs w:val="16"/>
              </w:rPr>
              <w:t>AUC</w:t>
            </w:r>
            <w:r w:rsidRPr="00EF62D3">
              <w:rPr>
                <w:rFonts w:cs="Calibri"/>
                <w:b/>
                <w:bCs/>
                <w:sz w:val="16"/>
                <w:szCs w:val="16"/>
                <w:vertAlign w:val="subscript"/>
              </w:rPr>
              <w:t>0-t</w:t>
            </w:r>
            <w:r w:rsidRPr="00EF62D3">
              <w:rPr>
                <w:rFonts w:cs="Calibri"/>
                <w:b/>
                <w:sz w:val="16"/>
                <w:szCs w:val="16"/>
                <w:vertAlign w:val="subscript"/>
              </w:rPr>
              <w:t xml:space="preserve"> </w:t>
            </w:r>
            <w:r w:rsidRPr="00EF62D3">
              <w:rPr>
                <w:rFonts w:cs="Calibri"/>
                <w:b/>
                <w:sz w:val="16"/>
                <w:szCs w:val="16"/>
                <w:vertAlign w:val="subscript"/>
              </w:rPr>
              <w:tab/>
            </w:r>
            <w:r w:rsidRPr="00EF62D3">
              <w:rPr>
                <w:rFonts w:cs="Calibri"/>
                <w:sz w:val="16"/>
                <w:szCs w:val="16"/>
              </w:rPr>
              <w:t>Area sotto la curva dal tempo zero al tempo t</w:t>
            </w:r>
          </w:p>
          <w:p w14:paraId="286640B5" w14:textId="77777777" w:rsidR="00F44B8C" w:rsidRPr="00EF62D3" w:rsidRDefault="00F44B8C" w:rsidP="00F44B8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F62D3">
              <w:rPr>
                <w:rFonts w:cs="Calibri"/>
                <w:b/>
                <w:bCs/>
                <w:sz w:val="16"/>
                <w:szCs w:val="16"/>
              </w:rPr>
              <w:t>C</w:t>
            </w:r>
            <w:r w:rsidRPr="00EF62D3">
              <w:rPr>
                <w:rFonts w:cs="Calibri"/>
                <w:b/>
                <w:bCs/>
                <w:sz w:val="16"/>
                <w:szCs w:val="16"/>
                <w:vertAlign w:val="subscript"/>
              </w:rPr>
              <w:t>max</w:t>
            </w:r>
            <w:r w:rsidRPr="00EF62D3"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 w:rsidRPr="00EF62D3">
              <w:rPr>
                <w:rFonts w:cs="Calibri"/>
                <w:b/>
                <w:sz w:val="16"/>
                <w:szCs w:val="16"/>
              </w:rPr>
              <w:tab/>
            </w:r>
            <w:r w:rsidRPr="00EF62D3">
              <w:rPr>
                <w:rFonts w:cs="Calibri"/>
                <w:sz w:val="16"/>
                <w:szCs w:val="16"/>
              </w:rPr>
              <w:t>Concentrazione plasmatica massima</w:t>
            </w:r>
            <w:r w:rsidRPr="00EF62D3"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5CD341F" w14:textId="77777777" w:rsidR="00F44B8C" w:rsidRPr="00EF62D3" w:rsidRDefault="00F44B8C" w:rsidP="00F44B8C">
            <w:pPr>
              <w:tabs>
                <w:tab w:val="center" w:pos="4429"/>
              </w:tabs>
              <w:spacing w:after="0" w:line="240" w:lineRule="auto"/>
              <w:rPr>
                <w:rFonts w:eastAsia="Times New Roman" w:cs="Calibri"/>
                <w:lang w:eastAsia="fi-FI"/>
              </w:rPr>
            </w:pPr>
            <w:r w:rsidRPr="00EF62D3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>t</w:t>
            </w:r>
            <w:r w:rsidRPr="00EF62D3">
              <w:rPr>
                <w:rFonts w:eastAsia="Times New Roman" w:cs="Calibri"/>
                <w:b/>
                <w:bCs/>
                <w:sz w:val="16"/>
                <w:szCs w:val="16"/>
                <w:vertAlign w:val="subscript"/>
                <w:lang w:eastAsia="fi-FI"/>
              </w:rPr>
              <w:t>max</w:t>
            </w:r>
            <w:r w:rsidRPr="00EF62D3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 xml:space="preserve">            </w:t>
            </w:r>
            <w:r w:rsidRPr="00EF62D3">
              <w:rPr>
                <w:rFonts w:eastAsia="Times New Roman" w:cs="Calibri"/>
                <w:sz w:val="16"/>
                <w:szCs w:val="16"/>
              </w:rPr>
              <w:t>Tempo al picco di concentrazione plasmatica</w:t>
            </w:r>
          </w:p>
        </w:tc>
      </w:tr>
    </w:tbl>
    <w:p w14:paraId="55CFCB46" w14:textId="5100F4AC" w:rsidR="00F44B8C" w:rsidRPr="00EF62D3" w:rsidRDefault="00F44B8C" w:rsidP="00132B98"/>
    <w:p w14:paraId="0D4F1B21" w14:textId="14CF890C" w:rsidR="00F147D2" w:rsidRPr="00EF62D3" w:rsidRDefault="00F147D2" w:rsidP="00F147D2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  <w:r w:rsidRPr="00EF62D3">
        <w:rPr>
          <w:rFonts w:ascii="Calibri" w:hAnsi="Calibri" w:cs="Calibri"/>
          <w:b w:val="0"/>
          <w:szCs w:val="24"/>
          <w:lang w:val="it-IT"/>
        </w:rPr>
        <w:t xml:space="preserve">La sintesi dei risultati </w:t>
      </w:r>
      <w:r w:rsidR="00F15A05">
        <w:rPr>
          <w:rFonts w:ascii="Calibri" w:hAnsi="Calibri" w:cs="Calibri"/>
          <w:b w:val="0"/>
          <w:szCs w:val="24"/>
          <w:lang w:val="it-IT"/>
        </w:rPr>
        <w:t xml:space="preserve">dello studio di </w:t>
      </w:r>
      <w:proofErr w:type="spellStart"/>
      <w:r w:rsidR="00F15A05">
        <w:rPr>
          <w:rFonts w:ascii="Calibri" w:hAnsi="Calibri" w:cs="Calibri"/>
          <w:b w:val="0"/>
          <w:szCs w:val="24"/>
          <w:lang w:val="it-IT"/>
        </w:rPr>
        <w:t>bioequivalenza</w:t>
      </w:r>
      <w:proofErr w:type="spellEnd"/>
      <w:r w:rsidR="00F15A05">
        <w:rPr>
          <w:rFonts w:ascii="Calibri" w:hAnsi="Calibri" w:cs="Calibri"/>
          <w:b w:val="0"/>
          <w:szCs w:val="24"/>
          <w:lang w:val="it-IT"/>
        </w:rPr>
        <w:t xml:space="preserve"> </w:t>
      </w:r>
      <w:r w:rsidRPr="00EF62D3">
        <w:rPr>
          <w:rFonts w:ascii="Calibri" w:hAnsi="Calibri" w:cs="Calibri"/>
          <w:b w:val="0"/>
          <w:szCs w:val="24"/>
          <w:lang w:val="it-IT"/>
        </w:rPr>
        <w:t xml:space="preserve">condotto con il dosaggio da </w:t>
      </w:r>
      <w:r w:rsidRPr="00EF62D3">
        <w:rPr>
          <w:rFonts w:ascii="Calibri" w:hAnsi="Calibri" w:cs="Calibri"/>
          <w:szCs w:val="24"/>
          <w:lang w:val="it-IT"/>
        </w:rPr>
        <w:t>25 mg</w:t>
      </w:r>
      <w:r w:rsidRPr="00EF62D3">
        <w:rPr>
          <w:rFonts w:ascii="Calibri" w:hAnsi="Calibri" w:cs="Calibri"/>
          <w:b w:val="0"/>
          <w:szCs w:val="24"/>
          <w:lang w:val="it-IT"/>
        </w:rPr>
        <w:t xml:space="preserve"> è riportata nella tabella che segue.</w:t>
      </w:r>
    </w:p>
    <w:p w14:paraId="2ED08387" w14:textId="77777777" w:rsidR="00F147D2" w:rsidRPr="00EF62D3" w:rsidRDefault="00F147D2" w:rsidP="00F147D2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9"/>
        <w:gridCol w:w="2662"/>
        <w:gridCol w:w="2693"/>
      </w:tblGrid>
      <w:tr w:rsidR="00F147D2" w:rsidRPr="00EF62D3" w14:paraId="15ECF6EA" w14:textId="77777777" w:rsidTr="00F73568">
        <w:tc>
          <w:tcPr>
            <w:tcW w:w="1799" w:type="dxa"/>
            <w:shd w:val="clear" w:color="auto" w:fill="C0C0C0"/>
          </w:tcPr>
          <w:p w14:paraId="105290E9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lang w:val="de-DE" w:eastAsia="fi-FI"/>
              </w:rPr>
              <w:t>Trattamento</w:t>
            </w:r>
          </w:p>
        </w:tc>
        <w:tc>
          <w:tcPr>
            <w:tcW w:w="2662" w:type="dxa"/>
            <w:shd w:val="clear" w:color="auto" w:fill="C0C0C0"/>
          </w:tcPr>
          <w:p w14:paraId="4A8DFD55" w14:textId="77777777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lang w:val="de-DE" w:eastAsia="fi-FI"/>
              </w:rPr>
              <w:t>AUC</w:t>
            </w:r>
            <w:r w:rsidRPr="00EF62D3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0-72</w:t>
            </w:r>
          </w:p>
          <w:p w14:paraId="443C72AE" w14:textId="77777777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F62D3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ng/ml/h</w:t>
            </w:r>
          </w:p>
        </w:tc>
        <w:tc>
          <w:tcPr>
            <w:tcW w:w="2693" w:type="dxa"/>
            <w:shd w:val="clear" w:color="auto" w:fill="C0C0C0"/>
          </w:tcPr>
          <w:p w14:paraId="5E085E04" w14:textId="77777777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C</w:t>
            </w:r>
            <w:r w:rsidRPr="00EF62D3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max</w:t>
            </w:r>
          </w:p>
          <w:p w14:paraId="020BB35F" w14:textId="77777777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ng/ml</w:t>
            </w:r>
          </w:p>
        </w:tc>
      </w:tr>
      <w:tr w:rsidR="00F147D2" w:rsidRPr="00EF62D3" w14:paraId="78325491" w14:textId="77777777" w:rsidTr="00F73568">
        <w:tc>
          <w:tcPr>
            <w:tcW w:w="1799" w:type="dxa"/>
          </w:tcPr>
          <w:p w14:paraId="3EC939B7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Test</w:t>
            </w:r>
          </w:p>
          <w:p w14:paraId="48B7EFA1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5370DEA3" w14:textId="396A7B41" w:rsidR="00F147D2" w:rsidRPr="00EF62D3" w:rsidRDefault="00266329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49266,69</w:t>
            </w:r>
          </w:p>
        </w:tc>
        <w:tc>
          <w:tcPr>
            <w:tcW w:w="2693" w:type="dxa"/>
          </w:tcPr>
          <w:p w14:paraId="2C19E351" w14:textId="73541587" w:rsidR="00F147D2" w:rsidRPr="00EF62D3" w:rsidRDefault="00266329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4017,34</w:t>
            </w:r>
          </w:p>
        </w:tc>
      </w:tr>
      <w:tr w:rsidR="00F147D2" w:rsidRPr="00EF62D3" w14:paraId="5DFF4ABC" w14:textId="77777777" w:rsidTr="00F73568">
        <w:tc>
          <w:tcPr>
            <w:tcW w:w="1799" w:type="dxa"/>
          </w:tcPr>
          <w:p w14:paraId="3DE33D15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Reference</w:t>
            </w:r>
          </w:p>
          <w:p w14:paraId="51AB1297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2AF4FB08" w14:textId="6CBF8039" w:rsidR="00F147D2" w:rsidRPr="00EF62D3" w:rsidRDefault="00266329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48938,42</w:t>
            </w:r>
          </w:p>
        </w:tc>
        <w:tc>
          <w:tcPr>
            <w:tcW w:w="2693" w:type="dxa"/>
          </w:tcPr>
          <w:p w14:paraId="134F2306" w14:textId="26527F67" w:rsidR="00F147D2" w:rsidRPr="00EF62D3" w:rsidRDefault="00266329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3853,32</w:t>
            </w:r>
          </w:p>
        </w:tc>
      </w:tr>
      <w:tr w:rsidR="00F147D2" w:rsidRPr="00EF62D3" w14:paraId="04965AEE" w14:textId="77777777" w:rsidTr="00F73568">
        <w:tc>
          <w:tcPr>
            <w:tcW w:w="1799" w:type="dxa"/>
          </w:tcPr>
          <w:p w14:paraId="25E2F8EC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F62D3">
              <w:rPr>
                <w:rFonts w:eastAsia="Times New Roman" w:cs="Calibri"/>
                <w:b/>
                <w:bCs/>
                <w:lang w:val="en-GB" w:eastAsia="fi-FI"/>
              </w:rPr>
              <w:t>*Ratio (90% CI)</w:t>
            </w:r>
          </w:p>
          <w:p w14:paraId="0F743B6C" w14:textId="77777777" w:rsidR="00F147D2" w:rsidRPr="00EF62D3" w:rsidRDefault="00F147D2" w:rsidP="00F73568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662" w:type="dxa"/>
          </w:tcPr>
          <w:p w14:paraId="79184EDC" w14:textId="3DA52879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10</w:t>
            </w:r>
            <w:r w:rsidR="00266329" w:rsidRPr="00EF62D3">
              <w:rPr>
                <w:rFonts w:eastAsia="Times New Roman" w:cs="Calibri"/>
                <w:lang w:val="en-GB" w:eastAsia="fi-FI"/>
              </w:rPr>
              <w:t>0</w:t>
            </w:r>
            <w:r w:rsidRPr="00EF62D3">
              <w:rPr>
                <w:rFonts w:eastAsia="Times New Roman" w:cs="Calibri"/>
                <w:lang w:val="en-GB" w:eastAsia="fi-FI"/>
              </w:rPr>
              <w:t>,</w:t>
            </w:r>
            <w:r w:rsidR="00266329" w:rsidRPr="00EF62D3">
              <w:rPr>
                <w:rFonts w:eastAsia="Times New Roman" w:cs="Calibri"/>
                <w:lang w:val="en-GB" w:eastAsia="fi-FI"/>
              </w:rPr>
              <w:t>67</w:t>
            </w:r>
            <w:r w:rsidRPr="00EF62D3">
              <w:rPr>
                <w:rFonts w:eastAsia="Times New Roman" w:cs="Calibri"/>
                <w:lang w:val="en-GB" w:eastAsia="fi-FI"/>
              </w:rPr>
              <w:t xml:space="preserve"> (9</w:t>
            </w:r>
            <w:r w:rsidR="00266329" w:rsidRPr="00EF62D3">
              <w:rPr>
                <w:rFonts w:eastAsia="Times New Roman" w:cs="Calibri"/>
                <w:lang w:val="en-GB" w:eastAsia="fi-FI"/>
              </w:rPr>
              <w:t>5,42-</w:t>
            </w:r>
            <w:r w:rsidRPr="00EF62D3">
              <w:rPr>
                <w:rFonts w:eastAsia="Times New Roman" w:cs="Calibri"/>
                <w:lang w:val="en-GB" w:eastAsia="fi-FI"/>
              </w:rPr>
              <w:t>1</w:t>
            </w:r>
            <w:r w:rsidR="00266329" w:rsidRPr="00EF62D3">
              <w:rPr>
                <w:rFonts w:eastAsia="Times New Roman" w:cs="Calibri"/>
                <w:lang w:val="en-GB" w:eastAsia="fi-FI"/>
              </w:rPr>
              <w:t>06,21</w:t>
            </w:r>
            <w:r w:rsidRPr="00EF62D3">
              <w:rPr>
                <w:rFonts w:eastAsia="Times New Roman" w:cs="Calibri"/>
                <w:lang w:val="en-GB" w:eastAsia="fi-FI"/>
              </w:rPr>
              <w:t>)</w:t>
            </w:r>
          </w:p>
        </w:tc>
        <w:tc>
          <w:tcPr>
            <w:tcW w:w="2693" w:type="dxa"/>
          </w:tcPr>
          <w:p w14:paraId="349649B4" w14:textId="0E37B701" w:rsidR="00F147D2" w:rsidRPr="00EF62D3" w:rsidRDefault="00F147D2" w:rsidP="00F73568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EF62D3">
              <w:rPr>
                <w:rFonts w:eastAsia="Times New Roman" w:cs="Calibri"/>
                <w:lang w:val="en-GB" w:eastAsia="fi-FI"/>
              </w:rPr>
              <w:t>10</w:t>
            </w:r>
            <w:r w:rsidR="00266329" w:rsidRPr="00EF62D3">
              <w:rPr>
                <w:rFonts w:eastAsia="Times New Roman" w:cs="Calibri"/>
                <w:lang w:val="en-GB" w:eastAsia="fi-FI"/>
              </w:rPr>
              <w:t>4,26</w:t>
            </w:r>
            <w:r w:rsidRPr="00EF62D3">
              <w:rPr>
                <w:rFonts w:eastAsia="Times New Roman" w:cs="Calibri"/>
                <w:lang w:val="en-GB" w:eastAsia="fi-FI"/>
              </w:rPr>
              <w:t xml:space="preserve"> (</w:t>
            </w:r>
            <w:r w:rsidR="00266329" w:rsidRPr="00EF62D3">
              <w:rPr>
                <w:rFonts w:eastAsia="Times New Roman" w:cs="Calibri"/>
                <w:lang w:val="en-GB" w:eastAsia="fi-FI"/>
              </w:rPr>
              <w:t>98,14</w:t>
            </w:r>
            <w:r w:rsidRPr="00EF62D3">
              <w:rPr>
                <w:rFonts w:eastAsia="Times New Roman" w:cs="Calibri"/>
                <w:lang w:val="en-GB" w:eastAsia="fi-FI"/>
              </w:rPr>
              <w:t>-1</w:t>
            </w:r>
            <w:r w:rsidR="00266329" w:rsidRPr="00EF62D3">
              <w:rPr>
                <w:rFonts w:eastAsia="Times New Roman" w:cs="Calibri"/>
                <w:lang w:val="en-GB" w:eastAsia="fi-FI"/>
              </w:rPr>
              <w:t>10,75</w:t>
            </w:r>
            <w:r w:rsidRPr="00EF62D3">
              <w:rPr>
                <w:rFonts w:eastAsia="Times New Roman" w:cs="Calibri"/>
                <w:lang w:val="en-GB" w:eastAsia="fi-FI"/>
              </w:rPr>
              <w:t>)</w:t>
            </w:r>
          </w:p>
        </w:tc>
      </w:tr>
      <w:tr w:rsidR="00F147D2" w:rsidRPr="00EF62D3" w14:paraId="78105D26" w14:textId="77777777" w:rsidTr="00F73568">
        <w:tc>
          <w:tcPr>
            <w:tcW w:w="7154" w:type="dxa"/>
            <w:gridSpan w:val="3"/>
          </w:tcPr>
          <w:p w14:paraId="172B1C74" w14:textId="77777777" w:rsidR="00F147D2" w:rsidRPr="00EF62D3" w:rsidRDefault="00F147D2" w:rsidP="00F73568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F62D3">
              <w:rPr>
                <w:rFonts w:cs="Calibri"/>
                <w:b/>
                <w:bCs/>
                <w:sz w:val="16"/>
                <w:szCs w:val="16"/>
              </w:rPr>
              <w:t>AUC</w:t>
            </w:r>
            <w:r w:rsidRPr="00EF62D3">
              <w:rPr>
                <w:rFonts w:cs="Calibri"/>
                <w:b/>
                <w:bCs/>
                <w:sz w:val="16"/>
                <w:szCs w:val="16"/>
                <w:vertAlign w:val="subscript"/>
              </w:rPr>
              <w:t>0-t</w:t>
            </w:r>
            <w:r w:rsidRPr="00EF62D3">
              <w:rPr>
                <w:rFonts w:cs="Calibri"/>
                <w:b/>
                <w:sz w:val="16"/>
                <w:szCs w:val="16"/>
                <w:vertAlign w:val="subscript"/>
              </w:rPr>
              <w:t xml:space="preserve"> </w:t>
            </w:r>
            <w:r w:rsidRPr="00EF62D3">
              <w:rPr>
                <w:rFonts w:cs="Calibri"/>
                <w:b/>
                <w:sz w:val="16"/>
                <w:szCs w:val="16"/>
                <w:vertAlign w:val="subscript"/>
              </w:rPr>
              <w:tab/>
            </w:r>
            <w:r w:rsidRPr="00EF62D3">
              <w:rPr>
                <w:rFonts w:cs="Calibri"/>
                <w:sz w:val="16"/>
                <w:szCs w:val="16"/>
              </w:rPr>
              <w:t>Area sotto la curva dal tempo zero al tempo t</w:t>
            </w:r>
          </w:p>
          <w:p w14:paraId="6BEF4642" w14:textId="77777777" w:rsidR="00F147D2" w:rsidRPr="00EF62D3" w:rsidRDefault="00F147D2" w:rsidP="00F73568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F62D3">
              <w:rPr>
                <w:rFonts w:cs="Calibri"/>
                <w:b/>
                <w:bCs/>
                <w:sz w:val="16"/>
                <w:szCs w:val="16"/>
              </w:rPr>
              <w:t>C</w:t>
            </w:r>
            <w:r w:rsidRPr="00EF62D3">
              <w:rPr>
                <w:rFonts w:cs="Calibri"/>
                <w:b/>
                <w:bCs/>
                <w:sz w:val="16"/>
                <w:szCs w:val="16"/>
                <w:vertAlign w:val="subscript"/>
              </w:rPr>
              <w:t>max</w:t>
            </w:r>
            <w:r w:rsidRPr="00EF62D3"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 w:rsidRPr="00EF62D3">
              <w:rPr>
                <w:rFonts w:cs="Calibri"/>
                <w:b/>
                <w:sz w:val="16"/>
                <w:szCs w:val="16"/>
              </w:rPr>
              <w:tab/>
            </w:r>
            <w:r w:rsidRPr="00EF62D3">
              <w:rPr>
                <w:rFonts w:cs="Calibri"/>
                <w:sz w:val="16"/>
                <w:szCs w:val="16"/>
              </w:rPr>
              <w:t>Concentrazione plasmatica massima</w:t>
            </w:r>
            <w:r w:rsidRPr="00EF62D3"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567540D" w14:textId="77777777" w:rsidR="00F147D2" w:rsidRPr="00EF62D3" w:rsidRDefault="00F147D2" w:rsidP="00F73568">
            <w:pPr>
              <w:tabs>
                <w:tab w:val="center" w:pos="4429"/>
              </w:tabs>
              <w:spacing w:after="0" w:line="240" w:lineRule="auto"/>
              <w:rPr>
                <w:rFonts w:eastAsia="Times New Roman" w:cs="Calibri"/>
                <w:lang w:eastAsia="fi-FI"/>
              </w:rPr>
            </w:pPr>
            <w:r w:rsidRPr="00EF62D3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>t</w:t>
            </w:r>
            <w:r w:rsidRPr="00EF62D3">
              <w:rPr>
                <w:rFonts w:eastAsia="Times New Roman" w:cs="Calibri"/>
                <w:b/>
                <w:bCs/>
                <w:sz w:val="16"/>
                <w:szCs w:val="16"/>
                <w:vertAlign w:val="subscript"/>
                <w:lang w:eastAsia="fi-FI"/>
              </w:rPr>
              <w:t>max</w:t>
            </w:r>
            <w:r w:rsidRPr="00EF62D3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 xml:space="preserve">            </w:t>
            </w:r>
            <w:r w:rsidRPr="00EF62D3">
              <w:rPr>
                <w:rFonts w:eastAsia="Times New Roman" w:cs="Calibri"/>
                <w:sz w:val="16"/>
                <w:szCs w:val="16"/>
              </w:rPr>
              <w:t>Tempo al picco di concentrazione plasmatica</w:t>
            </w:r>
          </w:p>
        </w:tc>
      </w:tr>
    </w:tbl>
    <w:p w14:paraId="2CB74141" w14:textId="77777777" w:rsidR="00F147D2" w:rsidRPr="00EF62D3" w:rsidRDefault="00F147D2" w:rsidP="00132B98"/>
    <w:p w14:paraId="1FB61CA4" w14:textId="77777777" w:rsidR="005049A1" w:rsidRPr="00EF62D3" w:rsidRDefault="005049A1" w:rsidP="005049A1">
      <w:pPr>
        <w:spacing w:after="0" w:line="240" w:lineRule="auto"/>
        <w:rPr>
          <w:rFonts w:cs="Calibri"/>
          <w:sz w:val="24"/>
          <w:szCs w:val="24"/>
        </w:rPr>
      </w:pPr>
      <w:r w:rsidRPr="00EF62D3">
        <w:rPr>
          <w:rFonts w:cs="Calibri"/>
          <w:i/>
          <w:sz w:val="24"/>
          <w:szCs w:val="24"/>
        </w:rPr>
        <w:t>Conclusioni sulla bioequivalenza</w:t>
      </w:r>
      <w:r w:rsidRPr="00EF62D3">
        <w:rPr>
          <w:rFonts w:cs="Calibri"/>
          <w:sz w:val="24"/>
          <w:szCs w:val="24"/>
        </w:rPr>
        <w:t>.</w:t>
      </w:r>
    </w:p>
    <w:p w14:paraId="28757BBF" w14:textId="77777777" w:rsidR="005049A1" w:rsidRPr="00EF62D3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I risultati degli studi di bioequivalenza mostrano che gli intervalli di confidenza dei parametri farmacocinetici studiati cadono nel range di accettabilità di 80-125%, in accordo con le linee guida correnti.</w:t>
      </w:r>
    </w:p>
    <w:p w14:paraId="3E1922C2" w14:textId="77777777" w:rsidR="0078680B" w:rsidRPr="00EF62D3" w:rsidRDefault="0078680B" w:rsidP="00A47604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lang w:eastAsia="it-IT"/>
        </w:rPr>
      </w:pPr>
    </w:p>
    <w:p w14:paraId="232375EF" w14:textId="0E81688F" w:rsidR="00AD051C" w:rsidRPr="00EF62D3" w:rsidRDefault="004631F3" w:rsidP="009E7F95">
      <w:pPr>
        <w:spacing w:after="0" w:line="240" w:lineRule="auto"/>
        <w:jc w:val="both"/>
        <w:rPr>
          <w:rFonts w:cs="Calibri"/>
          <w:b/>
          <w:i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</w:rPr>
        <w:t>I risultati de</w:t>
      </w:r>
      <w:r w:rsidR="00266329" w:rsidRPr="00EF62D3">
        <w:rPr>
          <w:rFonts w:cs="Calibri"/>
          <w:sz w:val="24"/>
          <w:szCs w:val="24"/>
        </w:rPr>
        <w:t>gli</w:t>
      </w:r>
      <w:r w:rsidRPr="00EF62D3">
        <w:rPr>
          <w:rFonts w:cs="Calibri"/>
          <w:sz w:val="24"/>
          <w:szCs w:val="24"/>
        </w:rPr>
        <w:t xml:space="preserve"> studi di bioequivalenza p</w:t>
      </w:r>
      <w:r w:rsidR="00266329" w:rsidRPr="00EF62D3">
        <w:rPr>
          <w:rFonts w:cs="Calibri"/>
          <w:sz w:val="24"/>
          <w:szCs w:val="24"/>
        </w:rPr>
        <w:t xml:space="preserve">ossono </w:t>
      </w:r>
      <w:r w:rsidRPr="00EF62D3">
        <w:rPr>
          <w:rFonts w:cs="Calibri"/>
          <w:sz w:val="24"/>
          <w:szCs w:val="24"/>
        </w:rPr>
        <w:t>essere estrapolat</w:t>
      </w:r>
      <w:r w:rsidR="00266329" w:rsidRPr="00EF62D3">
        <w:rPr>
          <w:rFonts w:cs="Calibri"/>
          <w:sz w:val="24"/>
          <w:szCs w:val="24"/>
        </w:rPr>
        <w:t xml:space="preserve">i al dosaggio da 50 mg, </w:t>
      </w:r>
      <w:r w:rsidR="00F76F77" w:rsidRPr="00EF62D3">
        <w:rPr>
          <w:rFonts w:eastAsia="Times New Roman" w:cs="Calibri"/>
          <w:bCs/>
          <w:color w:val="000000"/>
          <w:sz w:val="24"/>
          <w:szCs w:val="24"/>
          <w:lang w:eastAsia="it-IT"/>
        </w:rPr>
        <w:t xml:space="preserve">in quanto sono stati soddisfatti i requisiti per la concessione del waiver </w:t>
      </w:r>
      <w:bookmarkStart w:id="1" w:name="_GoBack"/>
      <w:bookmarkEnd w:id="1"/>
      <w:r w:rsidR="00266329" w:rsidRPr="00EF62D3">
        <w:rPr>
          <w:rFonts w:eastAsia="Times New Roman" w:cs="Calibri"/>
          <w:bCs/>
          <w:color w:val="000000"/>
          <w:sz w:val="24"/>
          <w:szCs w:val="24"/>
          <w:lang w:eastAsia="it-IT"/>
        </w:rPr>
        <w:t xml:space="preserve">con il bracketing approach, </w:t>
      </w:r>
      <w:r w:rsidR="00F76F77" w:rsidRPr="00EF62D3">
        <w:rPr>
          <w:rFonts w:eastAsia="Times New Roman" w:cs="Calibri"/>
          <w:bCs/>
          <w:color w:val="000000"/>
          <w:sz w:val="24"/>
          <w:szCs w:val="24"/>
          <w:lang w:eastAsia="it-IT"/>
        </w:rPr>
        <w:t xml:space="preserve">di cui al paragrafo 4.1.6 della linea guida </w:t>
      </w:r>
      <w:r w:rsidR="00F76F77" w:rsidRPr="00EF62D3">
        <w:rPr>
          <w:rFonts w:cs="Calibri"/>
          <w:sz w:val="24"/>
          <w:szCs w:val="24"/>
        </w:rPr>
        <w:t xml:space="preserve">Guideline on the Investigation of Bioequivalence </w:t>
      </w:r>
      <w:r w:rsidR="00F76F77" w:rsidRPr="00EF62D3">
        <w:rPr>
          <w:rFonts w:eastAsia="Times New Roman" w:cs="Calibri"/>
          <w:bCs/>
          <w:color w:val="000000"/>
          <w:sz w:val="24"/>
          <w:szCs w:val="24"/>
          <w:lang w:eastAsia="it-IT"/>
        </w:rPr>
        <w:t>CPMP/EWP/QWP/98 rev.1/Corr**</w:t>
      </w:r>
      <w:r w:rsidR="009E7F95" w:rsidRPr="00EF62D3">
        <w:rPr>
          <w:rFonts w:eastAsia="Times New Roman" w:cs="Calibri"/>
          <w:bCs/>
          <w:color w:val="000000"/>
          <w:sz w:val="24"/>
          <w:szCs w:val="24"/>
          <w:lang w:eastAsia="it-IT"/>
        </w:rPr>
        <w:t>.</w:t>
      </w:r>
      <w:r w:rsidRPr="00EF62D3">
        <w:rPr>
          <w:rFonts w:cs="Calibri"/>
          <w:sz w:val="24"/>
          <w:szCs w:val="24"/>
        </w:rPr>
        <w:t xml:space="preserve"> </w:t>
      </w:r>
    </w:p>
    <w:p w14:paraId="457A79A9" w14:textId="77777777" w:rsidR="004631F3" w:rsidRPr="00EF62D3" w:rsidRDefault="004631F3" w:rsidP="005049A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69A1A4C" w14:textId="77777777" w:rsidR="005049A1" w:rsidRPr="00EF62D3" w:rsidRDefault="005049A1" w:rsidP="005049A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Efficacia e sicurezza clinica</w:t>
      </w:r>
    </w:p>
    <w:p w14:paraId="5DBBE192" w14:textId="36CB00AF" w:rsidR="005049A1" w:rsidRPr="00EF62D3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lastRenderedPageBreak/>
        <w:t>Non sono stati presentati nuovi dati di efficacia e sicurezza clinica: il profilo di sicur</w:t>
      </w:r>
      <w:r w:rsidR="00F90F1F" w:rsidRPr="00EF62D3">
        <w:rPr>
          <w:rFonts w:cs="Calibri"/>
          <w:sz w:val="24"/>
          <w:szCs w:val="24"/>
        </w:rPr>
        <w:t>ezza e l’efficacia del principi</w:t>
      </w:r>
      <w:r w:rsidR="009E7F95" w:rsidRPr="00EF62D3">
        <w:rPr>
          <w:rFonts w:cs="Calibri"/>
          <w:sz w:val="24"/>
          <w:szCs w:val="24"/>
        </w:rPr>
        <w:t>o</w:t>
      </w:r>
      <w:r w:rsidRPr="00EF62D3">
        <w:rPr>
          <w:rFonts w:cs="Calibri"/>
          <w:sz w:val="24"/>
          <w:szCs w:val="24"/>
        </w:rPr>
        <w:t xml:space="preserve"> attiv</w:t>
      </w:r>
      <w:r w:rsidR="009E7F95" w:rsidRPr="00EF62D3">
        <w:rPr>
          <w:rFonts w:cs="Calibri"/>
          <w:sz w:val="24"/>
          <w:szCs w:val="24"/>
        </w:rPr>
        <w:t>o</w:t>
      </w:r>
      <w:r w:rsidRPr="00EF62D3">
        <w:rPr>
          <w:rFonts w:cs="Calibri"/>
          <w:sz w:val="24"/>
          <w:szCs w:val="24"/>
        </w:rPr>
        <w:t xml:space="preserve">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C56FA9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 xml:space="preserve">è ben conosciuto. </w:t>
      </w:r>
    </w:p>
    <w:p w14:paraId="0BC99148" w14:textId="77777777" w:rsidR="006727BD" w:rsidRPr="00EF62D3" w:rsidRDefault="006727BD" w:rsidP="006727BD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lang w:eastAsia="it-IT"/>
        </w:rPr>
      </w:pPr>
    </w:p>
    <w:p w14:paraId="414C3EA9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Piano di Valutazione del Rischio (</w:t>
      </w:r>
      <w:r w:rsidRPr="00EF62D3">
        <w:rPr>
          <w:rFonts w:cs="Calibri"/>
          <w:b/>
          <w:i/>
          <w:sz w:val="24"/>
          <w:szCs w:val="24"/>
        </w:rPr>
        <w:t>Risk Management Plan</w:t>
      </w:r>
      <w:r w:rsidRPr="00EF62D3">
        <w:rPr>
          <w:rFonts w:cs="Calibri"/>
          <w:b/>
          <w:sz w:val="24"/>
          <w:szCs w:val="24"/>
        </w:rPr>
        <w:t xml:space="preserve"> - RMP)</w:t>
      </w:r>
    </w:p>
    <w:p w14:paraId="250CAB5E" w14:textId="10CE0965" w:rsidR="004E5A39" w:rsidRPr="00EF62D3" w:rsidRDefault="004E5A39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proofErr w:type="gramStart"/>
      <w:r w:rsidRPr="00EF62D3">
        <w:rPr>
          <w:rFonts w:cs="Calibri"/>
          <w:color w:val="000000"/>
          <w:sz w:val="24"/>
          <w:szCs w:val="24"/>
          <w:lang w:eastAsia="it-IT"/>
        </w:rPr>
        <w:t>E’</w:t>
      </w:r>
      <w:proofErr w:type="gramEnd"/>
      <w:r w:rsidRPr="00EF62D3">
        <w:rPr>
          <w:rFonts w:cs="Calibri"/>
          <w:color w:val="000000"/>
          <w:sz w:val="24"/>
          <w:szCs w:val="24"/>
          <w:lang w:eastAsia="it-IT"/>
        </w:rPr>
        <w:t xml:space="preserve"> stato presentato un RMP in accordo a quanto previsto dalla Direttiva 2001/83/EU s.m.i. che descrive le attività di farmacovigilanza e gli interventi definiti al fine di identificare, caratterizzare, prevenire o minimizzare i rischi collegati all’uso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>.</w:t>
      </w:r>
    </w:p>
    <w:p w14:paraId="7217040C" w14:textId="77777777" w:rsidR="00265B61" w:rsidRPr="00EF62D3" w:rsidRDefault="00265B61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r w:rsidRPr="00EF62D3">
        <w:rPr>
          <w:rFonts w:cs="Calibri"/>
          <w:color w:val="000000"/>
          <w:sz w:val="24"/>
          <w:szCs w:val="24"/>
          <w:lang w:eastAsia="it-IT"/>
        </w:rPr>
        <w:t>Il riassunto delle problematiche di sicurezza è riportato nella tabella seguente.</w:t>
      </w:r>
    </w:p>
    <w:p w14:paraId="5167FBF3" w14:textId="77777777" w:rsidR="00EF62D3" w:rsidRPr="00EF62D3" w:rsidRDefault="00EF62D3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12"/>
        <w:gridCol w:w="7042"/>
      </w:tblGrid>
      <w:tr w:rsidR="00EF62D3" w:rsidRPr="00EF62D3" w14:paraId="53983E01" w14:textId="77777777" w:rsidTr="009226BC">
        <w:trPr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14:paraId="3148DECD" w14:textId="77777777" w:rsidR="00EF62D3" w:rsidRPr="009226BC" w:rsidRDefault="00EF62D3" w:rsidP="00A567DE">
            <w:pPr>
              <w:pStyle w:val="BodytextAgency"/>
              <w:rPr>
                <w:rFonts w:ascii="Calibri" w:hAnsi="Calibri" w:cs="Calibri"/>
                <w:b/>
                <w:sz w:val="24"/>
                <w:szCs w:val="24"/>
                <w:lang w:val="it-IT"/>
              </w:rPr>
            </w:pPr>
            <w:bookmarkStart w:id="2" w:name="_Hlk224810829"/>
            <w:r w:rsidRPr="009226BC">
              <w:rPr>
                <w:rFonts w:ascii="Calibri" w:eastAsia="MS Mincho" w:hAnsi="Calibri" w:cs="Calibri"/>
                <w:b/>
                <w:sz w:val="24"/>
                <w:szCs w:val="24"/>
                <w:lang w:val="it-IT"/>
              </w:rPr>
              <w:t xml:space="preserve">Riassunto </w:t>
            </w:r>
            <w:r w:rsidRPr="009226BC">
              <w:rPr>
                <w:rFonts w:ascii="Calibri" w:hAnsi="Calibri" w:cs="Calibri"/>
                <w:b/>
                <w:sz w:val="24"/>
                <w:szCs w:val="24"/>
                <w:lang w:val="it-IT"/>
              </w:rPr>
              <w:t>dei rischi di sicurezza</w:t>
            </w:r>
          </w:p>
        </w:tc>
      </w:tr>
      <w:tr w:rsidR="00EF62D3" w:rsidRPr="00EF62D3" w14:paraId="6F74D21F" w14:textId="77777777" w:rsidTr="009226BC">
        <w:trPr>
          <w:jc w:val="center"/>
        </w:trPr>
        <w:tc>
          <w:tcPr>
            <w:tcW w:w="1427" w:type="pct"/>
            <w:vAlign w:val="center"/>
          </w:tcPr>
          <w:p w14:paraId="128F9CE9" w14:textId="77777777" w:rsidR="00EF62D3" w:rsidRPr="009226BC" w:rsidRDefault="00EF62D3" w:rsidP="009226BC">
            <w:pPr>
              <w:pStyle w:val="BodytextAgency"/>
              <w:rPr>
                <w:rFonts w:ascii="Calibri" w:hAnsi="Calibri" w:cs="Calibri"/>
                <w:sz w:val="24"/>
                <w:szCs w:val="24"/>
              </w:rPr>
            </w:pPr>
            <w:r w:rsidRPr="009226BC">
              <w:rPr>
                <w:rFonts w:ascii="Calibri" w:hAnsi="Calibri" w:cs="Calibri"/>
                <w:sz w:val="24"/>
                <w:szCs w:val="24"/>
              </w:rPr>
              <w:t>Rischi importanti identificati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34361" w14:textId="77777777" w:rsidR="00EF62D3" w:rsidRPr="009226BC" w:rsidRDefault="00EF62D3" w:rsidP="00A567DE">
            <w:pPr>
              <w:spacing w:before="120" w:after="120" w:line="280" w:lineRule="atLeast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Trombocitopenia Immune Primaria (ITP) dell’adulto, ITP pediatrica, Trombocitopenia associata a infezione da virus dell’epatite C (HCV) e anemia aplastica severa</w:t>
            </w:r>
          </w:p>
          <w:p w14:paraId="08BCA494" w14:textId="77777777" w:rsidR="00EF62D3" w:rsidRPr="009226BC" w:rsidRDefault="00EF62D3" w:rsidP="00EF62D3">
            <w:pPr>
              <w:pStyle w:val="Paragrafoelenco"/>
              <w:numPr>
                <w:ilvl w:val="0"/>
                <w:numId w:val="13"/>
              </w:numPr>
              <w:spacing w:before="120" w:after="120" w:line="280" w:lineRule="atLeast"/>
              <w:contextualSpacing w:val="0"/>
              <w:jc w:val="both"/>
              <w:rPr>
                <w:rStyle w:val="Enfasigrassetto"/>
                <w:rFonts w:cs="Calibri"/>
                <w:b w:val="0"/>
                <w:bCs w:val="0"/>
                <w:sz w:val="24"/>
                <w:szCs w:val="24"/>
              </w:rPr>
            </w:pPr>
            <w:r w:rsidRPr="009226BC">
              <w:rPr>
                <w:rStyle w:val="Enfasigrassetto"/>
                <w:rFonts w:cs="Calibri"/>
                <w:sz w:val="24"/>
                <w:szCs w:val="24"/>
              </w:rPr>
              <w:t>Epatotossicità</w:t>
            </w:r>
          </w:p>
          <w:p w14:paraId="4802680E" w14:textId="77777777" w:rsidR="00EF62D3" w:rsidRPr="009226BC" w:rsidRDefault="00EF62D3" w:rsidP="00EF62D3">
            <w:pPr>
              <w:pStyle w:val="Paragrafoelenco"/>
              <w:numPr>
                <w:ilvl w:val="0"/>
                <w:numId w:val="13"/>
              </w:numPr>
              <w:spacing w:before="120" w:after="120" w:line="280" w:lineRule="atLeast"/>
              <w:contextualSpacing w:val="0"/>
              <w:rPr>
                <w:rStyle w:val="Enfasigrassetto"/>
                <w:rFonts w:cs="Calibri"/>
                <w:b w:val="0"/>
                <w:bCs w:val="0"/>
                <w:sz w:val="24"/>
                <w:szCs w:val="24"/>
              </w:rPr>
            </w:pPr>
            <w:r w:rsidRPr="009226BC">
              <w:rPr>
                <w:rStyle w:val="Enfasigrassetto"/>
                <w:rFonts w:cs="Calibri"/>
                <w:sz w:val="24"/>
                <w:szCs w:val="24"/>
              </w:rPr>
              <w:t>Eventi tromboembolici</w:t>
            </w:r>
          </w:p>
          <w:p w14:paraId="1F5EB3F5" w14:textId="77777777" w:rsidR="00EF62D3" w:rsidRPr="009226BC" w:rsidRDefault="00EF62D3" w:rsidP="00A567DE">
            <w:pPr>
              <w:spacing w:before="120" w:after="120" w:line="280" w:lineRule="atLeast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Trombocitopenia associata a infezione da virus dell’epatite C (HCV)</w:t>
            </w:r>
          </w:p>
          <w:p w14:paraId="0F2A93CD" w14:textId="0BDC1943" w:rsidR="00EF62D3" w:rsidRPr="009226BC" w:rsidRDefault="00EF62D3" w:rsidP="00EF62D3">
            <w:pPr>
              <w:pStyle w:val="Paragrafoelenco"/>
              <w:numPr>
                <w:ilvl w:val="0"/>
                <w:numId w:val="14"/>
              </w:numPr>
              <w:spacing w:before="120" w:after="120" w:line="280" w:lineRule="atLeast"/>
              <w:contextualSpacing w:val="0"/>
              <w:rPr>
                <w:rFonts w:cs="Calibri"/>
                <w:b/>
                <w:bCs/>
                <w:sz w:val="24"/>
                <w:szCs w:val="24"/>
              </w:rPr>
            </w:pPr>
            <w:r w:rsidRPr="009226BC">
              <w:rPr>
                <w:rFonts w:cs="Calibri"/>
                <w:sz w:val="24"/>
                <w:szCs w:val="24"/>
              </w:rPr>
              <w:t>Scompenso epatico</w:t>
            </w:r>
          </w:p>
        </w:tc>
      </w:tr>
      <w:tr w:rsidR="00EF62D3" w:rsidRPr="00EF62D3" w14:paraId="1A1971E8" w14:textId="77777777" w:rsidTr="009226BC">
        <w:trPr>
          <w:jc w:val="center"/>
        </w:trPr>
        <w:tc>
          <w:tcPr>
            <w:tcW w:w="1427" w:type="pct"/>
            <w:vAlign w:val="center"/>
          </w:tcPr>
          <w:p w14:paraId="6FADE75F" w14:textId="77777777" w:rsidR="00EF62D3" w:rsidRPr="009226BC" w:rsidRDefault="00EF62D3" w:rsidP="009226BC">
            <w:pPr>
              <w:pStyle w:val="BodytextAgency"/>
              <w:rPr>
                <w:rFonts w:ascii="Calibri" w:hAnsi="Calibri" w:cs="Calibri"/>
                <w:sz w:val="24"/>
                <w:szCs w:val="24"/>
              </w:rPr>
            </w:pPr>
            <w:r w:rsidRPr="009226BC">
              <w:rPr>
                <w:rFonts w:ascii="Calibri" w:hAnsi="Calibri" w:cs="Calibri"/>
                <w:sz w:val="24"/>
                <w:szCs w:val="24"/>
              </w:rPr>
              <w:t>Rischi potenziali identificati</w:t>
            </w:r>
          </w:p>
        </w:tc>
        <w:tc>
          <w:tcPr>
            <w:tcW w:w="3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07F1" w14:textId="77777777" w:rsidR="00EF62D3" w:rsidRPr="009226BC" w:rsidRDefault="00EF62D3" w:rsidP="00A567DE">
            <w:pPr>
              <w:spacing w:before="120" w:after="120" w:line="280" w:lineRule="atLeast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Trombocitopenia Immune Primaria (ITP) dell’adulto, ITP pediatrica, Trombocitopenia associata a infezione da virus dell’epatite C (HCV) e anemia aplastica severa</w:t>
            </w:r>
          </w:p>
          <w:p w14:paraId="6647A00F" w14:textId="77777777" w:rsidR="00EF62D3" w:rsidRPr="009226BC" w:rsidRDefault="00EF62D3" w:rsidP="00EF62D3">
            <w:pPr>
              <w:pStyle w:val="Paragrafoelenco"/>
              <w:numPr>
                <w:ilvl w:val="0"/>
                <w:numId w:val="14"/>
              </w:numPr>
              <w:spacing w:before="120" w:after="120" w:line="280" w:lineRule="atLeast"/>
              <w:contextualSpacing w:val="0"/>
              <w:jc w:val="both"/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</w:pPr>
            <w:r w:rsidRPr="009226BC"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  <w:t>Aumento della formazione di reticolina nel midollo osseo</w:t>
            </w:r>
          </w:p>
          <w:p w14:paraId="64D454DC" w14:textId="77777777" w:rsidR="00EF62D3" w:rsidRPr="009226BC" w:rsidRDefault="00EF62D3" w:rsidP="00EF62D3">
            <w:pPr>
              <w:pStyle w:val="Paragrafoelenco"/>
              <w:numPr>
                <w:ilvl w:val="0"/>
                <w:numId w:val="14"/>
              </w:numPr>
              <w:spacing w:before="120" w:after="120" w:line="280" w:lineRule="atLeast"/>
              <w:contextualSpacing w:val="0"/>
              <w:jc w:val="both"/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</w:pPr>
            <w:r w:rsidRPr="009226BC"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  <w:t>Neoplasie ematologiche</w:t>
            </w:r>
          </w:p>
          <w:p w14:paraId="40C86DF7" w14:textId="77777777" w:rsidR="00EF62D3" w:rsidRPr="009226BC" w:rsidRDefault="00EF62D3" w:rsidP="00A567DE">
            <w:pPr>
              <w:spacing w:before="120" w:after="120" w:line="280" w:lineRule="atLeast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Anemia aplastica severa</w:t>
            </w:r>
          </w:p>
          <w:p w14:paraId="08C574AB" w14:textId="2928589C" w:rsidR="00EF62D3" w:rsidRPr="009226BC" w:rsidRDefault="00EF62D3" w:rsidP="00A567DE">
            <w:pPr>
              <w:pStyle w:val="Paragrafoelenco"/>
              <w:numPr>
                <w:ilvl w:val="0"/>
                <w:numId w:val="15"/>
              </w:numPr>
              <w:spacing w:before="120" w:after="120" w:line="280" w:lineRule="atLeast"/>
              <w:contextualSpacing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sz w:val="24"/>
                <w:szCs w:val="24"/>
              </w:rPr>
              <w:t>Anomalie citogenetiche</w:t>
            </w:r>
          </w:p>
        </w:tc>
      </w:tr>
      <w:tr w:rsidR="00EF62D3" w:rsidRPr="00EF62D3" w14:paraId="623A5619" w14:textId="77777777" w:rsidTr="009226BC">
        <w:trPr>
          <w:trHeight w:val="545"/>
          <w:jc w:val="center"/>
        </w:trPr>
        <w:tc>
          <w:tcPr>
            <w:tcW w:w="1427" w:type="pct"/>
            <w:tcBorders>
              <w:bottom w:val="single" w:sz="4" w:space="0" w:color="auto"/>
            </w:tcBorders>
            <w:vAlign w:val="center"/>
          </w:tcPr>
          <w:p w14:paraId="5D338415" w14:textId="77777777" w:rsidR="00EF62D3" w:rsidRPr="009226BC" w:rsidRDefault="00EF62D3" w:rsidP="009226BC">
            <w:pPr>
              <w:pStyle w:val="BodytextAgency"/>
              <w:rPr>
                <w:rFonts w:ascii="Calibri" w:hAnsi="Calibri" w:cs="Calibri"/>
                <w:sz w:val="24"/>
                <w:szCs w:val="24"/>
              </w:rPr>
            </w:pPr>
            <w:r w:rsidRPr="009226BC">
              <w:rPr>
                <w:rFonts w:ascii="Calibri" w:hAnsi="Calibri" w:cs="Calibri"/>
                <w:sz w:val="24"/>
                <w:szCs w:val="24"/>
              </w:rPr>
              <w:t>Informazioni mancanti</w:t>
            </w:r>
          </w:p>
        </w:tc>
        <w:tc>
          <w:tcPr>
            <w:tcW w:w="3573" w:type="pct"/>
            <w:tcBorders>
              <w:bottom w:val="single" w:sz="4" w:space="0" w:color="auto"/>
            </w:tcBorders>
            <w:vAlign w:val="center"/>
          </w:tcPr>
          <w:p w14:paraId="1C5EF951" w14:textId="77777777" w:rsidR="00EF62D3" w:rsidRPr="009226BC" w:rsidRDefault="00EF62D3" w:rsidP="00A567DE">
            <w:pPr>
              <w:spacing w:before="120" w:after="120" w:line="280" w:lineRule="atLeast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Trombocitopenia Immune Primaria (ITP) dell’adulto, ITP pediatrica, trombocitopenia associata a infezione da virus dell’epatite C (HCV) e anemia aplastica severa</w:t>
            </w:r>
          </w:p>
          <w:p w14:paraId="028F4A2F" w14:textId="77777777" w:rsidR="00EF62D3" w:rsidRPr="009226BC" w:rsidRDefault="00EF62D3" w:rsidP="00EF62D3">
            <w:pPr>
              <w:pStyle w:val="Paragrafoelenco"/>
              <w:numPr>
                <w:ilvl w:val="0"/>
                <w:numId w:val="15"/>
              </w:numPr>
              <w:spacing w:before="120" w:after="120" w:line="280" w:lineRule="atLeast"/>
              <w:contextualSpacing w:val="0"/>
              <w:jc w:val="both"/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</w:pPr>
            <w:r w:rsidRPr="009226BC">
              <w:rPr>
                <w:rFonts w:eastAsia="SimSun" w:cs="Calibri"/>
                <w:color w:val="000000"/>
                <w:sz w:val="24"/>
                <w:szCs w:val="24"/>
                <w:lang w:eastAsia="zh-CN"/>
              </w:rPr>
              <w:t>Pazienti con compromissione epatica</w:t>
            </w:r>
          </w:p>
          <w:p w14:paraId="4E1D9190" w14:textId="77777777" w:rsidR="00EF62D3" w:rsidRPr="009226BC" w:rsidRDefault="00EF62D3" w:rsidP="00A567DE">
            <w:pPr>
              <w:spacing w:before="120" w:after="120" w:line="280" w:lineRule="atLeast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b/>
                <w:bCs/>
                <w:color w:val="000000"/>
                <w:sz w:val="24"/>
                <w:szCs w:val="24"/>
              </w:rPr>
              <w:t>Anemia aplastica grave</w:t>
            </w:r>
          </w:p>
          <w:p w14:paraId="6DD01173" w14:textId="27CD8AB8" w:rsidR="00EF62D3" w:rsidRPr="009226BC" w:rsidRDefault="00EF62D3" w:rsidP="00A567DE">
            <w:pPr>
              <w:pStyle w:val="Paragrafoelenco"/>
              <w:numPr>
                <w:ilvl w:val="0"/>
                <w:numId w:val="15"/>
              </w:numPr>
              <w:spacing w:before="120" w:after="120" w:line="280" w:lineRule="atLeast"/>
              <w:contextualSpacing w:val="0"/>
              <w:jc w:val="both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9226BC">
              <w:rPr>
                <w:rFonts w:cs="Calibri"/>
                <w:sz w:val="24"/>
                <w:szCs w:val="24"/>
              </w:rPr>
              <w:t>Uso nella popolazione pediatrica</w:t>
            </w:r>
          </w:p>
        </w:tc>
      </w:tr>
      <w:bookmarkEnd w:id="2"/>
    </w:tbl>
    <w:p w14:paraId="1DE6FA65" w14:textId="77777777" w:rsidR="00265B61" w:rsidRPr="00EF62D3" w:rsidRDefault="00265B61" w:rsidP="00265B6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4120C6AA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Azioni routinarie di farmacovigilanza e di minimizzazione del rischio sono proposte per tutte le problematiche di sicurezza.</w:t>
      </w:r>
    </w:p>
    <w:p w14:paraId="217236A9" w14:textId="77777777" w:rsidR="00461D93" w:rsidRPr="00EF62D3" w:rsidRDefault="004E5A39" w:rsidP="009254C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EF62D3">
        <w:rPr>
          <w:rFonts w:cs="Calibri"/>
          <w:sz w:val="24"/>
          <w:szCs w:val="24"/>
        </w:rPr>
        <w:t xml:space="preserve">. </w:t>
      </w:r>
    </w:p>
    <w:p w14:paraId="7CF69EF6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C3D4DFD" w14:textId="1B0D95EB" w:rsidR="009568D6" w:rsidRPr="00EF62D3" w:rsidRDefault="009254CC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Per maggiori dettagli circa le attività di farmacovigilanza previste per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Pr="00EF62D3">
        <w:rPr>
          <w:rFonts w:cs="Calibri"/>
          <w:color w:val="000000"/>
          <w:sz w:val="24"/>
          <w:szCs w:val="24"/>
          <w:lang w:eastAsia="it-IT"/>
        </w:rPr>
        <w:t xml:space="preserve"> si può consultare il</w:t>
      </w:r>
      <w:r w:rsidRPr="00EF62D3">
        <w:rPr>
          <w:rFonts w:cs="Calibri"/>
          <w:sz w:val="24"/>
          <w:szCs w:val="24"/>
        </w:rPr>
        <w:t xml:space="preserve"> </w:t>
      </w:r>
      <w:r w:rsidR="009568D6" w:rsidRPr="00EF62D3">
        <w:rPr>
          <w:rFonts w:cs="Calibri"/>
          <w:sz w:val="24"/>
          <w:szCs w:val="24"/>
        </w:rPr>
        <w:t xml:space="preserve">“Summary </w:t>
      </w:r>
      <w:r w:rsidRPr="00EF62D3">
        <w:rPr>
          <w:rFonts w:cs="Calibri"/>
          <w:sz w:val="24"/>
          <w:szCs w:val="24"/>
        </w:rPr>
        <w:t>RMP</w:t>
      </w:r>
      <w:r w:rsidR="009568D6" w:rsidRPr="00EF62D3">
        <w:rPr>
          <w:rFonts w:cs="Calibri"/>
          <w:sz w:val="24"/>
          <w:szCs w:val="24"/>
        </w:rPr>
        <w:t>” allegato.</w:t>
      </w:r>
    </w:p>
    <w:p w14:paraId="76E597E2" w14:textId="77777777" w:rsidR="009254CC" w:rsidRPr="00EF62D3" w:rsidRDefault="009254CC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 </w:t>
      </w:r>
    </w:p>
    <w:p w14:paraId="5FBB8754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384391D5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Conclusioni</w:t>
      </w:r>
    </w:p>
    <w:p w14:paraId="133E7CF0" w14:textId="30E25E6F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Per la richiesta di AIC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E7CD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sono state presentate sufficienti informazioni cliniche.</w:t>
      </w:r>
    </w:p>
    <w:p w14:paraId="5F4BAD85" w14:textId="7744C315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Il rapporto beneficio/rischio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E7CD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è considerato favorevole dal punto di vista clinico.</w:t>
      </w:r>
    </w:p>
    <w:p w14:paraId="754CB934" w14:textId="77777777" w:rsidR="00F35F38" w:rsidRPr="00EF62D3" w:rsidRDefault="00F35F38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B6A03B1" w14:textId="77777777" w:rsidR="004E5A39" w:rsidRPr="00EF62D3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4D1C6442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CONSULTAZIONE SUL FOGLIO ILLUSTRATIVO</w:t>
      </w:r>
    </w:p>
    <w:p w14:paraId="7A721BF6" w14:textId="77777777" w:rsidR="003D6EF5" w:rsidRPr="00EF62D3" w:rsidRDefault="003D6EF5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53F1257" w14:textId="21DB705B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>Il foglio illustrativo è stato sottoposto al test di leggibilità in accordo ai requisiti dell’art. 59(3) e 61(1) de</w:t>
      </w:r>
      <w:r w:rsidR="00F106A0" w:rsidRPr="00EF62D3">
        <w:rPr>
          <w:rFonts w:cs="Calibri"/>
          <w:sz w:val="24"/>
          <w:szCs w:val="24"/>
        </w:rPr>
        <w:t xml:space="preserve">lla direttiva 2001/83/EU s.m.i. </w:t>
      </w:r>
      <w:r w:rsidRPr="00EF62D3">
        <w:rPr>
          <w:rFonts w:cs="Calibri"/>
          <w:sz w:val="24"/>
          <w:szCs w:val="24"/>
        </w:rPr>
        <w:t>i risultati del test hanno dimostrato che il foglio illustrativo corrisponde ai criteri imposti dalla linea guida sulla leggibilità di etichetta e foglio illustrativo dei medicinali per uso umano.</w:t>
      </w:r>
    </w:p>
    <w:p w14:paraId="58AD0E1A" w14:textId="77777777" w:rsidR="004631F3" w:rsidRPr="00EF62D3" w:rsidRDefault="004631F3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0202D4EA" w14:textId="77777777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1AEC3D7" w14:textId="77777777" w:rsidR="004E5A39" w:rsidRPr="00EF62D3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F62D3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689BD6BD" w14:textId="3BFAC370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La qualità 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BE7CDB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>è accettabile e non sono state rilevate criticità da un punto di vista non clinico e clinico.</w:t>
      </w:r>
    </w:p>
    <w:p w14:paraId="3D89F404" w14:textId="77777777" w:rsidR="00071E63" w:rsidRPr="00EF62D3" w:rsidRDefault="00071E63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06311BF" w14:textId="63A8D673" w:rsidR="00BE7CDB" w:rsidRPr="00EF62D3" w:rsidRDefault="00BE7CDB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Lo studio di bioequivalenza e le sue conclusioni confermano che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071E6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 xml:space="preserve">e il medicinale di riferimento </w:t>
      </w:r>
      <w:r w:rsidR="003D6EF5" w:rsidRPr="00EF62D3">
        <w:rPr>
          <w:rFonts w:cs="Calibri"/>
          <w:sz w:val="24"/>
          <w:szCs w:val="24"/>
        </w:rPr>
        <w:t xml:space="preserve">Revolade </w:t>
      </w:r>
      <w:r w:rsidR="00F90F1F" w:rsidRPr="00EF62D3">
        <w:rPr>
          <w:rFonts w:cs="Calibri"/>
          <w:sz w:val="24"/>
          <w:szCs w:val="24"/>
        </w:rPr>
        <w:t>sono bioequivalenti</w:t>
      </w:r>
      <w:r w:rsidRPr="00EF62D3">
        <w:rPr>
          <w:rFonts w:cs="Calibri"/>
          <w:sz w:val="24"/>
          <w:szCs w:val="24"/>
        </w:rPr>
        <w:t>.</w:t>
      </w:r>
    </w:p>
    <w:p w14:paraId="23ACB37D" w14:textId="77777777" w:rsidR="00F44B8C" w:rsidRPr="00EF62D3" w:rsidRDefault="00F44B8C" w:rsidP="00BE7CD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09E425D" w14:textId="77777777" w:rsidR="00071E63" w:rsidRPr="00EF62D3" w:rsidRDefault="00071E63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264B323" w14:textId="261B9B9A" w:rsidR="004E5A39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Il rapporto beneficio/rischio </w:t>
      </w:r>
      <w:r w:rsidR="00071E63" w:rsidRPr="00EF62D3">
        <w:rPr>
          <w:rFonts w:cs="Calibri"/>
          <w:sz w:val="24"/>
          <w:szCs w:val="24"/>
        </w:rPr>
        <w:t xml:space="preserve">di </w:t>
      </w:r>
      <w:r w:rsidR="002E257E" w:rsidRPr="00EF62D3">
        <w:rPr>
          <w:rFonts w:cs="Calibri"/>
          <w:color w:val="000000"/>
          <w:sz w:val="24"/>
          <w:szCs w:val="24"/>
          <w:lang w:eastAsia="it-IT"/>
        </w:rPr>
        <w:t>Eltrombopag Ever Pharma</w:t>
      </w:r>
      <w:r w:rsidR="00071E63" w:rsidRPr="00EF62D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F62D3">
        <w:rPr>
          <w:rFonts w:cs="Calibri"/>
          <w:sz w:val="24"/>
          <w:szCs w:val="24"/>
        </w:rPr>
        <w:t xml:space="preserve">è considerato </w:t>
      </w:r>
      <w:r w:rsidR="00071E63" w:rsidRPr="00EF62D3">
        <w:rPr>
          <w:rFonts w:cs="Calibri"/>
          <w:sz w:val="24"/>
          <w:szCs w:val="24"/>
        </w:rPr>
        <w:t>favorevole per l’autorizzazione all’immis</w:t>
      </w:r>
      <w:r w:rsidR="00997F05" w:rsidRPr="00EF62D3">
        <w:rPr>
          <w:rFonts w:cs="Calibri"/>
          <w:sz w:val="24"/>
          <w:szCs w:val="24"/>
        </w:rPr>
        <w:t>s</w:t>
      </w:r>
      <w:r w:rsidR="00071E63" w:rsidRPr="00EF62D3">
        <w:rPr>
          <w:rFonts w:cs="Calibri"/>
          <w:sz w:val="24"/>
          <w:szCs w:val="24"/>
        </w:rPr>
        <w:t>ione in commercio</w:t>
      </w:r>
      <w:r w:rsidRPr="00EF62D3">
        <w:rPr>
          <w:rFonts w:cs="Calibri"/>
          <w:sz w:val="24"/>
          <w:szCs w:val="24"/>
        </w:rPr>
        <w:t>.</w:t>
      </w:r>
    </w:p>
    <w:p w14:paraId="1C393F40" w14:textId="77777777" w:rsidR="00071E63" w:rsidRPr="00EF62D3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F62D3">
        <w:rPr>
          <w:rFonts w:cs="Calibr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EF62D3">
        <w:rPr>
          <w:rFonts w:cs="Calibri"/>
          <w:sz w:val="24"/>
          <w:szCs w:val="24"/>
        </w:rPr>
        <w:t xml:space="preserve">vigenti </w:t>
      </w:r>
      <w:r w:rsidRPr="00EF62D3">
        <w:rPr>
          <w:rFonts w:cs="Calibri"/>
          <w:sz w:val="24"/>
          <w:szCs w:val="24"/>
        </w:rPr>
        <w:t>linee guida</w:t>
      </w:r>
      <w:r w:rsidR="00071E63" w:rsidRPr="00EF62D3">
        <w:rPr>
          <w:rFonts w:cs="Calibri"/>
          <w:sz w:val="24"/>
          <w:szCs w:val="24"/>
        </w:rPr>
        <w:t xml:space="preserve"> e raccomandazioni italiane ed europee</w:t>
      </w:r>
      <w:r w:rsidRPr="00EF62D3">
        <w:rPr>
          <w:rFonts w:cs="Calibri"/>
          <w:sz w:val="24"/>
          <w:szCs w:val="24"/>
        </w:rPr>
        <w:t xml:space="preserve">. </w:t>
      </w:r>
    </w:p>
    <w:p w14:paraId="5B3C45B4" w14:textId="77777777" w:rsidR="00CE62A1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F62D3">
        <w:rPr>
          <w:rFonts w:cs="Calibri"/>
          <w:sz w:val="24"/>
          <w:szCs w:val="24"/>
        </w:rPr>
        <w:t xml:space="preserve">Questi documenti possono essere consultati sul sito istituzionale di AIFA </w:t>
      </w:r>
      <w:hyperlink r:id="rId12" w:anchor="/it/" w:history="1">
        <w:r w:rsidR="00F106A0" w:rsidRPr="00EF62D3">
          <w:rPr>
            <w:rStyle w:val="Collegamentoipertestuale"/>
            <w:rFonts w:cs="Calibri"/>
            <w:sz w:val="24"/>
            <w:szCs w:val="24"/>
          </w:rPr>
          <w:t>https://medicinali.aifa.gov.it/it/#/it/</w:t>
        </w:r>
      </w:hyperlink>
      <w:r w:rsidR="00F106A0" w:rsidRPr="00E07512">
        <w:rPr>
          <w:rFonts w:cs="Calibri"/>
          <w:sz w:val="24"/>
          <w:szCs w:val="24"/>
        </w:rPr>
        <w:t xml:space="preserve"> </w:t>
      </w:r>
    </w:p>
    <w:p w14:paraId="324AE0DC" w14:textId="77777777" w:rsidR="00046E1D" w:rsidRDefault="00046E1D" w:rsidP="00EF6711">
      <w:pPr>
        <w:spacing w:after="0" w:line="240" w:lineRule="auto"/>
        <w:jc w:val="both"/>
        <w:rPr>
          <w:rFonts w:cs="Calibri"/>
          <w:lang w:eastAsia="it-IT"/>
        </w:rPr>
      </w:pPr>
    </w:p>
    <w:sectPr w:rsidR="00046E1D" w:rsidSect="00EF671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EB300" w14:textId="77777777" w:rsidR="000402D6" w:rsidRDefault="000402D6" w:rsidP="00C07183">
      <w:pPr>
        <w:spacing w:after="0" w:line="240" w:lineRule="auto"/>
      </w:pPr>
      <w:r>
        <w:separator/>
      </w:r>
    </w:p>
  </w:endnote>
  <w:endnote w:type="continuationSeparator" w:id="0">
    <w:p w14:paraId="501B6163" w14:textId="77777777" w:rsidR="000402D6" w:rsidRDefault="000402D6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D52AC" w14:textId="77777777" w:rsidR="00FE4E30" w:rsidRDefault="00FE4E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DEA1B" w14:textId="77777777" w:rsidR="00FE4E30" w:rsidRPr="004A28BC" w:rsidRDefault="00FE4E30" w:rsidP="00FE4E30">
    <w:pPr>
      <w:spacing w:after="0" w:line="240" w:lineRule="auto"/>
      <w:rPr>
        <w:rFonts w:ascii="Times New Roman" w:eastAsia="Times New Roman" w:hAnsi="Times New Roman"/>
        <w:sz w:val="16"/>
        <w:szCs w:val="16"/>
        <w:lang w:eastAsia="it-IT"/>
      </w:rPr>
    </w:pPr>
    <w:r w:rsidRPr="004A28BC">
      <w:rPr>
        <w:rFonts w:eastAsia="Times New Roman" w:cs="Calibri"/>
        <w:color w:val="000000"/>
        <w:sz w:val="16"/>
        <w:szCs w:val="16"/>
        <w:lang w:eastAsia="it-IT"/>
      </w:rPr>
      <w:t>Documento ad uso Pubblico</w:t>
    </w:r>
  </w:p>
  <w:p w14:paraId="49AADF68" w14:textId="541E6E8F" w:rsidR="00132B98" w:rsidRDefault="00132B98" w:rsidP="004A28BC">
    <w:pPr>
      <w:pStyle w:val="Pidipagina"/>
      <w:jc w:val="right"/>
    </w:pPr>
    <w:r w:rsidRPr="004A28BC">
      <w:rPr>
        <w:sz w:val="16"/>
        <w:szCs w:val="16"/>
      </w:rPr>
      <w:fldChar w:fldCharType="begin"/>
    </w:r>
    <w:r w:rsidRPr="004A28BC">
      <w:rPr>
        <w:sz w:val="16"/>
        <w:szCs w:val="16"/>
      </w:rPr>
      <w:instrText>PAGE   \* MERGEFORMAT</w:instrText>
    </w:r>
    <w:r w:rsidRPr="004A28BC">
      <w:rPr>
        <w:sz w:val="16"/>
        <w:szCs w:val="16"/>
      </w:rPr>
      <w:fldChar w:fldCharType="separate"/>
    </w:r>
    <w:r w:rsidR="00F15A05">
      <w:rPr>
        <w:noProof/>
        <w:sz w:val="16"/>
        <w:szCs w:val="16"/>
      </w:rPr>
      <w:t>11</w:t>
    </w:r>
    <w:r w:rsidRPr="004A28BC">
      <w:rPr>
        <w:sz w:val="16"/>
        <w:szCs w:val="16"/>
      </w:rPr>
      <w:fldChar w:fldCharType="end"/>
    </w:r>
  </w:p>
  <w:p w14:paraId="3B496B34" w14:textId="77777777" w:rsidR="00132B98" w:rsidRDefault="00132B9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91FB" w14:textId="77777777" w:rsidR="00FE4E30" w:rsidRDefault="00FE4E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11668" w14:textId="77777777" w:rsidR="000402D6" w:rsidRDefault="000402D6" w:rsidP="00C07183">
      <w:pPr>
        <w:spacing w:after="0" w:line="240" w:lineRule="auto"/>
      </w:pPr>
      <w:r>
        <w:separator/>
      </w:r>
    </w:p>
  </w:footnote>
  <w:footnote w:type="continuationSeparator" w:id="0">
    <w:p w14:paraId="24EEC862" w14:textId="77777777" w:rsidR="000402D6" w:rsidRDefault="000402D6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91959" w14:textId="77777777" w:rsidR="00FE4E30" w:rsidRDefault="00FE4E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861E7" w14:textId="77777777" w:rsidR="00132B98" w:rsidRDefault="00132B98" w:rsidP="00132B98">
    <w:pPr>
      <w:pStyle w:val="Intestazione"/>
    </w:pPr>
  </w:p>
  <w:p w14:paraId="42A0A34D" w14:textId="77777777" w:rsidR="00132B98" w:rsidRPr="004A28BC" w:rsidRDefault="00132B98">
    <w:pPr>
      <w:pStyle w:val="Intestazion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4FB8A" w14:textId="77777777" w:rsidR="00FE4E30" w:rsidRDefault="00FE4E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6E5"/>
    <w:multiLevelType w:val="hybridMultilevel"/>
    <w:tmpl w:val="F06AA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F4945"/>
    <w:multiLevelType w:val="hybridMultilevel"/>
    <w:tmpl w:val="2CD8B1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C6D23"/>
    <w:multiLevelType w:val="hybridMultilevel"/>
    <w:tmpl w:val="68C23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F4037"/>
    <w:multiLevelType w:val="hybridMultilevel"/>
    <w:tmpl w:val="D1702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057E4"/>
    <w:multiLevelType w:val="hybridMultilevel"/>
    <w:tmpl w:val="FC8882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4132A"/>
    <w:multiLevelType w:val="hybridMultilevel"/>
    <w:tmpl w:val="E38857A8"/>
    <w:lvl w:ilvl="0" w:tplc="0E0416A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30B85"/>
    <w:multiLevelType w:val="hybridMultilevel"/>
    <w:tmpl w:val="2924AED2"/>
    <w:lvl w:ilvl="0" w:tplc="0E0416A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14"/>
  </w:num>
  <w:num w:numId="9">
    <w:abstractNumId w:val="13"/>
  </w:num>
  <w:num w:numId="10">
    <w:abstractNumId w:val="12"/>
  </w:num>
  <w:num w:numId="11">
    <w:abstractNumId w:val="5"/>
  </w:num>
  <w:num w:numId="12">
    <w:abstractNumId w:val="3"/>
  </w:num>
  <w:num w:numId="13">
    <w:abstractNumId w:val="10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it-IT" w:vendorID="64" w:dllVersion="131078" w:nlCheck="1" w:checkStyle="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27A4"/>
    <w:rsid w:val="0000541B"/>
    <w:rsid w:val="00010F5F"/>
    <w:rsid w:val="00013020"/>
    <w:rsid w:val="0001352C"/>
    <w:rsid w:val="00014743"/>
    <w:rsid w:val="000163F3"/>
    <w:rsid w:val="00017C2C"/>
    <w:rsid w:val="0002205E"/>
    <w:rsid w:val="00022511"/>
    <w:rsid w:val="00022F32"/>
    <w:rsid w:val="00023CEA"/>
    <w:rsid w:val="00027DF9"/>
    <w:rsid w:val="00035DB7"/>
    <w:rsid w:val="000402D6"/>
    <w:rsid w:val="00046E1D"/>
    <w:rsid w:val="00050F6A"/>
    <w:rsid w:val="00062636"/>
    <w:rsid w:val="00065E52"/>
    <w:rsid w:val="00071E63"/>
    <w:rsid w:val="000759F6"/>
    <w:rsid w:val="000808A3"/>
    <w:rsid w:val="000948FB"/>
    <w:rsid w:val="000A4BA1"/>
    <w:rsid w:val="000B2D4A"/>
    <w:rsid w:val="000B7AC8"/>
    <w:rsid w:val="000C1389"/>
    <w:rsid w:val="000C44B0"/>
    <w:rsid w:val="000E1F86"/>
    <w:rsid w:val="000E4494"/>
    <w:rsid w:val="000E4A73"/>
    <w:rsid w:val="000F405C"/>
    <w:rsid w:val="000F658F"/>
    <w:rsid w:val="00111E9E"/>
    <w:rsid w:val="001128CE"/>
    <w:rsid w:val="00112B76"/>
    <w:rsid w:val="00126BC8"/>
    <w:rsid w:val="00132B98"/>
    <w:rsid w:val="001334B1"/>
    <w:rsid w:val="00136EA6"/>
    <w:rsid w:val="00145BBC"/>
    <w:rsid w:val="001460CA"/>
    <w:rsid w:val="0016526F"/>
    <w:rsid w:val="00165D07"/>
    <w:rsid w:val="00172AED"/>
    <w:rsid w:val="00194300"/>
    <w:rsid w:val="0019539B"/>
    <w:rsid w:val="00195C98"/>
    <w:rsid w:val="001A516D"/>
    <w:rsid w:val="001B2799"/>
    <w:rsid w:val="001B599D"/>
    <w:rsid w:val="001C15DF"/>
    <w:rsid w:val="001C4323"/>
    <w:rsid w:val="001F0D20"/>
    <w:rsid w:val="001F5E2F"/>
    <w:rsid w:val="0021736D"/>
    <w:rsid w:val="00221C4C"/>
    <w:rsid w:val="00245B04"/>
    <w:rsid w:val="00252FE8"/>
    <w:rsid w:val="002554FE"/>
    <w:rsid w:val="00265B61"/>
    <w:rsid w:val="00266329"/>
    <w:rsid w:val="002744F3"/>
    <w:rsid w:val="00277376"/>
    <w:rsid w:val="00277A0E"/>
    <w:rsid w:val="00295EEA"/>
    <w:rsid w:val="00297F10"/>
    <w:rsid w:val="002A05B9"/>
    <w:rsid w:val="002A0816"/>
    <w:rsid w:val="002A1800"/>
    <w:rsid w:val="002B662A"/>
    <w:rsid w:val="002C2324"/>
    <w:rsid w:val="002C2D9F"/>
    <w:rsid w:val="002D2807"/>
    <w:rsid w:val="002E257E"/>
    <w:rsid w:val="002F2543"/>
    <w:rsid w:val="002F4000"/>
    <w:rsid w:val="00300BEA"/>
    <w:rsid w:val="00305B55"/>
    <w:rsid w:val="003061E0"/>
    <w:rsid w:val="00323648"/>
    <w:rsid w:val="003238CF"/>
    <w:rsid w:val="00326DCA"/>
    <w:rsid w:val="00330DFA"/>
    <w:rsid w:val="00340DC4"/>
    <w:rsid w:val="003460E9"/>
    <w:rsid w:val="0035275B"/>
    <w:rsid w:val="00353838"/>
    <w:rsid w:val="003544C6"/>
    <w:rsid w:val="00367CE0"/>
    <w:rsid w:val="00385A7C"/>
    <w:rsid w:val="00387CA8"/>
    <w:rsid w:val="003949F9"/>
    <w:rsid w:val="00396139"/>
    <w:rsid w:val="003B0421"/>
    <w:rsid w:val="003B4584"/>
    <w:rsid w:val="003B68D5"/>
    <w:rsid w:val="003C054E"/>
    <w:rsid w:val="003D6EF5"/>
    <w:rsid w:val="003E1E83"/>
    <w:rsid w:val="003E6F5A"/>
    <w:rsid w:val="003F1D39"/>
    <w:rsid w:val="00401F2D"/>
    <w:rsid w:val="0041387F"/>
    <w:rsid w:val="004139CE"/>
    <w:rsid w:val="004214DB"/>
    <w:rsid w:val="0042214D"/>
    <w:rsid w:val="00423A97"/>
    <w:rsid w:val="004241AC"/>
    <w:rsid w:val="00431962"/>
    <w:rsid w:val="00435039"/>
    <w:rsid w:val="00436309"/>
    <w:rsid w:val="00441071"/>
    <w:rsid w:val="00442A9D"/>
    <w:rsid w:val="00445DB2"/>
    <w:rsid w:val="004509BC"/>
    <w:rsid w:val="004532E2"/>
    <w:rsid w:val="00453821"/>
    <w:rsid w:val="004609F8"/>
    <w:rsid w:val="00461D93"/>
    <w:rsid w:val="004621A2"/>
    <w:rsid w:val="004631F3"/>
    <w:rsid w:val="00467A7D"/>
    <w:rsid w:val="00477F06"/>
    <w:rsid w:val="00482C32"/>
    <w:rsid w:val="004922A2"/>
    <w:rsid w:val="00495754"/>
    <w:rsid w:val="004A28BC"/>
    <w:rsid w:val="004B20A8"/>
    <w:rsid w:val="004B5B15"/>
    <w:rsid w:val="004D6E61"/>
    <w:rsid w:val="004D7AE2"/>
    <w:rsid w:val="004E08CB"/>
    <w:rsid w:val="004E28E5"/>
    <w:rsid w:val="004E376F"/>
    <w:rsid w:val="004E5A39"/>
    <w:rsid w:val="004E70F5"/>
    <w:rsid w:val="004F343B"/>
    <w:rsid w:val="00500ACA"/>
    <w:rsid w:val="005049A1"/>
    <w:rsid w:val="00504FC1"/>
    <w:rsid w:val="00510016"/>
    <w:rsid w:val="00516966"/>
    <w:rsid w:val="005250B6"/>
    <w:rsid w:val="005256F6"/>
    <w:rsid w:val="00527ED8"/>
    <w:rsid w:val="00533529"/>
    <w:rsid w:val="0056372C"/>
    <w:rsid w:val="005637E9"/>
    <w:rsid w:val="00566FB2"/>
    <w:rsid w:val="00567615"/>
    <w:rsid w:val="00572390"/>
    <w:rsid w:val="005744D4"/>
    <w:rsid w:val="005772E7"/>
    <w:rsid w:val="00577746"/>
    <w:rsid w:val="00577DAC"/>
    <w:rsid w:val="005826A6"/>
    <w:rsid w:val="00593553"/>
    <w:rsid w:val="005950D6"/>
    <w:rsid w:val="005A466E"/>
    <w:rsid w:val="005A4BBD"/>
    <w:rsid w:val="005B4C97"/>
    <w:rsid w:val="005C2427"/>
    <w:rsid w:val="005C45B7"/>
    <w:rsid w:val="005C61C7"/>
    <w:rsid w:val="005D18E5"/>
    <w:rsid w:val="005E148A"/>
    <w:rsid w:val="005F549F"/>
    <w:rsid w:val="005F54B1"/>
    <w:rsid w:val="00601021"/>
    <w:rsid w:val="006079F2"/>
    <w:rsid w:val="00610BAB"/>
    <w:rsid w:val="0061105F"/>
    <w:rsid w:val="00620A93"/>
    <w:rsid w:val="00621AE2"/>
    <w:rsid w:val="006222F7"/>
    <w:rsid w:val="006231AC"/>
    <w:rsid w:val="006361A6"/>
    <w:rsid w:val="00642D6A"/>
    <w:rsid w:val="0064646C"/>
    <w:rsid w:val="00652AE5"/>
    <w:rsid w:val="00654D9E"/>
    <w:rsid w:val="0065555C"/>
    <w:rsid w:val="00663BCD"/>
    <w:rsid w:val="00664931"/>
    <w:rsid w:val="006727BD"/>
    <w:rsid w:val="00672E7F"/>
    <w:rsid w:val="00674427"/>
    <w:rsid w:val="00683C58"/>
    <w:rsid w:val="006A035B"/>
    <w:rsid w:val="006A129A"/>
    <w:rsid w:val="006A3A37"/>
    <w:rsid w:val="006B311C"/>
    <w:rsid w:val="006B3E12"/>
    <w:rsid w:val="006B7C6E"/>
    <w:rsid w:val="006C0722"/>
    <w:rsid w:val="006C08B4"/>
    <w:rsid w:val="006C56A1"/>
    <w:rsid w:val="006C5811"/>
    <w:rsid w:val="006D3336"/>
    <w:rsid w:val="006D7B8C"/>
    <w:rsid w:val="006F44C7"/>
    <w:rsid w:val="00712DB3"/>
    <w:rsid w:val="00716DF5"/>
    <w:rsid w:val="007170D7"/>
    <w:rsid w:val="007221B6"/>
    <w:rsid w:val="00733A71"/>
    <w:rsid w:val="00745609"/>
    <w:rsid w:val="00746F3E"/>
    <w:rsid w:val="00747DF3"/>
    <w:rsid w:val="00747E46"/>
    <w:rsid w:val="00766E26"/>
    <w:rsid w:val="0078608F"/>
    <w:rsid w:val="0078680B"/>
    <w:rsid w:val="007874EE"/>
    <w:rsid w:val="00797416"/>
    <w:rsid w:val="007A14F4"/>
    <w:rsid w:val="007A1C0E"/>
    <w:rsid w:val="007C0622"/>
    <w:rsid w:val="007C2AA9"/>
    <w:rsid w:val="007C2B5F"/>
    <w:rsid w:val="007D2539"/>
    <w:rsid w:val="007E4E98"/>
    <w:rsid w:val="0080248B"/>
    <w:rsid w:val="00806579"/>
    <w:rsid w:val="00811B01"/>
    <w:rsid w:val="00816CF4"/>
    <w:rsid w:val="00823F4C"/>
    <w:rsid w:val="00824EF9"/>
    <w:rsid w:val="008375CF"/>
    <w:rsid w:val="00852F5B"/>
    <w:rsid w:val="008531ED"/>
    <w:rsid w:val="00853EC6"/>
    <w:rsid w:val="008547B3"/>
    <w:rsid w:val="008604F2"/>
    <w:rsid w:val="008767B9"/>
    <w:rsid w:val="00877CB9"/>
    <w:rsid w:val="008819D4"/>
    <w:rsid w:val="00881BCB"/>
    <w:rsid w:val="0088216F"/>
    <w:rsid w:val="00887C00"/>
    <w:rsid w:val="00890A5C"/>
    <w:rsid w:val="008A6FEC"/>
    <w:rsid w:val="008B0B8D"/>
    <w:rsid w:val="008B214E"/>
    <w:rsid w:val="008B46E3"/>
    <w:rsid w:val="008B60D7"/>
    <w:rsid w:val="008C36E1"/>
    <w:rsid w:val="008C3877"/>
    <w:rsid w:val="008C3D30"/>
    <w:rsid w:val="008C75F9"/>
    <w:rsid w:val="008D1529"/>
    <w:rsid w:val="008D7307"/>
    <w:rsid w:val="008D7E5F"/>
    <w:rsid w:val="008E3D9E"/>
    <w:rsid w:val="008F117D"/>
    <w:rsid w:val="008F1489"/>
    <w:rsid w:val="008F69A7"/>
    <w:rsid w:val="00904996"/>
    <w:rsid w:val="009108BF"/>
    <w:rsid w:val="009226BC"/>
    <w:rsid w:val="009232AA"/>
    <w:rsid w:val="009254CC"/>
    <w:rsid w:val="00943785"/>
    <w:rsid w:val="00950EC3"/>
    <w:rsid w:val="009565BA"/>
    <w:rsid w:val="009568D6"/>
    <w:rsid w:val="00957832"/>
    <w:rsid w:val="0096794F"/>
    <w:rsid w:val="009726BF"/>
    <w:rsid w:val="009802F7"/>
    <w:rsid w:val="00983038"/>
    <w:rsid w:val="0098470E"/>
    <w:rsid w:val="0099120C"/>
    <w:rsid w:val="00991F75"/>
    <w:rsid w:val="009941C9"/>
    <w:rsid w:val="00997646"/>
    <w:rsid w:val="00997F05"/>
    <w:rsid w:val="009A23DE"/>
    <w:rsid w:val="009A260F"/>
    <w:rsid w:val="009B03DB"/>
    <w:rsid w:val="009B1E44"/>
    <w:rsid w:val="009C1453"/>
    <w:rsid w:val="009C3E8B"/>
    <w:rsid w:val="009D3446"/>
    <w:rsid w:val="009D61B8"/>
    <w:rsid w:val="009D6C7E"/>
    <w:rsid w:val="009E0140"/>
    <w:rsid w:val="009E2BC0"/>
    <w:rsid w:val="009E49AD"/>
    <w:rsid w:val="009E7F95"/>
    <w:rsid w:val="009F3867"/>
    <w:rsid w:val="009F395B"/>
    <w:rsid w:val="009F5439"/>
    <w:rsid w:val="009F584E"/>
    <w:rsid w:val="00A01AB1"/>
    <w:rsid w:val="00A03645"/>
    <w:rsid w:val="00A046AC"/>
    <w:rsid w:val="00A11FD6"/>
    <w:rsid w:val="00A2331E"/>
    <w:rsid w:val="00A24300"/>
    <w:rsid w:val="00A247C5"/>
    <w:rsid w:val="00A31CC1"/>
    <w:rsid w:val="00A40FF3"/>
    <w:rsid w:val="00A47604"/>
    <w:rsid w:val="00A47B51"/>
    <w:rsid w:val="00A61A65"/>
    <w:rsid w:val="00A62D55"/>
    <w:rsid w:val="00A76C19"/>
    <w:rsid w:val="00A8243C"/>
    <w:rsid w:val="00A83AB4"/>
    <w:rsid w:val="00A84362"/>
    <w:rsid w:val="00A86F5A"/>
    <w:rsid w:val="00A908B9"/>
    <w:rsid w:val="00A966D1"/>
    <w:rsid w:val="00AA516E"/>
    <w:rsid w:val="00AA556F"/>
    <w:rsid w:val="00AC0DDE"/>
    <w:rsid w:val="00AC31D4"/>
    <w:rsid w:val="00AC3E39"/>
    <w:rsid w:val="00AC586B"/>
    <w:rsid w:val="00AD051C"/>
    <w:rsid w:val="00AD4BE6"/>
    <w:rsid w:val="00AF52E2"/>
    <w:rsid w:val="00B0151C"/>
    <w:rsid w:val="00B01DB7"/>
    <w:rsid w:val="00B023E9"/>
    <w:rsid w:val="00B03E01"/>
    <w:rsid w:val="00B10F17"/>
    <w:rsid w:val="00B113DF"/>
    <w:rsid w:val="00B1186F"/>
    <w:rsid w:val="00B15135"/>
    <w:rsid w:val="00B30431"/>
    <w:rsid w:val="00B43D24"/>
    <w:rsid w:val="00B51571"/>
    <w:rsid w:val="00B57E1F"/>
    <w:rsid w:val="00B61590"/>
    <w:rsid w:val="00B862CA"/>
    <w:rsid w:val="00BA0ACD"/>
    <w:rsid w:val="00BB2AF8"/>
    <w:rsid w:val="00BB7B54"/>
    <w:rsid w:val="00BC561B"/>
    <w:rsid w:val="00BC74C2"/>
    <w:rsid w:val="00BD39EB"/>
    <w:rsid w:val="00BE7CDB"/>
    <w:rsid w:val="00BF55B9"/>
    <w:rsid w:val="00BF716B"/>
    <w:rsid w:val="00BF7A42"/>
    <w:rsid w:val="00C007D1"/>
    <w:rsid w:val="00C058E1"/>
    <w:rsid w:val="00C05CC0"/>
    <w:rsid w:val="00C07183"/>
    <w:rsid w:val="00C123BC"/>
    <w:rsid w:val="00C15C8C"/>
    <w:rsid w:val="00C16E4B"/>
    <w:rsid w:val="00C17BE2"/>
    <w:rsid w:val="00C2072B"/>
    <w:rsid w:val="00C2462C"/>
    <w:rsid w:val="00C2565A"/>
    <w:rsid w:val="00C30793"/>
    <w:rsid w:val="00C33438"/>
    <w:rsid w:val="00C344A5"/>
    <w:rsid w:val="00C35B02"/>
    <w:rsid w:val="00C42AAC"/>
    <w:rsid w:val="00C50582"/>
    <w:rsid w:val="00C51FF1"/>
    <w:rsid w:val="00C527A2"/>
    <w:rsid w:val="00C56FA9"/>
    <w:rsid w:val="00C66597"/>
    <w:rsid w:val="00C7332C"/>
    <w:rsid w:val="00C74500"/>
    <w:rsid w:val="00CB58DE"/>
    <w:rsid w:val="00CC1489"/>
    <w:rsid w:val="00CC52A3"/>
    <w:rsid w:val="00CC7AFF"/>
    <w:rsid w:val="00CD4358"/>
    <w:rsid w:val="00CE62A1"/>
    <w:rsid w:val="00CF08A6"/>
    <w:rsid w:val="00CF15F6"/>
    <w:rsid w:val="00D037ED"/>
    <w:rsid w:val="00D20170"/>
    <w:rsid w:val="00D212AA"/>
    <w:rsid w:val="00D22C34"/>
    <w:rsid w:val="00D35BA5"/>
    <w:rsid w:val="00D36209"/>
    <w:rsid w:val="00D36F9A"/>
    <w:rsid w:val="00D46147"/>
    <w:rsid w:val="00D60600"/>
    <w:rsid w:val="00D6711E"/>
    <w:rsid w:val="00DA5F9B"/>
    <w:rsid w:val="00DB021E"/>
    <w:rsid w:val="00DB359A"/>
    <w:rsid w:val="00DC187E"/>
    <w:rsid w:val="00DF5BFE"/>
    <w:rsid w:val="00E00430"/>
    <w:rsid w:val="00E07512"/>
    <w:rsid w:val="00E10D6C"/>
    <w:rsid w:val="00E138E6"/>
    <w:rsid w:val="00E207B1"/>
    <w:rsid w:val="00E20E87"/>
    <w:rsid w:val="00E21D30"/>
    <w:rsid w:val="00E25D34"/>
    <w:rsid w:val="00E26828"/>
    <w:rsid w:val="00E42578"/>
    <w:rsid w:val="00E42593"/>
    <w:rsid w:val="00E43089"/>
    <w:rsid w:val="00E5360B"/>
    <w:rsid w:val="00E60548"/>
    <w:rsid w:val="00E76C11"/>
    <w:rsid w:val="00E83F8D"/>
    <w:rsid w:val="00E8749D"/>
    <w:rsid w:val="00E972B0"/>
    <w:rsid w:val="00EA2159"/>
    <w:rsid w:val="00EB4398"/>
    <w:rsid w:val="00EC33C5"/>
    <w:rsid w:val="00EC3589"/>
    <w:rsid w:val="00EC679D"/>
    <w:rsid w:val="00ED19E3"/>
    <w:rsid w:val="00ED72E4"/>
    <w:rsid w:val="00EF062E"/>
    <w:rsid w:val="00EF4C83"/>
    <w:rsid w:val="00EF62D3"/>
    <w:rsid w:val="00EF6711"/>
    <w:rsid w:val="00F106A0"/>
    <w:rsid w:val="00F1246A"/>
    <w:rsid w:val="00F147D2"/>
    <w:rsid w:val="00F15A05"/>
    <w:rsid w:val="00F27C7F"/>
    <w:rsid w:val="00F35F38"/>
    <w:rsid w:val="00F44B8C"/>
    <w:rsid w:val="00F52531"/>
    <w:rsid w:val="00F53956"/>
    <w:rsid w:val="00F61CF9"/>
    <w:rsid w:val="00F66767"/>
    <w:rsid w:val="00F67DFC"/>
    <w:rsid w:val="00F70FE8"/>
    <w:rsid w:val="00F76F77"/>
    <w:rsid w:val="00F813B8"/>
    <w:rsid w:val="00F85989"/>
    <w:rsid w:val="00F87BE3"/>
    <w:rsid w:val="00F90F1F"/>
    <w:rsid w:val="00F9470C"/>
    <w:rsid w:val="00F96473"/>
    <w:rsid w:val="00F964BE"/>
    <w:rsid w:val="00F97D1C"/>
    <w:rsid w:val="00FA2702"/>
    <w:rsid w:val="00FA271D"/>
    <w:rsid w:val="00FB3BF5"/>
    <w:rsid w:val="00FB4181"/>
    <w:rsid w:val="00FC0183"/>
    <w:rsid w:val="00FC1C60"/>
    <w:rsid w:val="00FD415D"/>
    <w:rsid w:val="00FE4E30"/>
    <w:rsid w:val="00FF2DE3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0BDA9"/>
  <w15:docId w15:val="{9BBBE048-5ED0-4FEC-BCE6-3435E5CC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47D2"/>
    <w:pPr>
      <w:spacing w:after="200" w:line="276" w:lineRule="auto"/>
    </w:pPr>
    <w:rPr>
      <w:sz w:val="22"/>
      <w:szCs w:val="22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567615"/>
    <w:rPr>
      <w:color w:val="0000FF"/>
      <w:u w:val="single"/>
    </w:rPr>
  </w:style>
  <w:style w:type="paragraph" w:styleId="Paragrafoelenco">
    <w:name w:val="List Paragraph"/>
    <w:basedOn w:val="Normale"/>
    <w:uiPriority w:val="99"/>
    <w:qFormat/>
    <w:rsid w:val="004E5A39"/>
    <w:pPr>
      <w:ind w:left="720"/>
      <w:contextualSpacing/>
    </w:pPr>
  </w:style>
  <w:style w:type="character" w:customStyle="1" w:styleId="s1">
    <w:name w:val="s1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rPr>
      <w:sz w:val="22"/>
      <w:szCs w:val="22"/>
      <w:lang w:val="it-IT" w:eastAsia="en-US"/>
    </w:rPr>
  </w:style>
  <w:style w:type="paragraph" w:customStyle="1" w:styleId="BodytextAgency">
    <w:name w:val="Body text (Agency)"/>
    <w:basedOn w:val="Normale"/>
    <w:link w:val="BodytextAgencyChar"/>
    <w:qFormat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character" w:customStyle="1" w:styleId="BodytextAgencyChar">
    <w:name w:val="Body text (Agency) Char"/>
    <w:link w:val="BodytextAgency"/>
    <w:qFormat/>
    <w:locked/>
    <w:rsid w:val="00EF62D3"/>
    <w:rPr>
      <w:rFonts w:ascii="Verdana" w:eastAsia="Times New Roman" w:hAnsi="Verdana" w:cs="Verdana"/>
      <w:sz w:val="18"/>
      <w:szCs w:val="18"/>
    </w:rPr>
  </w:style>
  <w:style w:type="paragraph" w:customStyle="1" w:styleId="Default">
    <w:name w:val="Default"/>
    <w:rsid w:val="00E60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dicinali.aifa.gov.it/i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/it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2B2F6-5A6B-4E84-86C2-FACFD08755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9421ec-8c97-4074-8290-4fec1fc13b27}" enabled="0" method="" siteId="{f79421ec-8c97-4074-8290-4fec1fc13b2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22171</CharactersWithSpaces>
  <SharedDoc>false</SharedDoc>
  <HLinks>
    <vt:vector size="24" baseType="variant">
      <vt:variant>
        <vt:i4>6291574</vt:i4>
      </vt:variant>
      <vt:variant>
        <vt:i4>9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6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3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/it/i</vt:lpwstr>
      </vt:variant>
      <vt:variant>
        <vt:i4>6291574</vt:i4>
      </vt:variant>
      <vt:variant>
        <vt:i4>0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AIFA</dc:creator>
  <cp:keywords/>
  <cp:revision>6</cp:revision>
  <dcterms:created xsi:type="dcterms:W3CDTF">2026-04-09T07:09:00Z</dcterms:created>
  <dcterms:modified xsi:type="dcterms:W3CDTF">2026-04-09T08:50:00Z</dcterms:modified>
</cp:coreProperties>
</file>