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79148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A3FEB" w:rsidRDefault="00006DD6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b/>
          <w:sz w:val="32"/>
        </w:rPr>
        <w:t>ABERIPRA</w:t>
      </w:r>
    </w:p>
    <w:p w:rsidR="006D55C4" w:rsidRDefault="006D55C4" w:rsidP="009457D0">
      <w:pPr>
        <w:autoSpaceDE w:val="0"/>
        <w:autoSpaceDN w:val="0"/>
        <w:adjustRightInd w:val="0"/>
        <w:spacing w:after="0" w:line="240" w:lineRule="auto"/>
        <w:jc w:val="center"/>
      </w:pPr>
    </w:p>
    <w:p w:rsidR="004241AC" w:rsidRPr="009457D0" w:rsidRDefault="00006DD6" w:rsidP="009457D0">
      <w:pPr>
        <w:autoSpaceDE w:val="0"/>
        <w:autoSpaceDN w:val="0"/>
        <w:adjustRightInd w:val="0"/>
        <w:spacing w:after="0" w:line="240" w:lineRule="auto"/>
        <w:jc w:val="center"/>
      </w:pPr>
      <w:r w:rsidRPr="009457D0">
        <w:t>(</w:t>
      </w:r>
      <w:proofErr w:type="spellStart"/>
      <w:r w:rsidRPr="009457D0">
        <w:t>aripiprazolo</w:t>
      </w:r>
      <w:proofErr w:type="spellEnd"/>
      <w:r w:rsidRPr="009457D0">
        <w:t>)</w:t>
      </w:r>
    </w:p>
    <w:p w:rsidR="00006DD6" w:rsidRPr="009457D0" w:rsidRDefault="00006DD6" w:rsidP="009457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457D0" w:rsidRPr="009457D0" w:rsidRDefault="009457D0" w:rsidP="009457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6D55C4" w:rsidRDefault="00006DD6" w:rsidP="009457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6D55C4">
        <w:rPr>
          <w:b/>
        </w:rPr>
        <w:t>Ecupharma</w:t>
      </w:r>
      <w:proofErr w:type="spellEnd"/>
      <w:r w:rsidRPr="006D55C4">
        <w:rPr>
          <w:b/>
        </w:rPr>
        <w:t xml:space="preserve"> </w:t>
      </w:r>
    </w:p>
    <w:p w:rsidR="00D729EE" w:rsidRPr="006D55C4" w:rsidRDefault="00D729EE" w:rsidP="009457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457D0" w:rsidRPr="006D55C4" w:rsidRDefault="009457D0" w:rsidP="009457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457D0" w:rsidRPr="006D55C4" w:rsidRDefault="009457D0" w:rsidP="009457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00C91" w:rsidRPr="009457D0" w:rsidRDefault="004241AC" w:rsidP="009457D0">
      <w:pPr>
        <w:spacing w:after="0" w:line="240" w:lineRule="auto"/>
        <w:jc w:val="center"/>
        <w:rPr>
          <w:b/>
        </w:rPr>
      </w:pPr>
      <w:r w:rsidRPr="006D55C4">
        <w:rPr>
          <w:b/>
        </w:rPr>
        <w:t xml:space="preserve">Numero di AIC: </w:t>
      </w:r>
      <w:r w:rsidR="00006DD6" w:rsidRPr="006D55C4">
        <w:rPr>
          <w:b/>
        </w:rPr>
        <w:t xml:space="preserve"> 044868</w:t>
      </w:r>
    </w:p>
    <w:p w:rsidR="004241AC" w:rsidRPr="009457D0" w:rsidRDefault="004241AC" w:rsidP="009457D0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9457D0" w:rsidRPr="009457D0" w:rsidRDefault="009457D0" w:rsidP="009457D0">
      <w:pPr>
        <w:spacing w:after="0" w:line="240" w:lineRule="auto"/>
        <w:jc w:val="center"/>
        <w:rPr>
          <w:b/>
        </w:rPr>
      </w:pPr>
    </w:p>
    <w:p w:rsidR="009457D0" w:rsidRPr="009457D0" w:rsidRDefault="009457D0" w:rsidP="009457D0">
      <w:pPr>
        <w:spacing w:after="0" w:line="240" w:lineRule="auto"/>
        <w:jc w:val="center"/>
        <w:rPr>
          <w:b/>
        </w:rPr>
      </w:pPr>
    </w:p>
    <w:p w:rsidR="00900C91" w:rsidRPr="009457D0" w:rsidRDefault="00900C91" w:rsidP="009457D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9457D0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9457D0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9457D0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457D0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9457D0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9457D0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9457D0">
        <w:rPr>
          <w:rFonts w:eastAsia="Calibri" w:cs="Calibri"/>
          <w:i/>
          <w:color w:val="000000"/>
          <w:lang w:eastAsia="it-IT"/>
        </w:rPr>
        <w:t xml:space="preserve"> Report</w:t>
      </w:r>
      <w:r w:rsidRPr="009457D0">
        <w:rPr>
          <w:rFonts w:eastAsia="Calibri" w:cs="Calibri"/>
          <w:color w:val="000000"/>
          <w:lang w:eastAsia="it-IT"/>
        </w:rPr>
        <w:t xml:space="preserve"> (PAR) per</w:t>
      </w:r>
      <w:r w:rsidR="00D729EE" w:rsidRPr="009457D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color w:val="000000"/>
          <w:lang w:eastAsia="it-IT"/>
        </w:rPr>
        <w:t>Aberipra</w:t>
      </w:r>
      <w:proofErr w:type="spellEnd"/>
      <w:r w:rsidRPr="009457D0">
        <w:rPr>
          <w:rFonts w:eastAsia="Calibri" w:cs="Calibri"/>
          <w:color w:val="000000"/>
          <w:lang w:eastAsia="it-IT"/>
        </w:rPr>
        <w:t>.</w:t>
      </w:r>
      <w:r w:rsidRPr="009457D0">
        <w:rPr>
          <w:rFonts w:eastAsia="Calibri" w:cs="Calibri"/>
          <w:bCs/>
          <w:color w:val="000000"/>
          <w:lang w:eastAsia="it-IT"/>
        </w:rPr>
        <w:t xml:space="preserve"> </w:t>
      </w:r>
      <w:r w:rsidRPr="009457D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44277" w:rsidRPr="009457D0">
        <w:rPr>
          <w:rFonts w:eastAsia="Calibri" w:cs="Calibri"/>
          <w:color w:val="000000"/>
          <w:lang w:eastAsia="it-IT"/>
        </w:rPr>
        <w:t>Aberipra</w:t>
      </w:r>
      <w:proofErr w:type="spellEnd"/>
      <w:r w:rsidR="00D729EE" w:rsidRPr="009457D0">
        <w:rPr>
          <w:rFonts w:eastAsia="Calibri" w:cs="Calibri"/>
          <w:color w:val="000000"/>
          <w:lang w:eastAsia="it-IT"/>
        </w:rPr>
        <w:t xml:space="preserve"> </w:t>
      </w:r>
      <w:r w:rsidRPr="009457D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9457D0">
        <w:rPr>
          <w:rFonts w:eastAsia="Calibri" w:cs="Calibri"/>
          <w:color w:val="000000"/>
          <w:lang w:eastAsia="it-IT"/>
        </w:rPr>
        <w:t>le sue</w:t>
      </w:r>
      <w:r w:rsidRPr="009457D0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</w:t>
      </w:r>
      <w:r w:rsidR="00D729EE" w:rsidRPr="009457D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color w:val="000000"/>
          <w:lang w:eastAsia="it-IT"/>
        </w:rPr>
        <w:t>Aberipra</w:t>
      </w:r>
      <w:proofErr w:type="spellEnd"/>
      <w:r w:rsidRPr="009457D0">
        <w:rPr>
          <w:rFonts w:eastAsia="Calibri" w:cs="Calibri"/>
          <w:bCs/>
          <w:color w:val="000000"/>
          <w:lang w:eastAsia="it-IT"/>
        </w:rPr>
        <w:t>.</w:t>
      </w: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57D0">
        <w:rPr>
          <w:rFonts w:eastAsia="Calibri" w:cs="Calibri"/>
          <w:color w:val="000000"/>
          <w:lang w:eastAsia="it-IT"/>
        </w:rPr>
        <w:t>Per informazioni pratiche sull'utilizzo di</w:t>
      </w:r>
      <w:r w:rsidRPr="009457D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color w:val="000000"/>
          <w:lang w:eastAsia="it-IT"/>
        </w:rPr>
        <w:t>Aberipra</w:t>
      </w:r>
      <w:proofErr w:type="spellEnd"/>
      <w:r w:rsidR="00D729EE" w:rsidRPr="009457D0">
        <w:rPr>
          <w:rFonts w:eastAsia="Calibri" w:cs="Calibri"/>
          <w:color w:val="000000"/>
          <w:lang w:eastAsia="it-IT"/>
        </w:rPr>
        <w:t xml:space="preserve"> </w:t>
      </w:r>
      <w:r w:rsidRPr="009457D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9457D0">
        <w:rPr>
          <w:rFonts w:eastAsia="Calibri" w:cs="Calibri"/>
          <w:color w:val="000000"/>
          <w:lang w:eastAsia="it-IT"/>
        </w:rPr>
        <w:t xml:space="preserve">il </w:t>
      </w:r>
      <w:r w:rsidRPr="009457D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57D0">
        <w:rPr>
          <w:rFonts w:eastAsia="Calibri" w:cs="Calibri"/>
          <w:b/>
          <w:bCs/>
          <w:color w:val="000000"/>
          <w:lang w:eastAsia="it-IT"/>
        </w:rPr>
        <w:t>1) CHE COS’È</w:t>
      </w:r>
      <w:r w:rsidR="00D729EE" w:rsidRPr="009457D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b/>
          <w:bCs/>
          <w:color w:val="000000"/>
          <w:lang w:eastAsia="it-IT"/>
        </w:rPr>
        <w:t>Aberipra</w:t>
      </w:r>
      <w:proofErr w:type="spellEnd"/>
      <w:r w:rsidR="00062636" w:rsidRPr="009457D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9457D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24BD5" w:rsidRPr="009457D0">
        <w:rPr>
          <w:rFonts w:eastAsia="Calibri" w:cs="Calibri"/>
          <w:b/>
          <w:bCs/>
          <w:color w:val="000000"/>
          <w:lang w:eastAsia="it-IT"/>
        </w:rPr>
        <w:t>E A COSA SERVE</w:t>
      </w:r>
      <w:r w:rsidRPr="009457D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457D0" w:rsidRPr="00A24BD5" w:rsidRDefault="00044277" w:rsidP="009457D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24BD5">
        <w:rPr>
          <w:rFonts w:eastAsia="Calibri" w:cs="Calibri"/>
          <w:bCs/>
          <w:color w:val="000000"/>
          <w:lang w:eastAsia="it-IT"/>
        </w:rPr>
        <w:t>Aberipra</w:t>
      </w:r>
      <w:proofErr w:type="spellEnd"/>
      <w:r w:rsidR="004241AC" w:rsidRPr="00A24BD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24BD5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24BD5">
        <w:rPr>
          <w:rFonts w:eastAsia="Calibri" w:cs="Calibri"/>
          <w:color w:val="000000"/>
          <w:lang w:eastAsia="it-IT"/>
        </w:rPr>
        <w:t>i</w:t>
      </w:r>
      <w:r w:rsidR="00923866" w:rsidRPr="00A24BD5">
        <w:rPr>
          <w:rFonts w:eastAsia="Calibri" w:cs="Calibri"/>
          <w:color w:val="000000"/>
          <w:lang w:eastAsia="it-IT"/>
        </w:rPr>
        <w:t>l</w:t>
      </w:r>
      <w:r w:rsidR="004241AC" w:rsidRPr="00A24BD5">
        <w:rPr>
          <w:rFonts w:eastAsia="Calibri" w:cs="Calibri"/>
          <w:color w:val="000000"/>
          <w:lang w:eastAsia="it-IT"/>
        </w:rPr>
        <w:t xml:space="preserve"> principi</w:t>
      </w:r>
      <w:r w:rsidR="00923866" w:rsidRPr="00A24BD5">
        <w:rPr>
          <w:rFonts w:eastAsia="Calibri" w:cs="Calibri"/>
          <w:color w:val="000000"/>
          <w:lang w:eastAsia="it-IT"/>
        </w:rPr>
        <w:t>o</w:t>
      </w:r>
      <w:r w:rsidR="004241AC" w:rsidRPr="00A24BD5">
        <w:rPr>
          <w:rFonts w:eastAsia="Calibri" w:cs="Calibri"/>
          <w:color w:val="000000"/>
          <w:lang w:eastAsia="it-IT"/>
        </w:rPr>
        <w:t xml:space="preserve"> attiv</w:t>
      </w:r>
      <w:r w:rsidR="00923866" w:rsidRPr="00A24BD5">
        <w:rPr>
          <w:rFonts w:eastAsia="Calibri" w:cs="Calibri"/>
          <w:color w:val="000000"/>
          <w:lang w:eastAsia="it-IT"/>
        </w:rPr>
        <w:t>o</w:t>
      </w:r>
      <w:r w:rsidR="00A24BD5" w:rsidRPr="00A24BD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A51E6" w:rsidRPr="00A24BD5">
        <w:rPr>
          <w:rFonts w:cs="Arial"/>
        </w:rPr>
        <w:t>aripiprazolo</w:t>
      </w:r>
      <w:proofErr w:type="spellEnd"/>
      <w:r w:rsidR="001A51E6" w:rsidRPr="00A24BD5">
        <w:rPr>
          <w:rFonts w:cs="Arial"/>
        </w:rPr>
        <w:t xml:space="preserve"> </w:t>
      </w:r>
      <w:r w:rsidR="00E159A3" w:rsidRPr="00A24BD5">
        <w:rPr>
          <w:rFonts w:eastAsia="Calibri" w:cs="Calibri"/>
          <w:color w:val="000000"/>
          <w:lang w:eastAsia="it-IT"/>
        </w:rPr>
        <w:t xml:space="preserve">ed </w:t>
      </w:r>
      <w:r w:rsidR="004241AC" w:rsidRPr="00A24BD5">
        <w:rPr>
          <w:rFonts w:eastAsia="Calibri" w:cs="Calibri"/>
          <w:color w:val="000000"/>
          <w:lang w:eastAsia="it-IT"/>
        </w:rPr>
        <w:t xml:space="preserve">è disponibile in </w:t>
      </w:r>
      <w:r w:rsidR="00834BC8" w:rsidRPr="00A24BD5">
        <w:rPr>
          <w:rFonts w:eastAsia="Calibri" w:cs="Calibri"/>
          <w:color w:val="000000"/>
          <w:lang w:eastAsia="it-IT"/>
        </w:rPr>
        <w:t>compresse</w:t>
      </w:r>
      <w:r w:rsidR="00A24BD5" w:rsidRPr="00A24BD5">
        <w:rPr>
          <w:rFonts w:eastAsia="Calibri" w:cs="Calibri"/>
          <w:color w:val="000000"/>
          <w:lang w:eastAsia="it-IT"/>
        </w:rPr>
        <w:t xml:space="preserve"> contenenti 5 mg, 10 mg e 15 mg di principio attivo </w:t>
      </w:r>
      <w:r w:rsidR="00834BC8" w:rsidRPr="00A24BD5">
        <w:rPr>
          <w:rFonts w:eastAsia="Calibri" w:cs="Calibri"/>
          <w:color w:val="000000"/>
          <w:lang w:eastAsia="it-IT"/>
        </w:rPr>
        <w:t>e compresse</w:t>
      </w:r>
      <w:r w:rsidR="00006DD6" w:rsidRPr="00A24BD5">
        <w:rPr>
          <w:rFonts w:eastAsia="Calibri" w:cs="Calibri"/>
          <w:color w:val="000000"/>
          <w:lang w:eastAsia="it-IT"/>
        </w:rPr>
        <w:t xml:space="preserve"> orodispersibili</w:t>
      </w:r>
      <w:r w:rsidR="009457D0" w:rsidRPr="00A24BD5">
        <w:rPr>
          <w:rFonts w:eastAsia="Calibri" w:cs="Calibri"/>
          <w:color w:val="000000"/>
          <w:lang w:eastAsia="it-IT"/>
        </w:rPr>
        <w:t xml:space="preserve"> </w:t>
      </w:r>
      <w:r w:rsidR="00A24BD5" w:rsidRPr="00A24BD5">
        <w:rPr>
          <w:rFonts w:eastAsia="Calibri" w:cs="Calibri"/>
          <w:color w:val="000000"/>
          <w:lang w:eastAsia="it-IT"/>
        </w:rPr>
        <w:t>contenenti 10 mg e 15 mg di principio attivo</w:t>
      </w:r>
    </w:p>
    <w:p w:rsidR="006D55C4" w:rsidRPr="00CB1DAC" w:rsidRDefault="00044277" w:rsidP="006D55C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D55C4">
        <w:rPr>
          <w:rFonts w:eastAsia="Calibri" w:cs="Calibri"/>
          <w:color w:val="000000"/>
          <w:lang w:eastAsia="it-IT"/>
        </w:rPr>
        <w:t>Aberipra</w:t>
      </w:r>
      <w:proofErr w:type="spellEnd"/>
      <w:r w:rsidR="00D729EE" w:rsidRPr="006D55C4">
        <w:rPr>
          <w:rFonts w:eastAsia="Calibri" w:cs="Calibri"/>
          <w:color w:val="000000"/>
          <w:lang w:eastAsia="it-IT"/>
        </w:rPr>
        <w:t xml:space="preserve"> </w:t>
      </w:r>
      <w:r w:rsidR="00013020" w:rsidRPr="006D55C4">
        <w:rPr>
          <w:rFonts w:eastAsia="Calibri" w:cs="Calibri"/>
          <w:color w:val="000000"/>
          <w:lang w:eastAsia="it-IT"/>
        </w:rPr>
        <w:t>è un “</w:t>
      </w:r>
      <w:r w:rsidR="000D6F89" w:rsidRPr="006D55C4">
        <w:rPr>
          <w:rFonts w:eastAsia="Calibri" w:cs="Calibri"/>
          <w:color w:val="000000"/>
          <w:lang w:eastAsia="it-IT"/>
        </w:rPr>
        <w:t>medicinale generico”,</w:t>
      </w:r>
      <w:r w:rsidR="006D55C4" w:rsidRPr="006D55C4">
        <w:t xml:space="preserve"> </w:t>
      </w:r>
      <w:proofErr w:type="spellStart"/>
      <w:r w:rsidR="006D55C4" w:rsidRPr="009457D0">
        <w:t>Abilify</w:t>
      </w:r>
      <w:proofErr w:type="spellEnd"/>
      <w:r w:rsidR="000D6F89" w:rsidRPr="006D55C4">
        <w:rPr>
          <w:rFonts w:eastAsia="Calibri" w:cs="Calibri"/>
          <w:color w:val="000000"/>
          <w:lang w:eastAsia="it-IT"/>
        </w:rPr>
        <w:t xml:space="preserve"> </w:t>
      </w:r>
      <w:r w:rsidR="006D55C4" w:rsidRPr="006D55C4">
        <w:rPr>
          <w:rFonts w:eastAsia="Calibri" w:cs="Calibri"/>
          <w:color w:val="000000"/>
          <w:lang w:eastAsia="it-IT"/>
        </w:rPr>
        <w:t>già autorizzato in Italia con procedura centralizzata. L’</w:t>
      </w:r>
      <w:proofErr w:type="spellStart"/>
      <w:r w:rsidR="006D55C4" w:rsidRPr="006D55C4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6D55C4" w:rsidRPr="006D55C4">
        <w:rPr>
          <w:rFonts w:eastAsia="Calibri" w:cs="Calibri"/>
          <w:color w:val="000000"/>
          <w:lang w:eastAsia="it-IT"/>
        </w:rPr>
        <w:t xml:space="preserve"> </w:t>
      </w:r>
      <w:r w:rsidR="006D55C4" w:rsidRPr="006D55C4">
        <w:rPr>
          <w:rFonts w:eastAsia="Calibri" w:cs="Calibri"/>
          <w:i/>
          <w:color w:val="000000"/>
          <w:lang w:eastAsia="it-IT"/>
        </w:rPr>
        <w:t>Public</w:t>
      </w:r>
      <w:r w:rsidR="006D55C4" w:rsidRPr="00CB1DAC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6D55C4" w:rsidRPr="00CB1DAC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6D55C4" w:rsidRPr="00CB1DAC">
        <w:rPr>
          <w:rFonts w:eastAsia="Calibri" w:cs="Calibri"/>
          <w:i/>
          <w:color w:val="000000"/>
          <w:lang w:eastAsia="it-IT"/>
        </w:rPr>
        <w:t xml:space="preserve"> Report</w:t>
      </w:r>
      <w:r w:rsidR="006D55C4" w:rsidRPr="00CB1DAC">
        <w:rPr>
          <w:rFonts w:eastAsia="Calibri" w:cs="Calibri"/>
          <w:color w:val="000000"/>
          <w:lang w:eastAsia="it-IT"/>
        </w:rPr>
        <w:t xml:space="preserve"> (EPAR) di </w:t>
      </w:r>
      <w:proofErr w:type="spellStart"/>
      <w:r w:rsidR="006D55C4" w:rsidRPr="009457D0">
        <w:t>Abilify</w:t>
      </w:r>
      <w:proofErr w:type="spellEnd"/>
      <w:r w:rsidR="006D55C4" w:rsidRPr="00CB1DAC"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="006D55C4" w:rsidRPr="00CB1DAC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6D55C4" w:rsidRPr="00CB1DAC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6D55C4" w:rsidRPr="00CB1DAC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6D55C4" w:rsidRPr="00CB1DAC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6D55C4" w:rsidRPr="00CB1DAC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6D55C4" w:rsidRPr="00CB1DAC">
        <w:rPr>
          <w:rFonts w:eastAsia="Calibri" w:cs="Calibri"/>
          <w:color w:val="000000"/>
          <w:lang w:eastAsia="it-IT"/>
        </w:rPr>
        <w:t xml:space="preserve"> – EMA) </w:t>
      </w:r>
    </w:p>
    <w:p w:rsidR="006D55C4" w:rsidRPr="00CB1DAC" w:rsidRDefault="006D55C4" w:rsidP="006D55C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CB1DAC">
        <w:rPr>
          <w:rFonts w:eastAsia="Calibri" w:cs="Calibri"/>
          <w:color w:val="000000"/>
          <w:lang w:eastAsia="it-IT"/>
        </w:rPr>
        <w:t>(</w:t>
      </w:r>
      <w:hyperlink r:id="rId6" w:history="1">
        <w:r w:rsidRPr="00CB1DAC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Pr="00CB1DAC">
        <w:rPr>
          <w:rFonts w:eastAsia="Calibri" w:cs="Calibri"/>
          <w:bCs/>
          <w:color w:val="000000"/>
          <w:lang w:eastAsia="it-IT"/>
        </w:rPr>
        <w:t>).</w:t>
      </w:r>
    </w:p>
    <w:p w:rsidR="002F1BDB" w:rsidRDefault="00044277" w:rsidP="006D55C4">
      <w:pPr>
        <w:widowControl w:val="0"/>
        <w:spacing w:after="0" w:line="240" w:lineRule="auto"/>
        <w:jc w:val="both"/>
      </w:pPr>
      <w:proofErr w:type="spellStart"/>
      <w:r w:rsidRPr="002F1BDB">
        <w:rPr>
          <w:rFonts w:eastAsia="Calibri" w:cs="Calibri"/>
          <w:color w:val="000000"/>
          <w:lang w:eastAsia="it-IT"/>
        </w:rPr>
        <w:t>Aberipra</w:t>
      </w:r>
      <w:proofErr w:type="spellEnd"/>
      <w:r w:rsidR="00D729EE" w:rsidRPr="002F1BDB">
        <w:rPr>
          <w:rFonts w:eastAsia="Calibri" w:cs="Calibri"/>
          <w:color w:val="000000"/>
          <w:lang w:eastAsia="it-IT"/>
        </w:rPr>
        <w:t xml:space="preserve"> </w:t>
      </w:r>
      <w:r w:rsidR="002F1BDB" w:rsidRPr="002F1BDB">
        <w:t>si usa</w:t>
      </w:r>
      <w:r w:rsidR="002F1BDB">
        <w:t>:</w:t>
      </w:r>
    </w:p>
    <w:p w:rsidR="002F1BDB" w:rsidRPr="002F1BDB" w:rsidRDefault="002F1BDB" w:rsidP="00AB26C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jc w:val="both"/>
        <w:rPr>
          <w:rFonts w:eastAsia="Times New Roman"/>
          <w:color w:val="000000"/>
        </w:rPr>
      </w:pPr>
      <w:r>
        <w:t>per il trattamento di adulti ed adolescenti a partire da 15 anni di età che sono affetti da una malattia caratterizzata da sintomi come udire, vedere o percepire cose che non siano presenti, sospettosità, convinzioni erronee, discorsi e comportamenti incoerenti e appiattimento delle emozioni. Le persone che presentano questa condizione possono inoltre sentirsi depresse, colpevoli, ansiose o tese;</w:t>
      </w:r>
    </w:p>
    <w:p w:rsidR="00923866" w:rsidRPr="002F1BDB" w:rsidRDefault="002F1BDB" w:rsidP="00AB26C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jc w:val="both"/>
        <w:rPr>
          <w:rFonts w:eastAsia="Times New Roman"/>
          <w:color w:val="000000"/>
        </w:rPr>
      </w:pPr>
      <w:r w:rsidRPr="002F1BDB">
        <w:t>per il trattamento di adulti e adolescenti a partire da 13 anni di età che sono affetti da una</w:t>
      </w:r>
      <w:r>
        <w:t xml:space="preserve"> condizione caratterizzata da sintomi come sentirsi “su di giri”, avere eccessiva energia, non aver bisogno di dormire rispetto al solito, parlare molto velocemente con “fuga delle idee” e talvolta grave irritabilità. Inoltre, previene questa condizione negli adulti che hanno risposto al trattamento con </w:t>
      </w:r>
      <w:proofErr w:type="spellStart"/>
      <w:r>
        <w:t>Aberipra</w:t>
      </w:r>
      <w:proofErr w:type="spellEnd"/>
      <w:r>
        <w:t>.</w:t>
      </w: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9457D0" w:rsidRDefault="009457D0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57334" w:rsidRPr="009457D0" w:rsidRDefault="00A57334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57D0">
        <w:rPr>
          <w:rFonts w:eastAsia="Calibri" w:cs="Calibri"/>
          <w:b/>
          <w:bCs/>
          <w:color w:val="000000"/>
          <w:lang w:eastAsia="it-IT"/>
        </w:rPr>
        <w:t>2) COME E’ PRESCRITTO/USATO</w:t>
      </w:r>
      <w:r w:rsidR="00D729EE" w:rsidRPr="009457D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b/>
          <w:bCs/>
          <w:color w:val="000000"/>
          <w:lang w:eastAsia="it-IT"/>
        </w:rPr>
        <w:t>Aberipra</w:t>
      </w:r>
      <w:proofErr w:type="spellEnd"/>
      <w:r w:rsidRPr="009457D0">
        <w:rPr>
          <w:rFonts w:eastAsia="Calibri" w:cs="Calibri"/>
          <w:b/>
          <w:bCs/>
          <w:color w:val="000000"/>
          <w:lang w:eastAsia="it-IT"/>
        </w:rPr>
        <w:t>?</w:t>
      </w:r>
    </w:p>
    <w:p w:rsidR="00A24BD5" w:rsidRPr="009457D0" w:rsidRDefault="00A24BD5" w:rsidP="00A24B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457D0">
        <w:rPr>
          <w:rFonts w:eastAsia="Calibri" w:cs="Calibri"/>
          <w:color w:val="000000"/>
          <w:lang w:eastAsia="it-IT"/>
        </w:rPr>
        <w:t>Aberipra</w:t>
      </w:r>
      <w:proofErr w:type="spellEnd"/>
      <w:r w:rsidRPr="009457D0">
        <w:rPr>
          <w:rFonts w:eastAsia="Calibri" w:cs="Calibri"/>
          <w:color w:val="000000"/>
          <w:lang w:eastAsia="it-IT"/>
        </w:rPr>
        <w:t xml:space="preserve"> è un medicinale </w:t>
      </w:r>
      <w:r w:rsidRPr="009457D0">
        <w:rPr>
          <w:rFonts w:cs="Calibri"/>
          <w:color w:val="000000"/>
          <w:lang w:eastAsia="it-IT"/>
        </w:rPr>
        <w:t>che può essere ottenuto solo dietro prescrizione da parte del medico (ricetta ripetibile).</w:t>
      </w:r>
    </w:p>
    <w:p w:rsidR="00006DD6" w:rsidRDefault="00AB26CE" w:rsidP="009457D0">
      <w:pPr>
        <w:autoSpaceDE w:val="0"/>
        <w:autoSpaceDN w:val="0"/>
        <w:adjustRightInd w:val="0"/>
        <w:spacing w:after="0" w:line="240" w:lineRule="auto"/>
        <w:jc w:val="both"/>
      </w:pPr>
      <w:r>
        <w:t>La dose raccomanda negli adulti è di 15 mg una volta al giorno; il medico può adattare questa dose a seconda delle condizioni del paziente fino ad un massimo di 30 mg al giorno.</w:t>
      </w:r>
    </w:p>
    <w:p w:rsidR="00AB26CE" w:rsidRDefault="00AB26CE" w:rsidP="009457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Negli adolescenti queste dosi possono essere ridotte dal medico.</w:t>
      </w:r>
    </w:p>
    <w:p w:rsidR="00AB26CE" w:rsidRPr="009457D0" w:rsidRDefault="00AB26CE" w:rsidP="009457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Questo medicinale non deve essere somministrato ai bambini e agli adolescenti di età inferiore a 13 anni perché la sicurezza e l’efficacia non sono state dimostrate in questa classe di età.</w:t>
      </w:r>
    </w:p>
    <w:p w:rsidR="00284334" w:rsidRDefault="00AB26CE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Le compresse devono essere assunte intere non masticandole con un po’</w:t>
      </w:r>
      <w:r w:rsidR="00284334">
        <w:rPr>
          <w:rFonts w:eastAsia="Calibri" w:cs="Verdana"/>
          <w:color w:val="000000"/>
          <w:lang w:eastAsia="it-IT"/>
        </w:rPr>
        <w:t xml:space="preserve"> di acqua.</w:t>
      </w:r>
    </w:p>
    <w:p w:rsidR="00284334" w:rsidRDefault="00284334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Le compresse orodispersibili devono essere poste con attenzione sulla lingua dove si scioglieranno rapidamente con la saliva; in alternativa, la compressa orodispersibile può essere sciolta in un po’ di acqua e la sospensione ottenuta deve essere assunta immediatamente.</w:t>
      </w:r>
    </w:p>
    <w:p w:rsidR="004241AC" w:rsidRDefault="00284334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 xml:space="preserve">La somministrazione deve avvenire </w:t>
      </w:r>
      <w:r w:rsidR="00AB26CE">
        <w:rPr>
          <w:rFonts w:eastAsia="Calibri" w:cs="Verdana"/>
          <w:color w:val="000000"/>
          <w:lang w:eastAsia="it-IT"/>
        </w:rPr>
        <w:t>possibilmente sempre alla stessa ora, indipendentemente dai pasti.</w:t>
      </w:r>
    </w:p>
    <w:p w:rsidR="00AB26CE" w:rsidRPr="00284334" w:rsidRDefault="00AB26CE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Pr="00284334" w:rsidRDefault="00947EF5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284334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84334">
        <w:rPr>
          <w:rFonts w:eastAsia="Calibri" w:cs="Calibri"/>
          <w:b/>
          <w:bCs/>
          <w:color w:val="000000"/>
          <w:lang w:eastAsia="it-IT"/>
        </w:rPr>
        <w:t>3) COME FUNZIONA</w:t>
      </w:r>
      <w:r w:rsidR="00D729EE" w:rsidRPr="0028433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44277" w:rsidRPr="00284334">
        <w:rPr>
          <w:rFonts w:eastAsia="Calibri" w:cs="Calibri"/>
          <w:b/>
          <w:bCs/>
          <w:color w:val="000000"/>
          <w:lang w:eastAsia="it-IT"/>
        </w:rPr>
        <w:t>Aberipra</w:t>
      </w:r>
      <w:proofErr w:type="spellEnd"/>
      <w:r w:rsidRPr="0028433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84334" w:rsidRPr="00284334" w:rsidRDefault="00044277" w:rsidP="009457D0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284334">
        <w:rPr>
          <w:rFonts w:eastAsia="Calibri" w:cs="Calibri"/>
          <w:bCs/>
          <w:color w:val="000000"/>
          <w:lang w:eastAsia="it-IT"/>
        </w:rPr>
        <w:t>Aberipra</w:t>
      </w:r>
      <w:proofErr w:type="spellEnd"/>
      <w:r w:rsidR="00E43089" w:rsidRPr="00284334">
        <w:rPr>
          <w:rFonts w:eastAsia="Calibri" w:cs="Calibri"/>
          <w:bCs/>
          <w:color w:val="000000"/>
          <w:lang w:eastAsia="it-IT"/>
        </w:rPr>
        <w:t xml:space="preserve">, il </w:t>
      </w:r>
      <w:r w:rsidR="00762D88" w:rsidRPr="00284334">
        <w:rPr>
          <w:rFonts w:eastAsia="Calibri" w:cs="Calibri"/>
          <w:bCs/>
          <w:color w:val="000000"/>
          <w:lang w:eastAsia="it-IT"/>
        </w:rPr>
        <w:t xml:space="preserve">cui </w:t>
      </w:r>
      <w:r w:rsidR="00E43089" w:rsidRPr="00284334">
        <w:rPr>
          <w:rFonts w:eastAsia="Calibri" w:cs="Calibri"/>
          <w:bCs/>
          <w:color w:val="000000"/>
          <w:lang w:eastAsia="it-IT"/>
        </w:rPr>
        <w:t>codice ATC è</w:t>
      </w:r>
      <w:r w:rsidR="00D729EE" w:rsidRPr="00284334">
        <w:rPr>
          <w:rFonts w:eastAsia="Calibri" w:cs="Calibri"/>
          <w:bCs/>
          <w:color w:val="000000"/>
          <w:lang w:eastAsia="it-IT"/>
        </w:rPr>
        <w:t xml:space="preserve"> </w:t>
      </w:r>
      <w:r w:rsidR="00961027" w:rsidRPr="00284334">
        <w:t>N05AX12</w:t>
      </w:r>
      <w:r w:rsidR="00D729EE" w:rsidRPr="00284334">
        <w:t>,</w:t>
      </w:r>
      <w:r w:rsidR="008231E2" w:rsidRPr="00284334">
        <w:rPr>
          <w:color w:val="000000"/>
        </w:rPr>
        <w:t xml:space="preserve"> contiene il principio attivo</w:t>
      </w:r>
      <w:r w:rsidR="00D729EE" w:rsidRPr="00284334">
        <w:rPr>
          <w:color w:val="000000"/>
        </w:rPr>
        <w:t xml:space="preserve"> </w:t>
      </w:r>
      <w:proofErr w:type="spellStart"/>
      <w:r w:rsidR="00882700" w:rsidRPr="00284334">
        <w:rPr>
          <w:rFonts w:cs="Arial"/>
        </w:rPr>
        <w:t>aripiprazolo</w:t>
      </w:r>
      <w:proofErr w:type="spellEnd"/>
      <w:r w:rsidR="00284334" w:rsidRPr="00284334">
        <w:rPr>
          <w:rFonts w:cs="Arial"/>
        </w:rPr>
        <w:t xml:space="preserve"> che</w:t>
      </w:r>
      <w:r w:rsidR="008231E2" w:rsidRPr="00284334">
        <w:rPr>
          <w:rFonts w:cs="Arial"/>
        </w:rPr>
        <w:t xml:space="preserve"> </w:t>
      </w:r>
      <w:r w:rsidR="00284334" w:rsidRPr="00284334">
        <w:t>appartiene a un gruppo di medicinali chiamati antipsicotici.</w:t>
      </w:r>
    </w:p>
    <w:p w:rsidR="00284334" w:rsidRPr="00284334" w:rsidRDefault="00284334" w:rsidP="009457D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hd w:val="clear" w:color="auto" w:fill="FFFFFF"/>
        </w:rPr>
      </w:pPr>
      <w:proofErr w:type="spellStart"/>
      <w:r w:rsidRPr="00284334">
        <w:rPr>
          <w:rFonts w:cs="Arial"/>
          <w:color w:val="000000"/>
          <w:shd w:val="clear" w:color="auto" w:fill="FFFFFF"/>
        </w:rPr>
        <w:t>Aripiprazolo</w:t>
      </w:r>
      <w:proofErr w:type="spellEnd"/>
      <w:r w:rsidRPr="00284334">
        <w:rPr>
          <w:rFonts w:cs="Arial"/>
          <w:color w:val="000000"/>
          <w:shd w:val="clear" w:color="auto" w:fill="FFFFFF"/>
        </w:rPr>
        <w:t xml:space="preserve"> agisce legandosi ad alcuni recettori presenti sulla superficie delle cellule nervose del cervello, sensibili ai neurotrasmettitori</w:t>
      </w:r>
      <w:r>
        <w:rPr>
          <w:rFonts w:cs="Arial"/>
          <w:color w:val="000000"/>
          <w:shd w:val="clear" w:color="auto" w:fill="FFFFFF"/>
        </w:rPr>
        <w:t xml:space="preserve"> </w:t>
      </w:r>
      <w:r w:rsidRPr="00284334">
        <w:rPr>
          <w:rFonts w:cs="Arial"/>
          <w:color w:val="000000"/>
          <w:shd w:val="clear" w:color="auto" w:fill="FFFFFF"/>
        </w:rPr>
        <w:t xml:space="preserve">dopamina e serotonina. </w:t>
      </w:r>
      <w:r>
        <w:rPr>
          <w:rFonts w:cs="Arial"/>
          <w:color w:val="000000"/>
          <w:shd w:val="clear" w:color="auto" w:fill="FFFFFF"/>
        </w:rPr>
        <w:t>Questo legame</w:t>
      </w:r>
      <w:r w:rsidRPr="00284334">
        <w:rPr>
          <w:rFonts w:cs="Arial"/>
          <w:color w:val="000000"/>
          <w:shd w:val="clear" w:color="auto" w:fill="FFFFFF"/>
        </w:rPr>
        <w:t xml:space="preserve"> attiva i recettori, ma meno fortemente rispetto ai neurotrasmettitori. dopamina e serotonina sono implicate nella schizofrenia e nel disturbo bipolare, l'</w:t>
      </w:r>
      <w:proofErr w:type="spellStart"/>
      <w:r w:rsidRPr="00284334">
        <w:rPr>
          <w:rFonts w:cs="Arial"/>
          <w:color w:val="000000"/>
          <w:shd w:val="clear" w:color="auto" w:fill="FFFFFF"/>
        </w:rPr>
        <w:t>aripiprazolo</w:t>
      </w:r>
      <w:proofErr w:type="spellEnd"/>
      <w:r w:rsidRPr="00284334">
        <w:rPr>
          <w:rFonts w:cs="Arial"/>
          <w:color w:val="000000"/>
          <w:shd w:val="clear" w:color="auto" w:fill="FFFFFF"/>
        </w:rPr>
        <w:t xml:space="preserve"> contribuisce alla normalizzazione dell'attività cerebrale, riducendo i sintomi psicotici o maniacali e prevenendone la ricomparsa.</w:t>
      </w:r>
    </w:p>
    <w:p w:rsidR="004241AC" w:rsidRPr="00284334" w:rsidRDefault="004241AC" w:rsidP="009457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284334" w:rsidRPr="00284334" w:rsidRDefault="00284334" w:rsidP="009457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84334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8433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044277" w:rsidRPr="00284334">
        <w:rPr>
          <w:rFonts w:eastAsia="Calibri" w:cs="Calibri"/>
          <w:b/>
          <w:bCs/>
          <w:color w:val="000000"/>
          <w:lang w:eastAsia="it-IT"/>
        </w:rPr>
        <w:t>Aberipra</w:t>
      </w:r>
      <w:proofErr w:type="spellEnd"/>
    </w:p>
    <w:p w:rsidR="00002CAE" w:rsidRPr="009457D0" w:rsidRDefault="004241AC" w:rsidP="009457D0">
      <w:pPr>
        <w:spacing w:after="0" w:line="240" w:lineRule="auto"/>
        <w:jc w:val="both"/>
        <w:rPr>
          <w:rFonts w:cs="Arial"/>
        </w:rPr>
      </w:pPr>
      <w:r w:rsidRPr="00284334">
        <w:rPr>
          <w:rFonts w:cs="Arial"/>
        </w:rPr>
        <w:t xml:space="preserve">Poiché </w:t>
      </w:r>
      <w:proofErr w:type="spellStart"/>
      <w:r w:rsidR="00A57334" w:rsidRPr="00284334">
        <w:rPr>
          <w:rFonts w:cs="Arial"/>
        </w:rPr>
        <w:t>Aberipra</w:t>
      </w:r>
      <w:proofErr w:type="spellEnd"/>
      <w:r w:rsidR="00D729EE" w:rsidRPr="00284334">
        <w:rPr>
          <w:rFonts w:cs="Arial"/>
        </w:rPr>
        <w:t xml:space="preserve"> </w:t>
      </w:r>
      <w:r w:rsidR="00013020" w:rsidRPr="00284334">
        <w:rPr>
          <w:rFonts w:cs="Arial"/>
        </w:rPr>
        <w:t xml:space="preserve">è un medicinale </w:t>
      </w:r>
      <w:r w:rsidR="000D6F89" w:rsidRPr="00284334">
        <w:rPr>
          <w:rFonts w:cs="Arial"/>
        </w:rPr>
        <w:t>generico</w:t>
      </w:r>
      <w:r w:rsidR="00F91203" w:rsidRPr="00284334">
        <w:rPr>
          <w:rFonts w:cs="Arial"/>
        </w:rPr>
        <w:t xml:space="preserve">, </w:t>
      </w:r>
      <w:r w:rsidR="00002CAE" w:rsidRPr="00284334">
        <w:rPr>
          <w:rFonts w:cs="Arial"/>
        </w:rPr>
        <w:t>è stato sufficiente effettuare prove cliniche per determinare</w:t>
      </w:r>
      <w:r w:rsidR="00002CAE" w:rsidRPr="00284334">
        <w:rPr>
          <w:rFonts w:cs="Arial"/>
          <w:b/>
        </w:rPr>
        <w:t xml:space="preserve"> </w:t>
      </w:r>
      <w:r w:rsidR="00002CAE" w:rsidRPr="00284334">
        <w:rPr>
          <w:rFonts w:cs="Arial"/>
        </w:rPr>
        <w:t>la</w:t>
      </w:r>
      <w:r w:rsidR="00002CAE" w:rsidRPr="009457D0">
        <w:rPr>
          <w:rFonts w:cs="Arial"/>
        </w:rPr>
        <w:t xml:space="preserve"> bioequivalenza rispetto al medicinale di riferimento </w:t>
      </w:r>
      <w:proofErr w:type="spellStart"/>
      <w:r w:rsidR="009457D0" w:rsidRPr="009457D0">
        <w:t>Abilify</w:t>
      </w:r>
      <w:proofErr w:type="spellEnd"/>
      <w:r w:rsidR="00002CAE" w:rsidRPr="009457D0">
        <w:rPr>
          <w:rFonts w:cs="Arial"/>
        </w:rPr>
        <w:t xml:space="preserve">. Due medicinali sono bioequivalenti quando producono gli stessi livelli di principio attivo nell’organismo. </w:t>
      </w: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b/>
          <w:bCs/>
          <w:lang w:eastAsia="it-IT"/>
        </w:rPr>
        <w:t>5) QUAL È IL RAPPORTO BENEFICIO/RISCHIO di</w:t>
      </w:r>
      <w:r w:rsidR="00D729EE" w:rsidRPr="009457D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b/>
          <w:bCs/>
          <w:color w:val="000000"/>
          <w:lang w:eastAsia="it-IT"/>
        </w:rPr>
        <w:t>Aberipra</w:t>
      </w:r>
      <w:proofErr w:type="spellEnd"/>
      <w:r w:rsidRPr="009457D0">
        <w:rPr>
          <w:rFonts w:eastAsia="Calibri" w:cs="Calibri"/>
          <w:b/>
          <w:lang w:eastAsia="it-IT"/>
        </w:rPr>
        <w:t>?</w:t>
      </w:r>
      <w:r w:rsidRPr="009457D0">
        <w:rPr>
          <w:rFonts w:eastAsia="Calibri" w:cs="Calibri"/>
          <w:lang w:eastAsia="it-IT"/>
        </w:rPr>
        <w:t xml:space="preserve"> </w:t>
      </w:r>
    </w:p>
    <w:p w:rsidR="004241AC" w:rsidRPr="009457D0" w:rsidRDefault="009457D0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9457D0">
        <w:rPr>
          <w:rFonts w:eastAsia="Calibri" w:cs="Calibri"/>
          <w:bCs/>
          <w:color w:val="000000"/>
          <w:lang w:eastAsia="it-IT"/>
        </w:rPr>
        <w:t>Aberipra</w:t>
      </w:r>
      <w:proofErr w:type="spellEnd"/>
      <w:r w:rsidRPr="009457D0">
        <w:rPr>
          <w:rFonts w:eastAsia="Calibri" w:cs="Calibri"/>
          <w:bCs/>
          <w:color w:val="000000"/>
          <w:lang w:eastAsia="it-IT"/>
        </w:rPr>
        <w:t xml:space="preserve"> </w:t>
      </w:r>
      <w:r w:rsidR="00B84EA1" w:rsidRPr="009457D0">
        <w:rPr>
          <w:rFonts w:eastAsia="Calibri" w:cs="Calibri"/>
          <w:lang w:eastAsia="it-IT"/>
        </w:rPr>
        <w:t>è un medicinale generico ed è equivalente al medicinale di riferimento; pertanto, i suoi benefici e rischi sono sovrapponibili a quelli del medicinale di riferimento</w:t>
      </w:r>
      <w:r w:rsidR="001A284F" w:rsidRPr="009457D0">
        <w:rPr>
          <w:rFonts w:eastAsia="Calibri" w:cs="Calibri"/>
          <w:lang w:eastAsia="it-IT"/>
        </w:rPr>
        <w:t>.</w:t>
      </w: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b/>
          <w:bCs/>
          <w:lang w:eastAsia="it-IT"/>
        </w:rPr>
        <w:t>6) PERCHE’</w:t>
      </w:r>
      <w:r w:rsidR="00002CAE" w:rsidRPr="009457D0">
        <w:rPr>
          <w:rFonts w:eastAsia="Calibri" w:cs="Calibri"/>
          <w:b/>
          <w:bCs/>
          <w:color w:val="000000"/>
          <w:lang w:eastAsia="it-IT"/>
        </w:rPr>
        <w:t xml:space="preserve">  </w:t>
      </w:r>
      <w:proofErr w:type="spellStart"/>
      <w:r w:rsidR="00044277" w:rsidRPr="009457D0">
        <w:rPr>
          <w:rFonts w:eastAsia="Calibri" w:cs="Calibri"/>
          <w:b/>
          <w:bCs/>
          <w:color w:val="000000"/>
          <w:lang w:eastAsia="it-IT"/>
        </w:rPr>
        <w:t>Aberipra</w:t>
      </w:r>
      <w:proofErr w:type="spellEnd"/>
      <w:r w:rsidR="00044277" w:rsidRPr="009457D0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9457D0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lang w:eastAsia="it-IT"/>
        </w:rPr>
        <w:t>La Commissione Tecnico Scientifica (CTS), nell</w:t>
      </w:r>
      <w:r w:rsidR="00A64236" w:rsidRPr="009457D0">
        <w:rPr>
          <w:rFonts w:eastAsia="Calibri" w:cs="Calibri"/>
          <w:lang w:eastAsia="it-IT"/>
        </w:rPr>
        <w:t>a</w:t>
      </w:r>
      <w:r w:rsidRPr="009457D0">
        <w:rPr>
          <w:rFonts w:eastAsia="Calibri" w:cs="Calibri"/>
          <w:lang w:eastAsia="it-IT"/>
        </w:rPr>
        <w:t xml:space="preserve"> sedut</w:t>
      </w:r>
      <w:r w:rsidR="00A64236" w:rsidRPr="009457D0">
        <w:rPr>
          <w:rFonts w:eastAsia="Calibri" w:cs="Calibri"/>
          <w:lang w:eastAsia="it-IT"/>
        </w:rPr>
        <w:t xml:space="preserve">a </w:t>
      </w:r>
      <w:r w:rsidRPr="009457D0">
        <w:rPr>
          <w:rFonts w:eastAsia="Calibri" w:cs="Calibri"/>
          <w:lang w:eastAsia="it-IT"/>
        </w:rPr>
        <w:t xml:space="preserve">del </w:t>
      </w:r>
      <w:r w:rsidR="00961027" w:rsidRPr="009457D0">
        <w:rPr>
          <w:rFonts w:eastAsia="Calibri" w:cs="Calibri"/>
          <w:lang w:eastAsia="it-IT"/>
        </w:rPr>
        <w:t>10-12 aprile 2017</w:t>
      </w:r>
      <w:r w:rsidRPr="009457D0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9457D0">
        <w:rPr>
          <w:rFonts w:eastAsia="Calibri" w:cs="Calibri"/>
          <w:lang w:eastAsia="it-IT"/>
        </w:rPr>
        <w:t>del</w:t>
      </w:r>
      <w:r w:rsidRPr="009457D0">
        <w:rPr>
          <w:rFonts w:eastAsia="Calibri" w:cs="Calibri"/>
          <w:lang w:eastAsia="it-IT"/>
        </w:rPr>
        <w:t xml:space="preserve"> medicinal</w:t>
      </w:r>
      <w:r w:rsidR="00D20170" w:rsidRPr="009457D0">
        <w:rPr>
          <w:rFonts w:eastAsia="Calibri" w:cs="Calibri"/>
          <w:lang w:eastAsia="it-IT"/>
        </w:rPr>
        <w:t>e</w:t>
      </w:r>
      <w:r w:rsidRPr="009457D0">
        <w:rPr>
          <w:rFonts w:eastAsia="Calibri" w:cs="Calibri"/>
          <w:lang w:eastAsia="it-IT"/>
        </w:rPr>
        <w:t xml:space="preserve"> di riferimento </w:t>
      </w:r>
      <w:proofErr w:type="spellStart"/>
      <w:r w:rsidR="00044277" w:rsidRPr="009457D0">
        <w:rPr>
          <w:rFonts w:eastAsia="Calibri" w:cs="Calibri"/>
          <w:lang w:eastAsia="it-IT"/>
        </w:rPr>
        <w:t>Abilify</w:t>
      </w:r>
      <w:proofErr w:type="spellEnd"/>
      <w:r w:rsidRPr="009457D0">
        <w:rPr>
          <w:rFonts w:eastAsia="Calibri" w:cs="Calibri"/>
          <w:lang w:eastAsia="it-IT"/>
        </w:rPr>
        <w:t>, i benefici di</w:t>
      </w:r>
      <w:r w:rsidR="00D729EE" w:rsidRPr="009457D0">
        <w:rPr>
          <w:rFonts w:eastAsia="Calibri" w:cs="Calibri"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lang w:eastAsia="it-IT"/>
        </w:rPr>
        <w:t>Aberipra</w:t>
      </w:r>
      <w:proofErr w:type="spellEnd"/>
      <w:r w:rsidR="00062636" w:rsidRPr="009457D0">
        <w:rPr>
          <w:rFonts w:eastAsia="Calibri" w:cs="Calibri"/>
          <w:lang w:eastAsia="it-IT"/>
        </w:rPr>
        <w:t xml:space="preserve"> </w:t>
      </w:r>
      <w:r w:rsidR="00010B82" w:rsidRPr="009457D0">
        <w:rPr>
          <w:rFonts w:eastAsia="Calibri" w:cs="Calibri"/>
          <w:lang w:eastAsia="it-IT"/>
        </w:rPr>
        <w:t>sono</w:t>
      </w:r>
      <w:r w:rsidRPr="009457D0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9457D0">
        <w:rPr>
          <w:rFonts w:eastAsia="Calibri" w:cs="Calibri"/>
          <w:lang w:eastAsia="it-IT"/>
        </w:rPr>
        <w:t xml:space="preserve">i prescrizione di cui al punto </w:t>
      </w:r>
      <w:r w:rsidRPr="009457D0">
        <w:rPr>
          <w:rFonts w:eastAsia="Calibri" w:cs="Calibri"/>
          <w:lang w:eastAsia="it-IT"/>
        </w:rPr>
        <w:t>2) di questo Riassunto e la classe di rimborsabilità del medicinale</w:t>
      </w:r>
      <w:r w:rsidR="00D20170" w:rsidRPr="009457D0">
        <w:rPr>
          <w:rFonts w:eastAsia="Calibri" w:cs="Calibri"/>
          <w:lang w:eastAsia="it-IT"/>
        </w:rPr>
        <w:t xml:space="preserve"> </w:t>
      </w:r>
      <w:r w:rsidRPr="009457D0">
        <w:rPr>
          <w:rFonts w:eastAsia="Calibri" w:cs="Calibri"/>
          <w:lang w:eastAsia="it-IT"/>
        </w:rPr>
        <w:t>(</w:t>
      </w:r>
      <w:r w:rsidR="00E8221C">
        <w:rPr>
          <w:rFonts w:eastAsia="Calibri" w:cs="Calibri"/>
          <w:lang w:eastAsia="it-IT"/>
        </w:rPr>
        <w:t>A</w:t>
      </w:r>
      <w:r w:rsidR="00A64236" w:rsidRPr="009457D0">
        <w:rPr>
          <w:rFonts w:eastAsia="Calibri" w:cs="Calibri"/>
          <w:lang w:eastAsia="it-IT"/>
        </w:rPr>
        <w:t>)</w:t>
      </w:r>
      <w:r w:rsidRPr="009457D0">
        <w:rPr>
          <w:rFonts w:eastAsia="Calibri" w:cs="Calibri"/>
          <w:lang w:eastAsia="it-IT"/>
        </w:rPr>
        <w:t xml:space="preserve">. </w:t>
      </w: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457D0">
        <w:rPr>
          <w:rFonts w:eastAsia="Calibri" w:cs="Calibri"/>
          <w:b/>
          <w:bCs/>
          <w:lang w:eastAsia="it-IT"/>
        </w:rPr>
        <w:t>DI</w:t>
      </w:r>
      <w:proofErr w:type="spellEnd"/>
      <w:r w:rsidR="00044277" w:rsidRPr="009457D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b/>
          <w:bCs/>
          <w:color w:val="000000"/>
          <w:lang w:eastAsia="it-IT"/>
        </w:rPr>
        <w:t>Aberipra</w:t>
      </w:r>
      <w:proofErr w:type="spellEnd"/>
      <w:r w:rsidRPr="009457D0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9457D0" w:rsidRDefault="00031BAD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lang w:eastAsia="it-IT"/>
        </w:rPr>
        <w:t xml:space="preserve">Il titolare </w:t>
      </w:r>
      <w:r w:rsidR="004241AC" w:rsidRPr="009457D0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044277" w:rsidRPr="009457D0">
        <w:rPr>
          <w:rFonts w:eastAsia="Calibri" w:cs="Calibri"/>
          <w:lang w:eastAsia="it-IT"/>
        </w:rPr>
        <w:t>Aberipra</w:t>
      </w:r>
      <w:proofErr w:type="spellEnd"/>
      <w:r w:rsidR="00D729EE" w:rsidRPr="009457D0">
        <w:rPr>
          <w:rFonts w:eastAsia="Calibri" w:cs="Calibri"/>
          <w:lang w:eastAsia="it-IT"/>
        </w:rPr>
        <w:t>.</w:t>
      </w:r>
    </w:p>
    <w:p w:rsidR="004241AC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b/>
          <w:bCs/>
          <w:lang w:eastAsia="it-IT"/>
        </w:rPr>
        <w:t xml:space="preserve">8) ALTRE INFORMAZIONI RELATIVE A </w:t>
      </w:r>
      <w:r w:rsidR="00006DD6" w:rsidRPr="009457D0">
        <w:rPr>
          <w:rFonts w:eastAsia="Calibri" w:cs="Calibri"/>
          <w:b/>
          <w:bCs/>
          <w:color w:val="000000"/>
          <w:lang w:eastAsia="it-IT"/>
        </w:rPr>
        <w:t>ABERIPRA</w:t>
      </w:r>
    </w:p>
    <w:p w:rsidR="004241AC" w:rsidRPr="009457D0" w:rsidRDefault="00A64236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9457D0">
        <w:rPr>
          <w:rFonts w:eastAsia="Calibri" w:cs="Calibri"/>
          <w:bCs/>
          <w:iCs/>
          <w:lang w:eastAsia="it-IT"/>
        </w:rPr>
        <w:t xml:space="preserve"> il </w:t>
      </w:r>
      <w:r w:rsidR="00E8221C">
        <w:rPr>
          <w:rFonts w:eastAsia="Calibri" w:cs="Calibri"/>
          <w:bCs/>
          <w:iCs/>
          <w:lang w:eastAsia="it-IT"/>
        </w:rPr>
        <w:t>13 novembre 2017</w:t>
      </w:r>
      <w:r w:rsidR="004241AC" w:rsidRPr="009457D0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</w:t>
      </w:r>
      <w:r w:rsidR="00D729EE" w:rsidRPr="009457D0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bCs/>
          <w:color w:val="000000"/>
          <w:lang w:eastAsia="it-IT"/>
        </w:rPr>
        <w:t>Aberipra</w:t>
      </w:r>
      <w:proofErr w:type="spellEnd"/>
      <w:r w:rsidR="00044277" w:rsidRPr="009457D0">
        <w:rPr>
          <w:rFonts w:eastAsia="Calibri" w:cs="Calibri"/>
          <w:bCs/>
          <w:lang w:eastAsia="it-IT"/>
        </w:rPr>
        <w:t>.</w:t>
      </w:r>
      <w:r w:rsidR="004241AC" w:rsidRPr="009457D0">
        <w:rPr>
          <w:rFonts w:eastAsia="Calibri" w:cs="Calibri"/>
          <w:bCs/>
          <w:lang w:eastAsia="it-IT"/>
        </w:rPr>
        <w:t xml:space="preserve"> </w:t>
      </w:r>
    </w:p>
    <w:p w:rsidR="00900C91" w:rsidRPr="009457D0" w:rsidRDefault="00900C91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9457D0" w:rsidRDefault="00900C91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lang w:eastAsia="it-IT"/>
        </w:rPr>
        <w:t>La Relazione Pu</w:t>
      </w:r>
      <w:r w:rsidR="00D729EE" w:rsidRPr="009457D0">
        <w:rPr>
          <w:rFonts w:eastAsia="Calibri" w:cs="Calibri"/>
          <w:lang w:eastAsia="it-IT"/>
        </w:rPr>
        <w:t xml:space="preserve">bblica di Valutazione completa </w:t>
      </w:r>
      <w:r w:rsidRPr="009457D0">
        <w:rPr>
          <w:rFonts w:eastAsia="Calibri" w:cs="Calibri"/>
          <w:lang w:eastAsia="it-IT"/>
        </w:rPr>
        <w:t xml:space="preserve">questo Riassunto. </w:t>
      </w:r>
    </w:p>
    <w:p w:rsidR="004241AC" w:rsidRPr="009457D0" w:rsidRDefault="004241AC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lang w:eastAsia="it-IT"/>
        </w:rPr>
        <w:t>Per maggiori informazioni riguardo il trattamento con</w:t>
      </w:r>
      <w:r w:rsidR="00D729EE" w:rsidRPr="009457D0">
        <w:rPr>
          <w:rFonts w:eastAsia="Calibri" w:cs="Calibri"/>
          <w:lang w:eastAsia="it-IT"/>
        </w:rPr>
        <w:t xml:space="preserve"> </w:t>
      </w:r>
      <w:proofErr w:type="spellStart"/>
      <w:r w:rsidR="00044277" w:rsidRPr="009457D0">
        <w:rPr>
          <w:rFonts w:eastAsia="Calibri" w:cs="Calibri"/>
          <w:bCs/>
          <w:color w:val="000000"/>
          <w:lang w:eastAsia="it-IT"/>
        </w:rPr>
        <w:t>Aberipra</w:t>
      </w:r>
      <w:proofErr w:type="spellEnd"/>
      <w:r w:rsidRPr="009457D0">
        <w:rPr>
          <w:rFonts w:eastAsia="Calibri" w:cs="Calibri"/>
          <w:bCs/>
          <w:color w:val="000000"/>
          <w:lang w:eastAsia="it-IT"/>
        </w:rPr>
        <w:t xml:space="preserve">, </w:t>
      </w:r>
      <w:r w:rsidRPr="009457D0">
        <w:rPr>
          <w:rFonts w:eastAsia="Calibri" w:cs="Calibri"/>
          <w:lang w:eastAsia="it-IT"/>
        </w:rPr>
        <w:t>si può leggere il foglio illustrativo</w:t>
      </w:r>
      <w:r w:rsidR="00D20170" w:rsidRPr="009457D0">
        <w:rPr>
          <w:rFonts w:eastAsia="Calibri" w:cs="Calibri"/>
          <w:lang w:eastAsia="it-IT"/>
        </w:rPr>
        <w:t xml:space="preserve"> (</w:t>
      </w:r>
      <w:hyperlink r:id="rId7" w:history="1">
        <w:r w:rsidR="00947EF5" w:rsidRPr="009457D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9457D0">
        <w:rPr>
          <w:rFonts w:eastAsia="Calibri" w:cs="Calibri"/>
          <w:lang w:eastAsia="it-IT"/>
        </w:rPr>
        <w:t>)</w:t>
      </w:r>
      <w:r w:rsidRPr="009457D0">
        <w:rPr>
          <w:rFonts w:eastAsia="Calibri" w:cs="Calibri"/>
          <w:lang w:eastAsia="it-IT"/>
        </w:rPr>
        <w:t xml:space="preserve"> o contattare il medico o </w:t>
      </w:r>
      <w:r w:rsidR="00FA55B0" w:rsidRPr="009457D0">
        <w:rPr>
          <w:rFonts w:eastAsia="Calibri" w:cs="Calibri"/>
          <w:lang w:eastAsia="it-IT"/>
        </w:rPr>
        <w:t xml:space="preserve">il </w:t>
      </w:r>
      <w:r w:rsidRPr="009457D0">
        <w:rPr>
          <w:rFonts w:eastAsia="Calibri" w:cs="Calibri"/>
          <w:lang w:eastAsia="it-IT"/>
        </w:rPr>
        <w:t xml:space="preserve">farmacista. </w:t>
      </w:r>
    </w:p>
    <w:p w:rsidR="005F62FE" w:rsidRPr="009457D0" w:rsidRDefault="005F62FE" w:rsidP="009457D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457D0" w:rsidRDefault="004241AC" w:rsidP="009457D0">
      <w:pPr>
        <w:spacing w:after="0" w:line="240" w:lineRule="auto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lang w:eastAsia="it-IT"/>
        </w:rPr>
        <w:t xml:space="preserve">Questo riassunto è stato redatto in data </w:t>
      </w:r>
      <w:r w:rsidR="009457D0">
        <w:rPr>
          <w:rFonts w:eastAsia="Calibri" w:cs="Calibri"/>
          <w:lang w:eastAsia="it-IT"/>
        </w:rPr>
        <w:t>26.05.</w:t>
      </w:r>
      <w:r w:rsidR="00AC3852" w:rsidRPr="009457D0">
        <w:rPr>
          <w:rFonts w:eastAsia="Calibri" w:cs="Calibri"/>
          <w:lang w:eastAsia="it-IT"/>
        </w:rPr>
        <w:t xml:space="preserve"> 2017</w:t>
      </w:r>
    </w:p>
    <w:p w:rsidR="00A41EA1" w:rsidRPr="009457D0" w:rsidRDefault="00A41EA1" w:rsidP="009457D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24649" w:rsidRPr="009457D0" w:rsidRDefault="00C24649" w:rsidP="009457D0">
      <w:pPr>
        <w:spacing w:after="0" w:line="240" w:lineRule="auto"/>
        <w:jc w:val="both"/>
      </w:pPr>
    </w:p>
    <w:p w:rsidR="00C24649" w:rsidRDefault="00C24649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Default="00A57334" w:rsidP="009457D0">
      <w:pPr>
        <w:spacing w:after="0" w:line="240" w:lineRule="auto"/>
        <w:jc w:val="both"/>
      </w:pPr>
    </w:p>
    <w:p w:rsidR="00A57334" w:rsidRPr="009457D0" w:rsidRDefault="00A57334" w:rsidP="009457D0">
      <w:pPr>
        <w:spacing w:after="0" w:line="240" w:lineRule="auto"/>
        <w:jc w:val="both"/>
      </w:pPr>
    </w:p>
    <w:p w:rsidR="00A24BD5" w:rsidRDefault="00A24BD5" w:rsidP="00900C91">
      <w:pPr>
        <w:spacing w:after="0" w:line="240" w:lineRule="auto"/>
        <w:jc w:val="center"/>
        <w:rPr>
          <w:b/>
          <w:sz w:val="28"/>
        </w:rPr>
      </w:pPr>
    </w:p>
    <w:p w:rsidR="00900C91" w:rsidRDefault="00900C91" w:rsidP="00900C9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900C91" w:rsidRPr="009457D0" w:rsidRDefault="00900C91" w:rsidP="009457D0">
      <w:pPr>
        <w:spacing w:after="0" w:line="240" w:lineRule="auto"/>
        <w:jc w:val="center"/>
        <w:rPr>
          <w:b/>
        </w:rPr>
      </w:pPr>
    </w:p>
    <w:p w:rsidR="00900C91" w:rsidRPr="009457D0" w:rsidRDefault="00900C91" w:rsidP="009457D0">
      <w:pPr>
        <w:spacing w:after="0" w:line="240" w:lineRule="auto"/>
        <w:jc w:val="center"/>
        <w:rPr>
          <w:b/>
        </w:rPr>
      </w:pPr>
    </w:p>
    <w:p w:rsidR="00900C91" w:rsidRPr="009457D0" w:rsidRDefault="00900C91" w:rsidP="009457D0">
      <w:pPr>
        <w:spacing w:after="0" w:line="240" w:lineRule="auto"/>
        <w:jc w:val="center"/>
        <w:rPr>
          <w:b/>
        </w:rPr>
      </w:pPr>
    </w:p>
    <w:p w:rsidR="00900C91" w:rsidRPr="009457D0" w:rsidRDefault="00900C91" w:rsidP="009457D0">
      <w:pPr>
        <w:spacing w:after="0" w:line="240" w:lineRule="auto"/>
        <w:jc w:val="center"/>
        <w:rPr>
          <w:b/>
        </w:rPr>
      </w:pPr>
    </w:p>
    <w:p w:rsidR="00900C91" w:rsidRPr="009457D0" w:rsidRDefault="00900C91" w:rsidP="009457D0">
      <w:pPr>
        <w:spacing w:after="0" w:line="240" w:lineRule="auto"/>
        <w:jc w:val="center"/>
        <w:rPr>
          <w:b/>
        </w:rPr>
      </w:pPr>
      <w:r w:rsidRPr="009457D0">
        <w:rPr>
          <w:b/>
        </w:rPr>
        <w:t>INDICE</w:t>
      </w: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9457D0">
        <w:rPr>
          <w:b/>
        </w:rPr>
        <w:t>INTRODUZIONE</w:t>
      </w: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 xml:space="preserve">ASPETTI </w:t>
      </w:r>
      <w:proofErr w:type="spellStart"/>
      <w:r w:rsidRPr="009457D0">
        <w:rPr>
          <w:b/>
        </w:rPr>
        <w:t>DI</w:t>
      </w:r>
      <w:proofErr w:type="spellEnd"/>
      <w:r w:rsidRPr="009457D0">
        <w:rPr>
          <w:b/>
        </w:rPr>
        <w:t xml:space="preserve"> QUALITA’</w:t>
      </w:r>
    </w:p>
    <w:p w:rsidR="00900C91" w:rsidRPr="009457D0" w:rsidRDefault="00900C91" w:rsidP="009457D0">
      <w:pPr>
        <w:pStyle w:val="Paragrafoelenco"/>
        <w:spacing w:after="0" w:line="240" w:lineRule="auto"/>
        <w:rPr>
          <w:b/>
        </w:rPr>
      </w:pPr>
    </w:p>
    <w:p w:rsidR="00900C91" w:rsidRPr="009457D0" w:rsidRDefault="00900C91" w:rsidP="009457D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>ASPETTI NON CLINICI</w:t>
      </w:r>
    </w:p>
    <w:p w:rsidR="00900C91" w:rsidRPr="009457D0" w:rsidRDefault="00900C91" w:rsidP="009457D0">
      <w:pPr>
        <w:pStyle w:val="Paragrafoelenco"/>
        <w:spacing w:after="0" w:line="240" w:lineRule="auto"/>
        <w:rPr>
          <w:b/>
        </w:rPr>
      </w:pPr>
    </w:p>
    <w:p w:rsidR="00900C91" w:rsidRPr="009457D0" w:rsidRDefault="00900C91" w:rsidP="009457D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>ASPETTI CLINICI</w:t>
      </w:r>
    </w:p>
    <w:p w:rsidR="00900C91" w:rsidRPr="009457D0" w:rsidRDefault="00900C91" w:rsidP="009457D0">
      <w:pPr>
        <w:pStyle w:val="Paragrafoelenco"/>
        <w:spacing w:after="0" w:line="240" w:lineRule="auto"/>
        <w:rPr>
          <w:b/>
        </w:rPr>
      </w:pPr>
    </w:p>
    <w:p w:rsidR="00900C91" w:rsidRPr="009457D0" w:rsidRDefault="00900C91" w:rsidP="009457D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>CONSULTAZIONE SUL FOGLIO ILLUSTRATIVO</w:t>
      </w:r>
    </w:p>
    <w:p w:rsidR="00900C91" w:rsidRPr="009457D0" w:rsidRDefault="00900C91" w:rsidP="009457D0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9457D0" w:rsidRDefault="00900C91" w:rsidP="009457D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>CONCLUSIONI, VALUTAZIONE DEL RAPPORTO BENEFICIO/RISCHIO E RACCOMANDAZIONI</w:t>
      </w: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900C91" w:rsidRPr="009457D0" w:rsidRDefault="00900C91" w:rsidP="009457D0">
      <w:pPr>
        <w:spacing w:after="0" w:line="240" w:lineRule="auto"/>
      </w:pPr>
    </w:p>
    <w:p w:rsidR="00ED287E" w:rsidRPr="009457D0" w:rsidRDefault="00ED287E" w:rsidP="009457D0">
      <w:pPr>
        <w:spacing w:after="0" w:line="240" w:lineRule="auto"/>
      </w:pPr>
    </w:p>
    <w:p w:rsidR="00ED287E" w:rsidRPr="009457D0" w:rsidRDefault="00ED287E" w:rsidP="009457D0">
      <w:pPr>
        <w:spacing w:after="0" w:line="240" w:lineRule="auto"/>
      </w:pPr>
    </w:p>
    <w:p w:rsidR="008B3B66" w:rsidRPr="009457D0" w:rsidRDefault="008B3B66" w:rsidP="009457D0">
      <w:pPr>
        <w:spacing w:after="0" w:line="240" w:lineRule="auto"/>
      </w:pPr>
    </w:p>
    <w:p w:rsidR="00900C91" w:rsidRDefault="00900C91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6D55C4" w:rsidRDefault="006D55C4" w:rsidP="009457D0">
      <w:pPr>
        <w:spacing w:after="0" w:line="240" w:lineRule="auto"/>
      </w:pPr>
    </w:p>
    <w:p w:rsidR="00A24BD5" w:rsidRDefault="00A24BD5" w:rsidP="009457D0">
      <w:pPr>
        <w:spacing w:after="0" w:line="240" w:lineRule="auto"/>
      </w:pPr>
    </w:p>
    <w:p w:rsidR="00900C91" w:rsidRPr="009457D0" w:rsidRDefault="00900C91" w:rsidP="009457D0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9457D0">
        <w:rPr>
          <w:b/>
        </w:rPr>
        <w:lastRenderedPageBreak/>
        <w:t>INTRODUZIONE</w:t>
      </w:r>
    </w:p>
    <w:p w:rsidR="00900C91" w:rsidRPr="009457D0" w:rsidRDefault="00900C91" w:rsidP="009457D0">
      <w:pPr>
        <w:autoSpaceDE w:val="0"/>
        <w:autoSpaceDN w:val="0"/>
        <w:adjustRightInd w:val="0"/>
        <w:spacing w:after="0" w:line="240" w:lineRule="auto"/>
        <w:jc w:val="both"/>
      </w:pPr>
      <w:r w:rsidRPr="009457D0">
        <w:t xml:space="preserve">Sulla base dei dati di qualità, sicurezza ed efficacia, l’AIFA ha rilasciato a </w:t>
      </w:r>
      <w:proofErr w:type="spellStart"/>
      <w:r w:rsidR="00A24BD5" w:rsidRPr="009457D0">
        <w:t>Ecupharma</w:t>
      </w:r>
      <w:proofErr w:type="spellEnd"/>
      <w:r w:rsidR="00D729EE" w:rsidRPr="009457D0">
        <w:t xml:space="preserve"> </w:t>
      </w:r>
      <w:r w:rsidR="00C246D7" w:rsidRPr="009457D0">
        <w:t xml:space="preserve">l’autorizzazione </w:t>
      </w:r>
      <w:r w:rsidRPr="009457D0">
        <w:t xml:space="preserve">all’immissione in commercio (AIC) per il medicinale </w:t>
      </w:r>
      <w:proofErr w:type="spellStart"/>
      <w:r w:rsidR="00044277" w:rsidRPr="009457D0">
        <w:t>Aberipra</w:t>
      </w:r>
      <w:proofErr w:type="spellEnd"/>
      <w:r w:rsidR="00D729EE" w:rsidRPr="009457D0">
        <w:t xml:space="preserve"> </w:t>
      </w:r>
      <w:r w:rsidR="00C246D7" w:rsidRPr="009457D0">
        <w:t xml:space="preserve">in data  </w:t>
      </w:r>
      <w:r w:rsidR="00E8221C">
        <w:rPr>
          <w:rFonts w:eastAsia="Calibri" w:cs="Calibri"/>
          <w:bCs/>
          <w:iCs/>
          <w:lang w:eastAsia="it-IT"/>
        </w:rPr>
        <w:t>13 novembre 2017.</w:t>
      </w:r>
    </w:p>
    <w:p w:rsidR="00C24649" w:rsidRPr="009457D0" w:rsidRDefault="00C24649" w:rsidP="009457D0">
      <w:pPr>
        <w:autoSpaceDE w:val="0"/>
        <w:autoSpaceDN w:val="0"/>
        <w:adjustRightInd w:val="0"/>
        <w:spacing w:after="0" w:line="240" w:lineRule="auto"/>
        <w:jc w:val="both"/>
      </w:pPr>
    </w:p>
    <w:p w:rsidR="00002CAE" w:rsidRPr="009457D0" w:rsidRDefault="00044277" w:rsidP="009457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457D0">
        <w:rPr>
          <w:rFonts w:eastAsia="Calibri" w:cs="Calibri"/>
          <w:color w:val="000000"/>
          <w:lang w:eastAsia="it-IT"/>
        </w:rPr>
        <w:t>Aberipra</w:t>
      </w:r>
      <w:proofErr w:type="spellEnd"/>
      <w:r w:rsidRPr="009457D0">
        <w:rPr>
          <w:rFonts w:eastAsia="Calibri" w:cs="Calibri"/>
          <w:color w:val="000000"/>
          <w:lang w:eastAsia="it-IT"/>
        </w:rPr>
        <w:t xml:space="preserve"> </w:t>
      </w:r>
      <w:r w:rsidR="00A64236" w:rsidRPr="009457D0">
        <w:rPr>
          <w:rFonts w:eastAsia="Calibri" w:cs="Calibri"/>
          <w:color w:val="000000"/>
          <w:lang w:eastAsia="it-IT"/>
        </w:rPr>
        <w:t xml:space="preserve">è un medicinale </w:t>
      </w:r>
      <w:r w:rsidR="00E81C38" w:rsidRPr="009457D0">
        <w:rPr>
          <w:rFonts w:cs="Calibri"/>
          <w:color w:val="000000"/>
          <w:lang w:eastAsia="it-IT"/>
        </w:rPr>
        <w:t xml:space="preserve">che </w:t>
      </w:r>
      <w:r w:rsidR="00002CAE" w:rsidRPr="009457D0">
        <w:rPr>
          <w:rFonts w:cs="Calibri"/>
          <w:color w:val="000000"/>
          <w:lang w:eastAsia="it-IT"/>
        </w:rPr>
        <w:t>può essere ottenuto solo dietro prescrizione da parte del medico (ricetta ripetibile).</w:t>
      </w: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7055F9" w:rsidRDefault="00900C91" w:rsidP="009457D0">
      <w:pPr>
        <w:spacing w:after="0" w:line="240" w:lineRule="auto"/>
        <w:jc w:val="both"/>
        <w:rPr>
          <w:b/>
          <w:color w:val="FF0000"/>
        </w:rPr>
      </w:pPr>
      <w:r w:rsidRPr="00747926">
        <w:t>Questa procedura è stata presentata ai sensi</w:t>
      </w:r>
      <w:r w:rsidR="00E81C38" w:rsidRPr="00747926">
        <w:t xml:space="preserve"> </w:t>
      </w:r>
      <w:r w:rsidRPr="00747926">
        <w:t>dell’art. 10</w:t>
      </w:r>
      <w:r w:rsidR="007461B9" w:rsidRPr="00747926">
        <w:t>(1)</w:t>
      </w:r>
      <w:r w:rsidRPr="00747926">
        <w:t xml:space="preserve"> della Direttiva 2001/83/EU </w:t>
      </w:r>
      <w:proofErr w:type="spellStart"/>
      <w:r w:rsidRPr="00747926">
        <w:t>s.m.i.</w:t>
      </w:r>
      <w:proofErr w:type="spellEnd"/>
      <w:r w:rsidR="00A57334" w:rsidRPr="00747926">
        <w:t xml:space="preserve"> </w:t>
      </w:r>
    </w:p>
    <w:p w:rsidR="00900C91" w:rsidRPr="009457D0" w:rsidRDefault="00900C91" w:rsidP="009457D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00C91" w:rsidRPr="00A57334" w:rsidRDefault="00044277" w:rsidP="00A5733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457D0">
        <w:rPr>
          <w:rFonts w:eastAsia="Calibri" w:cs="Calibri"/>
          <w:bCs/>
          <w:color w:val="000000"/>
          <w:lang w:eastAsia="it-IT"/>
        </w:rPr>
        <w:t>Aberipra</w:t>
      </w:r>
      <w:proofErr w:type="spellEnd"/>
      <w:r w:rsidR="00D729EE" w:rsidRPr="009457D0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9457D0">
        <w:rPr>
          <w:rFonts w:eastAsia="Calibri" w:cs="Calibri"/>
          <w:color w:val="000000"/>
          <w:lang w:eastAsia="it-IT"/>
        </w:rPr>
        <w:t>è un medicinale</w:t>
      </w:r>
      <w:r w:rsidR="009246CB" w:rsidRPr="009457D0">
        <w:rPr>
          <w:rFonts w:eastAsia="Calibri" w:cs="Calibri"/>
          <w:color w:val="000000"/>
          <w:lang w:eastAsia="it-IT"/>
        </w:rPr>
        <w:t xml:space="preserve"> generico</w:t>
      </w:r>
      <w:r w:rsidR="00900C91" w:rsidRPr="009457D0">
        <w:rPr>
          <w:rFonts w:eastAsia="Calibri" w:cs="Calibri"/>
          <w:color w:val="000000"/>
          <w:lang w:eastAsia="it-IT"/>
        </w:rPr>
        <w:t xml:space="preserve"> contenente </w:t>
      </w:r>
      <w:r w:rsidR="00416688" w:rsidRPr="009457D0">
        <w:rPr>
          <w:rFonts w:eastAsia="Calibri" w:cs="Calibri"/>
          <w:color w:val="000000"/>
          <w:lang w:eastAsia="it-IT"/>
        </w:rPr>
        <w:t>il principio</w:t>
      </w:r>
      <w:r w:rsidR="00D729EE" w:rsidRPr="009457D0">
        <w:rPr>
          <w:rFonts w:eastAsia="Calibri" w:cs="Calibri"/>
          <w:color w:val="000000"/>
          <w:lang w:eastAsia="it-IT"/>
        </w:rPr>
        <w:t xml:space="preserve"> </w:t>
      </w:r>
      <w:r w:rsidR="00E81C38" w:rsidRPr="009457D0">
        <w:rPr>
          <w:rFonts w:eastAsia="Calibri" w:cs="Calibri"/>
          <w:color w:val="000000"/>
          <w:lang w:eastAsia="it-IT"/>
        </w:rPr>
        <w:t xml:space="preserve">attivo </w:t>
      </w:r>
      <w:proofErr w:type="spellStart"/>
      <w:r w:rsidR="00E81C38" w:rsidRPr="009457D0">
        <w:t>aripiprazolo</w:t>
      </w:r>
      <w:proofErr w:type="spellEnd"/>
      <w:r w:rsidR="00416688" w:rsidRPr="009457D0">
        <w:rPr>
          <w:rFonts w:eastAsia="Calibri" w:cs="Calibri"/>
          <w:color w:val="000000"/>
          <w:lang w:eastAsia="it-IT"/>
        </w:rPr>
        <w:t xml:space="preserve">, </w:t>
      </w:r>
      <w:r w:rsidR="00900C91" w:rsidRPr="009457D0">
        <w:rPr>
          <w:rFonts w:eastAsia="Calibri" w:cs="Calibri"/>
          <w:color w:val="000000"/>
          <w:lang w:eastAsia="it-IT"/>
        </w:rPr>
        <w:t>present</w:t>
      </w:r>
      <w:r w:rsidR="00E0696D" w:rsidRPr="009457D0">
        <w:rPr>
          <w:rFonts w:eastAsia="Calibri" w:cs="Calibri"/>
          <w:color w:val="000000"/>
          <w:lang w:eastAsia="it-IT"/>
        </w:rPr>
        <w:t>e</w:t>
      </w:r>
      <w:r w:rsidR="00900C91" w:rsidRPr="009457D0">
        <w:rPr>
          <w:rFonts w:eastAsia="Calibri" w:cs="Calibri"/>
          <w:color w:val="000000"/>
          <w:lang w:eastAsia="it-IT"/>
        </w:rPr>
        <w:t xml:space="preserve"> </w:t>
      </w:r>
      <w:r w:rsidR="00C246D7" w:rsidRPr="009457D0">
        <w:rPr>
          <w:rFonts w:eastAsia="Calibri" w:cs="Calibri"/>
          <w:color w:val="000000"/>
          <w:lang w:eastAsia="it-IT"/>
        </w:rPr>
        <w:t xml:space="preserve">nel medicinale di </w:t>
      </w:r>
      <w:r w:rsidR="00C246D7" w:rsidRPr="00A57334">
        <w:rPr>
          <w:rFonts w:eastAsia="Calibri" w:cs="Calibri"/>
          <w:color w:val="000000"/>
          <w:lang w:eastAsia="it-IT"/>
        </w:rPr>
        <w:t>riferimento</w:t>
      </w:r>
      <w:r w:rsidR="00D729EE" w:rsidRPr="00A5733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A57334">
        <w:t>Abilify</w:t>
      </w:r>
      <w:proofErr w:type="spellEnd"/>
      <w:r w:rsidRPr="00A57334">
        <w:rPr>
          <w:rFonts w:eastAsia="Calibri" w:cs="Calibri"/>
          <w:color w:val="000000"/>
          <w:lang w:eastAsia="it-IT"/>
        </w:rPr>
        <w:t>,</w:t>
      </w:r>
      <w:r w:rsidR="00416688" w:rsidRPr="00A57334">
        <w:rPr>
          <w:rFonts w:eastAsia="Calibri" w:cs="Calibri"/>
          <w:color w:val="000000"/>
          <w:lang w:eastAsia="it-IT"/>
        </w:rPr>
        <w:t xml:space="preserve"> </w:t>
      </w:r>
      <w:r w:rsidR="007E00D8" w:rsidRPr="00A57334">
        <w:rPr>
          <w:rFonts w:eastAsia="Calibri" w:cs="Calibri"/>
          <w:color w:val="000000"/>
          <w:lang w:eastAsia="it-IT"/>
        </w:rPr>
        <w:t>autorizzato in Italia da più di 10 anni.</w:t>
      </w:r>
    </w:p>
    <w:p w:rsidR="00900C91" w:rsidRPr="00A57334" w:rsidRDefault="00900C91" w:rsidP="00A57334">
      <w:pPr>
        <w:spacing w:after="0" w:line="240" w:lineRule="auto"/>
        <w:jc w:val="both"/>
        <w:rPr>
          <w:highlight w:val="yellow"/>
        </w:rPr>
      </w:pPr>
    </w:p>
    <w:p w:rsidR="00416688" w:rsidRPr="00A57334" w:rsidRDefault="00044277" w:rsidP="00A57334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>Aberipra</w:t>
      </w:r>
      <w:proofErr w:type="spellEnd"/>
      <w:r w:rsidR="00351210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r w:rsidR="00900C91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il cui codice ATC </w:t>
      </w:r>
      <w:r w:rsidR="00416688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>è</w:t>
      </w:r>
      <w:r w:rsidR="00D729EE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81C38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>N05AX12</w:t>
      </w:r>
      <w:r w:rsidR="00416688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>, contiene il principio attivo</w:t>
      </w:r>
      <w:r w:rsidR="00E81C38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="00E81C38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>aripiprazolo</w:t>
      </w:r>
      <w:proofErr w:type="spellEnd"/>
      <w:r w:rsidR="00416688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che fa parte della categoria farmaco-terapeutica dei farmaci </w:t>
      </w:r>
      <w:r w:rsidR="00E81C38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antipsicotici. </w:t>
      </w:r>
    </w:p>
    <w:p w:rsidR="00E81C38" w:rsidRPr="00A57334" w:rsidRDefault="00E81C38" w:rsidP="00A5733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 w:rsidRPr="00A57334">
        <w:rPr>
          <w:rFonts w:cs="Arial"/>
        </w:rPr>
        <w:t>Aripiprazolo</w:t>
      </w:r>
      <w:proofErr w:type="spellEnd"/>
      <w:r w:rsidR="00D729EE" w:rsidRPr="00A57334">
        <w:t xml:space="preserve"> </w:t>
      </w:r>
      <w:r w:rsidRPr="00A57334">
        <w:t xml:space="preserve">agisce attraverso una combinazione di una attività di parziale agonista sui recettori </w:t>
      </w:r>
      <w:proofErr w:type="spellStart"/>
      <w:r w:rsidRPr="00A57334">
        <w:t>dopaminergici</w:t>
      </w:r>
      <w:proofErr w:type="spellEnd"/>
      <w:r w:rsidRPr="00A57334">
        <w:t xml:space="preserve"> D2 e su quelli </w:t>
      </w:r>
      <w:proofErr w:type="spellStart"/>
      <w:r w:rsidRPr="00A57334">
        <w:t>serotoninergici</w:t>
      </w:r>
      <w:proofErr w:type="spellEnd"/>
      <w:r w:rsidRPr="00A57334">
        <w:t xml:space="preserve"> 5HT1a e un'azione antagonista sui recettori </w:t>
      </w:r>
      <w:proofErr w:type="spellStart"/>
      <w:r w:rsidRPr="00A57334">
        <w:t>serotoninergici</w:t>
      </w:r>
      <w:proofErr w:type="spellEnd"/>
      <w:r w:rsidRPr="00A57334">
        <w:t xml:space="preserve"> 5HT2a.</w:t>
      </w:r>
      <w:r w:rsidRPr="00A57334">
        <w:rPr>
          <w:rFonts w:cs="Times New Roman"/>
        </w:rPr>
        <w:t xml:space="preserve"> </w:t>
      </w:r>
      <w:r w:rsidRPr="00A57334">
        <w:t>L'</w:t>
      </w:r>
      <w:proofErr w:type="spellStart"/>
      <w:r w:rsidRPr="00A57334">
        <w:t>aripiprazolo</w:t>
      </w:r>
      <w:proofErr w:type="spellEnd"/>
      <w:r w:rsidRPr="00A57334">
        <w:t xml:space="preserve"> ha mostrato</w:t>
      </w:r>
      <w:r w:rsidR="00D729EE" w:rsidRPr="00A57334">
        <w:t>,</w:t>
      </w:r>
      <w:r w:rsidRPr="00A57334">
        <w:t xml:space="preserve"> inoltre</w:t>
      </w:r>
      <w:r w:rsidR="00D729EE" w:rsidRPr="00A57334">
        <w:t>,</w:t>
      </w:r>
      <w:r w:rsidRPr="00A57334">
        <w:t xml:space="preserve"> una moderata affinità di legame per il sito della </w:t>
      </w:r>
      <w:proofErr w:type="spellStart"/>
      <w:r w:rsidRPr="00A57334">
        <w:t>ricaptazione</w:t>
      </w:r>
      <w:proofErr w:type="spellEnd"/>
      <w:r w:rsidRPr="00A57334">
        <w:t xml:space="preserve"> della serotonina e un'affinità non apprezzabile per i recettori muscarinici.</w:t>
      </w:r>
    </w:p>
    <w:p w:rsidR="00282119" w:rsidRPr="00A57334" w:rsidRDefault="00282119" w:rsidP="00A57334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A57334" w:rsidRPr="00A57334" w:rsidRDefault="00044277" w:rsidP="00A57334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>Aberipra</w:t>
      </w:r>
      <w:proofErr w:type="spellEnd"/>
      <w:r w:rsidR="00D729EE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FE45F5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>si usa per</w:t>
      </w:r>
      <w:r w:rsidR="00A57334" w:rsidRPr="00A57334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:rsidR="00A57334" w:rsidRPr="00A57334" w:rsidRDefault="00A57334" w:rsidP="00A57334">
      <w:pPr>
        <w:pStyle w:val="NormaleWeb"/>
        <w:numPr>
          <w:ilvl w:val="0"/>
          <w:numId w:val="9"/>
        </w:numPr>
        <w:spacing w:before="0" w:beforeAutospacing="0" w:after="0" w:afterAutospacing="0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7334">
        <w:rPr>
          <w:rFonts w:asciiTheme="minorHAnsi" w:hAnsiTheme="minorHAnsi"/>
          <w:sz w:val="22"/>
          <w:szCs w:val="22"/>
        </w:rPr>
        <w:t>il trattamento della schizofrenia negli adulti e negli adolesce</w:t>
      </w:r>
      <w:r>
        <w:rPr>
          <w:rFonts w:asciiTheme="minorHAnsi" w:hAnsiTheme="minorHAnsi"/>
          <w:sz w:val="22"/>
          <w:szCs w:val="22"/>
        </w:rPr>
        <w:t>nti a partire da 15 anni di età;</w:t>
      </w:r>
    </w:p>
    <w:p w:rsidR="00A57334" w:rsidRPr="00A57334" w:rsidRDefault="00A57334" w:rsidP="00A57334">
      <w:pPr>
        <w:pStyle w:val="NormaleWeb"/>
        <w:numPr>
          <w:ilvl w:val="0"/>
          <w:numId w:val="9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il </w:t>
      </w:r>
      <w:r w:rsidRPr="00A57334">
        <w:rPr>
          <w:rFonts w:asciiTheme="minorHAnsi" w:hAnsiTheme="minorHAnsi"/>
          <w:sz w:val="22"/>
          <w:szCs w:val="22"/>
        </w:rPr>
        <w:t xml:space="preserve">trattamento di episodi maniacali di grado da moderato a severo del Disturbo Bipolare di Tipo I e per la prevenzione di un nuovo episodio maniacale negli adulti che hanno avuto prevalentemente episodi maniacali che hanno risposto al trattamento con </w:t>
      </w:r>
      <w:proofErr w:type="spellStart"/>
      <w:r w:rsidRPr="00A57334">
        <w:rPr>
          <w:rFonts w:asciiTheme="minorHAnsi" w:hAnsiTheme="minorHAnsi"/>
          <w:sz w:val="22"/>
          <w:szCs w:val="22"/>
        </w:rPr>
        <w:t>aripiprazolo</w:t>
      </w:r>
      <w:proofErr w:type="spellEnd"/>
      <w:r>
        <w:rPr>
          <w:rFonts w:asciiTheme="minorHAnsi" w:hAnsiTheme="minorHAnsi"/>
          <w:sz w:val="22"/>
          <w:szCs w:val="22"/>
        </w:rPr>
        <w:t>;</w:t>
      </w:r>
    </w:p>
    <w:p w:rsidR="00416688" w:rsidRPr="00A57334" w:rsidRDefault="00A57334" w:rsidP="00A57334">
      <w:pPr>
        <w:pStyle w:val="NormaleWeb"/>
        <w:numPr>
          <w:ilvl w:val="0"/>
          <w:numId w:val="9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il </w:t>
      </w:r>
      <w:r w:rsidRPr="00A57334">
        <w:rPr>
          <w:rFonts w:asciiTheme="minorHAnsi" w:hAnsiTheme="minorHAnsi"/>
          <w:sz w:val="22"/>
          <w:szCs w:val="22"/>
        </w:rPr>
        <w:t>trattamento, fino a 12 settimane, di episodi maniacali di grado da moderato a severo del Disturbo Bipolare di Tipo I negli adolescenti a partire da 13 anni di età</w:t>
      </w:r>
      <w:r>
        <w:rPr>
          <w:rFonts w:asciiTheme="minorHAnsi" w:hAnsiTheme="minorHAnsi"/>
          <w:sz w:val="22"/>
          <w:szCs w:val="22"/>
        </w:rPr>
        <w:t>.</w:t>
      </w:r>
    </w:p>
    <w:p w:rsidR="00A57334" w:rsidRPr="00A57334" w:rsidRDefault="00A57334" w:rsidP="00A57334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00C91" w:rsidRPr="00A57334" w:rsidRDefault="00DE1FD2" w:rsidP="00A57334">
      <w:pPr>
        <w:spacing w:after="0" w:line="240" w:lineRule="auto"/>
        <w:jc w:val="both"/>
        <w:rPr>
          <w:rFonts w:cs="Arial"/>
        </w:rPr>
      </w:pPr>
      <w:r w:rsidRPr="00A57334">
        <w:t xml:space="preserve">Poiché </w:t>
      </w:r>
      <w:proofErr w:type="spellStart"/>
      <w:r w:rsidR="00044277" w:rsidRPr="00A57334">
        <w:rPr>
          <w:rFonts w:eastAsia="Calibri" w:cs="Calibri"/>
          <w:lang w:eastAsia="it-IT"/>
        </w:rPr>
        <w:t>Aberipra</w:t>
      </w:r>
      <w:proofErr w:type="spellEnd"/>
      <w:r w:rsidR="00D729EE" w:rsidRPr="00A57334">
        <w:rPr>
          <w:rFonts w:eastAsia="Calibri" w:cs="Calibri"/>
          <w:lang w:eastAsia="it-IT"/>
        </w:rPr>
        <w:t xml:space="preserve"> </w:t>
      </w:r>
      <w:r w:rsidRPr="00A57334">
        <w:t xml:space="preserve">contiene un principio attivo noto, non sono stati forniti nuovi dati non clinici e clinici: questo approccio è accettabile poiché il medicinale di riferimento </w:t>
      </w:r>
      <w:proofErr w:type="spellStart"/>
      <w:r w:rsidR="00044277" w:rsidRPr="00A57334">
        <w:rPr>
          <w:rFonts w:eastAsia="Calibri" w:cs="Calibri"/>
          <w:lang w:eastAsia="it-IT"/>
        </w:rPr>
        <w:t>Abilify</w:t>
      </w:r>
      <w:proofErr w:type="spellEnd"/>
      <w:r w:rsidR="00D729EE" w:rsidRPr="00A57334">
        <w:rPr>
          <w:rFonts w:eastAsia="Calibri" w:cs="Calibri"/>
          <w:lang w:eastAsia="it-IT"/>
        </w:rPr>
        <w:t xml:space="preserve"> </w:t>
      </w:r>
      <w:r w:rsidRPr="00A57334">
        <w:t>è autorizzato in Italia da oltre 10 anni;</w:t>
      </w:r>
      <w:r w:rsidR="00FE45F5" w:rsidRPr="00A57334">
        <w:t xml:space="preserve"> </w:t>
      </w:r>
      <w:r w:rsidR="00D729EE" w:rsidRPr="00A57334">
        <w:t>p</w:t>
      </w:r>
      <w:r w:rsidR="00FE45F5" w:rsidRPr="00A57334">
        <w:rPr>
          <w:rFonts w:cs="Arial"/>
        </w:rPr>
        <w:t>ertanto, è stato sufficiente effettuare prove cliniche per determinare</w:t>
      </w:r>
      <w:r w:rsidR="00FE45F5" w:rsidRPr="00A57334">
        <w:rPr>
          <w:rFonts w:cs="Arial"/>
          <w:b/>
        </w:rPr>
        <w:t xml:space="preserve"> </w:t>
      </w:r>
      <w:r w:rsidR="00FE45F5" w:rsidRPr="00A57334">
        <w:rPr>
          <w:rFonts w:cs="Arial"/>
        </w:rPr>
        <w:t xml:space="preserve">la bioequivalenza rispetto al medicinale di riferimento </w:t>
      </w:r>
      <w:proofErr w:type="spellStart"/>
      <w:r w:rsidR="00044277" w:rsidRPr="00A57334">
        <w:t>Abilify</w:t>
      </w:r>
      <w:proofErr w:type="spellEnd"/>
      <w:r w:rsidR="00FE45F5" w:rsidRPr="00A57334">
        <w:rPr>
          <w:rFonts w:cs="Arial"/>
        </w:rPr>
        <w:t xml:space="preserve">. </w:t>
      </w:r>
    </w:p>
    <w:p w:rsidR="00A24BD5" w:rsidRPr="00A57334" w:rsidRDefault="00A24BD5" w:rsidP="00A57334">
      <w:pPr>
        <w:spacing w:after="0" w:line="240" w:lineRule="auto"/>
        <w:jc w:val="both"/>
      </w:pPr>
    </w:p>
    <w:p w:rsidR="008A59E9" w:rsidRPr="00A57334" w:rsidRDefault="00900C91" w:rsidP="00A57334">
      <w:pPr>
        <w:spacing w:after="0" w:line="240" w:lineRule="auto"/>
        <w:jc w:val="both"/>
      </w:pPr>
      <w:r w:rsidRPr="00A57334">
        <w:t>Le officine coinvolte nella produzione sono conformi alle linee guida di Buona Pratica di Fabbricazione (</w:t>
      </w:r>
      <w:proofErr w:type="spellStart"/>
      <w:r w:rsidRPr="00A57334">
        <w:rPr>
          <w:i/>
        </w:rPr>
        <w:t>Good</w:t>
      </w:r>
      <w:proofErr w:type="spellEnd"/>
      <w:r w:rsidRPr="00A57334">
        <w:rPr>
          <w:i/>
        </w:rPr>
        <w:t xml:space="preserve"> Manufacturing </w:t>
      </w:r>
      <w:proofErr w:type="spellStart"/>
      <w:r w:rsidRPr="00A57334">
        <w:rPr>
          <w:i/>
        </w:rPr>
        <w:t>Practice</w:t>
      </w:r>
      <w:proofErr w:type="spellEnd"/>
      <w:r w:rsidRPr="00A57334">
        <w:t xml:space="preserve"> - GMP). </w:t>
      </w:r>
      <w:r w:rsidR="008A59E9" w:rsidRPr="00A57334">
        <w:t xml:space="preserve">Le autorità </w:t>
      </w:r>
      <w:r w:rsidR="00E35FFF" w:rsidRPr="00A57334">
        <w:t>regolatorie</w:t>
      </w:r>
      <w:r w:rsidR="008A59E9" w:rsidRPr="00A57334">
        <w:t xml:space="preserve"> europee competenti hanno rilasciato i certificati GMP per i siti di produzione.</w:t>
      </w:r>
    </w:p>
    <w:p w:rsidR="00900C91" w:rsidRPr="00A57334" w:rsidRDefault="00900C91" w:rsidP="00A57334">
      <w:pPr>
        <w:spacing w:after="0" w:line="240" w:lineRule="auto"/>
        <w:jc w:val="both"/>
        <w:rPr>
          <w:highlight w:val="yellow"/>
        </w:rPr>
      </w:pPr>
    </w:p>
    <w:p w:rsidR="00900C91" w:rsidRPr="009457D0" w:rsidRDefault="00900C91" w:rsidP="009457D0">
      <w:pPr>
        <w:spacing w:after="0" w:line="240" w:lineRule="auto"/>
        <w:jc w:val="both"/>
      </w:pPr>
      <w:r w:rsidRPr="009457D0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457D0">
        <w:rPr>
          <w:i/>
        </w:rPr>
        <w:t>Risk</w:t>
      </w:r>
      <w:proofErr w:type="spellEnd"/>
      <w:r w:rsidRPr="009457D0">
        <w:rPr>
          <w:i/>
        </w:rPr>
        <w:t xml:space="preserve"> Management </w:t>
      </w:r>
      <w:proofErr w:type="spellStart"/>
      <w:r w:rsidRPr="009457D0">
        <w:rPr>
          <w:i/>
        </w:rPr>
        <w:t>Plan</w:t>
      </w:r>
      <w:proofErr w:type="spellEnd"/>
      <w:r w:rsidRPr="009457D0">
        <w:t xml:space="preserve"> – RMP) accettabile.</w:t>
      </w: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spacing w:after="0" w:line="240" w:lineRule="auto"/>
        <w:jc w:val="both"/>
      </w:pPr>
      <w:r w:rsidRPr="009457D0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044277" w:rsidRPr="009457D0">
        <w:t>Aberipra</w:t>
      </w:r>
      <w:proofErr w:type="spellEnd"/>
      <w:r w:rsidR="00D729EE" w:rsidRPr="009457D0">
        <w:t xml:space="preserve"> </w:t>
      </w:r>
      <w:r w:rsidRPr="009457D0">
        <w:t xml:space="preserve">contiene </w:t>
      </w:r>
      <w:r w:rsidR="00D729EE" w:rsidRPr="009457D0">
        <w:t xml:space="preserve">un </w:t>
      </w:r>
      <w:r w:rsidRPr="009457D0">
        <w:t>principi</w:t>
      </w:r>
      <w:r w:rsidR="00DE1FD2" w:rsidRPr="009457D0">
        <w:t>o</w:t>
      </w:r>
      <w:r w:rsidRPr="009457D0">
        <w:t xml:space="preserve"> attiv</w:t>
      </w:r>
      <w:r w:rsidR="00DE1FD2" w:rsidRPr="009457D0">
        <w:t xml:space="preserve">o </w:t>
      </w:r>
      <w:r w:rsidRPr="009457D0">
        <w:t>not</w:t>
      </w:r>
      <w:r w:rsidR="00DE1FD2" w:rsidRPr="009457D0">
        <w:t>o</w:t>
      </w:r>
      <w:r w:rsidRPr="009457D0">
        <w:t xml:space="preserve"> present</w:t>
      </w:r>
      <w:r w:rsidR="00DE1FD2" w:rsidRPr="009457D0">
        <w:t>e</w:t>
      </w:r>
      <w:r w:rsidRPr="009457D0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Pr="009457D0" w:rsidRDefault="00354339" w:rsidP="009457D0">
      <w:pPr>
        <w:spacing w:after="0" w:line="240" w:lineRule="auto"/>
        <w:jc w:val="both"/>
      </w:pP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57D0">
        <w:rPr>
          <w:b/>
        </w:rPr>
        <w:t xml:space="preserve">ASPETTI </w:t>
      </w:r>
      <w:proofErr w:type="spellStart"/>
      <w:r w:rsidRPr="009457D0">
        <w:rPr>
          <w:b/>
        </w:rPr>
        <w:t>DI</w:t>
      </w:r>
      <w:proofErr w:type="spellEnd"/>
      <w:r w:rsidRPr="009457D0">
        <w:rPr>
          <w:b/>
        </w:rPr>
        <w:t xml:space="preserve"> QUALITA’</w:t>
      </w:r>
    </w:p>
    <w:p w:rsidR="00900C91" w:rsidRPr="009457D0" w:rsidRDefault="00900C91" w:rsidP="009457D0">
      <w:pPr>
        <w:spacing w:after="0" w:line="240" w:lineRule="auto"/>
        <w:jc w:val="both"/>
      </w:pPr>
      <w:r w:rsidRPr="009457D0">
        <w:rPr>
          <w:b/>
        </w:rPr>
        <w:t xml:space="preserve">II.1a PRINCIPIO ATTIVO </w:t>
      </w:r>
      <w:r w:rsidR="00AA2EDE" w:rsidRPr="009457D0">
        <w:rPr>
          <w:b/>
        </w:rPr>
        <w:t xml:space="preserve"> </w:t>
      </w:r>
    </w:p>
    <w:p w:rsidR="00FE45F5" w:rsidRDefault="00900C91" w:rsidP="009457D0">
      <w:pPr>
        <w:spacing w:after="0" w:line="240" w:lineRule="auto"/>
      </w:pPr>
      <w:r w:rsidRPr="009457D0">
        <w:rPr>
          <w:u w:val="single"/>
        </w:rPr>
        <w:t>Nome chimico</w:t>
      </w:r>
      <w:r w:rsidR="00F147C1" w:rsidRPr="009457D0">
        <w:t>:</w:t>
      </w:r>
      <w:r w:rsidR="00AA2EDE" w:rsidRPr="009457D0">
        <w:rPr>
          <w:lang w:eastAsia="it-IT"/>
        </w:rPr>
        <w:t xml:space="preserve"> </w:t>
      </w:r>
      <w:r w:rsidR="00FE45F5" w:rsidRPr="009457D0">
        <w:t>7-[4-[4-(2,3-dichlorophenyl)piperazin-1-yl]butoxy]-3,4-dihydro-1H-quinolin-2-one</w:t>
      </w:r>
    </w:p>
    <w:p w:rsidR="00900C91" w:rsidRPr="009457D0" w:rsidRDefault="00900C91" w:rsidP="009457D0">
      <w:pPr>
        <w:spacing w:after="0" w:line="240" w:lineRule="auto"/>
        <w:jc w:val="both"/>
      </w:pPr>
      <w:r w:rsidRPr="009457D0">
        <w:rPr>
          <w:u w:val="single"/>
        </w:rPr>
        <w:t>Struttura</w:t>
      </w:r>
      <w:r w:rsidRPr="009457D0">
        <w:t>:</w:t>
      </w:r>
    </w:p>
    <w:p w:rsidR="00FE45F5" w:rsidRPr="009457D0" w:rsidRDefault="00FE45F5" w:rsidP="009457D0">
      <w:pPr>
        <w:spacing w:after="0" w:line="240" w:lineRule="auto"/>
        <w:jc w:val="center"/>
        <w:rPr>
          <w:noProof/>
          <w:lang w:eastAsia="it-IT"/>
        </w:rPr>
      </w:pPr>
      <w:r w:rsidRPr="009457D0">
        <w:rPr>
          <w:noProof/>
          <w:lang w:eastAsia="it-IT"/>
        </w:rPr>
        <w:drawing>
          <wp:inline distT="0" distB="0" distL="0" distR="0">
            <wp:extent cx="626818" cy="610565"/>
            <wp:effectExtent l="0" t="0" r="1832" b="0"/>
            <wp:docPr id="2" name="Immagine 1" descr="Aripiprazo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ipiprazo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50" cy="612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5F5" w:rsidRPr="009457D0" w:rsidRDefault="00900C91" w:rsidP="009457D0">
      <w:pPr>
        <w:pStyle w:val="Default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9457D0">
        <w:rPr>
          <w:rFonts w:asciiTheme="minorHAnsi" w:eastAsiaTheme="minorHAnsi" w:hAnsiTheme="minorHAnsi" w:cstheme="minorBidi"/>
          <w:color w:val="auto"/>
          <w:sz w:val="22"/>
          <w:szCs w:val="22"/>
          <w:u w:val="single"/>
          <w:lang w:eastAsia="en-US"/>
        </w:rPr>
        <w:lastRenderedPageBreak/>
        <w:t>Formula molecolare</w:t>
      </w:r>
      <w:r w:rsidRPr="009457D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: </w:t>
      </w:r>
      <w:r w:rsidR="00FE45F5" w:rsidRPr="009457D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C</w:t>
      </w:r>
      <w:r w:rsidR="00FE45F5" w:rsidRPr="00A24BD5">
        <w:rPr>
          <w:rFonts w:asciiTheme="minorHAnsi" w:eastAsiaTheme="minorHAnsi" w:hAnsiTheme="minorHAnsi" w:cstheme="minorBidi"/>
          <w:color w:val="auto"/>
          <w:sz w:val="22"/>
          <w:szCs w:val="22"/>
          <w:vertAlign w:val="subscript"/>
          <w:lang w:eastAsia="en-US"/>
        </w:rPr>
        <w:t>23</w:t>
      </w:r>
      <w:r w:rsidR="00FE45F5" w:rsidRPr="009457D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H</w:t>
      </w:r>
      <w:r w:rsidR="00FE45F5" w:rsidRPr="00A24BD5">
        <w:rPr>
          <w:rFonts w:asciiTheme="minorHAnsi" w:eastAsiaTheme="minorHAnsi" w:hAnsiTheme="minorHAnsi" w:cstheme="minorBidi"/>
          <w:color w:val="auto"/>
          <w:sz w:val="22"/>
          <w:szCs w:val="22"/>
          <w:vertAlign w:val="subscript"/>
          <w:lang w:eastAsia="en-US"/>
        </w:rPr>
        <w:t>27</w:t>
      </w:r>
      <w:r w:rsidR="00FE45F5" w:rsidRPr="009457D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Cl</w:t>
      </w:r>
      <w:r w:rsidR="00FE45F5" w:rsidRPr="00A24BD5">
        <w:rPr>
          <w:rFonts w:asciiTheme="minorHAnsi" w:eastAsiaTheme="minorHAnsi" w:hAnsiTheme="minorHAnsi" w:cstheme="minorBidi"/>
          <w:color w:val="auto"/>
          <w:sz w:val="22"/>
          <w:szCs w:val="22"/>
          <w:vertAlign w:val="subscript"/>
          <w:lang w:eastAsia="en-US"/>
        </w:rPr>
        <w:t>2</w:t>
      </w:r>
      <w:r w:rsidR="00FE45F5" w:rsidRPr="009457D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N</w:t>
      </w:r>
      <w:r w:rsidR="00FE45F5" w:rsidRPr="00A24BD5">
        <w:rPr>
          <w:rFonts w:asciiTheme="minorHAnsi" w:eastAsiaTheme="minorHAnsi" w:hAnsiTheme="minorHAnsi" w:cstheme="minorBidi"/>
          <w:color w:val="auto"/>
          <w:sz w:val="22"/>
          <w:szCs w:val="22"/>
          <w:vertAlign w:val="subscript"/>
          <w:lang w:eastAsia="en-US"/>
        </w:rPr>
        <w:t>3</w:t>
      </w:r>
      <w:r w:rsidR="00FE45F5" w:rsidRPr="009457D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O</w:t>
      </w:r>
      <w:r w:rsidR="00FE45F5" w:rsidRPr="00A24BD5">
        <w:rPr>
          <w:rFonts w:asciiTheme="minorHAnsi" w:eastAsiaTheme="minorHAnsi" w:hAnsiTheme="minorHAnsi" w:cstheme="minorBidi"/>
          <w:color w:val="auto"/>
          <w:sz w:val="22"/>
          <w:szCs w:val="22"/>
          <w:vertAlign w:val="subscript"/>
          <w:lang w:eastAsia="en-US"/>
        </w:rPr>
        <w:t>2</w:t>
      </w:r>
      <w:r w:rsidR="00FE45F5" w:rsidRPr="009457D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</w:p>
    <w:p w:rsidR="00FE45F5" w:rsidRPr="009457D0" w:rsidRDefault="00900C91" w:rsidP="009457D0">
      <w:pPr>
        <w:pStyle w:val="Default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9457D0">
        <w:rPr>
          <w:rFonts w:asciiTheme="minorHAnsi" w:eastAsiaTheme="minorHAnsi" w:hAnsiTheme="minorHAnsi" w:cstheme="minorBidi"/>
          <w:color w:val="auto"/>
          <w:sz w:val="22"/>
          <w:szCs w:val="22"/>
          <w:u w:val="single"/>
          <w:lang w:eastAsia="en-US"/>
        </w:rPr>
        <w:t>Peso molecolare</w:t>
      </w:r>
      <w:r w:rsidRPr="009457D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: </w:t>
      </w:r>
      <w:r w:rsidR="00FE45F5" w:rsidRPr="009457D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448.39 g/mol </w:t>
      </w:r>
    </w:p>
    <w:p w:rsidR="00D729EE" w:rsidRPr="009457D0" w:rsidRDefault="00900C91" w:rsidP="009457D0">
      <w:pPr>
        <w:spacing w:after="0" w:line="240" w:lineRule="auto"/>
        <w:jc w:val="both"/>
      </w:pPr>
      <w:r w:rsidRPr="009457D0">
        <w:rPr>
          <w:u w:val="single"/>
        </w:rPr>
        <w:t>CAS</w:t>
      </w:r>
      <w:r w:rsidRPr="00A24BD5">
        <w:t xml:space="preserve">: </w:t>
      </w:r>
      <w:r w:rsidR="00FE45F5" w:rsidRPr="00A24BD5">
        <w:t xml:space="preserve"> </w:t>
      </w:r>
      <w:r w:rsidR="00A24BD5">
        <w:t>[</w:t>
      </w:r>
      <w:r w:rsidR="00FE45F5" w:rsidRPr="009457D0">
        <w:t>129722-12-9</w:t>
      </w:r>
      <w:r w:rsidR="00A24BD5">
        <w:t>]</w:t>
      </w:r>
    </w:p>
    <w:p w:rsidR="00900C91" w:rsidRPr="009457D0" w:rsidRDefault="00900C91" w:rsidP="009457D0">
      <w:pPr>
        <w:spacing w:after="0" w:line="240" w:lineRule="auto"/>
        <w:jc w:val="both"/>
      </w:pPr>
      <w:r w:rsidRPr="009457D0">
        <w:rPr>
          <w:u w:val="single"/>
        </w:rPr>
        <w:t>Aspetto</w:t>
      </w:r>
      <w:r w:rsidR="00D729EE" w:rsidRPr="009457D0">
        <w:rPr>
          <w:u w:val="single"/>
        </w:rPr>
        <w:t>:</w:t>
      </w:r>
      <w:r w:rsidR="00D729EE" w:rsidRPr="009457D0">
        <w:t xml:space="preserve"> </w:t>
      </w:r>
      <w:r w:rsidRPr="009457D0">
        <w:t>polvere</w:t>
      </w:r>
      <w:r w:rsidR="00F147C1" w:rsidRPr="009457D0">
        <w:t xml:space="preserve"> </w:t>
      </w:r>
      <w:r w:rsidRPr="009457D0">
        <w:t xml:space="preserve"> bianca o quasi bianca</w:t>
      </w:r>
    </w:p>
    <w:p w:rsidR="00351210" w:rsidRPr="009457D0" w:rsidRDefault="00900C91" w:rsidP="009457D0">
      <w:pPr>
        <w:spacing w:after="0" w:line="240" w:lineRule="auto"/>
        <w:jc w:val="both"/>
      </w:pPr>
      <w:r w:rsidRPr="009457D0">
        <w:rPr>
          <w:u w:val="single"/>
        </w:rPr>
        <w:t>Solubilità</w:t>
      </w:r>
      <w:r w:rsidR="00972CE3" w:rsidRPr="00A24BD5">
        <w:t>:</w:t>
      </w:r>
      <w:r w:rsidR="00D729EE" w:rsidRPr="009457D0">
        <w:t xml:space="preserve"> </w:t>
      </w:r>
      <w:r w:rsidR="00FE45F5" w:rsidRPr="009457D0">
        <w:t>insolu</w:t>
      </w:r>
      <w:r w:rsidR="00D729EE" w:rsidRPr="009457D0">
        <w:t>bile in acqua, solubile in cloru</w:t>
      </w:r>
      <w:r w:rsidR="00FE45F5" w:rsidRPr="009457D0">
        <w:t>ro di metilene</w:t>
      </w:r>
      <w:r w:rsidR="00D729EE" w:rsidRPr="009457D0">
        <w:t>,</w:t>
      </w:r>
      <w:r w:rsidR="00FE45F5" w:rsidRPr="009457D0">
        <w:t xml:space="preserve"> molto solubile in metanolo. </w:t>
      </w:r>
    </w:p>
    <w:p w:rsidR="00900C91" w:rsidRPr="009457D0" w:rsidRDefault="00900C91" w:rsidP="009457D0">
      <w:pPr>
        <w:spacing w:after="0" w:line="240" w:lineRule="auto"/>
        <w:jc w:val="both"/>
      </w:pPr>
      <w:r w:rsidRPr="009457D0">
        <w:rPr>
          <w:u w:val="single"/>
        </w:rPr>
        <w:t>Polimorfismo</w:t>
      </w:r>
      <w:r w:rsidRPr="00A24BD5">
        <w:t>:</w:t>
      </w:r>
      <w:r w:rsidR="00D729EE" w:rsidRPr="009457D0">
        <w:t xml:space="preserve"> </w:t>
      </w:r>
      <w:proofErr w:type="spellStart"/>
      <w:r w:rsidR="00A24BD5">
        <w:t>a</w:t>
      </w:r>
      <w:r w:rsidR="00F459C2" w:rsidRPr="009457D0">
        <w:t>ripiprazolo</w:t>
      </w:r>
      <w:proofErr w:type="spellEnd"/>
      <w:r w:rsidR="00F459C2" w:rsidRPr="009457D0">
        <w:t xml:space="preserve"> mostra polimorfismo.</w:t>
      </w:r>
    </w:p>
    <w:p w:rsidR="00F147C1" w:rsidRPr="009457D0" w:rsidRDefault="00F147C1" w:rsidP="009457D0">
      <w:pPr>
        <w:spacing w:after="0" w:line="240" w:lineRule="auto"/>
        <w:jc w:val="both"/>
      </w:pPr>
    </w:p>
    <w:p w:rsidR="007461B9" w:rsidRPr="009457D0" w:rsidRDefault="007461B9" w:rsidP="009457D0">
      <w:pPr>
        <w:spacing w:after="0" w:line="240" w:lineRule="auto"/>
        <w:jc w:val="both"/>
      </w:pPr>
      <w:r w:rsidRPr="009457D0">
        <w:t>Il principio attivo</w:t>
      </w:r>
      <w:r w:rsidR="006D4627" w:rsidRPr="009457D0">
        <w:t xml:space="preserve"> </w:t>
      </w:r>
      <w:proofErr w:type="spellStart"/>
      <w:r w:rsidR="00A24BD5">
        <w:t>a</w:t>
      </w:r>
      <w:r w:rsidR="00F459C2" w:rsidRPr="009457D0">
        <w:t>ripiprazolo</w:t>
      </w:r>
      <w:proofErr w:type="spellEnd"/>
      <w:r w:rsidR="006D4627" w:rsidRPr="009457D0">
        <w:t xml:space="preserve"> </w:t>
      </w:r>
      <w:r w:rsidRPr="009457D0">
        <w:t xml:space="preserve">è </w:t>
      </w:r>
      <w:r w:rsidR="000D6F89" w:rsidRPr="009457D0">
        <w:t>presente in Farmacopea Europea</w:t>
      </w:r>
      <w:r w:rsidR="00A24BD5">
        <w:t xml:space="preserve"> e</w:t>
      </w:r>
      <w:r w:rsidRPr="009457D0">
        <w:t xml:space="preserve"> </w:t>
      </w:r>
      <w:r w:rsidR="009A33E4" w:rsidRPr="009457D0">
        <w:t>i</w:t>
      </w:r>
      <w:r w:rsidR="000F3618" w:rsidRPr="009457D0">
        <w:t xml:space="preserve"> </w:t>
      </w:r>
      <w:r w:rsidR="004B084D">
        <w:t>due</w:t>
      </w:r>
      <w:r w:rsidR="009A33E4" w:rsidRPr="009457D0">
        <w:t xml:space="preserve"> produttor</w:t>
      </w:r>
      <w:r w:rsidR="000F3618" w:rsidRPr="009457D0">
        <w:t xml:space="preserve">i </w:t>
      </w:r>
      <w:r w:rsidR="009A33E4" w:rsidRPr="009457D0">
        <w:t xml:space="preserve">di principio attivo </w:t>
      </w:r>
      <w:r w:rsidR="004B084D">
        <w:t xml:space="preserve">proposti </w:t>
      </w:r>
      <w:r w:rsidR="000D6F89" w:rsidRPr="009457D0">
        <w:t>ha</w:t>
      </w:r>
      <w:r w:rsidR="000F3618" w:rsidRPr="009457D0">
        <w:t xml:space="preserve">nno </w:t>
      </w:r>
      <w:r w:rsidR="000D6F89" w:rsidRPr="009457D0">
        <w:t xml:space="preserve"> presentato un ASMF.</w:t>
      </w:r>
    </w:p>
    <w:p w:rsidR="007461B9" w:rsidRPr="009457D0" w:rsidRDefault="007461B9" w:rsidP="009457D0">
      <w:pPr>
        <w:spacing w:after="0" w:line="240" w:lineRule="auto"/>
        <w:jc w:val="both"/>
      </w:pPr>
      <w:r w:rsidRPr="009457D0">
        <w:t>La sintesi del principio attivo è stata adeguatamente descritta a partire da  idonei materiali di partenza; sono utilizzati appropriati controlli di processo e degli intermedi di sintesi.</w:t>
      </w:r>
    </w:p>
    <w:p w:rsidR="007461B9" w:rsidRPr="009457D0" w:rsidRDefault="007461B9" w:rsidP="009457D0">
      <w:pPr>
        <w:spacing w:after="0" w:line="240" w:lineRule="auto"/>
        <w:jc w:val="both"/>
      </w:pPr>
      <w:r w:rsidRPr="009457D0">
        <w:t>I materiali e i reagenti utilizzati nella sintesi sono di qualità adeguata.</w:t>
      </w:r>
    </w:p>
    <w:p w:rsidR="007461B9" w:rsidRPr="009457D0" w:rsidRDefault="007461B9" w:rsidP="009457D0">
      <w:pPr>
        <w:spacing w:after="0" w:line="240" w:lineRule="auto"/>
        <w:jc w:val="both"/>
      </w:pPr>
      <w:r w:rsidRPr="009457D0">
        <w:t>I materiali, gli intermedi, i reagenti utilizzati nella sintesi non sono di origine umana, biologica o geneticamente modificata.</w:t>
      </w:r>
    </w:p>
    <w:p w:rsidR="007461B9" w:rsidRPr="009457D0" w:rsidRDefault="007461B9" w:rsidP="009457D0">
      <w:pPr>
        <w:spacing w:after="0" w:line="240" w:lineRule="auto"/>
        <w:jc w:val="both"/>
      </w:pPr>
      <w:r w:rsidRPr="009457D0">
        <w:t>Le specifiche del principio attivo sono appropriate e controllati con metodi analitici adeguatamente convalidati. Sono stati forniti certificati analitici che confermano la qualità del principio attivo.</w:t>
      </w:r>
    </w:p>
    <w:p w:rsidR="00E91C1E" w:rsidRDefault="00E91C1E" w:rsidP="009457D0">
      <w:pPr>
        <w:spacing w:after="0" w:line="240" w:lineRule="auto"/>
        <w:jc w:val="both"/>
      </w:pPr>
      <w:r w:rsidRPr="00E91C1E">
        <w:t>Il principio attivo è confezionato in un adeguato contenitore, per il quale sono stati forniti specifiche e certificati analitici.</w:t>
      </w:r>
      <w:r>
        <w:t xml:space="preserve"> </w:t>
      </w:r>
      <w:r w:rsidR="004B084D" w:rsidRPr="004B084D">
        <w:t xml:space="preserve">Per un </w:t>
      </w:r>
      <w:r w:rsidR="000F3618" w:rsidRPr="004B084D">
        <w:t xml:space="preserve">produttore </w:t>
      </w:r>
      <w:proofErr w:type="spellStart"/>
      <w:r>
        <w:t>aripiprazolo</w:t>
      </w:r>
      <w:proofErr w:type="spellEnd"/>
      <w:r w:rsidR="004B084D" w:rsidRPr="004B084D">
        <w:t xml:space="preserve"> è confezionato</w:t>
      </w:r>
      <w:r w:rsidR="000F3618" w:rsidRPr="004B084D">
        <w:t xml:space="preserve"> in contenitore di polietilene contenuto </w:t>
      </w:r>
      <w:r w:rsidR="004B084D" w:rsidRPr="004B084D">
        <w:t xml:space="preserve">a sua volta </w:t>
      </w:r>
      <w:r w:rsidR="000F3618" w:rsidRPr="004B084D">
        <w:t>in un contenitore di alluminio</w:t>
      </w:r>
      <w:r>
        <w:t>;</w:t>
      </w:r>
      <w:r w:rsidRPr="00E91C1E">
        <w:t xml:space="preserve"> </w:t>
      </w:r>
      <w:r>
        <w:t>p</w:t>
      </w:r>
      <w:r w:rsidRPr="004B084D">
        <w:t>er il secondo produttore il principio attivo è confezionato in un doppio contenitore di polietilene termosaldato contenuto a sua volta in un contenitore di alluminio laminato inserito in un fusto di plastica.</w:t>
      </w:r>
    </w:p>
    <w:p w:rsidR="003C0C66" w:rsidRDefault="000F3618" w:rsidP="009457D0">
      <w:pPr>
        <w:spacing w:after="0" w:line="240" w:lineRule="auto"/>
        <w:jc w:val="both"/>
      </w:pPr>
      <w:r w:rsidRPr="004B084D">
        <w:t xml:space="preserve">Sono stati forniti adeguati studi di stabilità per il principio attivo conservato nel confezionamento proposto. Sulla base di questi dati, è stato approvato un periodo di </w:t>
      </w:r>
      <w:proofErr w:type="spellStart"/>
      <w:r w:rsidRPr="004B084D">
        <w:t>retest</w:t>
      </w:r>
      <w:proofErr w:type="spellEnd"/>
      <w:r w:rsidRPr="004B084D">
        <w:t xml:space="preserve"> di 5  anni</w:t>
      </w:r>
      <w:r w:rsidR="00E91C1E">
        <w:t xml:space="preserve"> per il primo produttore e di </w:t>
      </w:r>
      <w:r w:rsidR="007E35C2" w:rsidRPr="00E91C1E">
        <w:t>3 anni, conservato ad una temperatura inferiore a 25°C</w:t>
      </w:r>
      <w:r w:rsidR="00E91C1E" w:rsidRPr="00E91C1E">
        <w:t xml:space="preserve"> per il secondo produttore</w:t>
      </w:r>
      <w:r w:rsidR="007E35C2" w:rsidRPr="00E91C1E">
        <w:t>.</w:t>
      </w:r>
    </w:p>
    <w:p w:rsidR="000F3618" w:rsidRPr="009457D0" w:rsidRDefault="003C0C66" w:rsidP="009457D0">
      <w:pPr>
        <w:spacing w:after="0" w:line="240" w:lineRule="auto"/>
        <w:jc w:val="both"/>
      </w:pPr>
      <w:r w:rsidRPr="009457D0">
        <w:t xml:space="preserve"> </w:t>
      </w:r>
    </w:p>
    <w:p w:rsidR="00A41EA1" w:rsidRPr="009457D0" w:rsidRDefault="00A41EA1" w:rsidP="009457D0">
      <w:pPr>
        <w:spacing w:after="0" w:line="240" w:lineRule="auto"/>
        <w:jc w:val="both"/>
      </w:pPr>
    </w:p>
    <w:p w:rsidR="00900C91" w:rsidRPr="009457D0" w:rsidRDefault="00900C91" w:rsidP="00A24BD5">
      <w:pPr>
        <w:spacing w:after="0" w:line="240" w:lineRule="auto"/>
        <w:jc w:val="both"/>
        <w:rPr>
          <w:b/>
        </w:rPr>
      </w:pPr>
      <w:r w:rsidRPr="009457D0">
        <w:rPr>
          <w:b/>
        </w:rPr>
        <w:t>II.2 PRODOTTO FINITO</w:t>
      </w:r>
    </w:p>
    <w:p w:rsidR="00900C91" w:rsidRPr="009457D0" w:rsidRDefault="00900C91" w:rsidP="00A24BD5">
      <w:pPr>
        <w:spacing w:after="0" w:line="240" w:lineRule="auto"/>
        <w:jc w:val="both"/>
        <w:rPr>
          <w:b/>
        </w:rPr>
      </w:pPr>
      <w:r w:rsidRPr="009457D0">
        <w:rPr>
          <w:b/>
        </w:rPr>
        <w:t>Descrizione e composizione</w:t>
      </w:r>
    </w:p>
    <w:p w:rsidR="00A24BD5" w:rsidRPr="00A24BD5" w:rsidRDefault="00A24BD5" w:rsidP="00A24BD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24BD5">
        <w:rPr>
          <w:rFonts w:eastAsia="Calibri" w:cs="Calibri"/>
          <w:bCs/>
          <w:color w:val="000000"/>
          <w:lang w:eastAsia="it-IT"/>
        </w:rPr>
        <w:t>Aberipra</w:t>
      </w:r>
      <w:proofErr w:type="spellEnd"/>
      <w:r w:rsidRPr="00A24BD5">
        <w:rPr>
          <w:rFonts w:eastAsia="Calibri" w:cs="Calibri"/>
          <w:bCs/>
          <w:color w:val="000000"/>
          <w:lang w:eastAsia="it-IT"/>
        </w:rPr>
        <w:t xml:space="preserve"> </w:t>
      </w:r>
      <w:r w:rsidRPr="00A24BD5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proofErr w:type="spellStart"/>
      <w:r w:rsidRPr="00A24BD5">
        <w:rPr>
          <w:rFonts w:cs="Arial"/>
        </w:rPr>
        <w:t>aripiprazolo</w:t>
      </w:r>
      <w:proofErr w:type="spellEnd"/>
      <w:r w:rsidRPr="00A24BD5">
        <w:rPr>
          <w:rFonts w:cs="Arial"/>
        </w:rPr>
        <w:t xml:space="preserve"> </w:t>
      </w:r>
      <w:r w:rsidRPr="00A24BD5">
        <w:rPr>
          <w:rFonts w:eastAsia="Calibri" w:cs="Calibri"/>
          <w:color w:val="000000"/>
          <w:lang w:eastAsia="it-IT"/>
        </w:rPr>
        <w:t>ed è disponibile in compresse contenenti 5 mg, 10 mg e 15 mg di principio attivo e compresse orodispersibili contenenti 10 mg e 15 mg di principio attivo</w:t>
      </w:r>
      <w:r w:rsidR="002F1BDB">
        <w:rPr>
          <w:rFonts w:eastAsia="Calibri" w:cs="Calibri"/>
          <w:color w:val="000000"/>
          <w:lang w:eastAsia="it-IT"/>
        </w:rPr>
        <w:t>.</w:t>
      </w:r>
    </w:p>
    <w:p w:rsidR="007C31D7" w:rsidRPr="009457D0" w:rsidRDefault="007C31D7" w:rsidP="00A24BD5">
      <w:pPr>
        <w:autoSpaceDE w:val="0"/>
        <w:autoSpaceDN w:val="0"/>
        <w:adjustRightInd w:val="0"/>
        <w:spacing w:after="0" w:line="240" w:lineRule="auto"/>
        <w:ind w:right="-1"/>
        <w:jc w:val="both"/>
      </w:pPr>
      <w:r w:rsidRPr="00A24BD5">
        <w:rPr>
          <w:u w:val="single"/>
        </w:rPr>
        <w:t>Le compresse da 5 mg</w:t>
      </w:r>
      <w:r w:rsidRPr="009457D0">
        <w:t xml:space="preserve"> sono rotonde e bianche, con “ARZ” inciso su un lato e “5” sull’altro </w:t>
      </w:r>
      <w:r w:rsidR="00A24BD5">
        <w:t>l</w:t>
      </w:r>
      <w:r w:rsidRPr="009457D0">
        <w:t xml:space="preserve">ato. </w:t>
      </w:r>
    </w:p>
    <w:p w:rsidR="007C31D7" w:rsidRPr="009457D0" w:rsidRDefault="007C31D7" w:rsidP="00A24B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</w:rPr>
      </w:pPr>
      <w:r w:rsidRPr="009457D0">
        <w:t xml:space="preserve">Gli eccipienti sono: </w:t>
      </w:r>
      <w:r w:rsidRPr="009457D0">
        <w:rPr>
          <w:rFonts w:eastAsia="Times New Roman"/>
          <w:spacing w:val="1"/>
        </w:rPr>
        <w:t>sodio amido glicolato</w:t>
      </w:r>
      <w:r w:rsidRPr="009457D0">
        <w:t xml:space="preserve">, </w:t>
      </w:r>
      <w:r w:rsidRPr="009457D0">
        <w:rPr>
          <w:rFonts w:eastAsia="Times New Roman"/>
          <w:spacing w:val="1"/>
        </w:rPr>
        <w:t>cellulosa microcristallina</w:t>
      </w:r>
      <w:r w:rsidRPr="009457D0">
        <w:t xml:space="preserve">, </w:t>
      </w:r>
      <w:r w:rsidRPr="009457D0">
        <w:rPr>
          <w:rFonts w:eastAsia="Times New Roman"/>
          <w:spacing w:val="1"/>
        </w:rPr>
        <w:t>lattosio monoidrato</w:t>
      </w:r>
      <w:r w:rsidRPr="009457D0">
        <w:t xml:space="preserve"> </w:t>
      </w:r>
      <w:proofErr w:type="spellStart"/>
      <w:r w:rsidRPr="009457D0">
        <w:rPr>
          <w:rFonts w:eastAsia="Times New Roman"/>
          <w:spacing w:val="1"/>
        </w:rPr>
        <w:t>idrossipropilcellulosa</w:t>
      </w:r>
      <w:proofErr w:type="spellEnd"/>
      <w:r w:rsidRPr="009457D0">
        <w:t xml:space="preserve">, </w:t>
      </w:r>
      <w:r w:rsidR="00CB2E8D" w:rsidRPr="009457D0">
        <w:t>m</w:t>
      </w:r>
      <w:r w:rsidRPr="009457D0">
        <w:rPr>
          <w:rFonts w:eastAsia="Times New Roman"/>
          <w:spacing w:val="1"/>
        </w:rPr>
        <w:t>agnesio stearato.</w:t>
      </w:r>
    </w:p>
    <w:p w:rsidR="007C31D7" w:rsidRPr="009457D0" w:rsidRDefault="007C31D7" w:rsidP="00A24BD5">
      <w:pPr>
        <w:autoSpaceDE w:val="0"/>
        <w:autoSpaceDN w:val="0"/>
        <w:adjustRightInd w:val="0"/>
        <w:spacing w:after="0" w:line="240" w:lineRule="auto"/>
        <w:jc w:val="both"/>
      </w:pPr>
      <w:r w:rsidRPr="002F1BDB">
        <w:rPr>
          <w:rFonts w:eastAsia="Times New Roman"/>
          <w:spacing w:val="1"/>
          <w:u w:val="single"/>
        </w:rPr>
        <w:t>Le compresse da 10 mg</w:t>
      </w:r>
      <w:r w:rsidRPr="002F1BDB">
        <w:rPr>
          <w:rFonts w:eastAsia="Times New Roman"/>
          <w:spacing w:val="1"/>
        </w:rPr>
        <w:t xml:space="preserve"> sono </w:t>
      </w:r>
      <w:r w:rsidRPr="002F1BDB">
        <w:t>oblunghe e rosa, con possibili punti neri, con “ARZ” e “10” incisi su un lato.</w:t>
      </w:r>
      <w:r w:rsidRPr="009457D0">
        <w:t xml:space="preserve"> </w:t>
      </w:r>
    </w:p>
    <w:p w:rsidR="007C31D7" w:rsidRPr="009457D0" w:rsidRDefault="007C31D7" w:rsidP="00A24B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</w:rPr>
      </w:pPr>
      <w:r w:rsidRPr="009457D0">
        <w:t xml:space="preserve">Gli eccipienti sono: </w:t>
      </w:r>
      <w:r w:rsidRPr="009457D0">
        <w:rPr>
          <w:rFonts w:eastAsia="Times New Roman"/>
          <w:spacing w:val="1"/>
        </w:rPr>
        <w:t xml:space="preserve">sodio amido glicolato, cellulosa microcristallina, lattosio monoidrato, </w:t>
      </w:r>
      <w:proofErr w:type="spellStart"/>
      <w:r w:rsidRPr="009457D0">
        <w:rPr>
          <w:rFonts w:eastAsia="Times New Roman"/>
          <w:spacing w:val="1"/>
        </w:rPr>
        <w:t>idrossipropilcellulosa</w:t>
      </w:r>
      <w:proofErr w:type="spellEnd"/>
      <w:r w:rsidRPr="009457D0">
        <w:rPr>
          <w:rFonts w:eastAsia="Times New Roman"/>
          <w:spacing w:val="1"/>
        </w:rPr>
        <w:t>, magnesio stearato, ferro ossido rosso (E172).</w:t>
      </w:r>
    </w:p>
    <w:p w:rsidR="00CB2E8D" w:rsidRPr="009457D0" w:rsidRDefault="00CB2E8D" w:rsidP="00A24BD5">
      <w:pPr>
        <w:autoSpaceDE w:val="0"/>
        <w:autoSpaceDN w:val="0"/>
        <w:adjustRightInd w:val="0"/>
        <w:spacing w:after="0" w:line="240" w:lineRule="auto"/>
        <w:jc w:val="both"/>
      </w:pPr>
      <w:r w:rsidRPr="00A24BD5">
        <w:rPr>
          <w:rFonts w:eastAsia="Times New Roman"/>
          <w:spacing w:val="1"/>
          <w:u w:val="single"/>
        </w:rPr>
        <w:t>Le compresse da 15 mg</w:t>
      </w:r>
      <w:r w:rsidRPr="009457D0">
        <w:rPr>
          <w:rFonts w:eastAsia="Times New Roman"/>
          <w:spacing w:val="1"/>
        </w:rPr>
        <w:t xml:space="preserve"> sono </w:t>
      </w:r>
      <w:r w:rsidRPr="009457D0">
        <w:t xml:space="preserve">rotonde e gialle, con possibili punti neri, con “ARZ” e “15” incisi su un lato. </w:t>
      </w:r>
    </w:p>
    <w:p w:rsidR="00CB2E8D" w:rsidRPr="009457D0" w:rsidRDefault="00CB2E8D" w:rsidP="00A24B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</w:rPr>
      </w:pPr>
      <w:r w:rsidRPr="009457D0">
        <w:t xml:space="preserve">Gli eccipienti sono: </w:t>
      </w:r>
      <w:r w:rsidRPr="009457D0">
        <w:rPr>
          <w:rFonts w:eastAsia="Times New Roman"/>
          <w:spacing w:val="1"/>
        </w:rPr>
        <w:t xml:space="preserve">sodio amido glicolato,cellulosa microcristallina, lattosio monoidrato, </w:t>
      </w:r>
      <w:proofErr w:type="spellStart"/>
      <w:r w:rsidRPr="009457D0">
        <w:rPr>
          <w:rFonts w:eastAsia="Times New Roman"/>
          <w:spacing w:val="1"/>
        </w:rPr>
        <w:t>idrossipropilcellulosa</w:t>
      </w:r>
      <w:proofErr w:type="spellEnd"/>
      <w:r w:rsidRPr="009457D0">
        <w:rPr>
          <w:rFonts w:eastAsia="Times New Roman"/>
          <w:spacing w:val="1"/>
        </w:rPr>
        <w:t>, magnesio stearato, ferro ossido giallo (E172)</w:t>
      </w:r>
      <w:r w:rsidR="002F1BDB">
        <w:rPr>
          <w:rFonts w:eastAsia="Times New Roman"/>
          <w:spacing w:val="1"/>
        </w:rPr>
        <w:t>.</w:t>
      </w:r>
    </w:p>
    <w:p w:rsidR="00CB2E8D" w:rsidRPr="009457D0" w:rsidRDefault="00CB2E8D" w:rsidP="002F1BDB">
      <w:pPr>
        <w:autoSpaceDE w:val="0"/>
        <w:autoSpaceDN w:val="0"/>
        <w:adjustRightInd w:val="0"/>
        <w:spacing w:after="0" w:line="240" w:lineRule="auto"/>
        <w:jc w:val="both"/>
      </w:pPr>
      <w:r w:rsidRPr="002F1BDB">
        <w:rPr>
          <w:rFonts w:eastAsia="Times New Roman"/>
          <w:spacing w:val="1"/>
          <w:u w:val="single"/>
        </w:rPr>
        <w:t>Le compresse orodispersibili da 10 mg</w:t>
      </w:r>
      <w:r w:rsidRPr="009457D0">
        <w:rPr>
          <w:rFonts w:eastAsia="Times New Roman"/>
          <w:spacing w:val="1"/>
        </w:rPr>
        <w:t xml:space="preserve"> sono </w:t>
      </w:r>
      <w:r w:rsidRPr="009457D0">
        <w:t xml:space="preserve">rotonde e rosa, con possibili punti neri, con “AD10” inciso su un lato. </w:t>
      </w:r>
    </w:p>
    <w:p w:rsidR="00CB2E8D" w:rsidRPr="009457D0" w:rsidRDefault="00CB2E8D" w:rsidP="00A24B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</w:rPr>
      </w:pPr>
      <w:r w:rsidRPr="00E91C1E">
        <w:t xml:space="preserve">Gli eccipienti sono: </w:t>
      </w:r>
      <w:r w:rsidRPr="00E91C1E">
        <w:rPr>
          <w:rFonts w:eastAsia="Times New Roman"/>
          <w:spacing w:val="1"/>
        </w:rPr>
        <w:t xml:space="preserve">lattosio monoidrato, magnesio stearato, silice colloidale anidra, </w:t>
      </w:r>
      <w:proofErr w:type="spellStart"/>
      <w:r w:rsidRPr="00E91C1E">
        <w:rPr>
          <w:rFonts w:eastAsia="Times New Roman"/>
          <w:spacing w:val="1"/>
        </w:rPr>
        <w:t>croscarmellosa</w:t>
      </w:r>
      <w:proofErr w:type="spellEnd"/>
      <w:r w:rsidRPr="00E91C1E">
        <w:rPr>
          <w:rFonts w:eastAsia="Times New Roman"/>
          <w:spacing w:val="1"/>
        </w:rPr>
        <w:t xml:space="preserve"> sodica</w:t>
      </w:r>
      <w:r w:rsidR="002F1BDB" w:rsidRPr="00E91C1E">
        <w:rPr>
          <w:rFonts w:eastAsia="Times New Roman"/>
          <w:spacing w:val="1"/>
        </w:rPr>
        <w:t>,</w:t>
      </w:r>
    </w:p>
    <w:p w:rsidR="00CB2E8D" w:rsidRPr="009457D0" w:rsidRDefault="002F1BDB" w:rsidP="00A24B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</w:rPr>
      </w:pPr>
      <w:proofErr w:type="spellStart"/>
      <w:r>
        <w:rPr>
          <w:rFonts w:eastAsia="Times New Roman"/>
          <w:spacing w:val="1"/>
        </w:rPr>
        <w:t>c</w:t>
      </w:r>
      <w:r w:rsidR="00CB2E8D" w:rsidRPr="009457D0">
        <w:rPr>
          <w:rFonts w:eastAsia="Times New Roman"/>
          <w:spacing w:val="1"/>
        </w:rPr>
        <w:t>rospovidone</w:t>
      </w:r>
      <w:proofErr w:type="spellEnd"/>
      <w:r w:rsidR="00CB2E8D" w:rsidRPr="009457D0">
        <w:rPr>
          <w:rFonts w:eastAsia="Times New Roman"/>
          <w:spacing w:val="1"/>
        </w:rPr>
        <w:t xml:space="preserve">, cellulosa microcristallina, ferro ossido rosso (E172), aroma vaniglia in polvere (contiene glucosio), aspartame (E951), </w:t>
      </w:r>
      <w:proofErr w:type="spellStart"/>
      <w:r w:rsidR="00CB2E8D" w:rsidRPr="009457D0">
        <w:rPr>
          <w:rFonts w:eastAsia="Times New Roman"/>
          <w:spacing w:val="1"/>
        </w:rPr>
        <w:t>acesulfame</w:t>
      </w:r>
      <w:proofErr w:type="spellEnd"/>
      <w:r w:rsidR="00CB2E8D" w:rsidRPr="009457D0">
        <w:rPr>
          <w:rFonts w:eastAsia="Times New Roman"/>
          <w:spacing w:val="1"/>
        </w:rPr>
        <w:t xml:space="preserve"> potassio (E950), acido tartarico</w:t>
      </w:r>
      <w:r>
        <w:rPr>
          <w:rFonts w:eastAsia="Times New Roman"/>
          <w:spacing w:val="1"/>
        </w:rPr>
        <w:t>.</w:t>
      </w:r>
    </w:p>
    <w:p w:rsidR="00CB2E8D" w:rsidRPr="009457D0" w:rsidRDefault="00CB2E8D" w:rsidP="002F1BDB">
      <w:pPr>
        <w:autoSpaceDE w:val="0"/>
        <w:autoSpaceDN w:val="0"/>
        <w:adjustRightInd w:val="0"/>
        <w:spacing w:after="0" w:line="240" w:lineRule="auto"/>
        <w:ind w:right="-1"/>
        <w:jc w:val="both"/>
      </w:pPr>
      <w:r w:rsidRPr="002F1BDB">
        <w:rPr>
          <w:rFonts w:eastAsia="Times New Roman"/>
          <w:spacing w:val="1"/>
          <w:u w:val="single"/>
        </w:rPr>
        <w:t>Le compresse orodispersibili da 15 mg</w:t>
      </w:r>
      <w:r w:rsidRPr="009457D0">
        <w:rPr>
          <w:rFonts w:eastAsia="Times New Roman"/>
          <w:spacing w:val="1"/>
        </w:rPr>
        <w:t xml:space="preserve"> sono </w:t>
      </w:r>
      <w:r w:rsidRPr="009457D0">
        <w:t xml:space="preserve">rotonde e gialle, con possibili punti neri, con “AD15” inciso su un lato. </w:t>
      </w:r>
    </w:p>
    <w:p w:rsidR="00CB2E8D" w:rsidRPr="009457D0" w:rsidRDefault="00CB2E8D" w:rsidP="00A24B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</w:rPr>
      </w:pPr>
      <w:r w:rsidRPr="009457D0">
        <w:t xml:space="preserve">Gli eccipienti sono: </w:t>
      </w:r>
      <w:r w:rsidRPr="009457D0">
        <w:rPr>
          <w:rFonts w:eastAsia="Times New Roman"/>
          <w:spacing w:val="1"/>
        </w:rPr>
        <w:t xml:space="preserve">lattosio monoidrato, magnesio stearato, silice colloidale anidra, </w:t>
      </w:r>
      <w:proofErr w:type="spellStart"/>
      <w:r w:rsidRPr="009457D0">
        <w:rPr>
          <w:rFonts w:eastAsia="Times New Roman"/>
          <w:spacing w:val="1"/>
        </w:rPr>
        <w:t>croscarmellosa</w:t>
      </w:r>
      <w:proofErr w:type="spellEnd"/>
      <w:r w:rsidRPr="009457D0">
        <w:rPr>
          <w:rFonts w:eastAsia="Times New Roman"/>
          <w:spacing w:val="1"/>
        </w:rPr>
        <w:t xml:space="preserve"> sodica</w:t>
      </w:r>
    </w:p>
    <w:p w:rsidR="00CB2E8D" w:rsidRPr="009457D0" w:rsidRDefault="002F1BDB" w:rsidP="00A24B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</w:rPr>
      </w:pPr>
      <w:proofErr w:type="spellStart"/>
      <w:r>
        <w:rPr>
          <w:rFonts w:eastAsia="Times New Roman"/>
          <w:spacing w:val="1"/>
        </w:rPr>
        <w:t>c</w:t>
      </w:r>
      <w:r w:rsidR="00CB2E8D" w:rsidRPr="009457D0">
        <w:rPr>
          <w:rFonts w:eastAsia="Times New Roman"/>
          <w:spacing w:val="1"/>
        </w:rPr>
        <w:t>rospovidone</w:t>
      </w:r>
      <w:proofErr w:type="spellEnd"/>
      <w:r w:rsidR="00CB2E8D" w:rsidRPr="009457D0">
        <w:rPr>
          <w:rFonts w:eastAsia="Times New Roman"/>
          <w:spacing w:val="1"/>
        </w:rPr>
        <w:t xml:space="preserve">, cellulosa microcristallina, ferro ossido giallo (E172), aroma vaniglia in polvere (contiene glucosio), aspartame (E951), </w:t>
      </w:r>
      <w:proofErr w:type="spellStart"/>
      <w:r w:rsidR="00CB2E8D" w:rsidRPr="009457D0">
        <w:rPr>
          <w:rFonts w:eastAsia="Times New Roman"/>
          <w:spacing w:val="1"/>
        </w:rPr>
        <w:t>acesulfame</w:t>
      </w:r>
      <w:proofErr w:type="spellEnd"/>
      <w:r w:rsidR="00CB2E8D" w:rsidRPr="009457D0">
        <w:rPr>
          <w:rFonts w:eastAsia="Times New Roman"/>
          <w:spacing w:val="1"/>
        </w:rPr>
        <w:t xml:space="preserve"> potassio (E950), acido tartarico.</w:t>
      </w:r>
    </w:p>
    <w:p w:rsidR="003C0C66" w:rsidRPr="003C0C66" w:rsidRDefault="003C0C66" w:rsidP="003C0C66">
      <w:pPr>
        <w:tabs>
          <w:tab w:val="left" w:pos="0"/>
        </w:tabs>
        <w:spacing w:after="0" w:line="240" w:lineRule="auto"/>
        <w:jc w:val="both"/>
        <w:rPr>
          <w:b/>
          <w:color w:val="FF0000"/>
        </w:rPr>
      </w:pPr>
      <w:r w:rsidRPr="003C0C66">
        <w:t xml:space="preserve">Tutti gli eccipienti sono conformi alla relativa monografia di Farmacopea Europea ad eccezione di ferro ossido giallo e del ferro ossido rosso che sono conformi alla Farmacopea americana (USP) e dell’aroma </w:t>
      </w:r>
      <w:r w:rsidRPr="003C0C66">
        <w:lastRenderedPageBreak/>
        <w:t>vaniglia che è conforme al Regolamento n. 1334/2008 e per il quale il produttore ha proposto idonee specifiche di controllo.</w:t>
      </w:r>
      <w:r w:rsidRPr="003C0C66">
        <w:rPr>
          <w:b/>
          <w:color w:val="FF0000"/>
        </w:rPr>
        <w:t xml:space="preserve"> </w:t>
      </w:r>
    </w:p>
    <w:p w:rsidR="006D55C4" w:rsidRPr="00064A2F" w:rsidRDefault="006D55C4" w:rsidP="006D55C4">
      <w:pPr>
        <w:spacing w:after="0" w:line="240" w:lineRule="auto"/>
        <w:jc w:val="both"/>
      </w:pPr>
      <w:r w:rsidRPr="003C0C66">
        <w:t>Il solo eccipiente di originale animale è il lattosio; è stata fornita una dichiarazione che nella sua produzione</w:t>
      </w:r>
      <w:r w:rsidRPr="00064A2F">
        <w:t xml:space="preserve"> sono utilizzati animali sani della stessa qualità utilizzata per il consumo umano.</w:t>
      </w:r>
    </w:p>
    <w:p w:rsidR="00972CE3" w:rsidRPr="009457D0" w:rsidRDefault="000D6F89" w:rsidP="00A24BD5">
      <w:pPr>
        <w:spacing w:after="0" w:line="240" w:lineRule="auto"/>
        <w:jc w:val="both"/>
      </w:pPr>
      <w:r w:rsidRPr="009457D0">
        <w:t>Nessun eccipiente è ottenuto da organismi geneticamente modificati; non sono presenti eccipienti mai utilizzati nell’uomo.</w:t>
      </w:r>
    </w:p>
    <w:p w:rsidR="00900C91" w:rsidRPr="009457D0" w:rsidRDefault="00900C91" w:rsidP="00A24BD5">
      <w:pPr>
        <w:spacing w:after="0" w:line="240" w:lineRule="auto"/>
        <w:jc w:val="both"/>
      </w:pPr>
    </w:p>
    <w:p w:rsidR="00900C91" w:rsidRPr="009457D0" w:rsidRDefault="00900C91" w:rsidP="00A24BD5">
      <w:pPr>
        <w:spacing w:after="0" w:line="240" w:lineRule="auto"/>
        <w:jc w:val="both"/>
        <w:rPr>
          <w:b/>
        </w:rPr>
      </w:pPr>
      <w:r w:rsidRPr="009457D0">
        <w:rPr>
          <w:b/>
        </w:rPr>
        <w:t>Sviluppo farmaceutico</w:t>
      </w:r>
    </w:p>
    <w:p w:rsidR="00900C91" w:rsidRPr="009457D0" w:rsidRDefault="00900C91" w:rsidP="00A24BD5">
      <w:pPr>
        <w:spacing w:after="0" w:line="240" w:lineRule="auto"/>
        <w:jc w:val="both"/>
      </w:pPr>
      <w:r w:rsidRPr="009457D0">
        <w:t>Sono stati forniti dettagli dello sviluppo farmaceutico e questi sono stati ritenuti soddisfacenti.</w:t>
      </w:r>
    </w:p>
    <w:p w:rsidR="00D33431" w:rsidRPr="009457D0" w:rsidRDefault="00900C91" w:rsidP="00A24BD5">
      <w:pPr>
        <w:spacing w:after="0" w:line="240" w:lineRule="auto"/>
        <w:jc w:val="both"/>
      </w:pPr>
      <w:r w:rsidRPr="009457D0">
        <w:t xml:space="preserve">Lo scopo era quello di ottenere un medicinale equivalente al medicinale </w:t>
      </w:r>
      <w:r w:rsidR="00A02D62" w:rsidRPr="009457D0">
        <w:t xml:space="preserve">di riferimento </w:t>
      </w:r>
      <w:proofErr w:type="spellStart"/>
      <w:r w:rsidR="00044277" w:rsidRPr="009457D0">
        <w:t>Abilify</w:t>
      </w:r>
      <w:proofErr w:type="spellEnd"/>
      <w:r w:rsidR="00E0696D" w:rsidRPr="009457D0">
        <w:t>,</w:t>
      </w:r>
      <w:r w:rsidR="00501505" w:rsidRPr="009457D0">
        <w:t xml:space="preserve"> </w:t>
      </w:r>
      <w:r w:rsidR="00D33431" w:rsidRPr="009457D0">
        <w:t>autorizzato in Italia.</w:t>
      </w:r>
    </w:p>
    <w:p w:rsidR="00900C91" w:rsidRPr="009457D0" w:rsidRDefault="00D33431" w:rsidP="00A24BD5">
      <w:pPr>
        <w:spacing w:after="0" w:line="240" w:lineRule="auto"/>
        <w:jc w:val="both"/>
      </w:pPr>
      <w:r w:rsidRPr="009457D0">
        <w:t>S</w:t>
      </w:r>
      <w:r w:rsidR="00900C91" w:rsidRPr="009457D0">
        <w:t>ono stati forniti dati comparati</w:t>
      </w:r>
      <w:r w:rsidR="00897FDC" w:rsidRPr="009457D0">
        <w:t>v</w:t>
      </w:r>
      <w:r w:rsidR="00900C91" w:rsidRPr="009457D0">
        <w:t>i relativi al profilo di impurezze rispetto al medicinale di riferimento. I dati sono soddisfacenti.</w:t>
      </w:r>
    </w:p>
    <w:p w:rsidR="00900C91" w:rsidRPr="009457D0" w:rsidRDefault="00900C91" w:rsidP="00A24BD5">
      <w:pPr>
        <w:spacing w:after="0" w:line="240" w:lineRule="auto"/>
        <w:jc w:val="both"/>
      </w:pPr>
    </w:p>
    <w:p w:rsidR="00900C91" w:rsidRPr="009457D0" w:rsidRDefault="00900C91" w:rsidP="00A24BD5">
      <w:pPr>
        <w:spacing w:after="0" w:line="240" w:lineRule="auto"/>
        <w:jc w:val="both"/>
        <w:rPr>
          <w:b/>
        </w:rPr>
      </w:pPr>
      <w:r w:rsidRPr="009457D0">
        <w:rPr>
          <w:b/>
        </w:rPr>
        <w:t xml:space="preserve">Produzione </w:t>
      </w:r>
    </w:p>
    <w:p w:rsidR="00900C91" w:rsidRPr="009457D0" w:rsidRDefault="00900C91" w:rsidP="00A24BD5">
      <w:pPr>
        <w:spacing w:after="0" w:line="240" w:lineRule="auto"/>
        <w:jc w:val="both"/>
      </w:pPr>
      <w:r w:rsidRPr="009457D0">
        <w:t>Sono stati forniti una descrizione del metodo di produzione e la relativa flow-chart.</w:t>
      </w:r>
    </w:p>
    <w:p w:rsidR="00900C91" w:rsidRPr="009457D0" w:rsidRDefault="00900C91" w:rsidP="009457D0">
      <w:pPr>
        <w:spacing w:after="0" w:line="240" w:lineRule="auto"/>
        <w:jc w:val="both"/>
      </w:pPr>
      <w:r w:rsidRPr="009457D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spacing w:after="0" w:line="240" w:lineRule="auto"/>
        <w:jc w:val="both"/>
        <w:rPr>
          <w:b/>
        </w:rPr>
      </w:pPr>
      <w:r w:rsidRPr="009457D0">
        <w:rPr>
          <w:b/>
        </w:rPr>
        <w:t>Specifiche del prodotto finito</w:t>
      </w:r>
    </w:p>
    <w:p w:rsidR="00900C91" w:rsidRPr="009457D0" w:rsidRDefault="00900C91" w:rsidP="009457D0">
      <w:pPr>
        <w:spacing w:after="0" w:line="240" w:lineRule="auto"/>
        <w:jc w:val="both"/>
      </w:pPr>
      <w:r w:rsidRPr="009457D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900C91" w:rsidRPr="009457D0" w:rsidRDefault="00900C91" w:rsidP="009457D0">
      <w:pPr>
        <w:spacing w:after="0" w:line="240" w:lineRule="auto"/>
        <w:jc w:val="both"/>
        <w:rPr>
          <w:b/>
        </w:rPr>
      </w:pPr>
    </w:p>
    <w:p w:rsidR="00900C91" w:rsidRPr="009457D0" w:rsidRDefault="00900C91" w:rsidP="009457D0">
      <w:pPr>
        <w:spacing w:after="0" w:line="240" w:lineRule="auto"/>
        <w:jc w:val="both"/>
        <w:rPr>
          <w:b/>
        </w:rPr>
      </w:pPr>
      <w:r w:rsidRPr="009457D0">
        <w:rPr>
          <w:b/>
        </w:rPr>
        <w:t>Contenitore</w:t>
      </w:r>
    </w:p>
    <w:p w:rsidR="002814E4" w:rsidRPr="009457D0" w:rsidRDefault="002F1BDB" w:rsidP="009457D0">
      <w:pPr>
        <w:spacing w:after="0" w:line="240" w:lineRule="auto"/>
        <w:jc w:val="both"/>
      </w:pPr>
      <w:r>
        <w:t xml:space="preserve">La </w:t>
      </w:r>
      <w:r w:rsidR="002814E4" w:rsidRPr="009457D0">
        <w:t xml:space="preserve">compresse </w:t>
      </w:r>
      <w:r>
        <w:t>sono</w:t>
      </w:r>
      <w:r w:rsidR="002814E4" w:rsidRPr="009457D0">
        <w:t xml:space="preserve"> confezionat</w:t>
      </w:r>
      <w:r>
        <w:t>e</w:t>
      </w:r>
      <w:r w:rsidR="002814E4" w:rsidRPr="009457D0">
        <w:t xml:space="preserve"> in </w:t>
      </w:r>
      <w:r w:rsidR="00D729EE" w:rsidRPr="009457D0">
        <w:t>b</w:t>
      </w:r>
      <w:r w:rsidR="002814E4" w:rsidRPr="009457D0">
        <w:t>lister in OPA/Alluminio/PVC/Alluminio.</w:t>
      </w:r>
    </w:p>
    <w:p w:rsidR="002814E4" w:rsidRPr="009457D0" w:rsidRDefault="002F1BDB" w:rsidP="009457D0">
      <w:pPr>
        <w:autoSpaceDE w:val="0"/>
        <w:autoSpaceDN w:val="0"/>
        <w:adjustRightInd w:val="0"/>
        <w:spacing w:after="0" w:line="240" w:lineRule="auto"/>
        <w:ind w:right="-20"/>
        <w:jc w:val="both"/>
      </w:pPr>
      <w:r>
        <w:t>Le</w:t>
      </w:r>
      <w:r w:rsidR="002814E4" w:rsidRPr="009457D0">
        <w:t xml:space="preserve"> compresse orodispersibili </w:t>
      </w:r>
      <w:r>
        <w:t>sono</w:t>
      </w:r>
      <w:r w:rsidR="002814E4" w:rsidRPr="009457D0">
        <w:t xml:space="preserve"> confezionat</w:t>
      </w:r>
      <w:r>
        <w:t>e</w:t>
      </w:r>
      <w:r w:rsidR="002814E4" w:rsidRPr="009457D0">
        <w:t xml:space="preserve"> in blister in OPA/Alluminio/PVC/Alluminio</w:t>
      </w:r>
      <w:r w:rsidR="00530C7F" w:rsidRPr="009457D0">
        <w:t xml:space="preserve"> oppure in blister in </w:t>
      </w:r>
      <w:r w:rsidR="002814E4" w:rsidRPr="009457D0">
        <w:t xml:space="preserve"> </w:t>
      </w:r>
      <w:r w:rsidR="00530C7F" w:rsidRPr="009457D0">
        <w:t xml:space="preserve">OPA/Alluminio/PVC/Alluminio/PET. </w:t>
      </w:r>
    </w:p>
    <w:p w:rsidR="00501505" w:rsidRPr="009457D0" w:rsidRDefault="00501505" w:rsidP="009457D0">
      <w:pPr>
        <w:spacing w:after="0" w:line="240" w:lineRule="auto"/>
        <w:jc w:val="both"/>
      </w:pPr>
      <w:r w:rsidRPr="009457D0">
        <w:t>Sono state fornite specifiche e certificati analitici per tutti i componenti del confezionamento primario, che è adeguato per il medicinale.</w:t>
      </w:r>
    </w:p>
    <w:p w:rsidR="00501505" w:rsidRPr="009457D0" w:rsidRDefault="00501505" w:rsidP="009457D0">
      <w:pPr>
        <w:spacing w:after="0" w:line="240" w:lineRule="auto"/>
        <w:jc w:val="both"/>
      </w:pPr>
    </w:p>
    <w:p w:rsidR="00900C91" w:rsidRPr="009457D0" w:rsidRDefault="00900C91" w:rsidP="009457D0">
      <w:pPr>
        <w:spacing w:after="0" w:line="240" w:lineRule="auto"/>
        <w:jc w:val="both"/>
        <w:rPr>
          <w:b/>
        </w:rPr>
      </w:pPr>
      <w:r w:rsidRPr="009457D0">
        <w:rPr>
          <w:b/>
        </w:rPr>
        <w:t>Stabilità</w:t>
      </w:r>
    </w:p>
    <w:p w:rsidR="00972CE3" w:rsidRPr="009457D0" w:rsidRDefault="00900C91" w:rsidP="009457D0">
      <w:pPr>
        <w:spacing w:after="0" w:line="240" w:lineRule="auto"/>
        <w:jc w:val="both"/>
      </w:pPr>
      <w:r w:rsidRPr="009457D0">
        <w:t xml:space="preserve">Studi di stabilità sul prodotto finito sono stati condotti in accordo alle correnti linee guida e i risultati sono entro i limiti delle specifiche autorizzate. Sulla base di questi risultati, </w:t>
      </w:r>
      <w:r w:rsidR="00972CE3" w:rsidRPr="009457D0">
        <w:t xml:space="preserve">è stato autorizzato un periodo di validità di </w:t>
      </w:r>
      <w:r w:rsidR="00892DD8" w:rsidRPr="009457D0">
        <w:t xml:space="preserve">3 anni per le compresse e di 2 anni per le compresse orodispersibili. </w:t>
      </w:r>
      <w:r w:rsidR="00501505" w:rsidRPr="009457D0">
        <w:t xml:space="preserve"> </w:t>
      </w:r>
      <w:r w:rsidR="00A02D62" w:rsidRPr="009457D0">
        <w:t xml:space="preserve"> </w:t>
      </w: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spacing w:after="0" w:line="240" w:lineRule="auto"/>
        <w:jc w:val="both"/>
        <w:rPr>
          <w:b/>
        </w:rPr>
      </w:pPr>
      <w:r w:rsidRPr="009457D0">
        <w:rPr>
          <w:b/>
        </w:rPr>
        <w:t>II.3 Discussione sugli aspetti di qualità</w:t>
      </w:r>
    </w:p>
    <w:p w:rsidR="00900C91" w:rsidRPr="009457D0" w:rsidRDefault="00900C91" w:rsidP="009457D0">
      <w:pPr>
        <w:spacing w:after="0" w:line="240" w:lineRule="auto"/>
        <w:jc w:val="both"/>
      </w:pPr>
      <w:r w:rsidRPr="009457D0">
        <w:t xml:space="preserve">Tutte le criticità evidenziate nel corso della valutazione sono state risolte e la qualità di </w:t>
      </w:r>
      <w:proofErr w:type="spellStart"/>
      <w:r w:rsidR="000B3D1A" w:rsidRPr="009457D0">
        <w:t>Aberipra</w:t>
      </w:r>
      <w:proofErr w:type="spellEnd"/>
      <w:r w:rsidR="005F5BF7" w:rsidRPr="009457D0">
        <w:t xml:space="preserve"> </w:t>
      </w:r>
      <w:r w:rsidRPr="009457D0">
        <w:t xml:space="preserve">è considerata adeguata. Non ci sono obiezioni per l’approvazione di </w:t>
      </w:r>
      <w:proofErr w:type="spellStart"/>
      <w:r w:rsidR="000B3D1A" w:rsidRPr="009457D0">
        <w:t>Aberipra</w:t>
      </w:r>
      <w:proofErr w:type="spellEnd"/>
      <w:r w:rsidR="005F5BF7" w:rsidRPr="009457D0">
        <w:t xml:space="preserve"> </w:t>
      </w:r>
      <w:r w:rsidRPr="009457D0">
        <w:t>dal punto di vista chimico-farmaceutico.</w:t>
      </w: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spacing w:after="0" w:line="240" w:lineRule="auto"/>
        <w:jc w:val="both"/>
      </w:pPr>
    </w:p>
    <w:p w:rsidR="00900C91" w:rsidRPr="009457D0" w:rsidRDefault="00900C91" w:rsidP="009457D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57D0">
        <w:rPr>
          <w:b/>
        </w:rPr>
        <w:t>ASPETTI NON CLINICI</w:t>
      </w:r>
    </w:p>
    <w:p w:rsidR="00501505" w:rsidRPr="009457D0" w:rsidRDefault="00900C91" w:rsidP="009457D0">
      <w:pPr>
        <w:spacing w:after="0" w:line="240" w:lineRule="auto"/>
        <w:jc w:val="both"/>
      </w:pPr>
      <w:r w:rsidRPr="009457D0">
        <w:t xml:space="preserve">Non sono stati condotti specifici studi non clinici, in quanto </w:t>
      </w:r>
      <w:proofErr w:type="spellStart"/>
      <w:r w:rsidR="000B3D1A" w:rsidRPr="009457D0">
        <w:t>Aberipra</w:t>
      </w:r>
      <w:proofErr w:type="spellEnd"/>
      <w:r w:rsidR="005F5BF7" w:rsidRPr="009457D0">
        <w:t xml:space="preserve"> </w:t>
      </w:r>
      <w:r w:rsidRPr="009457D0">
        <w:t xml:space="preserve">contiene </w:t>
      </w:r>
      <w:r w:rsidR="00501505" w:rsidRPr="009457D0">
        <w:t xml:space="preserve">un principio attivo noto, presente nel medicinale di riferimento: questo approccio è accettabile poiché il medicinale di riferimento </w:t>
      </w:r>
      <w:proofErr w:type="spellStart"/>
      <w:r w:rsidR="000B3D1A" w:rsidRPr="009457D0">
        <w:t>Abilify</w:t>
      </w:r>
      <w:proofErr w:type="spellEnd"/>
      <w:r w:rsidR="005F5BF7" w:rsidRPr="009457D0">
        <w:t xml:space="preserve"> </w:t>
      </w:r>
      <w:r w:rsidR="00112EA1" w:rsidRPr="009457D0">
        <w:t xml:space="preserve"> </w:t>
      </w:r>
      <w:r w:rsidR="00501505" w:rsidRPr="009457D0">
        <w:t>è autorizzato in Italia da oltre 10 anni.</w:t>
      </w:r>
    </w:p>
    <w:p w:rsidR="00501505" w:rsidRPr="009457D0" w:rsidRDefault="00501505" w:rsidP="009457D0">
      <w:pPr>
        <w:spacing w:after="0" w:line="240" w:lineRule="auto"/>
        <w:jc w:val="both"/>
      </w:pPr>
      <w:r w:rsidRPr="009457D0">
        <w:t>Non ci sono obiezioni per l’approvazione dal punto di vista non clinico</w:t>
      </w:r>
      <w:r w:rsidR="00D7746F" w:rsidRPr="009457D0">
        <w:t>.</w:t>
      </w:r>
    </w:p>
    <w:p w:rsidR="00900C91" w:rsidRDefault="00900C91" w:rsidP="009457D0">
      <w:pPr>
        <w:spacing w:after="0" w:line="240" w:lineRule="auto"/>
        <w:jc w:val="both"/>
      </w:pPr>
    </w:p>
    <w:p w:rsidR="002F1BDB" w:rsidRDefault="002F1BDB" w:rsidP="009457D0">
      <w:pPr>
        <w:spacing w:after="0" w:line="240" w:lineRule="auto"/>
        <w:jc w:val="both"/>
      </w:pPr>
    </w:p>
    <w:p w:rsidR="00900C91" w:rsidRPr="009457D0" w:rsidRDefault="00900C91" w:rsidP="009457D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57D0">
        <w:rPr>
          <w:b/>
        </w:rPr>
        <w:t>ASPETTI CLINICI</w:t>
      </w:r>
    </w:p>
    <w:p w:rsidR="00282119" w:rsidRPr="009457D0" w:rsidRDefault="000B3D1A" w:rsidP="009457D0">
      <w:pPr>
        <w:spacing w:after="0" w:line="240" w:lineRule="auto"/>
        <w:jc w:val="both"/>
        <w:rPr>
          <w:bCs/>
        </w:rPr>
      </w:pPr>
      <w:proofErr w:type="spellStart"/>
      <w:r w:rsidRPr="009457D0">
        <w:rPr>
          <w:rFonts w:eastAsia="Calibri" w:cs="Calibri"/>
          <w:color w:val="000000"/>
          <w:lang w:eastAsia="it-IT"/>
        </w:rPr>
        <w:t>Aberipra</w:t>
      </w:r>
      <w:proofErr w:type="spellEnd"/>
      <w:r w:rsidR="005F5BF7" w:rsidRPr="009457D0">
        <w:rPr>
          <w:rFonts w:eastAsia="Calibri" w:cs="Calibri"/>
          <w:color w:val="000000"/>
          <w:lang w:eastAsia="it-IT"/>
        </w:rPr>
        <w:t xml:space="preserve"> </w:t>
      </w:r>
      <w:r w:rsidR="00892DD8" w:rsidRPr="009457D0">
        <w:rPr>
          <w:rFonts w:eastAsia="Calibri" w:cs="Calibri"/>
          <w:color w:val="000000"/>
          <w:lang w:eastAsia="it-IT"/>
        </w:rPr>
        <w:t xml:space="preserve">si usa per il trattamento </w:t>
      </w:r>
      <w:r w:rsidR="00892DD8" w:rsidRPr="009457D0">
        <w:t xml:space="preserve">della schizofrenia negli adulti e negli adolescenti a partire da 15 anni di età. </w:t>
      </w:r>
      <w:proofErr w:type="spellStart"/>
      <w:r w:rsidRPr="009457D0">
        <w:rPr>
          <w:rFonts w:eastAsia="Calibri" w:cs="Calibri"/>
          <w:bCs/>
          <w:color w:val="000000"/>
          <w:lang w:eastAsia="it-IT"/>
        </w:rPr>
        <w:t>Aberipra</w:t>
      </w:r>
      <w:proofErr w:type="spellEnd"/>
      <w:r w:rsidR="00892DD8" w:rsidRPr="009457D0">
        <w:t xml:space="preserve"> è indicato per il trattamento di episodi maniacali di grado da moderato a severo del </w:t>
      </w:r>
      <w:r w:rsidR="005F5BF7" w:rsidRPr="009457D0">
        <w:t>d</w:t>
      </w:r>
      <w:r w:rsidR="00892DD8" w:rsidRPr="009457D0">
        <w:t xml:space="preserve">isturbo </w:t>
      </w:r>
      <w:r w:rsidR="005F5BF7" w:rsidRPr="009457D0">
        <w:lastRenderedPageBreak/>
        <w:t>b</w:t>
      </w:r>
      <w:r w:rsidR="00892DD8" w:rsidRPr="009457D0">
        <w:t xml:space="preserve">ipolare di </w:t>
      </w:r>
      <w:r w:rsidR="005F5BF7" w:rsidRPr="009457D0">
        <w:t>t</w:t>
      </w:r>
      <w:r w:rsidR="00892DD8" w:rsidRPr="009457D0">
        <w:t xml:space="preserve">ipo I e per la prevenzione di un nuovo episodio maniacale negli adulti che hanno avuto prevalentemente episodi maniacali che hanno risposto al trattamento con </w:t>
      </w:r>
      <w:proofErr w:type="spellStart"/>
      <w:r w:rsidR="00892DD8" w:rsidRPr="009457D0">
        <w:t>aripiprazolo</w:t>
      </w:r>
      <w:proofErr w:type="spellEnd"/>
      <w:r w:rsidR="00892DD8" w:rsidRPr="009457D0">
        <w:t xml:space="preserve">. </w:t>
      </w:r>
      <w:proofErr w:type="spellStart"/>
      <w:r w:rsidRPr="009457D0">
        <w:rPr>
          <w:rFonts w:eastAsia="Calibri" w:cs="Calibri"/>
          <w:bCs/>
          <w:color w:val="000000"/>
          <w:lang w:eastAsia="it-IT"/>
        </w:rPr>
        <w:t>Aberipra</w:t>
      </w:r>
      <w:proofErr w:type="spellEnd"/>
      <w:r w:rsidR="00892DD8" w:rsidRPr="009457D0">
        <w:t xml:space="preserve"> è indicato per il trattamento, fino a 12 settimane, di episodi maniacali di grado da moderato a severo del </w:t>
      </w:r>
      <w:r w:rsidR="005F5BF7" w:rsidRPr="009457D0">
        <w:t>d</w:t>
      </w:r>
      <w:r w:rsidR="00892DD8" w:rsidRPr="009457D0">
        <w:t xml:space="preserve">isturbo </w:t>
      </w:r>
      <w:r w:rsidR="005F5BF7" w:rsidRPr="009457D0">
        <w:t>b</w:t>
      </w:r>
      <w:r w:rsidR="00892DD8" w:rsidRPr="009457D0">
        <w:t xml:space="preserve">ipolare di </w:t>
      </w:r>
      <w:r w:rsidR="005F5BF7" w:rsidRPr="009457D0">
        <w:t>t</w:t>
      </w:r>
      <w:r w:rsidR="00892DD8" w:rsidRPr="009457D0">
        <w:t>ipo I negli adolescenti a partire da 13 anni di età</w:t>
      </w:r>
      <w:r w:rsidR="005F5BF7" w:rsidRPr="009457D0">
        <w:t>.</w:t>
      </w:r>
      <w:r w:rsidR="00501505" w:rsidRPr="009457D0">
        <w:rPr>
          <w:rFonts w:eastAsia="Calibri" w:cs="Calibri"/>
          <w:color w:val="000000"/>
          <w:lang w:eastAsia="it-IT"/>
        </w:rPr>
        <w:t xml:space="preserve"> </w:t>
      </w:r>
    </w:p>
    <w:p w:rsidR="00900C91" w:rsidRPr="009457D0" w:rsidRDefault="00900C91" w:rsidP="009457D0">
      <w:pPr>
        <w:spacing w:after="0" w:line="240" w:lineRule="auto"/>
        <w:ind w:right="6"/>
        <w:jc w:val="both"/>
      </w:pPr>
    </w:p>
    <w:p w:rsidR="00900C91" w:rsidRPr="009457D0" w:rsidRDefault="00900C91" w:rsidP="009457D0">
      <w:pPr>
        <w:spacing w:after="0" w:line="240" w:lineRule="auto"/>
        <w:ind w:right="6"/>
        <w:jc w:val="both"/>
        <w:rPr>
          <w:b/>
        </w:rPr>
      </w:pPr>
      <w:r w:rsidRPr="009457D0">
        <w:rPr>
          <w:b/>
        </w:rPr>
        <w:t>Posologia e modalità di somministrazione</w:t>
      </w:r>
    </w:p>
    <w:p w:rsidR="00900C91" w:rsidRPr="009457D0" w:rsidRDefault="00900C91" w:rsidP="009457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9457D0">
        <w:t>Le informazioni sulla posologia e sulle modalità di somministrazione sono riportate nel Riassunto delle Caratteristiche del Prodotto pubblicato sul sito dell’Agenzia Italiana del Farmaco - AIFA /</w:t>
      </w:r>
      <w:r w:rsidRPr="009457D0">
        <w:rPr>
          <w:rFonts w:eastAsia="Calibri" w:cs="Calibri"/>
          <w:lang w:eastAsia="it-IT"/>
        </w:rPr>
        <w:t>(</w:t>
      </w:r>
      <w:hyperlink r:id="rId9" w:history="1">
        <w:r w:rsidRPr="009457D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9457D0">
        <w:rPr>
          <w:rFonts w:eastAsia="Calibri" w:cs="Calibri"/>
          <w:lang w:eastAsia="it-IT"/>
        </w:rPr>
        <w:t>).</w:t>
      </w:r>
    </w:p>
    <w:p w:rsidR="00900C91" w:rsidRPr="009457D0" w:rsidRDefault="00900C91" w:rsidP="009457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9457D0" w:rsidRDefault="00900C91" w:rsidP="009457D0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9457D0">
        <w:rPr>
          <w:rFonts w:eastAsia="Calibri" w:cs="Calibri"/>
          <w:b/>
          <w:lang w:eastAsia="it-IT"/>
        </w:rPr>
        <w:t>Tossicologia</w:t>
      </w:r>
    </w:p>
    <w:p w:rsidR="00900C91" w:rsidRPr="009457D0" w:rsidRDefault="00900C91" w:rsidP="009457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9457D0">
        <w:rPr>
          <w:rFonts w:eastAsia="Calibri" w:cs="Calibri"/>
          <w:lang w:eastAsia="it-IT"/>
        </w:rPr>
        <w:t xml:space="preserve">La tossicologia di </w:t>
      </w:r>
      <w:proofErr w:type="spellStart"/>
      <w:r w:rsidR="000B3D1A" w:rsidRPr="009457D0">
        <w:t>aripiprazolo</w:t>
      </w:r>
      <w:proofErr w:type="spellEnd"/>
      <w:r w:rsidR="000B3D1A" w:rsidRPr="009457D0">
        <w:t xml:space="preserve"> </w:t>
      </w:r>
      <w:r w:rsidRPr="009457D0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9457D0" w:rsidRDefault="00900C91" w:rsidP="009457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9457D0" w:rsidRDefault="00900C91" w:rsidP="009457D0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9457D0">
        <w:rPr>
          <w:rFonts w:eastAsia="Times New Roman" w:cs="Times New Roman"/>
          <w:b/>
        </w:rPr>
        <w:t>Farmacologia clinica</w:t>
      </w:r>
    </w:p>
    <w:p w:rsidR="00900C91" w:rsidRPr="009457D0" w:rsidRDefault="00900C91" w:rsidP="009457D0">
      <w:pPr>
        <w:spacing w:after="0" w:line="240" w:lineRule="auto"/>
        <w:jc w:val="both"/>
      </w:pPr>
      <w:r w:rsidRPr="009457D0">
        <w:rPr>
          <w:rFonts w:eastAsia="Calibri" w:cs="Calibri"/>
          <w:lang w:eastAsia="it-IT"/>
        </w:rPr>
        <w:t xml:space="preserve">La farmacologia clinica di </w:t>
      </w:r>
      <w:proofErr w:type="spellStart"/>
      <w:r w:rsidR="000B3D1A" w:rsidRPr="009457D0">
        <w:t>aripiprazolo</w:t>
      </w:r>
      <w:proofErr w:type="spellEnd"/>
      <w:r w:rsidR="00112EA1" w:rsidRPr="009457D0">
        <w:t xml:space="preserve"> </w:t>
      </w:r>
      <w:r w:rsidRPr="009457D0">
        <w:rPr>
          <w:rFonts w:eastAsia="Calibri" w:cs="Calibri"/>
          <w:lang w:eastAsia="it-IT"/>
        </w:rPr>
        <w:t>è ben conosciuta.</w:t>
      </w:r>
      <w:r w:rsidRPr="009457D0">
        <w:t xml:space="preserve"> </w:t>
      </w:r>
      <w:r w:rsidR="00834BC8" w:rsidRPr="009457D0">
        <w:t>Con l’eccezione degli studi di bioequivalenza, n</w:t>
      </w:r>
      <w:r w:rsidRPr="009457D0">
        <w:t xml:space="preserve">on sono stati condotti nuovi studi clinici di farmacodinamica e farmacocinetica, in quanto </w:t>
      </w:r>
      <w:proofErr w:type="spellStart"/>
      <w:r w:rsidR="000B3D1A" w:rsidRPr="009457D0">
        <w:t>Aberipra</w:t>
      </w:r>
      <w:proofErr w:type="spellEnd"/>
      <w:r w:rsidR="00112EA1" w:rsidRPr="009457D0">
        <w:t xml:space="preserve"> </w:t>
      </w:r>
      <w:r w:rsidRPr="009457D0">
        <w:t xml:space="preserve">contiene </w:t>
      </w:r>
      <w:r w:rsidR="008822CE" w:rsidRPr="009457D0">
        <w:t xml:space="preserve">un principio attivo </w:t>
      </w:r>
      <w:r w:rsidRPr="009457D0">
        <w:t>not</w:t>
      </w:r>
      <w:r w:rsidR="008822CE" w:rsidRPr="009457D0">
        <w:t>o</w:t>
      </w:r>
      <w:r w:rsidR="005F5BF7" w:rsidRPr="009457D0">
        <w:t>,</w:t>
      </w:r>
      <w:r w:rsidR="008822CE" w:rsidRPr="009457D0">
        <w:t xml:space="preserve"> </w:t>
      </w:r>
      <w:r w:rsidRPr="009457D0">
        <w:t>già usat</w:t>
      </w:r>
      <w:r w:rsidR="008822CE" w:rsidRPr="009457D0">
        <w:t>o</w:t>
      </w:r>
      <w:r w:rsidRPr="009457D0">
        <w:t xml:space="preserve"> </w:t>
      </w:r>
      <w:r w:rsidR="008822CE" w:rsidRPr="009457D0">
        <w:t>come</w:t>
      </w:r>
      <w:r w:rsidR="005F5BF7" w:rsidRPr="009457D0">
        <w:t xml:space="preserve"> </w:t>
      </w:r>
      <w:r w:rsidR="00892DD8" w:rsidRPr="009457D0">
        <w:t>antipsicotico</w:t>
      </w:r>
      <w:r w:rsidR="008822CE" w:rsidRPr="009457D0">
        <w:t xml:space="preserve">, presente </w:t>
      </w:r>
      <w:r w:rsidR="00072257" w:rsidRPr="009457D0">
        <w:t>nel</w:t>
      </w:r>
      <w:r w:rsidRPr="009457D0">
        <w:t xml:space="preserve"> medicinal</w:t>
      </w:r>
      <w:r w:rsidR="00072257" w:rsidRPr="009457D0">
        <w:t>e</w:t>
      </w:r>
      <w:r w:rsidRPr="009457D0">
        <w:t xml:space="preserve"> </w:t>
      </w:r>
      <w:r w:rsidR="00290E26" w:rsidRPr="009457D0">
        <w:t>di riferimento</w:t>
      </w:r>
      <w:r w:rsidR="005F5BF7" w:rsidRPr="009457D0">
        <w:t xml:space="preserve"> </w:t>
      </w:r>
      <w:proofErr w:type="spellStart"/>
      <w:r w:rsidR="000B3D1A" w:rsidRPr="009457D0">
        <w:t>Abilify</w:t>
      </w:r>
      <w:proofErr w:type="spellEnd"/>
      <w:r w:rsidR="008822CE" w:rsidRPr="009457D0">
        <w:t xml:space="preserve">, </w:t>
      </w:r>
      <w:r w:rsidRPr="009457D0">
        <w:t>autorizzat</w:t>
      </w:r>
      <w:r w:rsidR="00072257" w:rsidRPr="009457D0">
        <w:t>o</w:t>
      </w:r>
      <w:r w:rsidR="00D33431" w:rsidRPr="009457D0">
        <w:t xml:space="preserve"> in Italia </w:t>
      </w:r>
      <w:r w:rsidRPr="009457D0">
        <w:t>da più di 10 anni.</w:t>
      </w:r>
    </w:p>
    <w:p w:rsidR="00900C91" w:rsidRPr="009457D0" w:rsidRDefault="00900C91" w:rsidP="009457D0">
      <w:pPr>
        <w:spacing w:after="0" w:line="240" w:lineRule="auto"/>
        <w:jc w:val="both"/>
      </w:pPr>
    </w:p>
    <w:p w:rsidR="00834BC8" w:rsidRPr="009457D0" w:rsidRDefault="00834BC8" w:rsidP="009457D0">
      <w:pPr>
        <w:spacing w:after="0" w:line="240" w:lineRule="auto"/>
        <w:jc w:val="both"/>
        <w:rPr>
          <w:b/>
        </w:rPr>
      </w:pPr>
      <w:r w:rsidRPr="009457D0">
        <w:rPr>
          <w:b/>
        </w:rPr>
        <w:t>Studio di bioequivalenza</w:t>
      </w:r>
    </w:p>
    <w:p w:rsidR="00834BC8" w:rsidRPr="009457D0" w:rsidRDefault="00834BC8" w:rsidP="009457D0">
      <w:pPr>
        <w:spacing w:after="0" w:line="240" w:lineRule="auto"/>
        <w:jc w:val="both"/>
      </w:pPr>
      <w:r w:rsidRPr="009457D0">
        <w:t xml:space="preserve">La richiesta di AIC è supportata da due studi di bioequivalenza che hanno confrontato i profili farmacocinetici di </w:t>
      </w:r>
      <w:proofErr w:type="spellStart"/>
      <w:r w:rsidRPr="009457D0">
        <w:rPr>
          <w:snapToGrid w:val="0"/>
        </w:rPr>
        <w:t>Aberipra</w:t>
      </w:r>
      <w:proofErr w:type="spellEnd"/>
      <w:r w:rsidRPr="009457D0">
        <w:rPr>
          <w:snapToGrid w:val="0"/>
        </w:rPr>
        <w:t xml:space="preserve"> </w:t>
      </w:r>
      <w:r w:rsidRPr="009457D0">
        <w:t xml:space="preserve">e quelli del medicinale di riferimento </w:t>
      </w:r>
      <w:proofErr w:type="spellStart"/>
      <w:r w:rsidRPr="009457D0">
        <w:t>Abilify</w:t>
      </w:r>
      <w:proofErr w:type="spellEnd"/>
      <w:r w:rsidRPr="009457D0">
        <w:t xml:space="preserve">, nelle formulazioni compresse e compresse orodispersibili e  nei dosaggi da </w:t>
      </w:r>
      <w:r w:rsidR="007F39A1" w:rsidRPr="009457D0">
        <w:t>1</w:t>
      </w:r>
      <w:r w:rsidRPr="009457D0">
        <w:t xml:space="preserve">0 e </w:t>
      </w:r>
      <w:r w:rsidR="007F39A1" w:rsidRPr="009457D0">
        <w:t>15</w:t>
      </w:r>
      <w:r w:rsidRPr="009457D0">
        <w:t xml:space="preserve"> mg</w:t>
      </w:r>
      <w:r w:rsidR="007F39A1" w:rsidRPr="009457D0">
        <w:t>, rispettivamente</w:t>
      </w:r>
      <w:r w:rsidRPr="009457D0">
        <w:t>.</w:t>
      </w:r>
    </w:p>
    <w:p w:rsidR="00E91C1E" w:rsidRPr="00D33431" w:rsidRDefault="00E91C1E" w:rsidP="00E91C1E">
      <w:pPr>
        <w:spacing w:after="0" w:line="240" w:lineRule="auto"/>
        <w:jc w:val="both"/>
      </w:pPr>
      <w:r w:rsidRPr="00D33431">
        <w:t>L’utilizzo de</w:t>
      </w:r>
      <w:r>
        <w:t>i</w:t>
      </w:r>
      <w:r w:rsidRPr="00D33431">
        <w:t xml:space="preserve"> sol</w:t>
      </w:r>
      <w:r>
        <w:t>i</w:t>
      </w:r>
      <w:r w:rsidRPr="00D33431">
        <w:t xml:space="preserve"> </w:t>
      </w:r>
      <w:r>
        <w:t>dosaggi più alti (10 mg per le compresse e 15 mg per le compresse orodispersibili)</w:t>
      </w:r>
      <w:r w:rsidRPr="00D33431">
        <w:t xml:space="preserve"> per </w:t>
      </w:r>
      <w:r>
        <w:t>gli</w:t>
      </w:r>
      <w:r w:rsidRPr="00D33431">
        <w:t xml:space="preserve"> studi di bioequivalenza è stato opportunamente giustificato. </w:t>
      </w:r>
    </w:p>
    <w:p w:rsidR="00EA648F" w:rsidRPr="009457D0" w:rsidRDefault="00EA648F" w:rsidP="009457D0">
      <w:pPr>
        <w:pStyle w:val="Paragrafoelenco"/>
        <w:spacing w:after="0" w:line="240" w:lineRule="auto"/>
        <w:ind w:left="0"/>
        <w:jc w:val="both"/>
      </w:pPr>
      <w:r w:rsidRPr="009457D0">
        <w:t>Gli studi sono caratterizzati da un appropriato disegno e sono stati condotti in accordo ai principi GCP. Sono stati forniti certificati analitici per medicinale test e medicinale di riferimento.</w:t>
      </w:r>
    </w:p>
    <w:p w:rsidR="00EA648F" w:rsidRPr="009457D0" w:rsidRDefault="00EA648F" w:rsidP="009457D0">
      <w:pPr>
        <w:spacing w:after="0" w:line="240" w:lineRule="auto"/>
        <w:jc w:val="both"/>
        <w:rPr>
          <w:rFonts w:cs="Arial"/>
        </w:rPr>
      </w:pPr>
      <w:r w:rsidRPr="009457D0">
        <w:t xml:space="preserve">Lo  studio di bioequivalenza, per le compresse, è uno studio comparativo, controllato, randomizzato, in replicato, a dose singola, 2-periodi, crossover condotto su 24 volontari sani con somministrazione a digiuno. </w:t>
      </w:r>
      <w:r w:rsidRPr="009457D0">
        <w:rPr>
          <w:rFonts w:cs="Arial"/>
        </w:rPr>
        <w:t xml:space="preserve">Dopo una notte di digiuno, il medicinale è stato somministrato con acqua. </w:t>
      </w:r>
      <w:r w:rsidRPr="009457D0">
        <w:t xml:space="preserve">Un soddisfacente periodo di wash-out di </w:t>
      </w:r>
      <w:r w:rsidRPr="009457D0">
        <w:rPr>
          <w:rFonts w:cs="Arial"/>
        </w:rPr>
        <w:t>42  giorni è stato previsto tra le somministrazioni in ogni gruppo.</w:t>
      </w:r>
    </w:p>
    <w:p w:rsidR="00EA648F" w:rsidRPr="009457D0" w:rsidRDefault="00EA648F" w:rsidP="009457D0">
      <w:pPr>
        <w:spacing w:after="0" w:line="240" w:lineRule="auto"/>
        <w:jc w:val="both"/>
        <w:rPr>
          <w:rFonts w:cs="Arial"/>
        </w:rPr>
      </w:pPr>
      <w:r w:rsidRPr="009457D0">
        <w:t>Lo  studio di bioequivalenza, per le compresse orodispe</w:t>
      </w:r>
      <w:r w:rsidR="008B3B66" w:rsidRPr="009457D0">
        <w:t>r</w:t>
      </w:r>
      <w:r w:rsidRPr="009457D0">
        <w:t>sibili,  è uno studi</w:t>
      </w:r>
      <w:r w:rsidR="008B3B66" w:rsidRPr="009457D0">
        <w:t>o</w:t>
      </w:r>
      <w:r w:rsidRPr="009457D0">
        <w:t xml:space="preserve"> comparativo, controllato, randomizzato, a dose singola, 2-periodi, crossover condotto su 40 volontari sani con somministrazione a digiuno. </w:t>
      </w:r>
      <w:r w:rsidRPr="009457D0">
        <w:rPr>
          <w:rFonts w:cs="Arial"/>
        </w:rPr>
        <w:t>Dopo una notte di digiuno, il medicinale è stato somministrato senza acqua</w:t>
      </w:r>
      <w:r w:rsidR="000B2C6A" w:rsidRPr="009457D0">
        <w:rPr>
          <w:rFonts w:cs="Arial"/>
        </w:rPr>
        <w:t>, lasciando sciogliere la compressa orodispersib</w:t>
      </w:r>
      <w:r w:rsidR="008B3B66" w:rsidRPr="009457D0">
        <w:rPr>
          <w:rFonts w:cs="Arial"/>
        </w:rPr>
        <w:t>ile sulla lingua, senza romperla né succhiarla né</w:t>
      </w:r>
      <w:r w:rsidR="000B2C6A" w:rsidRPr="009457D0">
        <w:rPr>
          <w:rFonts w:cs="Arial"/>
        </w:rPr>
        <w:t xml:space="preserve"> masticarla</w:t>
      </w:r>
      <w:r w:rsidRPr="009457D0">
        <w:rPr>
          <w:rFonts w:cs="Arial"/>
        </w:rPr>
        <w:t xml:space="preserve">. </w:t>
      </w:r>
      <w:r w:rsidRPr="009457D0">
        <w:t xml:space="preserve">Un soddisfacente periodo di wash-out di </w:t>
      </w:r>
      <w:r w:rsidRPr="009457D0">
        <w:rPr>
          <w:rFonts w:cs="Arial"/>
        </w:rPr>
        <w:t>42  giorni è stato previsto tra le somministrazioni in ogni gruppo.</w:t>
      </w:r>
    </w:p>
    <w:p w:rsidR="000B2C6A" w:rsidRPr="009457D0" w:rsidRDefault="000B2C6A" w:rsidP="009457D0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9457D0">
        <w:rPr>
          <w:rFonts w:cs="Arial"/>
        </w:rPr>
        <w:t>Campioni di sangue sono stati prelevati al tempo zero (</w:t>
      </w:r>
      <w:proofErr w:type="spellStart"/>
      <w:r w:rsidRPr="009457D0">
        <w:rPr>
          <w:rFonts w:cs="Arial"/>
        </w:rPr>
        <w:t>pre-dose</w:t>
      </w:r>
      <w:proofErr w:type="spellEnd"/>
      <w:r w:rsidRPr="009457D0">
        <w:rPr>
          <w:rFonts w:cs="Arial"/>
        </w:rPr>
        <w:t xml:space="preserve">) e a specificati tempi fino a72 ore dopo la somministrazione. I livelli plasmatici di </w:t>
      </w:r>
      <w:proofErr w:type="spellStart"/>
      <w:r w:rsidRPr="009457D0">
        <w:rPr>
          <w:rFonts w:cs="Arial"/>
        </w:rPr>
        <w:t>aripiprazolo</w:t>
      </w:r>
      <w:proofErr w:type="spellEnd"/>
      <w:r w:rsidRPr="009457D0">
        <w:rPr>
          <w:rFonts w:cs="Arial"/>
        </w:rPr>
        <w:t xml:space="preserve"> sono stati determinati mediante un metodo analitico HPLC-MS-MS opportunamente convalidato.</w:t>
      </w:r>
    </w:p>
    <w:p w:rsidR="000B2C6A" w:rsidRPr="009457D0" w:rsidRDefault="000B2C6A" w:rsidP="009457D0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9457D0">
        <w:rPr>
          <w:rFonts w:cs="Arial"/>
        </w:rPr>
        <w:t xml:space="preserve">Le variabili farmacocinetiche definite per i due studi sono state: </w:t>
      </w:r>
      <w:proofErr w:type="spellStart"/>
      <w:r w:rsidRPr="009457D0">
        <w:rPr>
          <w:rFonts w:cs="Arial"/>
        </w:rPr>
        <w:t>C</w:t>
      </w:r>
      <w:r w:rsidRPr="009457D0">
        <w:rPr>
          <w:rFonts w:cs="Arial"/>
          <w:vertAlign w:val="subscript"/>
        </w:rPr>
        <w:t>max</w:t>
      </w:r>
      <w:proofErr w:type="spellEnd"/>
      <w:r w:rsidRPr="009457D0">
        <w:rPr>
          <w:rFonts w:cs="Arial"/>
        </w:rPr>
        <w:t>, AUC</w:t>
      </w:r>
      <w:r w:rsidRPr="009457D0">
        <w:rPr>
          <w:rFonts w:cs="Arial"/>
          <w:vertAlign w:val="subscript"/>
        </w:rPr>
        <w:t>0-72</w:t>
      </w:r>
      <w:r w:rsidRPr="009457D0">
        <w:rPr>
          <w:rFonts w:cs="Arial"/>
        </w:rPr>
        <w:t xml:space="preserve">, </w:t>
      </w:r>
      <w:proofErr w:type="spellStart"/>
      <w:r w:rsidRPr="009457D0">
        <w:rPr>
          <w:rFonts w:cs="Arial"/>
        </w:rPr>
        <w:t>t</w:t>
      </w:r>
      <w:r w:rsidRPr="009457D0">
        <w:rPr>
          <w:rFonts w:cs="Arial"/>
          <w:vertAlign w:val="subscript"/>
        </w:rPr>
        <w:t>max</w:t>
      </w:r>
      <w:proofErr w:type="spellEnd"/>
      <w:r w:rsidRPr="009457D0">
        <w:rPr>
          <w:rFonts w:cs="Arial"/>
        </w:rPr>
        <w:t xml:space="preserve"> e </w:t>
      </w:r>
      <w:proofErr w:type="spellStart"/>
      <w:r w:rsidRPr="009457D0">
        <w:rPr>
          <w:rFonts w:cs="Arial"/>
        </w:rPr>
        <w:t>t½</w:t>
      </w:r>
      <w:proofErr w:type="spellEnd"/>
      <w:r w:rsidRPr="009457D0">
        <w:rPr>
          <w:rFonts w:cs="Arial"/>
        </w:rPr>
        <w:t xml:space="preserve"> . La bioequivalenza tra medicinale test e medicinale di riferimento è dimostrata se gli intervalli di confidenza al 90% per la trasformata logaritmica di </w:t>
      </w:r>
      <w:proofErr w:type="spellStart"/>
      <w:r w:rsidRPr="009457D0">
        <w:rPr>
          <w:rFonts w:cs="Arial"/>
        </w:rPr>
        <w:t>C</w:t>
      </w:r>
      <w:r w:rsidRPr="009457D0">
        <w:rPr>
          <w:rFonts w:cs="Arial"/>
          <w:vertAlign w:val="subscript"/>
        </w:rPr>
        <w:t>max</w:t>
      </w:r>
      <w:proofErr w:type="spellEnd"/>
      <w:r w:rsidRPr="009457D0">
        <w:rPr>
          <w:rFonts w:cs="Arial"/>
          <w:vertAlign w:val="subscript"/>
        </w:rPr>
        <w:t xml:space="preserve"> </w:t>
      </w:r>
      <w:r w:rsidRPr="009457D0">
        <w:rPr>
          <w:rFonts w:cs="Arial"/>
        </w:rPr>
        <w:t>e AUC</w:t>
      </w:r>
      <w:r w:rsidRPr="009457D0">
        <w:rPr>
          <w:rFonts w:cs="Arial"/>
          <w:vertAlign w:val="subscript"/>
        </w:rPr>
        <w:t>0-72</w:t>
      </w:r>
      <w:r w:rsidRPr="009457D0">
        <w:rPr>
          <w:rFonts w:cs="Arial"/>
        </w:rPr>
        <w:t xml:space="preserve">, cadono nel </w:t>
      </w:r>
      <w:proofErr w:type="spellStart"/>
      <w:r w:rsidRPr="009457D0">
        <w:rPr>
          <w:rFonts w:cs="Arial"/>
        </w:rPr>
        <w:t>range</w:t>
      </w:r>
      <w:proofErr w:type="spellEnd"/>
      <w:r w:rsidRPr="009457D0">
        <w:rPr>
          <w:rFonts w:cs="Arial"/>
        </w:rPr>
        <w:t xml:space="preserve"> di accettabilità.</w:t>
      </w:r>
    </w:p>
    <w:p w:rsidR="00900C91" w:rsidRPr="009457D0" w:rsidRDefault="00900C91" w:rsidP="009457D0">
      <w:pPr>
        <w:spacing w:after="0" w:line="240" w:lineRule="auto"/>
        <w:jc w:val="both"/>
        <w:rPr>
          <w:rFonts w:cs="Arial"/>
        </w:rPr>
      </w:pPr>
    </w:p>
    <w:p w:rsidR="000B2C6A" w:rsidRPr="009457D0" w:rsidRDefault="000B2C6A" w:rsidP="009457D0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457D0">
        <w:rPr>
          <w:u w:val="single"/>
        </w:rPr>
        <w:t>Risultati</w:t>
      </w:r>
    </w:p>
    <w:p w:rsidR="000B2C6A" w:rsidRPr="009457D0" w:rsidRDefault="000B2C6A" w:rsidP="009457D0">
      <w:pPr>
        <w:spacing w:after="0" w:line="240" w:lineRule="auto"/>
        <w:jc w:val="both"/>
      </w:pPr>
      <w:r w:rsidRPr="009457D0">
        <w:rPr>
          <w:rFonts w:cs="Arial"/>
        </w:rPr>
        <w:t xml:space="preserve">Nello studio di bioequivalenza relativo alle compresse, tutti i soggetti arruolati hanno completato la fase clinica e  </w:t>
      </w:r>
      <w:r w:rsidRPr="009457D0">
        <w:t xml:space="preserve">sono stati analizzati mentre </w:t>
      </w:r>
      <w:r w:rsidRPr="009457D0">
        <w:rPr>
          <w:rFonts w:cs="Arial"/>
        </w:rPr>
        <w:t xml:space="preserve">nello studio di bioequivalenza relativo alle compresse </w:t>
      </w:r>
      <w:proofErr w:type="spellStart"/>
      <w:r w:rsidRPr="009457D0">
        <w:rPr>
          <w:rFonts w:cs="Arial"/>
        </w:rPr>
        <w:t>orodipersibili</w:t>
      </w:r>
      <w:proofErr w:type="spellEnd"/>
      <w:r w:rsidRPr="009457D0">
        <w:rPr>
          <w:rFonts w:cs="Arial"/>
        </w:rPr>
        <w:t>, dei 42 soggetti arruolati, 37 hanno completato la fase clinica e sono stati analizzati.</w:t>
      </w:r>
    </w:p>
    <w:p w:rsidR="007F39A1" w:rsidRPr="009457D0" w:rsidRDefault="007F39A1" w:rsidP="009457D0">
      <w:pPr>
        <w:spacing w:after="0" w:line="240" w:lineRule="auto"/>
        <w:jc w:val="both"/>
        <w:rPr>
          <w:rFonts w:cs="Arial"/>
        </w:rPr>
      </w:pPr>
    </w:p>
    <w:p w:rsidR="000B2C6A" w:rsidRPr="009457D0" w:rsidRDefault="000B2C6A" w:rsidP="009457D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u w:val="single"/>
          <w:lang w:val="it-IT"/>
        </w:rPr>
      </w:pPr>
      <w:r w:rsidRPr="009457D0">
        <w:rPr>
          <w:rFonts w:asciiTheme="minorHAnsi" w:hAnsiTheme="minorHAnsi" w:cs="Arial"/>
          <w:b w:val="0"/>
          <w:sz w:val="22"/>
          <w:szCs w:val="22"/>
          <w:u w:val="single"/>
          <w:lang w:val="it-IT"/>
        </w:rPr>
        <w:t>Sicurezza</w:t>
      </w:r>
    </w:p>
    <w:p w:rsidR="000B2C6A" w:rsidRPr="009457D0" w:rsidRDefault="000B2C6A" w:rsidP="009457D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457D0">
        <w:rPr>
          <w:rFonts w:asciiTheme="minorHAnsi" w:hAnsiTheme="minorHAnsi" w:cs="Arial"/>
          <w:b w:val="0"/>
          <w:sz w:val="22"/>
          <w:szCs w:val="22"/>
          <w:lang w:val="it-IT"/>
        </w:rPr>
        <w:t xml:space="preserve">Durante </w:t>
      </w:r>
      <w:r w:rsidR="002D69BE" w:rsidRPr="009457D0">
        <w:rPr>
          <w:rFonts w:asciiTheme="minorHAnsi" w:hAnsiTheme="minorHAnsi" w:cs="Arial"/>
          <w:b w:val="0"/>
          <w:sz w:val="22"/>
          <w:szCs w:val="22"/>
          <w:lang w:val="it-IT"/>
        </w:rPr>
        <w:t xml:space="preserve">gli studi </w:t>
      </w:r>
      <w:r w:rsidRPr="009457D0">
        <w:rPr>
          <w:rFonts w:asciiTheme="minorHAnsi" w:hAnsiTheme="minorHAnsi" w:cs="Arial"/>
          <w:b w:val="0"/>
          <w:sz w:val="22"/>
          <w:szCs w:val="22"/>
          <w:lang w:val="it-IT"/>
        </w:rPr>
        <w:t xml:space="preserve"> non sono stati rilevati eventi avversi gravi.</w:t>
      </w:r>
    </w:p>
    <w:p w:rsidR="000B2C6A" w:rsidRPr="009457D0" w:rsidRDefault="000B2C6A" w:rsidP="009457D0">
      <w:pPr>
        <w:spacing w:after="0" w:line="240" w:lineRule="auto"/>
        <w:jc w:val="both"/>
      </w:pPr>
    </w:p>
    <w:p w:rsidR="006B7A7E" w:rsidRPr="009457D0" w:rsidRDefault="006B7A7E" w:rsidP="009457D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457D0">
        <w:rPr>
          <w:rFonts w:asciiTheme="minorHAnsi" w:hAnsiTheme="minorHAnsi" w:cs="Arial"/>
          <w:b w:val="0"/>
          <w:i/>
          <w:sz w:val="22"/>
          <w:szCs w:val="22"/>
          <w:lang w:val="it-IT"/>
        </w:rPr>
        <w:lastRenderedPageBreak/>
        <w:t>Parametri farmacocinetici</w:t>
      </w:r>
      <w:r w:rsidRPr="009457D0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6B7A7E" w:rsidRPr="009457D0" w:rsidRDefault="006B7A7E" w:rsidP="009457D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457D0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degli studi di bioequivalenza sono riportati nelle tabelle che seguono.</w:t>
      </w:r>
    </w:p>
    <w:p w:rsidR="000B2C6A" w:rsidRPr="00D1324F" w:rsidRDefault="000B2C6A" w:rsidP="00072257">
      <w:pPr>
        <w:spacing w:after="0" w:line="240" w:lineRule="auto"/>
        <w:jc w:val="both"/>
        <w:rPr>
          <w:rFonts w:cs="Arial"/>
        </w:rPr>
      </w:pPr>
    </w:p>
    <w:tbl>
      <w:tblPr>
        <w:tblW w:w="40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278"/>
        <w:gridCol w:w="1531"/>
        <w:gridCol w:w="1559"/>
        <w:gridCol w:w="1559"/>
        <w:gridCol w:w="1985"/>
      </w:tblGrid>
      <w:tr w:rsidR="006B7A7E" w:rsidRPr="00151190" w:rsidTr="009457D0">
        <w:trPr>
          <w:jc w:val="center"/>
        </w:trPr>
        <w:tc>
          <w:tcPr>
            <w:tcW w:w="7912" w:type="dxa"/>
            <w:gridSpan w:val="5"/>
            <w:shd w:val="clear" w:color="auto" w:fill="E6E6E6"/>
            <w:vAlign w:val="bottom"/>
          </w:tcPr>
          <w:p w:rsidR="006B7A7E" w:rsidRPr="009457D0" w:rsidRDefault="006B7A7E" w:rsidP="003915A8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proofErr w:type="spellStart"/>
            <w:r w:rsidRPr="009457D0">
              <w:rPr>
                <w:b/>
                <w:bCs/>
                <w:sz w:val="20"/>
              </w:rPr>
              <w:t>Aripiprazolo</w:t>
            </w:r>
            <w:proofErr w:type="spellEnd"/>
            <w:r w:rsidRPr="009457D0">
              <w:rPr>
                <w:b/>
                <w:bCs/>
                <w:sz w:val="20"/>
              </w:rPr>
              <w:t xml:space="preserve"> - compresse</w:t>
            </w:r>
          </w:p>
          <w:p w:rsidR="006B7A7E" w:rsidRPr="009457D0" w:rsidRDefault="006B7A7E" w:rsidP="006B7A7E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457D0">
              <w:rPr>
                <w:b/>
                <w:bCs/>
                <w:sz w:val="20"/>
              </w:rPr>
              <w:t>Dose (1 x 10mg)</w:t>
            </w:r>
          </w:p>
        </w:tc>
      </w:tr>
      <w:tr w:rsidR="009457D0" w:rsidRPr="00225944" w:rsidTr="009457D0">
        <w:trPr>
          <w:jc w:val="center"/>
        </w:trPr>
        <w:tc>
          <w:tcPr>
            <w:tcW w:w="1278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>Parametro</w:t>
            </w:r>
          </w:p>
        </w:tc>
        <w:tc>
          <w:tcPr>
            <w:tcW w:w="1531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>Test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9457D0">
              <w:rPr>
                <w:b/>
                <w:sz w:val="20"/>
              </w:rPr>
              <w:t>Reference</w:t>
            </w:r>
            <w:proofErr w:type="spellEnd"/>
          </w:p>
        </w:tc>
        <w:tc>
          <w:tcPr>
            <w:tcW w:w="1559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 xml:space="preserve">T/R </w:t>
            </w:r>
            <w:proofErr w:type="spellStart"/>
            <w:r w:rsidRPr="009457D0">
              <w:rPr>
                <w:b/>
                <w:sz w:val="20"/>
              </w:rPr>
              <w:t>Ratio</w:t>
            </w:r>
            <w:proofErr w:type="spellEnd"/>
          </w:p>
        </w:tc>
        <w:tc>
          <w:tcPr>
            <w:tcW w:w="1985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>90% C.I.</w:t>
            </w:r>
          </w:p>
        </w:tc>
      </w:tr>
      <w:tr w:rsidR="009457D0" w:rsidRPr="00225944" w:rsidTr="009457D0">
        <w:trPr>
          <w:jc w:val="center"/>
        </w:trPr>
        <w:tc>
          <w:tcPr>
            <w:tcW w:w="1278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>AUC</w:t>
            </w:r>
            <w:r w:rsidRPr="009457D0">
              <w:rPr>
                <w:b/>
                <w:sz w:val="20"/>
                <w:vertAlign w:val="subscript"/>
              </w:rPr>
              <w:t>0-72h</w:t>
            </w:r>
          </w:p>
        </w:tc>
        <w:tc>
          <w:tcPr>
            <w:tcW w:w="1531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sz w:val="20"/>
                <w:lang w:val="en-GB"/>
              </w:rPr>
            </w:pPr>
            <w:r w:rsidRPr="009457D0">
              <w:rPr>
                <w:sz w:val="20"/>
                <w:lang w:val="en-GB"/>
              </w:rPr>
              <w:t>1515.08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sz w:val="20"/>
              </w:rPr>
            </w:pPr>
            <w:r w:rsidRPr="009457D0">
              <w:rPr>
                <w:sz w:val="20"/>
                <w:lang w:val="en-GB"/>
              </w:rPr>
              <w:t>1484.84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sz w:val="20"/>
                <w:lang w:val="en-GB"/>
              </w:rPr>
            </w:pPr>
            <w:r w:rsidRPr="009457D0">
              <w:rPr>
                <w:sz w:val="20"/>
                <w:lang w:val="en-GB"/>
              </w:rPr>
              <w:t>102.04</w:t>
            </w:r>
          </w:p>
        </w:tc>
        <w:tc>
          <w:tcPr>
            <w:tcW w:w="1985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sz w:val="20"/>
              </w:rPr>
            </w:pPr>
            <w:r w:rsidRPr="009457D0">
              <w:rPr>
                <w:sz w:val="20"/>
              </w:rPr>
              <w:t>95.74 - 108.75</w:t>
            </w:r>
          </w:p>
        </w:tc>
      </w:tr>
      <w:tr w:rsidR="009457D0" w:rsidRPr="0011258E" w:rsidTr="009457D0">
        <w:trPr>
          <w:jc w:val="center"/>
        </w:trPr>
        <w:tc>
          <w:tcPr>
            <w:tcW w:w="1278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9457D0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531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9457D0">
              <w:rPr>
                <w:bCs/>
                <w:sz w:val="20"/>
                <w:lang w:eastAsia="it-IT"/>
              </w:rPr>
              <w:t>42.86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9457D0">
              <w:rPr>
                <w:bCs/>
                <w:sz w:val="20"/>
                <w:lang w:eastAsia="it-IT"/>
              </w:rPr>
              <w:t>39.96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9457D0">
              <w:rPr>
                <w:sz w:val="20"/>
              </w:rPr>
              <w:t>107.27</w:t>
            </w:r>
          </w:p>
        </w:tc>
        <w:tc>
          <w:tcPr>
            <w:tcW w:w="1985" w:type="dxa"/>
            <w:vAlign w:val="bottom"/>
          </w:tcPr>
          <w:p w:rsidR="009457D0" w:rsidRPr="009457D0" w:rsidRDefault="009457D0" w:rsidP="003915A8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9457D0">
              <w:rPr>
                <w:sz w:val="20"/>
              </w:rPr>
              <w:t>96.53 – 119.20</w:t>
            </w:r>
          </w:p>
        </w:tc>
      </w:tr>
    </w:tbl>
    <w:p w:rsidR="00D72DF3" w:rsidRDefault="00D72DF3" w:rsidP="006B7A7E">
      <w:pPr>
        <w:spacing w:after="0" w:line="240" w:lineRule="auto"/>
        <w:jc w:val="both"/>
        <w:rPr>
          <w:rFonts w:cs="Arial"/>
          <w:i/>
        </w:rPr>
      </w:pPr>
    </w:p>
    <w:tbl>
      <w:tblPr>
        <w:tblW w:w="4038" w:type="pct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293"/>
        <w:gridCol w:w="1559"/>
        <w:gridCol w:w="1559"/>
        <w:gridCol w:w="1559"/>
        <w:gridCol w:w="1999"/>
      </w:tblGrid>
      <w:tr w:rsidR="00D72DF3" w:rsidRPr="00151190" w:rsidTr="009457D0">
        <w:trPr>
          <w:jc w:val="center"/>
        </w:trPr>
        <w:tc>
          <w:tcPr>
            <w:tcW w:w="7969" w:type="dxa"/>
            <w:gridSpan w:val="5"/>
            <w:shd w:val="clear" w:color="auto" w:fill="E6E6E6"/>
            <w:vAlign w:val="bottom"/>
          </w:tcPr>
          <w:p w:rsidR="00D72DF3" w:rsidRPr="009457D0" w:rsidRDefault="00D72DF3" w:rsidP="005C1D3E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proofErr w:type="spellStart"/>
            <w:r w:rsidRPr="009457D0">
              <w:rPr>
                <w:b/>
                <w:bCs/>
                <w:sz w:val="20"/>
              </w:rPr>
              <w:t>Aripiprazolo</w:t>
            </w:r>
            <w:proofErr w:type="spellEnd"/>
            <w:r w:rsidRPr="009457D0">
              <w:rPr>
                <w:b/>
                <w:bCs/>
                <w:sz w:val="20"/>
              </w:rPr>
              <w:t xml:space="preserve"> - compresse </w:t>
            </w:r>
            <w:proofErr w:type="spellStart"/>
            <w:r w:rsidRPr="009457D0">
              <w:rPr>
                <w:b/>
                <w:bCs/>
                <w:sz w:val="20"/>
              </w:rPr>
              <w:t>orodispesibili</w:t>
            </w:r>
            <w:proofErr w:type="spellEnd"/>
          </w:p>
          <w:p w:rsidR="00D72DF3" w:rsidRPr="009457D0" w:rsidRDefault="00D72DF3" w:rsidP="005C1D3E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457D0">
              <w:rPr>
                <w:b/>
                <w:bCs/>
                <w:sz w:val="20"/>
              </w:rPr>
              <w:t>Dose (1 x 15mg)</w:t>
            </w:r>
          </w:p>
        </w:tc>
      </w:tr>
      <w:tr w:rsidR="009457D0" w:rsidRPr="00225944" w:rsidTr="009457D0">
        <w:trPr>
          <w:jc w:val="center"/>
        </w:trPr>
        <w:tc>
          <w:tcPr>
            <w:tcW w:w="1293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>Parametro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>Test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9457D0">
              <w:rPr>
                <w:b/>
                <w:sz w:val="20"/>
              </w:rPr>
              <w:t>Reference</w:t>
            </w:r>
            <w:proofErr w:type="spellEnd"/>
          </w:p>
        </w:tc>
        <w:tc>
          <w:tcPr>
            <w:tcW w:w="1559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 xml:space="preserve">T/R </w:t>
            </w:r>
            <w:proofErr w:type="spellStart"/>
            <w:r w:rsidRPr="009457D0">
              <w:rPr>
                <w:b/>
                <w:sz w:val="20"/>
              </w:rPr>
              <w:t>Ratio</w:t>
            </w:r>
            <w:proofErr w:type="spellEnd"/>
          </w:p>
        </w:tc>
        <w:tc>
          <w:tcPr>
            <w:tcW w:w="1999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>90% C.I.</w:t>
            </w:r>
          </w:p>
        </w:tc>
      </w:tr>
      <w:tr w:rsidR="009457D0" w:rsidRPr="00225944" w:rsidTr="009457D0">
        <w:trPr>
          <w:jc w:val="center"/>
        </w:trPr>
        <w:tc>
          <w:tcPr>
            <w:tcW w:w="1293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rPr>
                <w:b/>
                <w:sz w:val="20"/>
              </w:rPr>
            </w:pPr>
            <w:r w:rsidRPr="009457D0">
              <w:rPr>
                <w:b/>
                <w:sz w:val="20"/>
              </w:rPr>
              <w:t>AUC</w:t>
            </w:r>
            <w:r w:rsidRPr="009457D0">
              <w:rPr>
                <w:b/>
                <w:sz w:val="20"/>
                <w:vertAlign w:val="subscript"/>
              </w:rPr>
              <w:t>0-72h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jc w:val="center"/>
              <w:rPr>
                <w:sz w:val="20"/>
                <w:lang w:val="en-GB"/>
              </w:rPr>
            </w:pPr>
            <w:r w:rsidRPr="009457D0">
              <w:rPr>
                <w:sz w:val="20"/>
                <w:lang w:val="en-GB"/>
              </w:rPr>
              <w:t xml:space="preserve">2696.35 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jc w:val="center"/>
              <w:rPr>
                <w:sz w:val="20"/>
              </w:rPr>
            </w:pPr>
            <w:r w:rsidRPr="009457D0">
              <w:rPr>
                <w:sz w:val="20"/>
                <w:lang w:val="en-GB"/>
              </w:rPr>
              <w:t>2918.56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jc w:val="center"/>
              <w:rPr>
                <w:sz w:val="20"/>
                <w:lang w:val="en-GB"/>
              </w:rPr>
            </w:pPr>
            <w:r w:rsidRPr="009457D0">
              <w:rPr>
                <w:sz w:val="20"/>
                <w:lang w:val="en-GB"/>
              </w:rPr>
              <w:t>92.39</w:t>
            </w:r>
          </w:p>
        </w:tc>
        <w:tc>
          <w:tcPr>
            <w:tcW w:w="1999" w:type="dxa"/>
            <w:vAlign w:val="bottom"/>
          </w:tcPr>
          <w:p w:rsidR="009457D0" w:rsidRPr="009457D0" w:rsidRDefault="009457D0" w:rsidP="009457D0">
            <w:pPr>
              <w:spacing w:after="0" w:line="240" w:lineRule="auto"/>
              <w:jc w:val="center"/>
              <w:rPr>
                <w:sz w:val="20"/>
              </w:rPr>
            </w:pPr>
            <w:r w:rsidRPr="009457D0">
              <w:rPr>
                <w:sz w:val="20"/>
              </w:rPr>
              <w:t>87.95 - 97.05</w:t>
            </w:r>
          </w:p>
        </w:tc>
      </w:tr>
      <w:tr w:rsidR="009457D0" w:rsidRPr="0011258E" w:rsidTr="009457D0">
        <w:trPr>
          <w:jc w:val="center"/>
        </w:trPr>
        <w:tc>
          <w:tcPr>
            <w:tcW w:w="1293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9457D0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559" w:type="dxa"/>
            <w:vAlign w:val="bottom"/>
          </w:tcPr>
          <w:p w:rsidR="009457D0" w:rsidRPr="009457D0" w:rsidRDefault="009457D0" w:rsidP="009457D0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9457D0">
              <w:rPr>
                <w:bCs/>
                <w:sz w:val="20"/>
                <w:lang w:eastAsia="it-IT"/>
              </w:rPr>
              <w:t>66.64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9457D0">
              <w:rPr>
                <w:bCs/>
                <w:sz w:val="20"/>
                <w:lang w:eastAsia="it-IT"/>
              </w:rPr>
              <w:t>71.77</w:t>
            </w:r>
          </w:p>
        </w:tc>
        <w:tc>
          <w:tcPr>
            <w:tcW w:w="1559" w:type="dxa"/>
            <w:vAlign w:val="bottom"/>
          </w:tcPr>
          <w:p w:rsidR="009457D0" w:rsidRPr="009457D0" w:rsidRDefault="009457D0" w:rsidP="005C1D3E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9457D0">
              <w:rPr>
                <w:sz w:val="20"/>
              </w:rPr>
              <w:t>92.85</w:t>
            </w:r>
          </w:p>
        </w:tc>
        <w:tc>
          <w:tcPr>
            <w:tcW w:w="1999" w:type="dxa"/>
            <w:vAlign w:val="bottom"/>
          </w:tcPr>
          <w:p w:rsidR="009457D0" w:rsidRPr="009457D0" w:rsidRDefault="009457D0" w:rsidP="009457D0">
            <w:pPr>
              <w:spacing w:after="0" w:line="240" w:lineRule="auto"/>
              <w:jc w:val="center"/>
              <w:rPr>
                <w:sz w:val="20"/>
              </w:rPr>
            </w:pPr>
            <w:r w:rsidRPr="009457D0">
              <w:rPr>
                <w:sz w:val="20"/>
              </w:rPr>
              <w:t>85.52-100.81</w:t>
            </w:r>
          </w:p>
        </w:tc>
      </w:tr>
    </w:tbl>
    <w:p w:rsidR="00D72DF3" w:rsidRDefault="00D72DF3" w:rsidP="006B7A7E">
      <w:pPr>
        <w:spacing w:after="0" w:line="240" w:lineRule="auto"/>
        <w:jc w:val="both"/>
        <w:rPr>
          <w:rFonts w:cs="Arial"/>
          <w:i/>
        </w:rPr>
      </w:pPr>
    </w:p>
    <w:p w:rsidR="006B7A7E" w:rsidRPr="00894064" w:rsidRDefault="006B7A7E" w:rsidP="006B7A7E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  <w:i/>
        </w:rPr>
        <w:t>Conclusioni sulla bioequivalenza</w:t>
      </w:r>
      <w:r w:rsidRPr="00894064">
        <w:rPr>
          <w:rFonts w:cs="Arial"/>
        </w:rPr>
        <w:t>.</w:t>
      </w:r>
    </w:p>
    <w:p w:rsidR="006B7A7E" w:rsidRPr="00894064" w:rsidRDefault="006B7A7E" w:rsidP="006B7A7E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894064">
        <w:rPr>
          <w:rFonts w:cs="Arial"/>
        </w:rPr>
        <w:t>range</w:t>
      </w:r>
      <w:proofErr w:type="spellEnd"/>
      <w:r w:rsidRPr="00894064">
        <w:rPr>
          <w:rFonts w:cs="Arial"/>
        </w:rPr>
        <w:t xml:space="preserve"> di accettabilità in accordo con le linee guida correnti.</w:t>
      </w:r>
    </w:p>
    <w:p w:rsidR="006B7A7E" w:rsidRDefault="006B7A7E" w:rsidP="00072257">
      <w:pPr>
        <w:spacing w:after="0" w:line="240" w:lineRule="auto"/>
        <w:jc w:val="both"/>
        <w:rPr>
          <w:rFonts w:cs="Arial"/>
          <w:b/>
        </w:rPr>
      </w:pPr>
    </w:p>
    <w:p w:rsidR="00900C91" w:rsidRPr="000B3C59" w:rsidRDefault="00900C91" w:rsidP="00072257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900C91" w:rsidRPr="00D1324F" w:rsidRDefault="00900C91" w:rsidP="0007225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profilo di sicurezza e l’efficacia de</w:t>
      </w:r>
      <w:r w:rsidR="008822CE">
        <w:rPr>
          <w:rFonts w:cs="Arial"/>
        </w:rPr>
        <w:t>l</w:t>
      </w:r>
      <w:r>
        <w:rPr>
          <w:rFonts w:cs="Arial"/>
        </w:rPr>
        <w:t xml:space="preserve">  principi</w:t>
      </w:r>
      <w:r w:rsidR="008822CE">
        <w:rPr>
          <w:rFonts w:cs="Arial"/>
        </w:rPr>
        <w:t>o</w:t>
      </w:r>
      <w:r>
        <w:rPr>
          <w:rFonts w:cs="Arial"/>
        </w:rPr>
        <w:t xml:space="preserve"> attiv</w:t>
      </w:r>
      <w:r w:rsidR="008822CE">
        <w:rPr>
          <w:rFonts w:cs="Arial"/>
        </w:rPr>
        <w:t>o</w:t>
      </w:r>
      <w:r>
        <w:rPr>
          <w:rFonts w:cs="Arial"/>
        </w:rPr>
        <w:t xml:space="preserve"> di </w:t>
      </w:r>
      <w:proofErr w:type="spellStart"/>
      <w:r w:rsidR="000B3D1A">
        <w:rPr>
          <w:rFonts w:cs="Arial"/>
        </w:rPr>
        <w:t>Aberipra</w:t>
      </w:r>
      <w:proofErr w:type="spellEnd"/>
      <w:r w:rsidR="005F5BF7">
        <w:rPr>
          <w:rFonts w:cs="Arial"/>
        </w:rPr>
        <w:t xml:space="preserve"> </w:t>
      </w:r>
      <w:r w:rsidR="008822CE">
        <w:rPr>
          <w:rFonts w:cs="Arial"/>
        </w:rPr>
        <w:t xml:space="preserve">è </w:t>
      </w:r>
      <w:r>
        <w:rPr>
          <w:rFonts w:cs="Arial"/>
        </w:rPr>
        <w:t>ben conosciut</w:t>
      </w:r>
      <w:r w:rsidR="008822CE">
        <w:rPr>
          <w:rFonts w:cs="Arial"/>
        </w:rPr>
        <w:t>o</w:t>
      </w:r>
      <w:r>
        <w:rPr>
          <w:rFonts w:cs="Arial"/>
        </w:rPr>
        <w:t xml:space="preserve">. </w:t>
      </w:r>
    </w:p>
    <w:p w:rsidR="00900C91" w:rsidRPr="00D1324F" w:rsidRDefault="00900C91" w:rsidP="00072257">
      <w:pPr>
        <w:pStyle w:val="Paragrafoelenco"/>
        <w:spacing w:after="0" w:line="240" w:lineRule="auto"/>
        <w:ind w:left="0"/>
        <w:jc w:val="both"/>
      </w:pPr>
    </w:p>
    <w:p w:rsidR="00900C91" w:rsidRPr="00D1324F" w:rsidRDefault="00900C91" w:rsidP="00072257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900C91" w:rsidRPr="00451338" w:rsidRDefault="00900C91" w:rsidP="00072257">
      <w:pPr>
        <w:pStyle w:val="Paragrafoelenco"/>
        <w:spacing w:after="0" w:line="240" w:lineRule="auto"/>
        <w:ind w:left="0"/>
        <w:jc w:val="both"/>
      </w:pPr>
      <w:r w:rsidRPr="00451338">
        <w:t xml:space="preserve">E’ stato presentato un RMP in accordo a quanto previsto dalla Direttiva 2001/83/EU </w:t>
      </w:r>
      <w:proofErr w:type="spellStart"/>
      <w:r w:rsidRPr="00451338">
        <w:t>s.m.i.</w:t>
      </w:r>
      <w:proofErr w:type="spellEnd"/>
      <w:r w:rsidRPr="00451338">
        <w:t xml:space="preserve"> che descrive le attività di farmacovigilanza e gli interventi definiti al fine di identificare, caratterizzare, prevenire o minimizzare i rischi collegati all’uso di</w:t>
      </w:r>
      <w:r w:rsidR="00D64D2A">
        <w:t xml:space="preserve"> </w:t>
      </w:r>
      <w:proofErr w:type="spellStart"/>
      <w:r w:rsidR="000B3D1A">
        <w:t>Aberipra</w:t>
      </w:r>
      <w:proofErr w:type="spellEnd"/>
      <w:r w:rsidRPr="00451338">
        <w:t>.</w:t>
      </w: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404E8" w:rsidRDefault="009404E8" w:rsidP="00451338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387"/>
      </w:tblGrid>
      <w:tr w:rsidR="008822CE" w:rsidRPr="00D64D2A" w:rsidTr="009457D0">
        <w:trPr>
          <w:jc w:val="center"/>
        </w:trPr>
        <w:tc>
          <w:tcPr>
            <w:tcW w:w="3085" w:type="dxa"/>
          </w:tcPr>
          <w:p w:rsidR="008822CE" w:rsidRPr="009457D0" w:rsidRDefault="008822CE" w:rsidP="00323036">
            <w:pPr>
              <w:jc w:val="both"/>
              <w:rPr>
                <w:sz w:val="20"/>
                <w:highlight w:val="yellow"/>
              </w:rPr>
            </w:pPr>
            <w:r w:rsidRPr="009457D0">
              <w:rPr>
                <w:sz w:val="20"/>
              </w:rPr>
              <w:t>Rischi importanti identificati</w:t>
            </w:r>
          </w:p>
        </w:tc>
        <w:tc>
          <w:tcPr>
            <w:tcW w:w="5387" w:type="dxa"/>
          </w:tcPr>
          <w:p w:rsidR="0012208C" w:rsidRPr="009457D0" w:rsidRDefault="006B7A7E" w:rsidP="0029579A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>Sindrome e</w:t>
            </w:r>
            <w:r w:rsidR="0012208C" w:rsidRPr="009457D0">
              <w:rPr>
                <w:rFonts w:asciiTheme="minorHAnsi" w:hAnsiTheme="minorHAnsi"/>
                <w:sz w:val="20"/>
                <w:szCs w:val="22"/>
                <w:lang w:val="it-IT"/>
              </w:rPr>
              <w:t>xtrapir</w:t>
            </w: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amidale </w:t>
            </w:r>
            <w:r w:rsidR="0012208C" w:rsidRPr="009457D0">
              <w:rPr>
                <w:rFonts w:asciiTheme="minorHAnsi" w:hAnsiTheme="minorHAnsi"/>
                <w:sz w:val="20"/>
                <w:szCs w:val="22"/>
                <w:lang w:val="it-IT"/>
              </w:rPr>
              <w:t>(</w:t>
            </w: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>S</w:t>
            </w:r>
            <w:r w:rsidR="0012208C" w:rsidRPr="009457D0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EP), inclusa Discinesia tardiva </w:t>
            </w:r>
          </w:p>
          <w:p w:rsidR="005A548E" w:rsidRPr="009457D0" w:rsidRDefault="0029579A" w:rsidP="0029579A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S</w:t>
            </w:r>
            <w:r w:rsidR="0012208C" w:rsidRPr="009457D0">
              <w:rPr>
                <w:rFonts w:asciiTheme="minorHAnsi" w:hAnsiTheme="minorHAnsi"/>
                <w:sz w:val="20"/>
                <w:szCs w:val="22"/>
              </w:rPr>
              <w:t>indrome</w:t>
            </w:r>
            <w:proofErr w:type="spellEnd"/>
            <w:r w:rsidR="0012208C"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="0012208C" w:rsidRPr="009457D0">
              <w:rPr>
                <w:rFonts w:asciiTheme="minorHAnsi" w:hAnsiTheme="minorHAnsi"/>
                <w:sz w:val="20"/>
                <w:szCs w:val="22"/>
              </w:rPr>
              <w:t>neurolettica</w:t>
            </w:r>
            <w:proofErr w:type="spellEnd"/>
            <w:r w:rsidR="0012208C"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="0012208C" w:rsidRPr="009457D0">
              <w:rPr>
                <w:rFonts w:asciiTheme="minorHAnsi" w:hAnsiTheme="minorHAnsi"/>
                <w:sz w:val="20"/>
                <w:szCs w:val="22"/>
              </w:rPr>
              <w:t>maligna</w:t>
            </w:r>
            <w:proofErr w:type="spellEnd"/>
            <w:r w:rsidR="0012208C" w:rsidRPr="009457D0">
              <w:rPr>
                <w:rFonts w:asciiTheme="minorHAnsi" w:hAnsiTheme="minorHAnsi"/>
                <w:sz w:val="20"/>
                <w:szCs w:val="22"/>
              </w:rPr>
              <w:t xml:space="preserve"> (SNM) </w:t>
            </w:r>
          </w:p>
        </w:tc>
      </w:tr>
      <w:tr w:rsidR="008822CE" w:rsidRPr="00D64D2A" w:rsidTr="009457D0">
        <w:trPr>
          <w:jc w:val="center"/>
        </w:trPr>
        <w:tc>
          <w:tcPr>
            <w:tcW w:w="3085" w:type="dxa"/>
          </w:tcPr>
          <w:p w:rsidR="008822CE" w:rsidRPr="009457D0" w:rsidRDefault="008822CE" w:rsidP="00323036">
            <w:pPr>
              <w:jc w:val="both"/>
              <w:rPr>
                <w:sz w:val="20"/>
              </w:rPr>
            </w:pPr>
            <w:r w:rsidRPr="009457D0">
              <w:rPr>
                <w:sz w:val="20"/>
              </w:rPr>
              <w:t>Rischi importanti potenziali</w:t>
            </w:r>
          </w:p>
        </w:tc>
        <w:tc>
          <w:tcPr>
            <w:tcW w:w="5387" w:type="dxa"/>
          </w:tcPr>
          <w:p w:rsidR="0012208C" w:rsidRPr="009457D0" w:rsidRDefault="0012208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Convulsioni</w:t>
            </w:r>
            <w:proofErr w:type="spellEnd"/>
          </w:p>
          <w:p w:rsidR="0012208C" w:rsidRPr="009457D0" w:rsidRDefault="0012208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Iperglicemia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>/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diabete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mellito</w:t>
            </w:r>
            <w:proofErr w:type="spellEnd"/>
          </w:p>
          <w:p w:rsidR="0012208C" w:rsidRPr="009457D0" w:rsidRDefault="0012208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Suicidio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-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eventi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correlati</w:t>
            </w:r>
            <w:proofErr w:type="spellEnd"/>
          </w:p>
          <w:p w:rsidR="0012208C" w:rsidRPr="009457D0" w:rsidRDefault="0012208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Ipotensione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ortostatica</w:t>
            </w:r>
            <w:proofErr w:type="spellEnd"/>
          </w:p>
          <w:p w:rsidR="0012208C" w:rsidRPr="009457D0" w:rsidRDefault="0012208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Dislipidemia</w:t>
            </w:r>
            <w:proofErr w:type="spellEnd"/>
          </w:p>
          <w:p w:rsidR="0012208C" w:rsidRPr="009457D0" w:rsidRDefault="0012208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Aumento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di peso</w:t>
            </w:r>
          </w:p>
          <w:p w:rsidR="0012208C" w:rsidRPr="009457D0" w:rsidRDefault="0012208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Sonnolenza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>/</w:t>
            </w:r>
            <w:r w:rsidRPr="009457D0">
              <w:rPr>
                <w:rFonts w:asciiTheme="minorHAnsi" w:eastAsiaTheme="minorHAnsi" w:hAnsiTheme="minorHAnsi"/>
                <w:sz w:val="20"/>
                <w:szCs w:val="22"/>
                <w:lang w:val="it-IT" w:eastAsia="en-US"/>
              </w:rPr>
              <w:t xml:space="preserve"> </w:t>
            </w: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>Affaticamento</w:t>
            </w:r>
          </w:p>
          <w:p w:rsidR="0012208C" w:rsidRPr="009457D0" w:rsidRDefault="0012208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Patologie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cardiovascolari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</w:p>
          <w:p w:rsidR="0012208C" w:rsidRPr="009457D0" w:rsidRDefault="0012208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Disturbi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della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conduzione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 </w:t>
            </w:r>
          </w:p>
          <w:p w:rsidR="0012208C" w:rsidRPr="009457D0" w:rsidRDefault="000A6C98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Effetto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sulla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c</w:t>
            </w:r>
            <w:r w:rsidR="00BA1325" w:rsidRPr="009457D0">
              <w:rPr>
                <w:rFonts w:asciiTheme="minorHAnsi" w:hAnsiTheme="minorHAnsi"/>
                <w:sz w:val="20"/>
                <w:szCs w:val="22"/>
              </w:rPr>
              <w:t>rescita</w:t>
            </w:r>
            <w:proofErr w:type="spellEnd"/>
          </w:p>
          <w:p w:rsidR="00BA1325" w:rsidRPr="009457D0" w:rsidRDefault="00BA1325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Riduzione della prolattina in pazienti pediatrici </w:t>
            </w:r>
          </w:p>
          <w:p w:rsidR="0012208C" w:rsidRPr="009457D0" w:rsidRDefault="00BA1325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>Di</w:t>
            </w:r>
            <w:r w:rsidR="0012208C" w:rsidRPr="009457D0">
              <w:rPr>
                <w:rFonts w:asciiTheme="minorHAnsi" w:hAnsiTheme="minorHAnsi"/>
                <w:sz w:val="20"/>
                <w:szCs w:val="22"/>
                <w:lang w:val="it-IT"/>
              </w:rPr>
              <w:t>s</w:t>
            </w: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>f</w:t>
            </w:r>
            <w:r w:rsidR="0012208C" w:rsidRPr="009457D0">
              <w:rPr>
                <w:rFonts w:asciiTheme="minorHAnsi" w:hAnsiTheme="minorHAnsi"/>
                <w:sz w:val="20"/>
                <w:szCs w:val="22"/>
                <w:lang w:val="it-IT"/>
              </w:rPr>
              <w:t>agia (</w:t>
            </w: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soprattutto  nella popolazione affetta da schizofrenia </w:t>
            </w:r>
            <w:r w:rsidR="0012208C" w:rsidRPr="009457D0">
              <w:rPr>
                <w:rFonts w:asciiTheme="minorHAnsi" w:hAnsiTheme="minorHAnsi"/>
                <w:sz w:val="20"/>
                <w:szCs w:val="22"/>
                <w:lang w:val="it-IT"/>
              </w:rPr>
              <w:t>)</w:t>
            </w:r>
          </w:p>
          <w:p w:rsidR="0012208C" w:rsidRPr="009457D0" w:rsidRDefault="00BA1325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Intolleranza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al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lattosio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</w:p>
          <w:p w:rsidR="00BA1325" w:rsidRPr="009457D0" w:rsidRDefault="00AE532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>C</w:t>
            </w:r>
            <w:r w:rsidR="00BA1325" w:rsidRPr="009457D0">
              <w:rPr>
                <w:rFonts w:asciiTheme="minorHAnsi" w:hAnsiTheme="minorHAnsi"/>
                <w:sz w:val="20"/>
                <w:szCs w:val="22"/>
                <w:lang w:val="it-IT"/>
              </w:rPr>
              <w:t>omorbidità</w:t>
            </w:r>
            <w:proofErr w:type="spellEnd"/>
            <w:r w:rsidR="00BA1325" w:rsidRPr="009457D0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da ADHD </w:t>
            </w:r>
          </w:p>
          <w:p w:rsidR="0012208C" w:rsidRPr="009457D0" w:rsidRDefault="00AE532C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I</w:t>
            </w:r>
            <w:r w:rsidR="00BA1325" w:rsidRPr="009457D0">
              <w:rPr>
                <w:rFonts w:asciiTheme="minorHAnsi" w:hAnsiTheme="minorHAnsi"/>
                <w:sz w:val="20"/>
                <w:szCs w:val="22"/>
              </w:rPr>
              <w:t>nterazioni</w:t>
            </w:r>
            <w:proofErr w:type="spellEnd"/>
            <w:r w:rsidR="00BA1325" w:rsidRPr="009457D0">
              <w:rPr>
                <w:rFonts w:asciiTheme="minorHAnsi" w:hAnsiTheme="minorHAnsi"/>
                <w:sz w:val="20"/>
                <w:szCs w:val="22"/>
              </w:rPr>
              <w:t xml:space="preserve"> con </w:t>
            </w:r>
            <w:proofErr w:type="spellStart"/>
            <w:r w:rsidR="00BA1325" w:rsidRPr="009457D0">
              <w:rPr>
                <w:rFonts w:asciiTheme="minorHAnsi" w:hAnsiTheme="minorHAnsi"/>
                <w:sz w:val="20"/>
                <w:szCs w:val="22"/>
              </w:rPr>
              <w:t>altri</w:t>
            </w:r>
            <w:proofErr w:type="spellEnd"/>
            <w:r w:rsidR="00BA1325"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="00BA1325" w:rsidRPr="009457D0">
              <w:rPr>
                <w:rFonts w:asciiTheme="minorHAnsi" w:hAnsiTheme="minorHAnsi"/>
                <w:sz w:val="20"/>
                <w:szCs w:val="22"/>
              </w:rPr>
              <w:t>farmaci</w:t>
            </w:r>
            <w:proofErr w:type="spellEnd"/>
          </w:p>
          <w:p w:rsidR="0012208C" w:rsidRPr="009457D0" w:rsidRDefault="00BA1325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Aumentata mortalità e alterazioni cardiovascolari </w:t>
            </w:r>
            <w:r w:rsidR="0012208C" w:rsidRPr="009457D0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</w:t>
            </w: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in pazienti anziani affetti da demenza </w:t>
            </w:r>
          </w:p>
          <w:p w:rsidR="0012208C" w:rsidRPr="009457D0" w:rsidRDefault="00BA1325" w:rsidP="0012208C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Gioco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d’azzardo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patologico</w:t>
            </w:r>
            <w:proofErr w:type="spellEnd"/>
          </w:p>
          <w:p w:rsidR="000A6C98" w:rsidRPr="009457D0" w:rsidRDefault="00D33A9C" w:rsidP="000A6C98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Sindrome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Serotoninegica</w:t>
            </w:r>
            <w:proofErr w:type="spellEnd"/>
          </w:p>
          <w:p w:rsidR="008822CE" w:rsidRPr="009457D0" w:rsidRDefault="000A6C98" w:rsidP="000A6C98">
            <w:pPr>
              <w:pStyle w:val="BodytextAgency"/>
              <w:numPr>
                <w:ilvl w:val="0"/>
                <w:numId w:val="6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lastRenderedPageBreak/>
              <w:t>Alterazione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della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funzionalità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epatica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</w:p>
        </w:tc>
      </w:tr>
      <w:tr w:rsidR="008822CE" w:rsidRPr="00DE2AF1" w:rsidTr="009457D0">
        <w:trPr>
          <w:jc w:val="center"/>
        </w:trPr>
        <w:tc>
          <w:tcPr>
            <w:tcW w:w="3085" w:type="dxa"/>
          </w:tcPr>
          <w:p w:rsidR="008822CE" w:rsidRPr="009457D0" w:rsidRDefault="008822CE" w:rsidP="00323036">
            <w:pPr>
              <w:jc w:val="both"/>
              <w:rPr>
                <w:sz w:val="20"/>
              </w:rPr>
            </w:pPr>
            <w:r w:rsidRPr="009457D0">
              <w:rPr>
                <w:sz w:val="20"/>
              </w:rPr>
              <w:lastRenderedPageBreak/>
              <w:t>Informazioni mancanti</w:t>
            </w:r>
          </w:p>
        </w:tc>
        <w:tc>
          <w:tcPr>
            <w:tcW w:w="5387" w:type="dxa"/>
          </w:tcPr>
          <w:p w:rsidR="000A6C98" w:rsidRPr="009457D0" w:rsidRDefault="000A6C98" w:rsidP="000A6C98">
            <w:pPr>
              <w:pStyle w:val="BodytextAgency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9457D0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Uso in gravidanza e in allattamento </w:t>
            </w:r>
          </w:p>
          <w:p w:rsidR="008822CE" w:rsidRPr="009457D0" w:rsidRDefault="000A6C98" w:rsidP="000A6C98">
            <w:pPr>
              <w:pStyle w:val="BodytextAgency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Uso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in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età</w:t>
            </w:r>
            <w:proofErr w:type="spellEnd"/>
            <w:r w:rsidRPr="009457D0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proofErr w:type="spellStart"/>
            <w:r w:rsidRPr="009457D0">
              <w:rPr>
                <w:rFonts w:asciiTheme="minorHAnsi" w:hAnsiTheme="minorHAnsi"/>
                <w:sz w:val="20"/>
                <w:szCs w:val="22"/>
              </w:rPr>
              <w:t>pediatrica</w:t>
            </w:r>
            <w:proofErr w:type="spellEnd"/>
          </w:p>
        </w:tc>
      </w:tr>
    </w:tbl>
    <w:p w:rsidR="009404E8" w:rsidRDefault="009404E8" w:rsidP="00451338">
      <w:pPr>
        <w:pStyle w:val="Paragrafoelenco"/>
        <w:spacing w:after="0" w:line="240" w:lineRule="auto"/>
        <w:ind w:left="0"/>
        <w:jc w:val="both"/>
      </w:pP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D7746F">
        <w:t>.</w:t>
      </w:r>
    </w:p>
    <w:p w:rsidR="005D6E10" w:rsidRDefault="005D6E10" w:rsidP="005D6E10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900C91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9457D0">
        <w:t>Aberipra</w:t>
      </w:r>
      <w:proofErr w:type="spellEnd"/>
      <w:r w:rsidR="00D64D2A">
        <w:t xml:space="preserve"> </w:t>
      </w:r>
      <w:r>
        <w:t>sono state presentate sufficienti informazioni cliniche.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9457D0">
        <w:t>Aberipra</w:t>
      </w:r>
      <w:proofErr w:type="spellEnd"/>
      <w:r w:rsidR="009457D0">
        <w:t xml:space="preserve"> </w:t>
      </w:r>
      <w:r>
        <w:t>è considerato favorevole dal punto di vista clinico.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B7156" w:rsidRPr="00894064" w:rsidRDefault="003B7156" w:rsidP="003B7156">
      <w:pPr>
        <w:spacing w:after="0" w:line="240" w:lineRule="auto"/>
        <w:jc w:val="both"/>
      </w:pPr>
      <w:r w:rsidRPr="00894064">
        <w:t xml:space="preserve">Il foglio illustrativo è stato sottoposto al test di leggibilità in accordo ai requisiti dell’art. 59(3) e 61(1) della direttiva 2001/83/EU </w:t>
      </w:r>
      <w:proofErr w:type="spellStart"/>
      <w:r w:rsidRPr="00894064">
        <w:t>s.m.i.</w:t>
      </w:r>
      <w:proofErr w:type="spellEnd"/>
      <w:r w:rsidRPr="00894064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B7156" w:rsidRPr="00894064" w:rsidRDefault="003B7156" w:rsidP="003B7156">
      <w:pPr>
        <w:pStyle w:val="Paragrafoelenco"/>
        <w:spacing w:after="0" w:line="240" w:lineRule="auto"/>
        <w:ind w:left="0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BC23ED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00C91" w:rsidRDefault="00900C91" w:rsidP="00900C91">
      <w:pPr>
        <w:spacing w:after="0" w:line="240" w:lineRule="auto"/>
        <w:jc w:val="both"/>
      </w:pPr>
      <w:r>
        <w:t xml:space="preserve">La qualità di </w:t>
      </w:r>
      <w:proofErr w:type="spellStart"/>
      <w:r w:rsidR="000B3D1A">
        <w:t>Aberipra</w:t>
      </w:r>
      <w:proofErr w:type="spellEnd"/>
      <w:r w:rsidR="000B3D1A">
        <w:t xml:space="preserve"> </w:t>
      </w:r>
      <w:r>
        <w:t>è accettabile e non sono state rilevate criticità da un punto di vista non clinico e clinico.</w:t>
      </w:r>
    </w:p>
    <w:p w:rsidR="00E91C1E" w:rsidRPr="00894064" w:rsidRDefault="00E91C1E" w:rsidP="00E91C1E">
      <w:pPr>
        <w:spacing w:after="0" w:line="240" w:lineRule="auto"/>
        <w:jc w:val="both"/>
      </w:pPr>
      <w:r>
        <w:t>Gli</w:t>
      </w:r>
      <w:r w:rsidRPr="00894064">
        <w:t xml:space="preserve"> studi di bioequivalenza e le </w:t>
      </w:r>
      <w:r>
        <w:t>relative</w:t>
      </w:r>
      <w:r w:rsidRPr="00894064">
        <w:t xml:space="preserve"> conclusioni confermano che </w:t>
      </w:r>
      <w:proofErr w:type="spellStart"/>
      <w:r>
        <w:rPr>
          <w:snapToGrid w:val="0"/>
        </w:rPr>
        <w:t>Aberipra</w:t>
      </w:r>
      <w:proofErr w:type="spellEnd"/>
      <w:r>
        <w:rPr>
          <w:snapToGrid w:val="0"/>
        </w:rPr>
        <w:t xml:space="preserve"> </w:t>
      </w:r>
      <w:r w:rsidRPr="00894064">
        <w:t xml:space="preserve">e il medicinale di riferimento </w:t>
      </w:r>
      <w:proofErr w:type="spellStart"/>
      <w:r>
        <w:t>Abilify</w:t>
      </w:r>
      <w:proofErr w:type="spellEnd"/>
      <w:r w:rsidRPr="00894064">
        <w:t xml:space="preserve"> sono </w:t>
      </w:r>
      <w:proofErr w:type="spellStart"/>
      <w:r w:rsidRPr="00894064">
        <w:t>bioequivalenti</w:t>
      </w:r>
      <w:proofErr w:type="spellEnd"/>
      <w:r w:rsidRPr="00894064">
        <w:t>.</w:t>
      </w:r>
    </w:p>
    <w:p w:rsidR="00900C91" w:rsidRDefault="00900C91" w:rsidP="00900C91">
      <w:pPr>
        <w:spacing w:after="0" w:line="240" w:lineRule="auto"/>
        <w:jc w:val="both"/>
      </w:pPr>
      <w:r>
        <w:t>Il rapporto beneficio/rischio è considerato positivo.</w:t>
      </w:r>
    </w:p>
    <w:p w:rsidR="009A260F" w:rsidRDefault="00900C91" w:rsidP="00290E2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9A260F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1B6C"/>
    <w:multiLevelType w:val="hybridMultilevel"/>
    <w:tmpl w:val="83F000F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4E4F44"/>
    <w:multiLevelType w:val="hybridMultilevel"/>
    <w:tmpl w:val="CA48B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04D26"/>
    <w:multiLevelType w:val="hybridMultilevel"/>
    <w:tmpl w:val="1AEADFCE"/>
    <w:lvl w:ilvl="0" w:tplc="456488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77FAE"/>
    <w:multiLevelType w:val="hybridMultilevel"/>
    <w:tmpl w:val="3B00B918"/>
    <w:lvl w:ilvl="0" w:tplc="456488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0C06B5"/>
    <w:multiLevelType w:val="hybridMultilevel"/>
    <w:tmpl w:val="F7422A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375980"/>
    <w:multiLevelType w:val="hybridMultilevel"/>
    <w:tmpl w:val="A742420C"/>
    <w:lvl w:ilvl="0" w:tplc="57C6D6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2CAE"/>
    <w:rsid w:val="00006DD6"/>
    <w:rsid w:val="00010B82"/>
    <w:rsid w:val="00013020"/>
    <w:rsid w:val="00031BAD"/>
    <w:rsid w:val="000340BB"/>
    <w:rsid w:val="000405B5"/>
    <w:rsid w:val="00044277"/>
    <w:rsid w:val="00057CDA"/>
    <w:rsid w:val="00061BF7"/>
    <w:rsid w:val="00062636"/>
    <w:rsid w:val="00065F49"/>
    <w:rsid w:val="00072257"/>
    <w:rsid w:val="000A6C98"/>
    <w:rsid w:val="000B2C6A"/>
    <w:rsid w:val="000B3D1A"/>
    <w:rsid w:val="000D6F89"/>
    <w:rsid w:val="000F3618"/>
    <w:rsid w:val="00112EA1"/>
    <w:rsid w:val="001163E3"/>
    <w:rsid w:val="0012208C"/>
    <w:rsid w:val="0012738A"/>
    <w:rsid w:val="00150887"/>
    <w:rsid w:val="00161722"/>
    <w:rsid w:val="001A284F"/>
    <w:rsid w:val="001A51E6"/>
    <w:rsid w:val="001A71F6"/>
    <w:rsid w:val="001B35A4"/>
    <w:rsid w:val="001F4D7B"/>
    <w:rsid w:val="0021251B"/>
    <w:rsid w:val="00215F50"/>
    <w:rsid w:val="00242171"/>
    <w:rsid w:val="00275C20"/>
    <w:rsid w:val="002814E4"/>
    <w:rsid w:val="00282119"/>
    <w:rsid w:val="00284334"/>
    <w:rsid w:val="00290E26"/>
    <w:rsid w:val="00291C01"/>
    <w:rsid w:val="0029579A"/>
    <w:rsid w:val="002D69BE"/>
    <w:rsid w:val="002F1BDB"/>
    <w:rsid w:val="002F3D3B"/>
    <w:rsid w:val="00302B57"/>
    <w:rsid w:val="00306914"/>
    <w:rsid w:val="00311EA2"/>
    <w:rsid w:val="00322BF5"/>
    <w:rsid w:val="00333888"/>
    <w:rsid w:val="00351210"/>
    <w:rsid w:val="00354339"/>
    <w:rsid w:val="003B7156"/>
    <w:rsid w:val="003C0A28"/>
    <w:rsid w:val="003C0C66"/>
    <w:rsid w:val="003F1B6D"/>
    <w:rsid w:val="0040434A"/>
    <w:rsid w:val="004057B4"/>
    <w:rsid w:val="00406819"/>
    <w:rsid w:val="00411E57"/>
    <w:rsid w:val="00412C0E"/>
    <w:rsid w:val="00416688"/>
    <w:rsid w:val="004171F6"/>
    <w:rsid w:val="004241AC"/>
    <w:rsid w:val="00424C85"/>
    <w:rsid w:val="00425D6D"/>
    <w:rsid w:val="004349A2"/>
    <w:rsid w:val="00436398"/>
    <w:rsid w:val="00437831"/>
    <w:rsid w:val="00451338"/>
    <w:rsid w:val="0046211A"/>
    <w:rsid w:val="004B084D"/>
    <w:rsid w:val="004B20A8"/>
    <w:rsid w:val="004B5F8C"/>
    <w:rsid w:val="004D0927"/>
    <w:rsid w:val="004F01AD"/>
    <w:rsid w:val="004F0229"/>
    <w:rsid w:val="00501505"/>
    <w:rsid w:val="005072B8"/>
    <w:rsid w:val="00512512"/>
    <w:rsid w:val="005252A9"/>
    <w:rsid w:val="00530C7F"/>
    <w:rsid w:val="00550FEC"/>
    <w:rsid w:val="00571C17"/>
    <w:rsid w:val="005820A7"/>
    <w:rsid w:val="005825CE"/>
    <w:rsid w:val="005A548E"/>
    <w:rsid w:val="005D6E10"/>
    <w:rsid w:val="005E7275"/>
    <w:rsid w:val="005F5BF7"/>
    <w:rsid w:val="005F62FE"/>
    <w:rsid w:val="00612382"/>
    <w:rsid w:val="006234FF"/>
    <w:rsid w:val="006555D4"/>
    <w:rsid w:val="0066234C"/>
    <w:rsid w:val="006876E1"/>
    <w:rsid w:val="006B7A7E"/>
    <w:rsid w:val="006D4627"/>
    <w:rsid w:val="006D55C4"/>
    <w:rsid w:val="007055F9"/>
    <w:rsid w:val="00716EE9"/>
    <w:rsid w:val="00726687"/>
    <w:rsid w:val="007301DA"/>
    <w:rsid w:val="00736F0E"/>
    <w:rsid w:val="007461B9"/>
    <w:rsid w:val="00747926"/>
    <w:rsid w:val="00762D88"/>
    <w:rsid w:val="0078172E"/>
    <w:rsid w:val="00791481"/>
    <w:rsid w:val="007A4BFE"/>
    <w:rsid w:val="007B68C8"/>
    <w:rsid w:val="007C31D7"/>
    <w:rsid w:val="007D1710"/>
    <w:rsid w:val="007E00D8"/>
    <w:rsid w:val="007E35C2"/>
    <w:rsid w:val="007F39A1"/>
    <w:rsid w:val="007F3ED6"/>
    <w:rsid w:val="00805B12"/>
    <w:rsid w:val="008231E2"/>
    <w:rsid w:val="008348A8"/>
    <w:rsid w:val="00834BC8"/>
    <w:rsid w:val="00842BAC"/>
    <w:rsid w:val="008543F6"/>
    <w:rsid w:val="008822CE"/>
    <w:rsid w:val="00882700"/>
    <w:rsid w:val="00892DD8"/>
    <w:rsid w:val="00897FDC"/>
    <w:rsid w:val="008A59E9"/>
    <w:rsid w:val="008B14A9"/>
    <w:rsid w:val="008B3B66"/>
    <w:rsid w:val="00900C91"/>
    <w:rsid w:val="00923866"/>
    <w:rsid w:val="009246CB"/>
    <w:rsid w:val="009404E8"/>
    <w:rsid w:val="009457D0"/>
    <w:rsid w:val="00947EF5"/>
    <w:rsid w:val="00961027"/>
    <w:rsid w:val="00972CE3"/>
    <w:rsid w:val="009A260F"/>
    <w:rsid w:val="009A33E4"/>
    <w:rsid w:val="009B2047"/>
    <w:rsid w:val="009F35F2"/>
    <w:rsid w:val="00A02D62"/>
    <w:rsid w:val="00A24BD5"/>
    <w:rsid w:val="00A2685C"/>
    <w:rsid w:val="00A30604"/>
    <w:rsid w:val="00A32D93"/>
    <w:rsid w:val="00A37B47"/>
    <w:rsid w:val="00A41EA1"/>
    <w:rsid w:val="00A442A3"/>
    <w:rsid w:val="00A5235F"/>
    <w:rsid w:val="00A57334"/>
    <w:rsid w:val="00A6285A"/>
    <w:rsid w:val="00A64236"/>
    <w:rsid w:val="00A72D8A"/>
    <w:rsid w:val="00A838FE"/>
    <w:rsid w:val="00A97CE3"/>
    <w:rsid w:val="00AA2EDE"/>
    <w:rsid w:val="00AA44EA"/>
    <w:rsid w:val="00AB26CE"/>
    <w:rsid w:val="00AC3852"/>
    <w:rsid w:val="00AE532C"/>
    <w:rsid w:val="00B27283"/>
    <w:rsid w:val="00B34E18"/>
    <w:rsid w:val="00B8237B"/>
    <w:rsid w:val="00B83B02"/>
    <w:rsid w:val="00B84EA1"/>
    <w:rsid w:val="00B92FCB"/>
    <w:rsid w:val="00BA1325"/>
    <w:rsid w:val="00BB1084"/>
    <w:rsid w:val="00BC11B7"/>
    <w:rsid w:val="00BC5021"/>
    <w:rsid w:val="00BC6EC6"/>
    <w:rsid w:val="00BE6799"/>
    <w:rsid w:val="00C24649"/>
    <w:rsid w:val="00C246D7"/>
    <w:rsid w:val="00C26420"/>
    <w:rsid w:val="00C26606"/>
    <w:rsid w:val="00C8171A"/>
    <w:rsid w:val="00C85D26"/>
    <w:rsid w:val="00CB2917"/>
    <w:rsid w:val="00CB2E8D"/>
    <w:rsid w:val="00CC7AFF"/>
    <w:rsid w:val="00CE79D4"/>
    <w:rsid w:val="00D20170"/>
    <w:rsid w:val="00D33431"/>
    <w:rsid w:val="00D33A9C"/>
    <w:rsid w:val="00D64D2A"/>
    <w:rsid w:val="00D729EE"/>
    <w:rsid w:val="00D72DF3"/>
    <w:rsid w:val="00D7746F"/>
    <w:rsid w:val="00DB33AA"/>
    <w:rsid w:val="00DC5920"/>
    <w:rsid w:val="00DC63A4"/>
    <w:rsid w:val="00DD285F"/>
    <w:rsid w:val="00DD45D7"/>
    <w:rsid w:val="00DE1FD2"/>
    <w:rsid w:val="00DF6B92"/>
    <w:rsid w:val="00E0696D"/>
    <w:rsid w:val="00E159A3"/>
    <w:rsid w:val="00E35FFF"/>
    <w:rsid w:val="00E43089"/>
    <w:rsid w:val="00E533EE"/>
    <w:rsid w:val="00E62CF4"/>
    <w:rsid w:val="00E7486A"/>
    <w:rsid w:val="00E81C38"/>
    <w:rsid w:val="00E8221C"/>
    <w:rsid w:val="00E91C1E"/>
    <w:rsid w:val="00E92263"/>
    <w:rsid w:val="00E95CA3"/>
    <w:rsid w:val="00EA483A"/>
    <w:rsid w:val="00EA648F"/>
    <w:rsid w:val="00ED287E"/>
    <w:rsid w:val="00EF5C38"/>
    <w:rsid w:val="00F118CA"/>
    <w:rsid w:val="00F147C1"/>
    <w:rsid w:val="00F14A56"/>
    <w:rsid w:val="00F1554A"/>
    <w:rsid w:val="00F459C2"/>
    <w:rsid w:val="00F64D6F"/>
    <w:rsid w:val="00F91203"/>
    <w:rsid w:val="00FA2702"/>
    <w:rsid w:val="00FA55B0"/>
    <w:rsid w:val="00FD0C63"/>
    <w:rsid w:val="00FE45F5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82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esto1">
    <w:name w:val="Corpo testo1"/>
    <w:rsid w:val="008231E2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it-IT"/>
    </w:rPr>
  </w:style>
  <w:style w:type="paragraph" w:customStyle="1" w:styleId="Default">
    <w:name w:val="Default"/>
    <w:rsid w:val="00FE45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BodytextAgency">
    <w:name w:val="Body text (Agency)"/>
    <w:basedOn w:val="Normale"/>
    <w:link w:val="BodytextAgencyChar"/>
    <w:rsid w:val="006B7A7E"/>
    <w:pPr>
      <w:spacing w:after="140" w:line="280" w:lineRule="atLeast"/>
    </w:pPr>
    <w:rPr>
      <w:rFonts w:ascii="Verdana" w:eastAsia="Times New Roman" w:hAnsi="Verdana" w:cs="Times New Roman"/>
      <w:sz w:val="18"/>
      <w:szCs w:val="18"/>
      <w:lang w:val="en-GB" w:eastAsia="en-GB"/>
    </w:rPr>
  </w:style>
  <w:style w:type="character" w:customStyle="1" w:styleId="BodytextAgencyChar">
    <w:name w:val="Body text (Agency) Char"/>
    <w:link w:val="BodytextAgency"/>
    <w:rsid w:val="006B7A7E"/>
    <w:rPr>
      <w:rFonts w:ascii="Verdana" w:eastAsia="Times New Roman" w:hAnsi="Verdana" w:cs="Times New Roman"/>
      <w:sz w:val="18"/>
      <w:szCs w:val="18"/>
      <w:lang w:val="en-GB" w:eastAsia="en-GB"/>
    </w:rPr>
  </w:style>
  <w:style w:type="character" w:customStyle="1" w:styleId="apple-converted-space">
    <w:name w:val="apple-converted-space"/>
    <w:basedOn w:val="Carpredefinitoparagrafo"/>
    <w:rsid w:val="00284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3540</Words>
  <Characters>20179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8</cp:revision>
  <cp:lastPrinted>2017-05-16T07:56:00Z</cp:lastPrinted>
  <dcterms:created xsi:type="dcterms:W3CDTF">2017-05-26T17:05:00Z</dcterms:created>
  <dcterms:modified xsi:type="dcterms:W3CDTF">2017-12-11T13:59:00Z</dcterms:modified>
</cp:coreProperties>
</file>