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791481" w:rsidRDefault="00791481" w:rsidP="00F914F5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F914F5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91481" w:rsidRDefault="00791481" w:rsidP="00F914F5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8172E" w:rsidRDefault="0078172E" w:rsidP="00F914F5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1878BF" w:rsidRDefault="001878BF" w:rsidP="00F914F5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097B06" w:rsidRDefault="00097B06" w:rsidP="00F914F5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52C3F" w:rsidRDefault="00B164AB" w:rsidP="00F914F5">
      <w:pPr>
        <w:autoSpaceDE w:val="0"/>
        <w:autoSpaceDN w:val="0"/>
        <w:adjustRightInd w:val="0"/>
        <w:spacing w:after="0" w:line="240" w:lineRule="auto"/>
        <w:rPr>
          <w:b/>
          <w:sz w:val="32"/>
        </w:rPr>
      </w:pPr>
      <w:r>
        <w:rPr>
          <w:b/>
          <w:sz w:val="32"/>
        </w:rPr>
        <w:t xml:space="preserve"> </w:t>
      </w:r>
      <w:r w:rsidR="00693C6C">
        <w:rPr>
          <w:b/>
          <w:sz w:val="32"/>
        </w:rPr>
        <w:t xml:space="preserve">                      </w:t>
      </w:r>
      <w:r w:rsidR="00075F06">
        <w:rPr>
          <w:b/>
          <w:sz w:val="32"/>
        </w:rPr>
        <w:t>AMOXICILLINA E ACIDO CLAVULANICO DOC</w:t>
      </w:r>
    </w:p>
    <w:p w:rsidR="00F914F5" w:rsidRDefault="004241AC" w:rsidP="00F914F5">
      <w:pPr>
        <w:widowControl w:val="0"/>
        <w:spacing w:after="0" w:line="240" w:lineRule="auto"/>
        <w:jc w:val="center"/>
        <w:rPr>
          <w:snapToGrid w:val="0"/>
        </w:rPr>
      </w:pPr>
      <w:r w:rsidRPr="00F914F5">
        <w:rPr>
          <w:snapToGrid w:val="0"/>
        </w:rPr>
        <w:t xml:space="preserve"> </w:t>
      </w:r>
    </w:p>
    <w:p w:rsidR="004241AC" w:rsidRPr="00F914F5" w:rsidRDefault="004241AC" w:rsidP="00F914F5">
      <w:pPr>
        <w:widowControl w:val="0"/>
        <w:spacing w:after="0" w:line="240" w:lineRule="auto"/>
        <w:jc w:val="center"/>
        <w:rPr>
          <w:snapToGrid w:val="0"/>
        </w:rPr>
      </w:pPr>
      <w:r w:rsidRPr="00F914F5">
        <w:rPr>
          <w:snapToGrid w:val="0"/>
        </w:rPr>
        <w:t>(</w:t>
      </w:r>
      <w:proofErr w:type="spellStart"/>
      <w:r w:rsidR="00FC011D" w:rsidRPr="00F914F5">
        <w:rPr>
          <w:snapToGrid w:val="0"/>
        </w:rPr>
        <w:t>a</w:t>
      </w:r>
      <w:r w:rsidR="00693C6C" w:rsidRPr="00F914F5">
        <w:rPr>
          <w:snapToGrid w:val="0"/>
        </w:rPr>
        <w:t>moxicillina</w:t>
      </w:r>
      <w:proofErr w:type="spellEnd"/>
      <w:r w:rsidR="00693C6C" w:rsidRPr="00F914F5">
        <w:rPr>
          <w:snapToGrid w:val="0"/>
        </w:rPr>
        <w:t xml:space="preserve"> e acido </w:t>
      </w:r>
      <w:proofErr w:type="spellStart"/>
      <w:r w:rsidR="00693C6C" w:rsidRPr="00F914F5">
        <w:rPr>
          <w:snapToGrid w:val="0"/>
        </w:rPr>
        <w:t>clavulanico</w:t>
      </w:r>
      <w:proofErr w:type="spellEnd"/>
      <w:r w:rsidRPr="00F914F5">
        <w:rPr>
          <w:snapToGrid w:val="0"/>
        </w:rPr>
        <w:t>)</w:t>
      </w:r>
    </w:p>
    <w:p w:rsidR="004241AC" w:rsidRDefault="004241AC" w:rsidP="00F914F5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F914F5" w:rsidRPr="00F914F5" w:rsidRDefault="00F914F5" w:rsidP="00F914F5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FD1D5D" w:rsidRPr="00F914F5" w:rsidRDefault="00F914F5" w:rsidP="00F914F5">
      <w:pPr>
        <w:spacing w:after="0" w:line="240" w:lineRule="auto"/>
        <w:jc w:val="center"/>
        <w:rPr>
          <w:b/>
        </w:rPr>
      </w:pPr>
      <w:r w:rsidRPr="00F914F5">
        <w:rPr>
          <w:b/>
        </w:rPr>
        <w:t>D</w:t>
      </w:r>
      <w:r>
        <w:rPr>
          <w:b/>
        </w:rPr>
        <w:t>OC</w:t>
      </w:r>
      <w:r w:rsidRPr="00F914F5">
        <w:rPr>
          <w:b/>
        </w:rPr>
        <w:t xml:space="preserve"> Generici</w:t>
      </w:r>
      <w:r w:rsidR="00693C6C" w:rsidRPr="00F914F5">
        <w:rPr>
          <w:b/>
        </w:rPr>
        <w:t xml:space="preserve"> </w:t>
      </w:r>
    </w:p>
    <w:p w:rsidR="00FD1D5D" w:rsidRDefault="00FD1D5D" w:rsidP="00F914F5">
      <w:pPr>
        <w:spacing w:after="0" w:line="240" w:lineRule="auto"/>
        <w:jc w:val="center"/>
        <w:rPr>
          <w:b/>
        </w:rPr>
      </w:pPr>
    </w:p>
    <w:p w:rsidR="00F914F5" w:rsidRPr="00F914F5" w:rsidRDefault="00F914F5" w:rsidP="00F914F5">
      <w:pPr>
        <w:spacing w:after="0" w:line="240" w:lineRule="auto"/>
        <w:jc w:val="center"/>
        <w:rPr>
          <w:b/>
        </w:rPr>
      </w:pPr>
    </w:p>
    <w:p w:rsidR="00693C6C" w:rsidRPr="00F914F5" w:rsidRDefault="004241AC" w:rsidP="00F914F5">
      <w:pPr>
        <w:spacing w:after="0" w:line="240" w:lineRule="auto"/>
        <w:jc w:val="center"/>
        <w:rPr>
          <w:rFonts w:cs="Helvetica"/>
          <w:b/>
        </w:rPr>
      </w:pPr>
      <w:r w:rsidRPr="00F914F5">
        <w:rPr>
          <w:b/>
        </w:rPr>
        <w:t xml:space="preserve">Numero di AIC: </w:t>
      </w:r>
      <w:r w:rsidR="00693C6C" w:rsidRPr="00F914F5">
        <w:rPr>
          <w:rFonts w:cs="Helvetica"/>
          <w:b/>
        </w:rPr>
        <w:t>043845</w:t>
      </w:r>
    </w:p>
    <w:p w:rsidR="004241AC" w:rsidRPr="00F914F5" w:rsidRDefault="004241AC" w:rsidP="00F914F5">
      <w:pPr>
        <w:spacing w:after="0" w:line="240" w:lineRule="auto"/>
        <w:jc w:val="center"/>
        <w:rPr>
          <w:rFonts w:cs="Helvetica"/>
          <w:b/>
        </w:rPr>
      </w:pPr>
    </w:p>
    <w:p w:rsidR="008348A8" w:rsidRPr="00F914F5" w:rsidRDefault="008348A8" w:rsidP="00F914F5">
      <w:pPr>
        <w:spacing w:after="0" w:line="240" w:lineRule="auto"/>
        <w:jc w:val="center"/>
        <w:rPr>
          <w:rFonts w:cs="Helvetica"/>
          <w:b/>
        </w:rPr>
      </w:pPr>
    </w:p>
    <w:bookmarkEnd w:id="0"/>
    <w:p w:rsidR="00097B06" w:rsidRDefault="00097B06" w:rsidP="00F914F5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</w:p>
    <w:p w:rsidR="00900C91" w:rsidRPr="00F914F5" w:rsidRDefault="00900C91" w:rsidP="00F914F5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F914F5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4241AC" w:rsidRPr="00F914F5" w:rsidRDefault="004241AC" w:rsidP="00F914F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F914F5" w:rsidRDefault="004241AC" w:rsidP="00F914F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F914F5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F914F5">
        <w:rPr>
          <w:rFonts w:eastAsia="Calibri" w:cs="Calibri"/>
          <w:i/>
          <w:color w:val="000000"/>
          <w:lang w:eastAsia="it-IT"/>
        </w:rPr>
        <w:t>Public Assessment Report</w:t>
      </w:r>
      <w:r w:rsidRPr="00F914F5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693C6C" w:rsidRPr="00F914F5">
        <w:rPr>
          <w:rFonts w:eastAsia="Calibri" w:cs="Calibri"/>
          <w:color w:val="000000"/>
          <w:lang w:eastAsia="it-IT"/>
        </w:rPr>
        <w:t>Amoxicillina</w:t>
      </w:r>
      <w:proofErr w:type="spellEnd"/>
      <w:r w:rsidR="00693C6C" w:rsidRPr="00F914F5">
        <w:rPr>
          <w:rFonts w:eastAsia="Calibri" w:cs="Calibri"/>
          <w:color w:val="000000"/>
          <w:lang w:eastAsia="it-IT"/>
        </w:rPr>
        <w:t xml:space="preserve"> e </w:t>
      </w:r>
      <w:r w:rsidR="00F914F5">
        <w:rPr>
          <w:rFonts w:eastAsia="Calibri" w:cs="Calibri"/>
          <w:color w:val="000000"/>
          <w:lang w:eastAsia="it-IT"/>
        </w:rPr>
        <w:t>a</w:t>
      </w:r>
      <w:r w:rsidR="00693C6C" w:rsidRPr="00F914F5">
        <w:rPr>
          <w:rFonts w:eastAsia="Calibri" w:cs="Calibri"/>
          <w:color w:val="000000"/>
          <w:lang w:eastAsia="it-IT"/>
        </w:rPr>
        <w:t xml:space="preserve">cido </w:t>
      </w:r>
      <w:proofErr w:type="spellStart"/>
      <w:r w:rsidR="00F914F5">
        <w:rPr>
          <w:rFonts w:eastAsia="Calibri" w:cs="Calibri"/>
          <w:color w:val="000000"/>
          <w:lang w:eastAsia="it-IT"/>
        </w:rPr>
        <w:t>c</w:t>
      </w:r>
      <w:r w:rsidR="00075F06" w:rsidRPr="00F914F5">
        <w:rPr>
          <w:rFonts w:eastAsia="Calibri" w:cs="Calibri"/>
          <w:color w:val="000000"/>
          <w:lang w:eastAsia="it-IT"/>
        </w:rPr>
        <w:t>lavulanico</w:t>
      </w:r>
      <w:proofErr w:type="spellEnd"/>
      <w:r w:rsidR="00075F06" w:rsidRPr="00F914F5">
        <w:rPr>
          <w:rFonts w:eastAsia="Calibri" w:cs="Calibri"/>
          <w:color w:val="000000"/>
          <w:lang w:eastAsia="it-IT"/>
        </w:rPr>
        <w:t xml:space="preserve"> DOC</w:t>
      </w:r>
      <w:r w:rsidRPr="00F914F5">
        <w:rPr>
          <w:rFonts w:eastAsia="Calibri" w:cs="Calibri"/>
          <w:color w:val="000000"/>
          <w:lang w:eastAsia="it-IT"/>
        </w:rPr>
        <w:t>.</w:t>
      </w:r>
      <w:r w:rsidRPr="00F914F5">
        <w:rPr>
          <w:rFonts w:eastAsia="Calibri" w:cs="Calibri"/>
          <w:bCs/>
          <w:color w:val="000000"/>
          <w:lang w:eastAsia="it-IT"/>
        </w:rPr>
        <w:t xml:space="preserve"> </w:t>
      </w:r>
      <w:r w:rsidRPr="00F914F5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693C6C" w:rsidRPr="00F914F5">
        <w:rPr>
          <w:rFonts w:eastAsia="Calibri" w:cs="Calibri"/>
          <w:color w:val="000000"/>
          <w:lang w:eastAsia="it-IT"/>
        </w:rPr>
        <w:t>Amoxicillina</w:t>
      </w:r>
      <w:proofErr w:type="spellEnd"/>
      <w:r w:rsidR="00693C6C" w:rsidRPr="00F914F5">
        <w:rPr>
          <w:rFonts w:eastAsia="Calibri" w:cs="Calibri"/>
          <w:color w:val="000000"/>
          <w:lang w:eastAsia="it-IT"/>
        </w:rPr>
        <w:t xml:space="preserve"> e </w:t>
      </w:r>
      <w:r w:rsidR="00F914F5">
        <w:rPr>
          <w:rFonts w:eastAsia="Calibri" w:cs="Calibri"/>
          <w:color w:val="000000"/>
          <w:lang w:eastAsia="it-IT"/>
        </w:rPr>
        <w:t>a</w:t>
      </w:r>
      <w:r w:rsidR="00075F06" w:rsidRPr="00F914F5">
        <w:rPr>
          <w:rFonts w:eastAsia="Calibri" w:cs="Calibri"/>
          <w:color w:val="000000"/>
          <w:lang w:eastAsia="it-IT"/>
        </w:rPr>
        <w:t xml:space="preserve">cido </w:t>
      </w:r>
      <w:proofErr w:type="spellStart"/>
      <w:r w:rsidR="00F914F5">
        <w:rPr>
          <w:rFonts w:eastAsia="Calibri" w:cs="Calibri"/>
          <w:color w:val="000000"/>
          <w:lang w:eastAsia="it-IT"/>
        </w:rPr>
        <w:t>c</w:t>
      </w:r>
      <w:r w:rsidR="00075F06" w:rsidRPr="00F914F5">
        <w:rPr>
          <w:rFonts w:eastAsia="Calibri" w:cs="Calibri"/>
          <w:color w:val="000000"/>
          <w:lang w:eastAsia="it-IT"/>
        </w:rPr>
        <w:t>lavulanico</w:t>
      </w:r>
      <w:proofErr w:type="spellEnd"/>
      <w:r w:rsidR="00075F06" w:rsidRPr="00F914F5">
        <w:rPr>
          <w:rFonts w:eastAsia="Calibri" w:cs="Calibri"/>
          <w:color w:val="000000"/>
          <w:lang w:eastAsia="it-IT"/>
        </w:rPr>
        <w:t xml:space="preserve"> DOC</w:t>
      </w:r>
      <w:r w:rsidR="00062636" w:rsidRPr="00F914F5">
        <w:rPr>
          <w:rFonts w:eastAsia="Calibri" w:cs="Calibri"/>
          <w:color w:val="000000"/>
          <w:lang w:eastAsia="it-IT"/>
        </w:rPr>
        <w:t xml:space="preserve"> </w:t>
      </w:r>
      <w:r w:rsidRPr="00F914F5">
        <w:rPr>
          <w:rFonts w:eastAsia="Calibri" w:cs="Calibri"/>
          <w:color w:val="000000"/>
          <w:lang w:eastAsia="it-IT"/>
        </w:rPr>
        <w:t xml:space="preserve">è stato valutato dalla Commissione Tecnico-Scientifica (CTS) e </w:t>
      </w:r>
      <w:r w:rsidR="00065F49" w:rsidRPr="00F914F5">
        <w:rPr>
          <w:rFonts w:eastAsia="Calibri" w:cs="Calibri"/>
          <w:color w:val="000000"/>
          <w:lang w:eastAsia="it-IT"/>
        </w:rPr>
        <w:t>le sue</w:t>
      </w:r>
      <w:r w:rsidRPr="00F914F5">
        <w:rPr>
          <w:rFonts w:eastAsia="Calibri" w:cs="Calibri"/>
          <w:color w:val="000000"/>
          <w:lang w:eastAsia="it-IT"/>
        </w:rPr>
        <w:t xml:space="preserve"> condizioni di impiego. Non intende fornire consigli pratici su come utilizzare </w:t>
      </w:r>
      <w:r w:rsidR="00B164AB" w:rsidRPr="00F914F5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75F06" w:rsidRPr="00F914F5">
        <w:rPr>
          <w:rFonts w:eastAsia="Calibri" w:cs="Calibri"/>
          <w:color w:val="000000"/>
          <w:lang w:eastAsia="it-IT"/>
        </w:rPr>
        <w:t>Amoxicillina</w:t>
      </w:r>
      <w:proofErr w:type="spellEnd"/>
      <w:r w:rsidR="00075F06" w:rsidRPr="00F914F5">
        <w:rPr>
          <w:rFonts w:eastAsia="Calibri" w:cs="Calibri"/>
          <w:color w:val="000000"/>
          <w:lang w:eastAsia="it-IT"/>
        </w:rPr>
        <w:t xml:space="preserve"> e </w:t>
      </w:r>
      <w:r w:rsidR="00F914F5">
        <w:rPr>
          <w:rFonts w:eastAsia="Calibri" w:cs="Calibri"/>
          <w:color w:val="000000"/>
          <w:lang w:eastAsia="it-IT"/>
        </w:rPr>
        <w:t>a</w:t>
      </w:r>
      <w:r w:rsidR="00075F06" w:rsidRPr="00F914F5">
        <w:rPr>
          <w:rFonts w:eastAsia="Calibri" w:cs="Calibri"/>
          <w:color w:val="000000"/>
          <w:lang w:eastAsia="it-IT"/>
        </w:rPr>
        <w:t xml:space="preserve">cido </w:t>
      </w:r>
      <w:proofErr w:type="spellStart"/>
      <w:r w:rsidR="00F914F5">
        <w:rPr>
          <w:rFonts w:eastAsia="Calibri" w:cs="Calibri"/>
          <w:color w:val="000000"/>
          <w:lang w:eastAsia="it-IT"/>
        </w:rPr>
        <w:t>c</w:t>
      </w:r>
      <w:r w:rsidR="00075F06" w:rsidRPr="00F914F5">
        <w:rPr>
          <w:rFonts w:eastAsia="Calibri" w:cs="Calibri"/>
          <w:color w:val="000000"/>
          <w:lang w:eastAsia="it-IT"/>
        </w:rPr>
        <w:t>avulanico</w:t>
      </w:r>
      <w:proofErr w:type="spellEnd"/>
      <w:r w:rsidR="00075F06" w:rsidRPr="00F914F5">
        <w:rPr>
          <w:rFonts w:eastAsia="Calibri" w:cs="Calibri"/>
          <w:color w:val="000000"/>
          <w:lang w:eastAsia="it-IT"/>
        </w:rPr>
        <w:t xml:space="preserve"> DOC</w:t>
      </w:r>
      <w:r w:rsidRPr="00F914F5">
        <w:rPr>
          <w:rFonts w:eastAsia="Calibri" w:cs="Calibri"/>
          <w:bCs/>
          <w:color w:val="000000"/>
          <w:lang w:eastAsia="it-IT"/>
        </w:rPr>
        <w:t>.</w:t>
      </w:r>
    </w:p>
    <w:p w:rsidR="004241AC" w:rsidRPr="00F914F5" w:rsidRDefault="004241AC" w:rsidP="00F914F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914F5">
        <w:rPr>
          <w:rFonts w:eastAsia="Calibri" w:cs="Calibri"/>
          <w:color w:val="000000"/>
          <w:lang w:eastAsia="it-IT"/>
        </w:rPr>
        <w:t>Per informazioni pratiche sull'utilizzo di</w:t>
      </w:r>
      <w:r w:rsidRPr="00F914F5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075F06" w:rsidRPr="00F914F5">
        <w:rPr>
          <w:rFonts w:eastAsia="Calibri" w:cs="Calibri"/>
          <w:color w:val="000000"/>
          <w:lang w:eastAsia="it-IT"/>
        </w:rPr>
        <w:t>Amoxicillina</w:t>
      </w:r>
      <w:proofErr w:type="spellEnd"/>
      <w:r w:rsidR="00075F06" w:rsidRPr="00F914F5">
        <w:rPr>
          <w:rFonts w:eastAsia="Calibri" w:cs="Calibri"/>
          <w:color w:val="000000"/>
          <w:lang w:eastAsia="it-IT"/>
        </w:rPr>
        <w:t xml:space="preserve"> e </w:t>
      </w:r>
      <w:r w:rsidR="00F914F5">
        <w:rPr>
          <w:rFonts w:eastAsia="Calibri" w:cs="Calibri"/>
          <w:color w:val="000000"/>
          <w:lang w:eastAsia="it-IT"/>
        </w:rPr>
        <w:t>a</w:t>
      </w:r>
      <w:r w:rsidR="00075F06" w:rsidRPr="00F914F5">
        <w:rPr>
          <w:rFonts w:eastAsia="Calibri" w:cs="Calibri"/>
          <w:color w:val="000000"/>
          <w:lang w:eastAsia="it-IT"/>
        </w:rPr>
        <w:t xml:space="preserve">cido </w:t>
      </w:r>
      <w:proofErr w:type="spellStart"/>
      <w:r w:rsidR="00F914F5">
        <w:rPr>
          <w:rFonts w:eastAsia="Calibri" w:cs="Calibri"/>
          <w:color w:val="000000"/>
          <w:lang w:eastAsia="it-IT"/>
        </w:rPr>
        <w:t>c</w:t>
      </w:r>
      <w:r w:rsidR="00075F06" w:rsidRPr="00F914F5">
        <w:rPr>
          <w:rFonts w:eastAsia="Calibri" w:cs="Calibri"/>
          <w:color w:val="000000"/>
          <w:lang w:eastAsia="it-IT"/>
        </w:rPr>
        <w:t>lavulanico</w:t>
      </w:r>
      <w:proofErr w:type="spellEnd"/>
      <w:r w:rsidR="00075F06" w:rsidRPr="00F914F5">
        <w:rPr>
          <w:rFonts w:eastAsia="Calibri" w:cs="Calibri"/>
          <w:color w:val="000000"/>
          <w:lang w:eastAsia="it-IT"/>
        </w:rPr>
        <w:t xml:space="preserve"> DOC</w:t>
      </w:r>
      <w:r w:rsidR="00062636" w:rsidRPr="00F914F5">
        <w:rPr>
          <w:rFonts w:eastAsia="Calibri" w:cs="Calibri"/>
          <w:color w:val="000000"/>
          <w:lang w:eastAsia="it-IT"/>
        </w:rPr>
        <w:t xml:space="preserve"> </w:t>
      </w:r>
      <w:r w:rsidRPr="00F914F5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FA55B0" w:rsidRPr="00F914F5">
        <w:rPr>
          <w:rFonts w:eastAsia="Calibri" w:cs="Calibri"/>
          <w:color w:val="000000"/>
          <w:lang w:eastAsia="it-IT"/>
        </w:rPr>
        <w:t xml:space="preserve">il </w:t>
      </w:r>
      <w:r w:rsidRPr="00F914F5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F914F5" w:rsidRDefault="004241AC" w:rsidP="00F914F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F914F5" w:rsidRDefault="004241AC" w:rsidP="00F914F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F914F5" w:rsidRDefault="004241AC" w:rsidP="00F914F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914F5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075F06" w:rsidRPr="00F914F5">
        <w:rPr>
          <w:rFonts w:eastAsia="Calibri" w:cs="Calibri"/>
          <w:b/>
          <w:bCs/>
          <w:color w:val="000000"/>
          <w:lang w:eastAsia="it-IT"/>
        </w:rPr>
        <w:t>Amoxicillina</w:t>
      </w:r>
      <w:proofErr w:type="spellEnd"/>
      <w:r w:rsidR="00075F06" w:rsidRPr="00F914F5">
        <w:rPr>
          <w:rFonts w:eastAsia="Calibri" w:cs="Calibri"/>
          <w:b/>
          <w:bCs/>
          <w:color w:val="000000"/>
          <w:lang w:eastAsia="it-IT"/>
        </w:rPr>
        <w:t xml:space="preserve"> e acido </w:t>
      </w:r>
      <w:proofErr w:type="spellStart"/>
      <w:r w:rsidR="00075F06" w:rsidRPr="00F914F5">
        <w:rPr>
          <w:rFonts w:eastAsia="Calibri" w:cs="Calibri"/>
          <w:b/>
          <w:bCs/>
          <w:color w:val="000000"/>
          <w:lang w:eastAsia="it-IT"/>
        </w:rPr>
        <w:t>clavulanico</w:t>
      </w:r>
      <w:proofErr w:type="spellEnd"/>
      <w:r w:rsidR="00075F06" w:rsidRPr="00F914F5">
        <w:rPr>
          <w:rFonts w:eastAsia="Calibri" w:cs="Calibri"/>
          <w:b/>
          <w:bCs/>
          <w:color w:val="000000"/>
          <w:lang w:eastAsia="it-IT"/>
        </w:rPr>
        <w:t xml:space="preserve"> DOC</w:t>
      </w:r>
      <w:r w:rsidR="00062636" w:rsidRPr="00F914F5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F914F5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075F06" w:rsidRPr="008A7E3C" w:rsidRDefault="00075F06" w:rsidP="00F914F5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F914F5">
        <w:rPr>
          <w:rFonts w:eastAsia="Calibri" w:cs="Calibri"/>
          <w:bCs/>
          <w:color w:val="000000"/>
          <w:lang w:eastAsia="it-IT"/>
        </w:rPr>
        <w:t>Amoxicillina</w:t>
      </w:r>
      <w:proofErr w:type="spellEnd"/>
      <w:r w:rsidRPr="00F914F5">
        <w:rPr>
          <w:rFonts w:eastAsia="Calibri" w:cs="Calibri"/>
          <w:bCs/>
          <w:color w:val="000000"/>
          <w:lang w:eastAsia="it-IT"/>
        </w:rPr>
        <w:t xml:space="preserve"> e </w:t>
      </w:r>
      <w:r w:rsidR="00F914F5">
        <w:rPr>
          <w:rFonts w:eastAsia="Calibri" w:cs="Calibri"/>
          <w:bCs/>
          <w:color w:val="000000"/>
          <w:lang w:eastAsia="it-IT"/>
        </w:rPr>
        <w:t>a</w:t>
      </w:r>
      <w:r w:rsidRPr="00F914F5">
        <w:rPr>
          <w:rFonts w:eastAsia="Calibri" w:cs="Calibri"/>
          <w:bCs/>
          <w:color w:val="000000"/>
          <w:lang w:eastAsia="it-IT"/>
        </w:rPr>
        <w:t xml:space="preserve">cido </w:t>
      </w:r>
      <w:proofErr w:type="spellStart"/>
      <w:r w:rsidR="00F914F5">
        <w:rPr>
          <w:rFonts w:eastAsia="Calibri" w:cs="Calibri"/>
          <w:bCs/>
          <w:color w:val="000000"/>
          <w:lang w:eastAsia="it-IT"/>
        </w:rPr>
        <w:t>c</w:t>
      </w:r>
      <w:r w:rsidRPr="00F914F5">
        <w:rPr>
          <w:rFonts w:eastAsia="Calibri" w:cs="Calibri"/>
          <w:bCs/>
          <w:color w:val="000000"/>
          <w:lang w:eastAsia="it-IT"/>
        </w:rPr>
        <w:t>lavulanico</w:t>
      </w:r>
      <w:proofErr w:type="spellEnd"/>
      <w:r w:rsidRPr="00F914F5">
        <w:rPr>
          <w:rFonts w:eastAsia="Calibri" w:cs="Calibri"/>
          <w:bCs/>
          <w:color w:val="000000"/>
          <w:lang w:eastAsia="it-IT"/>
        </w:rPr>
        <w:t xml:space="preserve"> DOC</w:t>
      </w:r>
      <w:r w:rsidR="004241AC" w:rsidRPr="00F914F5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F914F5">
        <w:rPr>
          <w:rFonts w:eastAsia="Calibri" w:cs="Calibri"/>
          <w:color w:val="000000"/>
          <w:lang w:eastAsia="it-IT"/>
        </w:rPr>
        <w:t xml:space="preserve">è un medicinale contenente </w:t>
      </w:r>
      <w:r w:rsidRPr="00F914F5">
        <w:rPr>
          <w:rFonts w:eastAsia="Calibri" w:cs="Calibri"/>
          <w:color w:val="000000"/>
          <w:lang w:eastAsia="it-IT"/>
        </w:rPr>
        <w:t xml:space="preserve">i </w:t>
      </w:r>
      <w:r w:rsidR="004241AC" w:rsidRPr="00F914F5">
        <w:rPr>
          <w:rFonts w:eastAsia="Calibri" w:cs="Calibri"/>
          <w:color w:val="000000"/>
          <w:lang w:eastAsia="it-IT"/>
        </w:rPr>
        <w:t>principi</w:t>
      </w:r>
      <w:r w:rsidRPr="00F914F5">
        <w:rPr>
          <w:rFonts w:eastAsia="Calibri" w:cs="Calibri"/>
          <w:color w:val="000000"/>
          <w:lang w:eastAsia="it-IT"/>
        </w:rPr>
        <w:t xml:space="preserve"> </w:t>
      </w:r>
      <w:r w:rsidR="004241AC" w:rsidRPr="00F914F5">
        <w:rPr>
          <w:rFonts w:eastAsia="Calibri" w:cs="Calibri"/>
          <w:color w:val="000000"/>
          <w:lang w:eastAsia="it-IT"/>
        </w:rPr>
        <w:t>attiv</w:t>
      </w:r>
      <w:r w:rsidRPr="00F914F5">
        <w:rPr>
          <w:rFonts w:eastAsia="Calibri" w:cs="Calibri"/>
          <w:color w:val="000000"/>
          <w:lang w:eastAsia="it-IT"/>
        </w:rPr>
        <w:t xml:space="preserve">i </w:t>
      </w:r>
      <w:proofErr w:type="spellStart"/>
      <w:r w:rsidRPr="00F914F5">
        <w:rPr>
          <w:rFonts w:eastAsia="Calibri" w:cs="Calibri"/>
          <w:color w:val="000000"/>
          <w:lang w:eastAsia="it-IT"/>
        </w:rPr>
        <w:t>amoxicillina</w:t>
      </w:r>
      <w:proofErr w:type="spellEnd"/>
      <w:r w:rsidRPr="00F914F5">
        <w:rPr>
          <w:rFonts w:eastAsia="Calibri" w:cs="Calibri"/>
          <w:color w:val="000000"/>
          <w:lang w:eastAsia="it-IT"/>
        </w:rPr>
        <w:t xml:space="preserve"> ed acido </w:t>
      </w:r>
      <w:proofErr w:type="spellStart"/>
      <w:r w:rsidRPr="008A7E3C">
        <w:rPr>
          <w:rFonts w:eastAsia="Calibri" w:cs="Calibri"/>
          <w:color w:val="000000"/>
          <w:lang w:eastAsia="it-IT"/>
        </w:rPr>
        <w:t>clavulanico</w:t>
      </w:r>
      <w:proofErr w:type="spellEnd"/>
      <w:r w:rsidR="001E5CC6" w:rsidRPr="008A7E3C">
        <w:rPr>
          <w:rFonts w:eastAsia="Calibri" w:cs="Calibri"/>
          <w:color w:val="000000"/>
          <w:lang w:eastAsia="it-IT"/>
        </w:rPr>
        <w:t>;</w:t>
      </w:r>
      <w:r w:rsidR="00E159A3" w:rsidRPr="008A7E3C">
        <w:rPr>
          <w:rFonts w:eastAsia="Calibri" w:cs="Calibri"/>
          <w:color w:val="000000"/>
          <w:lang w:eastAsia="it-IT"/>
        </w:rPr>
        <w:t xml:space="preserve"> </w:t>
      </w:r>
      <w:r w:rsidR="004241AC" w:rsidRPr="008A7E3C">
        <w:rPr>
          <w:rFonts w:eastAsia="Calibri" w:cs="Calibri"/>
          <w:color w:val="000000"/>
          <w:lang w:eastAsia="it-IT"/>
        </w:rPr>
        <w:t xml:space="preserve">è disponibile in </w:t>
      </w:r>
      <w:r w:rsidRPr="008A7E3C">
        <w:rPr>
          <w:rFonts w:eastAsia="Calibri" w:cs="Calibri"/>
          <w:color w:val="000000"/>
          <w:lang w:eastAsia="it-IT"/>
        </w:rPr>
        <w:t>compresse rivestite con film ed in polvere per sospensione orale</w:t>
      </w:r>
      <w:r w:rsidR="00F914F5" w:rsidRPr="008A7E3C">
        <w:rPr>
          <w:rFonts w:eastAsia="Calibri" w:cs="Calibri"/>
          <w:color w:val="000000"/>
          <w:lang w:eastAsia="it-IT"/>
        </w:rPr>
        <w:t xml:space="preserve"> confezionata in bustine; le compresse e le bustine contengono 875 mg di </w:t>
      </w:r>
      <w:proofErr w:type="spellStart"/>
      <w:r w:rsidR="00F914F5" w:rsidRPr="008A7E3C">
        <w:rPr>
          <w:rFonts w:eastAsia="Calibri" w:cs="Calibri"/>
          <w:color w:val="000000"/>
          <w:lang w:eastAsia="it-IT"/>
        </w:rPr>
        <w:t>amoxicillina</w:t>
      </w:r>
      <w:proofErr w:type="spellEnd"/>
      <w:r w:rsidR="00F914F5" w:rsidRPr="008A7E3C">
        <w:rPr>
          <w:rFonts w:eastAsia="Calibri" w:cs="Calibri"/>
          <w:color w:val="000000"/>
          <w:lang w:eastAsia="it-IT"/>
        </w:rPr>
        <w:t xml:space="preserve"> e 125 mg di acido </w:t>
      </w:r>
      <w:proofErr w:type="spellStart"/>
      <w:r w:rsidR="00F914F5" w:rsidRPr="008A7E3C">
        <w:rPr>
          <w:rFonts w:eastAsia="Calibri" w:cs="Calibri"/>
          <w:color w:val="000000"/>
          <w:lang w:eastAsia="it-IT"/>
        </w:rPr>
        <w:t>clavulanico</w:t>
      </w:r>
      <w:proofErr w:type="spellEnd"/>
      <w:r w:rsidRPr="008A7E3C">
        <w:rPr>
          <w:rFonts w:eastAsia="Calibri" w:cs="Calibri"/>
          <w:color w:val="000000"/>
          <w:lang w:eastAsia="it-IT"/>
        </w:rPr>
        <w:t>.</w:t>
      </w:r>
    </w:p>
    <w:p w:rsidR="008A7E3C" w:rsidRPr="007C11D5" w:rsidRDefault="00075F06" w:rsidP="008A7E3C">
      <w:pPr>
        <w:widowControl w:val="0"/>
        <w:spacing w:after="0" w:line="240" w:lineRule="auto"/>
        <w:jc w:val="both"/>
      </w:pPr>
      <w:proofErr w:type="spellStart"/>
      <w:r w:rsidRPr="008A7E3C">
        <w:rPr>
          <w:rFonts w:eastAsia="Calibri" w:cs="Calibri"/>
          <w:color w:val="000000"/>
          <w:lang w:eastAsia="it-IT"/>
        </w:rPr>
        <w:t>Amoxicillina</w:t>
      </w:r>
      <w:proofErr w:type="spellEnd"/>
      <w:r w:rsidRPr="008A7E3C">
        <w:rPr>
          <w:rFonts w:eastAsia="Calibri" w:cs="Calibri"/>
          <w:color w:val="000000"/>
          <w:lang w:eastAsia="it-IT"/>
        </w:rPr>
        <w:t xml:space="preserve"> e </w:t>
      </w:r>
      <w:r w:rsidR="00F914F5" w:rsidRPr="008A7E3C">
        <w:rPr>
          <w:rFonts w:eastAsia="Calibri" w:cs="Calibri"/>
          <w:color w:val="000000"/>
          <w:lang w:eastAsia="it-IT"/>
        </w:rPr>
        <w:t>a</w:t>
      </w:r>
      <w:r w:rsidRPr="008A7E3C">
        <w:rPr>
          <w:rFonts w:eastAsia="Calibri" w:cs="Calibri"/>
          <w:color w:val="000000"/>
          <w:lang w:eastAsia="it-IT"/>
        </w:rPr>
        <w:t xml:space="preserve">cido </w:t>
      </w:r>
      <w:proofErr w:type="spellStart"/>
      <w:r w:rsidR="00F914F5" w:rsidRPr="008A7E3C">
        <w:rPr>
          <w:rFonts w:eastAsia="Calibri" w:cs="Calibri"/>
          <w:color w:val="000000"/>
          <w:lang w:eastAsia="it-IT"/>
        </w:rPr>
        <w:t>c</w:t>
      </w:r>
      <w:r w:rsidRPr="008A7E3C">
        <w:rPr>
          <w:rFonts w:eastAsia="Calibri" w:cs="Calibri"/>
          <w:color w:val="000000"/>
          <w:lang w:eastAsia="it-IT"/>
        </w:rPr>
        <w:t>lavulanico</w:t>
      </w:r>
      <w:proofErr w:type="spellEnd"/>
      <w:r w:rsidRPr="008A7E3C">
        <w:rPr>
          <w:rFonts w:eastAsia="Calibri" w:cs="Calibri"/>
          <w:color w:val="000000"/>
          <w:lang w:eastAsia="it-IT"/>
        </w:rPr>
        <w:t xml:space="preserve"> DOC</w:t>
      </w:r>
      <w:r w:rsidR="00013020" w:rsidRPr="008A7E3C">
        <w:rPr>
          <w:rFonts w:eastAsia="Calibri" w:cs="Calibri"/>
          <w:color w:val="000000"/>
          <w:lang w:eastAsia="it-IT"/>
        </w:rPr>
        <w:t xml:space="preserve"> è un “medicinale generico”, cioè è analogo ad un “medicinale di riferimento”, </w:t>
      </w:r>
      <w:r w:rsidR="008A7E3C" w:rsidRPr="008A7E3C">
        <w:rPr>
          <w:rFonts w:eastAsia="Calibri" w:cs="Calibri"/>
          <w:color w:val="000000"/>
          <w:lang w:eastAsia="it-IT"/>
        </w:rPr>
        <w:t xml:space="preserve">già autorizzato in Italia, </w:t>
      </w:r>
      <w:proofErr w:type="spellStart"/>
      <w:r w:rsidR="008A7E3C" w:rsidRPr="008A7E3C">
        <w:rPr>
          <w:rFonts w:eastAsia="Calibri" w:cs="Calibri"/>
          <w:color w:val="000000"/>
          <w:lang w:eastAsia="it-IT"/>
        </w:rPr>
        <w:t>Augmentin</w:t>
      </w:r>
      <w:proofErr w:type="spellEnd"/>
      <w:r w:rsidR="008A7E3C" w:rsidRPr="008A7E3C">
        <w:rPr>
          <w:rFonts w:eastAsia="Calibri" w:cs="Calibri"/>
          <w:color w:val="000000"/>
          <w:lang w:eastAsia="it-IT"/>
        </w:rPr>
        <w:t xml:space="preserve"> che è stato autorizzato con procedura decentrata con il</w:t>
      </w:r>
      <w:r w:rsidR="008A7E3C">
        <w:rPr>
          <w:rFonts w:eastAsia="Calibri" w:cs="Calibri"/>
          <w:color w:val="000000"/>
          <w:lang w:eastAsia="it-IT"/>
        </w:rPr>
        <w:t xml:space="preserve"> Regno Unito</w:t>
      </w:r>
      <w:r w:rsidR="008A7E3C" w:rsidRPr="007C11D5">
        <w:rPr>
          <w:rFonts w:eastAsia="Calibri" w:cs="Calibri"/>
          <w:color w:val="000000"/>
          <w:lang w:eastAsia="it-IT"/>
        </w:rPr>
        <w:t xml:space="preserve"> come stato di riferimento (</w:t>
      </w:r>
      <w:hyperlink r:id="rId7" w:history="1">
        <w:r w:rsidR="008A7E3C" w:rsidRPr="005E3FB5">
          <w:rPr>
            <w:rStyle w:val="Collegamentoipertestuale"/>
          </w:rPr>
          <w:t>https://www.gov.uk/government/organisations/medicines-and-healthcare-products-regulatory-agency</w:t>
        </w:r>
      </w:hyperlink>
      <w:r w:rsidR="008A7E3C" w:rsidRPr="007C11D5">
        <w:rPr>
          <w:rFonts w:cs="Arial"/>
          <w:shd w:val="clear" w:color="auto" w:fill="FFFFFF"/>
        </w:rPr>
        <w:t>)</w:t>
      </w:r>
      <w:r w:rsidR="008A7E3C" w:rsidRPr="007C11D5">
        <w:rPr>
          <w:rFonts w:eastAsia="Calibri" w:cs="Calibri"/>
          <w:color w:val="000000"/>
          <w:lang w:eastAsia="it-IT"/>
        </w:rPr>
        <w:t>. Sul sito dell’Agenzia Italiana del Farmaco (AIFA) (</w:t>
      </w:r>
      <w:hyperlink r:id="rId8" w:history="1">
        <w:r w:rsidR="008A7E3C" w:rsidRPr="007C11D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8A7E3C" w:rsidRPr="007C11D5">
        <w:rPr>
          <w:rFonts w:eastAsia="Calibri" w:cs="Calibri"/>
          <w:lang w:eastAsia="it-IT"/>
        </w:rPr>
        <w:t>)</w:t>
      </w:r>
      <w:r w:rsidR="008A7E3C" w:rsidRPr="007C11D5">
        <w:t xml:space="preserve"> </w:t>
      </w:r>
      <w:r w:rsidR="008A7E3C" w:rsidRPr="007C11D5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 w:rsidR="008A7E3C">
        <w:rPr>
          <w:rFonts w:eastAsia="Calibri" w:cs="Calibri"/>
          <w:color w:val="000000"/>
          <w:lang w:eastAsia="it-IT"/>
        </w:rPr>
        <w:t>Augmentin</w:t>
      </w:r>
      <w:proofErr w:type="spellEnd"/>
      <w:r w:rsidR="008A7E3C" w:rsidRPr="007C11D5">
        <w:rPr>
          <w:rFonts w:eastAsia="Calibri" w:cs="Calibri"/>
          <w:color w:val="000000"/>
          <w:lang w:eastAsia="it-IT"/>
        </w:rPr>
        <w:t>.</w:t>
      </w:r>
    </w:p>
    <w:p w:rsidR="003935D9" w:rsidRPr="00F914F5" w:rsidRDefault="00075F06" w:rsidP="00F914F5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F914F5">
        <w:rPr>
          <w:rFonts w:cs="Arial"/>
        </w:rPr>
        <w:t>Amoxicillina</w:t>
      </w:r>
      <w:proofErr w:type="spellEnd"/>
      <w:r w:rsidRPr="00F914F5">
        <w:rPr>
          <w:rFonts w:cs="Arial"/>
        </w:rPr>
        <w:t xml:space="preserve"> e </w:t>
      </w:r>
      <w:r w:rsidR="00F914F5">
        <w:rPr>
          <w:rFonts w:cs="Arial"/>
        </w:rPr>
        <w:t>a</w:t>
      </w:r>
      <w:r w:rsidRPr="00F914F5">
        <w:rPr>
          <w:rFonts w:cs="Arial"/>
        </w:rPr>
        <w:t xml:space="preserve">cido </w:t>
      </w:r>
      <w:proofErr w:type="spellStart"/>
      <w:r w:rsidR="00F914F5">
        <w:rPr>
          <w:rFonts w:cs="Arial"/>
        </w:rPr>
        <w:t>c</w:t>
      </w:r>
      <w:r w:rsidRPr="00F914F5">
        <w:rPr>
          <w:rFonts w:cs="Arial"/>
        </w:rPr>
        <w:t>lavulanico</w:t>
      </w:r>
      <w:proofErr w:type="spellEnd"/>
      <w:r w:rsidRPr="00F914F5">
        <w:rPr>
          <w:rFonts w:cs="Arial"/>
        </w:rPr>
        <w:t xml:space="preserve"> DOC</w:t>
      </w:r>
      <w:r w:rsidR="00880DE6" w:rsidRPr="00F914F5">
        <w:rPr>
          <w:rFonts w:cs="Arial"/>
        </w:rPr>
        <w:t xml:space="preserve"> è un medicinale utilizzato </w:t>
      </w:r>
      <w:r w:rsidR="003935D9" w:rsidRPr="00F914F5">
        <w:t>negli adulti e nei bambini per trattare infezioni</w:t>
      </w:r>
      <w:r w:rsidR="00AC512A" w:rsidRPr="00F914F5">
        <w:t xml:space="preserve"> </w:t>
      </w:r>
      <w:r w:rsidR="003935D9" w:rsidRPr="00F914F5">
        <w:t>dell’orecchio e dei seni nasali</w:t>
      </w:r>
      <w:r w:rsidR="00AC512A" w:rsidRPr="00F914F5">
        <w:t>, del tratto respiratorio,</w:t>
      </w:r>
      <w:r w:rsidR="001E5CC6" w:rsidRPr="00F914F5">
        <w:t xml:space="preserve"> </w:t>
      </w:r>
      <w:r w:rsidR="003935D9" w:rsidRPr="00F914F5">
        <w:t>del tratto urinario</w:t>
      </w:r>
      <w:r w:rsidR="00AC512A" w:rsidRPr="00F914F5">
        <w:t xml:space="preserve">, </w:t>
      </w:r>
      <w:r w:rsidR="003935D9" w:rsidRPr="00F914F5">
        <w:t xml:space="preserve">della pelle e dei tessuti </w:t>
      </w:r>
      <w:r w:rsidR="00AC512A" w:rsidRPr="00F914F5">
        <w:t xml:space="preserve">molli comprese infezioni dentali, </w:t>
      </w:r>
      <w:r w:rsidR="003935D9" w:rsidRPr="00F914F5">
        <w:t xml:space="preserve"> delle ossa e delle articolazioni.</w:t>
      </w:r>
    </w:p>
    <w:p w:rsidR="003C0C76" w:rsidRPr="00F914F5" w:rsidRDefault="003C0C76" w:rsidP="00F914F5">
      <w:pPr>
        <w:widowControl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F914F5" w:rsidRDefault="004241AC" w:rsidP="00F914F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F914F5" w:rsidRDefault="004241AC" w:rsidP="00F914F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914F5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075F06" w:rsidRPr="00F914F5">
        <w:rPr>
          <w:rFonts w:eastAsia="Calibri" w:cs="Calibri"/>
          <w:b/>
          <w:bCs/>
          <w:color w:val="000000"/>
          <w:lang w:eastAsia="it-IT"/>
        </w:rPr>
        <w:t>Amoxicillina</w:t>
      </w:r>
      <w:proofErr w:type="spellEnd"/>
      <w:r w:rsidR="00075F06" w:rsidRPr="00F914F5">
        <w:rPr>
          <w:rFonts w:eastAsia="Calibri" w:cs="Calibri"/>
          <w:b/>
          <w:bCs/>
          <w:color w:val="000000"/>
          <w:lang w:eastAsia="it-IT"/>
        </w:rPr>
        <w:t xml:space="preserve"> e </w:t>
      </w:r>
      <w:r w:rsidR="00F914F5">
        <w:rPr>
          <w:rFonts w:eastAsia="Calibri" w:cs="Calibri"/>
          <w:b/>
          <w:bCs/>
          <w:color w:val="000000"/>
          <w:lang w:eastAsia="it-IT"/>
        </w:rPr>
        <w:t>a</w:t>
      </w:r>
      <w:r w:rsidR="00075F06" w:rsidRPr="00F914F5">
        <w:rPr>
          <w:rFonts w:eastAsia="Calibri" w:cs="Calibri"/>
          <w:b/>
          <w:bCs/>
          <w:color w:val="000000"/>
          <w:lang w:eastAsia="it-IT"/>
        </w:rPr>
        <w:t xml:space="preserve">cido </w:t>
      </w:r>
      <w:proofErr w:type="spellStart"/>
      <w:r w:rsidR="00F914F5">
        <w:rPr>
          <w:rFonts w:eastAsia="Calibri" w:cs="Calibri"/>
          <w:b/>
          <w:bCs/>
          <w:color w:val="000000"/>
          <w:lang w:eastAsia="it-IT"/>
        </w:rPr>
        <w:t>c</w:t>
      </w:r>
      <w:r w:rsidR="00075F06" w:rsidRPr="00F914F5">
        <w:rPr>
          <w:rFonts w:eastAsia="Calibri" w:cs="Calibri"/>
          <w:b/>
          <w:bCs/>
          <w:color w:val="000000"/>
          <w:lang w:eastAsia="it-IT"/>
        </w:rPr>
        <w:t>lavulanico</w:t>
      </w:r>
      <w:proofErr w:type="spellEnd"/>
      <w:r w:rsidR="00075F06" w:rsidRPr="00F914F5">
        <w:rPr>
          <w:rFonts w:eastAsia="Calibri" w:cs="Calibri"/>
          <w:b/>
          <w:bCs/>
          <w:color w:val="000000"/>
          <w:lang w:eastAsia="it-IT"/>
        </w:rPr>
        <w:t xml:space="preserve"> DOC</w:t>
      </w:r>
      <w:r w:rsidRPr="00F914F5">
        <w:rPr>
          <w:rFonts w:eastAsia="Calibri" w:cs="Calibri"/>
          <w:b/>
          <w:bCs/>
          <w:color w:val="000000"/>
          <w:lang w:eastAsia="it-IT"/>
        </w:rPr>
        <w:t>?</w:t>
      </w:r>
    </w:p>
    <w:p w:rsidR="008A0C5C" w:rsidRPr="00F914F5" w:rsidRDefault="001E5CC6" w:rsidP="00F914F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F914F5">
        <w:rPr>
          <w:rFonts w:eastAsia="Calibri" w:cs="Calibri"/>
          <w:color w:val="000000"/>
          <w:lang w:eastAsia="it-IT"/>
        </w:rPr>
        <w:t>Amoxicillina</w:t>
      </w:r>
      <w:proofErr w:type="spellEnd"/>
      <w:r w:rsidRPr="00F914F5">
        <w:rPr>
          <w:rFonts w:eastAsia="Calibri" w:cs="Calibri"/>
          <w:color w:val="000000"/>
          <w:lang w:eastAsia="it-IT"/>
        </w:rPr>
        <w:t xml:space="preserve"> e </w:t>
      </w:r>
      <w:r w:rsidR="00F914F5">
        <w:rPr>
          <w:rFonts w:eastAsia="Calibri" w:cs="Calibri"/>
          <w:color w:val="000000"/>
          <w:lang w:eastAsia="it-IT"/>
        </w:rPr>
        <w:t>a</w:t>
      </w:r>
      <w:r w:rsidR="00075F06" w:rsidRPr="00F914F5">
        <w:rPr>
          <w:rFonts w:eastAsia="Calibri" w:cs="Calibri"/>
          <w:color w:val="000000"/>
          <w:lang w:eastAsia="it-IT"/>
        </w:rPr>
        <w:t xml:space="preserve">cido </w:t>
      </w:r>
      <w:proofErr w:type="spellStart"/>
      <w:r w:rsidR="00F914F5">
        <w:rPr>
          <w:rFonts w:eastAsia="Calibri" w:cs="Calibri"/>
          <w:color w:val="000000"/>
          <w:lang w:eastAsia="it-IT"/>
        </w:rPr>
        <w:t>c</w:t>
      </w:r>
      <w:r w:rsidR="00075F06" w:rsidRPr="00F914F5">
        <w:rPr>
          <w:rFonts w:eastAsia="Calibri" w:cs="Calibri"/>
          <w:color w:val="000000"/>
          <w:lang w:eastAsia="it-IT"/>
        </w:rPr>
        <w:t>lavulanico</w:t>
      </w:r>
      <w:proofErr w:type="spellEnd"/>
      <w:r w:rsidR="00075F06" w:rsidRPr="00F914F5">
        <w:rPr>
          <w:rFonts w:eastAsia="Calibri" w:cs="Calibri"/>
          <w:color w:val="000000"/>
          <w:lang w:eastAsia="it-IT"/>
        </w:rPr>
        <w:t xml:space="preserve"> DOC</w:t>
      </w:r>
      <w:r w:rsidR="00E159A3" w:rsidRPr="00F914F5">
        <w:rPr>
          <w:rFonts w:eastAsia="Calibri" w:cs="Calibri"/>
          <w:color w:val="000000"/>
          <w:lang w:eastAsia="it-IT"/>
        </w:rPr>
        <w:t xml:space="preserve"> </w:t>
      </w:r>
      <w:r w:rsidR="004241AC" w:rsidRPr="00F914F5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F914F5" w:rsidRPr="00F914F5" w:rsidRDefault="008A0C5C" w:rsidP="00F914F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914F5">
        <w:t xml:space="preserve">La dose raccomandata </w:t>
      </w:r>
      <w:r w:rsidR="00F914F5">
        <w:t>è di una compressa o di una bustina</w:t>
      </w:r>
      <w:r w:rsidRPr="00F914F5">
        <w:t xml:space="preserve"> due volte al giorno. </w:t>
      </w:r>
      <w:r w:rsidR="00F914F5">
        <w:t>Il medico può decidere, in base alle condizioni del paziente e alla gravità dell’infezione, di aumentare queste dosi fino a 3 compresse o 3 bustine al giorno.</w:t>
      </w:r>
      <w:r w:rsidR="00F914F5" w:rsidRPr="00F914F5">
        <w:rPr>
          <w:rFonts w:eastAsia="Calibri" w:cs="Calibri"/>
          <w:color w:val="000000"/>
          <w:lang w:eastAsia="it-IT"/>
        </w:rPr>
        <w:t xml:space="preserve"> </w:t>
      </w:r>
      <w:r w:rsidR="00F914F5">
        <w:rPr>
          <w:rFonts w:eastAsia="Calibri" w:cs="Calibri"/>
          <w:color w:val="000000"/>
          <w:lang w:eastAsia="it-IT"/>
        </w:rPr>
        <w:t>Le dosi</w:t>
      </w:r>
      <w:r w:rsidR="000808E7">
        <w:rPr>
          <w:rFonts w:eastAsia="Calibri" w:cs="Calibri"/>
          <w:color w:val="000000"/>
          <w:lang w:eastAsia="it-IT"/>
        </w:rPr>
        <w:t>, inoltre,</w:t>
      </w:r>
      <w:r w:rsidR="00F914F5">
        <w:rPr>
          <w:rFonts w:eastAsia="Calibri" w:cs="Calibri"/>
          <w:color w:val="000000"/>
          <w:lang w:eastAsia="it-IT"/>
        </w:rPr>
        <w:t xml:space="preserve"> possono essere ridotte per pazienti </w:t>
      </w:r>
      <w:r w:rsidR="000808E7">
        <w:rPr>
          <w:rFonts w:eastAsia="Calibri" w:cs="Calibri"/>
          <w:color w:val="000000"/>
          <w:lang w:eastAsia="it-IT"/>
        </w:rPr>
        <w:t>con gravi problemi al rene e al fegato.</w:t>
      </w:r>
    </w:p>
    <w:p w:rsidR="00F86982" w:rsidRPr="00F914F5" w:rsidRDefault="00F914F5" w:rsidP="00F914F5">
      <w:pPr>
        <w:tabs>
          <w:tab w:val="left" w:pos="0"/>
        </w:tabs>
        <w:spacing w:after="0" w:line="240" w:lineRule="auto"/>
        <w:jc w:val="both"/>
      </w:pPr>
      <w:r>
        <w:t xml:space="preserve">Questo </w:t>
      </w:r>
      <w:r w:rsidR="00FA2702" w:rsidRPr="00F914F5">
        <w:t xml:space="preserve">medicinale non </w:t>
      </w:r>
      <w:r>
        <w:t>è adatto per</w:t>
      </w:r>
      <w:r w:rsidR="008A0C5C" w:rsidRPr="00F914F5">
        <w:t xml:space="preserve"> bambini di peso inferiore a 40 Kg</w:t>
      </w:r>
      <w:r w:rsidR="00F86982" w:rsidRPr="00F914F5">
        <w:t>.</w:t>
      </w:r>
    </w:p>
    <w:p w:rsidR="00F86982" w:rsidRPr="00F914F5" w:rsidRDefault="000808E7" w:rsidP="00F914F5">
      <w:pPr>
        <w:tabs>
          <w:tab w:val="left" w:pos="0"/>
        </w:tabs>
        <w:spacing w:after="0" w:line="240" w:lineRule="auto"/>
        <w:jc w:val="both"/>
      </w:pPr>
      <w:r>
        <w:t>Le compresse devono essere deglutite con un po’ di acqua, eventualmente divise in due per facilitare la deglutizione ed assunte immediatamente; il contenuto di una bustina deve essere disciolto in un bicchiere di acqua e assunto immediatamente.</w:t>
      </w:r>
    </w:p>
    <w:p w:rsidR="008A0C5C" w:rsidRPr="00F914F5" w:rsidRDefault="008A0C5C" w:rsidP="00F914F5">
      <w:pPr>
        <w:tabs>
          <w:tab w:val="left" w:pos="0"/>
        </w:tabs>
        <w:spacing w:after="0" w:line="240" w:lineRule="auto"/>
        <w:jc w:val="both"/>
      </w:pPr>
    </w:p>
    <w:p w:rsidR="00947EF5" w:rsidRPr="00F914F5" w:rsidRDefault="00947EF5" w:rsidP="00F914F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F914F5" w:rsidRDefault="004241AC" w:rsidP="00F914F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914F5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075F06" w:rsidRPr="00F914F5">
        <w:rPr>
          <w:rFonts w:eastAsia="Calibri" w:cs="Calibri"/>
          <w:b/>
          <w:bCs/>
          <w:color w:val="000000"/>
          <w:lang w:eastAsia="it-IT"/>
        </w:rPr>
        <w:t>Amoxicillina</w:t>
      </w:r>
      <w:proofErr w:type="spellEnd"/>
      <w:r w:rsidR="00075F06" w:rsidRPr="00F914F5">
        <w:rPr>
          <w:rFonts w:eastAsia="Calibri" w:cs="Calibri"/>
          <w:b/>
          <w:bCs/>
          <w:color w:val="000000"/>
          <w:lang w:eastAsia="it-IT"/>
        </w:rPr>
        <w:t xml:space="preserve"> e acido </w:t>
      </w:r>
      <w:proofErr w:type="spellStart"/>
      <w:r w:rsidR="00075F06" w:rsidRPr="00F914F5">
        <w:rPr>
          <w:rFonts w:eastAsia="Calibri" w:cs="Calibri"/>
          <w:b/>
          <w:bCs/>
          <w:color w:val="000000"/>
          <w:lang w:eastAsia="it-IT"/>
        </w:rPr>
        <w:t>clavulanico</w:t>
      </w:r>
      <w:proofErr w:type="spellEnd"/>
      <w:r w:rsidR="00075F06" w:rsidRPr="00F914F5">
        <w:rPr>
          <w:rFonts w:eastAsia="Calibri" w:cs="Calibri"/>
          <w:b/>
          <w:bCs/>
          <w:color w:val="000000"/>
          <w:lang w:eastAsia="it-IT"/>
        </w:rPr>
        <w:t xml:space="preserve"> DOC</w:t>
      </w:r>
      <w:r w:rsidRPr="00F914F5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1533E8" w:rsidRPr="00F914F5" w:rsidRDefault="00075F06" w:rsidP="00F914F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F914F5">
        <w:rPr>
          <w:rFonts w:eastAsia="Calibri" w:cs="Calibri"/>
          <w:bCs/>
          <w:color w:val="000000"/>
          <w:lang w:eastAsia="it-IT"/>
        </w:rPr>
        <w:t>Amoxicillina</w:t>
      </w:r>
      <w:proofErr w:type="spellEnd"/>
      <w:r w:rsidRPr="00F914F5">
        <w:rPr>
          <w:rFonts w:eastAsia="Calibri" w:cs="Calibri"/>
          <w:bCs/>
          <w:color w:val="000000"/>
          <w:lang w:eastAsia="it-IT"/>
        </w:rPr>
        <w:t xml:space="preserve"> e </w:t>
      </w:r>
      <w:r w:rsidR="000808E7">
        <w:rPr>
          <w:rFonts w:eastAsia="Calibri" w:cs="Calibri"/>
          <w:bCs/>
          <w:color w:val="000000"/>
          <w:lang w:eastAsia="it-IT"/>
        </w:rPr>
        <w:t>a</w:t>
      </w:r>
      <w:r w:rsidRPr="00F914F5">
        <w:rPr>
          <w:rFonts w:eastAsia="Calibri" w:cs="Calibri"/>
          <w:bCs/>
          <w:color w:val="000000"/>
          <w:lang w:eastAsia="it-IT"/>
        </w:rPr>
        <w:t xml:space="preserve">cido </w:t>
      </w:r>
      <w:proofErr w:type="spellStart"/>
      <w:r w:rsidR="000808E7">
        <w:rPr>
          <w:rFonts w:eastAsia="Calibri" w:cs="Calibri"/>
          <w:bCs/>
          <w:color w:val="000000"/>
          <w:lang w:eastAsia="it-IT"/>
        </w:rPr>
        <w:t>c</w:t>
      </w:r>
      <w:r w:rsidRPr="00F914F5">
        <w:rPr>
          <w:rFonts w:eastAsia="Calibri" w:cs="Calibri"/>
          <w:bCs/>
          <w:color w:val="000000"/>
          <w:lang w:eastAsia="it-IT"/>
        </w:rPr>
        <w:t>lavulanico</w:t>
      </w:r>
      <w:proofErr w:type="spellEnd"/>
      <w:r w:rsidRPr="00F914F5">
        <w:rPr>
          <w:rFonts w:eastAsia="Calibri" w:cs="Calibri"/>
          <w:bCs/>
          <w:color w:val="000000"/>
          <w:lang w:eastAsia="it-IT"/>
        </w:rPr>
        <w:t xml:space="preserve"> DOC</w:t>
      </w:r>
      <w:r w:rsidR="00E43089" w:rsidRPr="00F914F5">
        <w:rPr>
          <w:rFonts w:eastAsia="Calibri" w:cs="Calibri"/>
          <w:bCs/>
          <w:color w:val="000000"/>
          <w:lang w:eastAsia="it-IT"/>
        </w:rPr>
        <w:t xml:space="preserve">, </w:t>
      </w:r>
      <w:r w:rsidR="00880DE6" w:rsidRPr="00F914F5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F86982" w:rsidRPr="00F914F5">
        <w:t>J01CR02</w:t>
      </w:r>
      <w:r w:rsidR="00880DE6" w:rsidRPr="00F914F5">
        <w:rPr>
          <w:rFonts w:eastAsia="DejaVuSans" w:cs="DejaVuSans"/>
        </w:rPr>
        <w:t xml:space="preserve">, </w:t>
      </w:r>
      <w:r w:rsidR="0093412B">
        <w:rPr>
          <w:rFonts w:eastAsia="Calibri" w:cs="Calibri"/>
          <w:color w:val="000000"/>
          <w:lang w:eastAsia="it-IT"/>
        </w:rPr>
        <w:t>contiene i principi</w:t>
      </w:r>
      <w:r w:rsidR="00880DE6" w:rsidRPr="00F914F5">
        <w:rPr>
          <w:rFonts w:eastAsia="Calibri" w:cs="Calibri"/>
          <w:color w:val="000000"/>
          <w:lang w:eastAsia="it-IT"/>
        </w:rPr>
        <w:t xml:space="preserve"> attiv</w:t>
      </w:r>
      <w:r w:rsidR="0093412B">
        <w:rPr>
          <w:rFonts w:eastAsia="Calibri" w:cs="Calibri"/>
          <w:color w:val="000000"/>
          <w:lang w:eastAsia="it-IT"/>
        </w:rPr>
        <w:t>i</w:t>
      </w:r>
      <w:r w:rsidR="00F86982" w:rsidRPr="00F914F5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F86982" w:rsidRPr="00F914F5">
        <w:rPr>
          <w:rFonts w:eastAsia="Calibri" w:cs="Calibri"/>
          <w:color w:val="000000"/>
          <w:lang w:eastAsia="it-IT"/>
        </w:rPr>
        <w:t>amoxicillina</w:t>
      </w:r>
      <w:proofErr w:type="spellEnd"/>
      <w:r w:rsidR="00F86982" w:rsidRPr="00F914F5">
        <w:rPr>
          <w:rFonts w:eastAsia="Calibri" w:cs="Calibri"/>
          <w:color w:val="000000"/>
          <w:lang w:eastAsia="it-IT"/>
        </w:rPr>
        <w:t xml:space="preserve"> </w:t>
      </w:r>
      <w:r w:rsidR="0093412B">
        <w:rPr>
          <w:rFonts w:eastAsia="Calibri" w:cs="Calibri"/>
          <w:color w:val="000000"/>
          <w:lang w:eastAsia="it-IT"/>
        </w:rPr>
        <w:t xml:space="preserve">e </w:t>
      </w:r>
      <w:r w:rsidR="001533E8" w:rsidRPr="00F914F5">
        <w:rPr>
          <w:rFonts w:eastAsia="Calibri" w:cs="Calibri"/>
          <w:color w:val="000000"/>
          <w:lang w:eastAsia="it-IT"/>
        </w:rPr>
        <w:t xml:space="preserve">acido </w:t>
      </w:r>
      <w:proofErr w:type="spellStart"/>
      <w:r w:rsidR="001533E8" w:rsidRPr="00F914F5">
        <w:rPr>
          <w:rFonts w:eastAsia="Calibri" w:cs="Calibri"/>
          <w:color w:val="000000"/>
          <w:lang w:eastAsia="it-IT"/>
        </w:rPr>
        <w:t>clavulanico</w:t>
      </w:r>
      <w:proofErr w:type="spellEnd"/>
      <w:r w:rsidR="001533E8" w:rsidRPr="00F914F5">
        <w:rPr>
          <w:rFonts w:eastAsia="Calibri" w:cs="Calibri"/>
          <w:color w:val="000000"/>
          <w:lang w:eastAsia="it-IT"/>
        </w:rPr>
        <w:t xml:space="preserve">.  </w:t>
      </w:r>
    </w:p>
    <w:p w:rsidR="001533E8" w:rsidRPr="00F914F5" w:rsidRDefault="001533E8" w:rsidP="00F914F5">
      <w:pPr>
        <w:autoSpaceDE w:val="0"/>
        <w:autoSpaceDN w:val="0"/>
        <w:adjustRightInd w:val="0"/>
        <w:spacing w:after="0" w:line="240" w:lineRule="auto"/>
        <w:jc w:val="both"/>
      </w:pPr>
      <w:r w:rsidRPr="00F914F5">
        <w:t>L’</w:t>
      </w:r>
      <w:proofErr w:type="spellStart"/>
      <w:r w:rsidRPr="00F914F5">
        <w:t>amoxicillina</w:t>
      </w:r>
      <w:proofErr w:type="spellEnd"/>
      <w:r w:rsidR="0093412B" w:rsidRPr="00F914F5">
        <w:rPr>
          <w:rFonts w:eastAsia="Calibri" w:cs="Calibri"/>
          <w:color w:val="000000"/>
          <w:lang w:eastAsia="it-IT"/>
        </w:rPr>
        <w:t>, che è un antibiotico appartenente al gruppo delle penicilline</w:t>
      </w:r>
      <w:r w:rsidR="0093412B">
        <w:rPr>
          <w:rFonts w:eastAsia="Calibri" w:cs="Calibri"/>
          <w:color w:val="000000"/>
          <w:lang w:eastAsia="it-IT"/>
        </w:rPr>
        <w:t>,</w:t>
      </w:r>
      <w:r w:rsidR="0093412B" w:rsidRPr="00F914F5">
        <w:t xml:space="preserve"> </w:t>
      </w:r>
      <w:r w:rsidR="000808E7" w:rsidRPr="00F914F5">
        <w:t>esercita</w:t>
      </w:r>
      <w:r w:rsidRPr="00F914F5">
        <w:t xml:space="preserve"> la sua azione </w:t>
      </w:r>
      <w:r w:rsidR="00097B06">
        <w:t xml:space="preserve">antibatterica </w:t>
      </w:r>
      <w:r w:rsidR="0093412B">
        <w:t>inibendo</w:t>
      </w:r>
      <w:r w:rsidRPr="00F914F5">
        <w:t xml:space="preserve"> </w:t>
      </w:r>
      <w:r w:rsidR="0093412B">
        <w:t>la funzione di alcune proteine batteriche (enzimi) necessarie</w:t>
      </w:r>
      <w:r w:rsidRPr="00F914F5">
        <w:t xml:space="preserve"> alla riproduzione dei batteri</w:t>
      </w:r>
      <w:r w:rsidR="0093412B">
        <w:t xml:space="preserve"> stessi e</w:t>
      </w:r>
      <w:r w:rsidRPr="00F914F5">
        <w:t xml:space="preserve"> determinando la rottura della parete cellulare batterica e</w:t>
      </w:r>
      <w:r w:rsidR="0093412B">
        <w:t>, di conseguenza,</w:t>
      </w:r>
      <w:r w:rsidRPr="00F914F5">
        <w:t xml:space="preserve"> la morte del batterio.</w:t>
      </w:r>
    </w:p>
    <w:p w:rsidR="004546EF" w:rsidRPr="00F914F5" w:rsidRDefault="001533E8" w:rsidP="00F914F5">
      <w:pPr>
        <w:autoSpaceDE w:val="0"/>
        <w:autoSpaceDN w:val="0"/>
        <w:adjustRightInd w:val="0"/>
        <w:spacing w:after="0" w:line="240" w:lineRule="auto"/>
        <w:jc w:val="both"/>
      </w:pPr>
      <w:r w:rsidRPr="00F914F5">
        <w:rPr>
          <w:rFonts w:eastAsia="Calibri" w:cs="Calibri"/>
          <w:color w:val="000000"/>
          <w:lang w:eastAsia="it-IT"/>
        </w:rPr>
        <w:t xml:space="preserve">L’acido </w:t>
      </w:r>
      <w:proofErr w:type="spellStart"/>
      <w:r w:rsidRPr="00F914F5">
        <w:rPr>
          <w:rFonts w:eastAsia="Calibri" w:cs="Calibri"/>
          <w:color w:val="000000"/>
          <w:lang w:eastAsia="it-IT"/>
        </w:rPr>
        <w:t>clavulanico</w:t>
      </w:r>
      <w:proofErr w:type="spellEnd"/>
      <w:r w:rsidRPr="00F914F5">
        <w:rPr>
          <w:rFonts w:eastAsia="Calibri" w:cs="Calibri"/>
          <w:color w:val="000000"/>
          <w:lang w:eastAsia="it-IT"/>
        </w:rPr>
        <w:t xml:space="preserve"> </w:t>
      </w:r>
      <w:r w:rsidR="0093412B" w:rsidRPr="00F914F5">
        <w:rPr>
          <w:rFonts w:eastAsia="Calibri" w:cs="Calibri"/>
          <w:color w:val="000000"/>
          <w:lang w:eastAsia="it-IT"/>
        </w:rPr>
        <w:t xml:space="preserve">da solo </w:t>
      </w:r>
      <w:r w:rsidR="0093412B" w:rsidRPr="00F914F5">
        <w:t>non esercita un effetto antibatterico utile</w:t>
      </w:r>
      <w:r w:rsidR="0093412B">
        <w:t>, ma agisce proteggendo</w:t>
      </w:r>
      <w:r w:rsidR="0093412B" w:rsidRPr="00F914F5">
        <w:rPr>
          <w:rFonts w:eastAsia="Calibri" w:cs="Calibri"/>
          <w:color w:val="000000"/>
          <w:lang w:eastAsia="it-IT"/>
        </w:rPr>
        <w:t xml:space="preserve"> </w:t>
      </w:r>
      <w:r w:rsidR="0093412B">
        <w:rPr>
          <w:rFonts w:eastAsia="Calibri" w:cs="Calibri"/>
          <w:color w:val="000000"/>
          <w:lang w:eastAsia="it-IT"/>
        </w:rPr>
        <w:t>l’</w:t>
      </w:r>
      <w:proofErr w:type="spellStart"/>
      <w:r w:rsidRPr="00F914F5">
        <w:rPr>
          <w:rFonts w:eastAsia="Calibri" w:cs="Calibri"/>
          <w:color w:val="000000"/>
          <w:lang w:eastAsia="it-IT"/>
        </w:rPr>
        <w:t>amoxicillina</w:t>
      </w:r>
      <w:proofErr w:type="spellEnd"/>
      <w:r w:rsidR="0093412B">
        <w:rPr>
          <w:rFonts w:eastAsia="Calibri" w:cs="Calibri"/>
          <w:color w:val="000000"/>
          <w:lang w:eastAsia="it-IT"/>
        </w:rPr>
        <w:t xml:space="preserve"> dall’inattivazione da parte di alcune sostanze prodotte dai batteri</w:t>
      </w:r>
      <w:r w:rsidR="004546EF" w:rsidRPr="00F914F5">
        <w:t>.</w:t>
      </w:r>
    </w:p>
    <w:p w:rsidR="001533E8" w:rsidRPr="00F914F5" w:rsidRDefault="001533E8" w:rsidP="00F914F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F914F5" w:rsidRDefault="004241AC" w:rsidP="00F914F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F914F5" w:rsidRDefault="004241AC" w:rsidP="00F914F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914F5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075F06" w:rsidRPr="00F914F5">
        <w:rPr>
          <w:rFonts w:eastAsia="Calibri" w:cs="Calibri"/>
          <w:b/>
          <w:bCs/>
          <w:color w:val="000000"/>
          <w:lang w:eastAsia="it-IT"/>
        </w:rPr>
        <w:t>Amoxicillina</w:t>
      </w:r>
      <w:proofErr w:type="spellEnd"/>
      <w:r w:rsidR="00075F06" w:rsidRPr="00F914F5">
        <w:rPr>
          <w:rFonts w:eastAsia="Calibri" w:cs="Calibri"/>
          <w:b/>
          <w:bCs/>
          <w:color w:val="000000"/>
          <w:lang w:eastAsia="it-IT"/>
        </w:rPr>
        <w:t xml:space="preserve"> e acido </w:t>
      </w:r>
      <w:proofErr w:type="spellStart"/>
      <w:r w:rsidR="00075F06" w:rsidRPr="00F914F5">
        <w:rPr>
          <w:rFonts w:eastAsia="Calibri" w:cs="Calibri"/>
          <w:b/>
          <w:bCs/>
          <w:color w:val="000000"/>
          <w:lang w:eastAsia="it-IT"/>
        </w:rPr>
        <w:t>clavulanico</w:t>
      </w:r>
      <w:proofErr w:type="spellEnd"/>
      <w:r w:rsidR="00075F06" w:rsidRPr="00F914F5">
        <w:rPr>
          <w:rFonts w:eastAsia="Calibri" w:cs="Calibri"/>
          <w:b/>
          <w:bCs/>
          <w:color w:val="000000"/>
          <w:lang w:eastAsia="it-IT"/>
        </w:rPr>
        <w:t xml:space="preserve"> DOC</w:t>
      </w:r>
      <w:r w:rsidRPr="00F914F5">
        <w:rPr>
          <w:rFonts w:eastAsia="Calibri" w:cs="Calibri"/>
          <w:b/>
          <w:bCs/>
          <w:lang w:eastAsia="it-IT"/>
        </w:rPr>
        <w:t xml:space="preserve">? </w:t>
      </w:r>
    </w:p>
    <w:p w:rsidR="003C6D99" w:rsidRPr="00F914F5" w:rsidRDefault="003C6D99" w:rsidP="00F914F5">
      <w:pPr>
        <w:spacing w:after="0" w:line="240" w:lineRule="auto"/>
        <w:jc w:val="both"/>
        <w:rPr>
          <w:rFonts w:cs="Arial"/>
        </w:rPr>
      </w:pPr>
      <w:r w:rsidRPr="00F914F5">
        <w:rPr>
          <w:rFonts w:cs="Arial"/>
        </w:rPr>
        <w:t xml:space="preserve">Poiché </w:t>
      </w:r>
      <w:proofErr w:type="spellStart"/>
      <w:r w:rsidRPr="00F914F5">
        <w:rPr>
          <w:rFonts w:cs="Arial"/>
        </w:rPr>
        <w:t>Amoxicillina</w:t>
      </w:r>
      <w:proofErr w:type="spellEnd"/>
      <w:r w:rsidRPr="00F914F5">
        <w:rPr>
          <w:rFonts w:cs="Arial"/>
        </w:rPr>
        <w:t xml:space="preserve"> e </w:t>
      </w:r>
      <w:r w:rsidR="00097B06">
        <w:rPr>
          <w:rFonts w:cs="Arial"/>
        </w:rPr>
        <w:t>a</w:t>
      </w:r>
      <w:r w:rsidRPr="00F914F5">
        <w:rPr>
          <w:rFonts w:cs="Arial"/>
        </w:rPr>
        <w:t xml:space="preserve">cido </w:t>
      </w:r>
      <w:proofErr w:type="spellStart"/>
      <w:r w:rsidR="00097B06">
        <w:rPr>
          <w:rFonts w:cs="Arial"/>
        </w:rPr>
        <w:t>c</w:t>
      </w:r>
      <w:r w:rsidRPr="00F914F5">
        <w:rPr>
          <w:rFonts w:cs="Arial"/>
        </w:rPr>
        <w:t>lavulanico</w:t>
      </w:r>
      <w:proofErr w:type="spellEnd"/>
      <w:r w:rsidRPr="00F914F5">
        <w:rPr>
          <w:rFonts w:cs="Arial"/>
        </w:rPr>
        <w:t xml:space="preserve"> DOC è un medicinale generico, è stato sufficiente effettuare prove cliniche per determinare</w:t>
      </w:r>
      <w:r w:rsidRPr="00F914F5">
        <w:rPr>
          <w:rFonts w:cs="Arial"/>
          <w:b/>
        </w:rPr>
        <w:t xml:space="preserve"> </w:t>
      </w:r>
      <w:r w:rsidRPr="00F914F5">
        <w:rPr>
          <w:rFonts w:cs="Arial"/>
        </w:rPr>
        <w:t xml:space="preserve">la bioequivalenza rispetto al medicinale di riferimento, </w:t>
      </w:r>
      <w:proofErr w:type="spellStart"/>
      <w:r w:rsidRPr="00F914F5">
        <w:rPr>
          <w:rFonts w:cs="Arial"/>
        </w:rPr>
        <w:t>Augmentin</w:t>
      </w:r>
      <w:proofErr w:type="spellEnd"/>
      <w:r w:rsidRPr="00F914F5">
        <w:rPr>
          <w:rFonts w:cs="Arial"/>
        </w:rPr>
        <w:t xml:space="preserve">. Due medicinali sono </w:t>
      </w:r>
      <w:proofErr w:type="spellStart"/>
      <w:r w:rsidRPr="00F914F5">
        <w:rPr>
          <w:rFonts w:cs="Arial"/>
        </w:rPr>
        <w:t>bioequivalenti</w:t>
      </w:r>
      <w:proofErr w:type="spellEnd"/>
      <w:r w:rsidRPr="00F914F5">
        <w:rPr>
          <w:rFonts w:cs="Arial"/>
        </w:rPr>
        <w:t xml:space="preserve"> quando producono gli stessi livelli di principio attivo nell’organismo. </w:t>
      </w:r>
    </w:p>
    <w:p w:rsidR="004241AC" w:rsidRPr="00F914F5" w:rsidRDefault="004241AC" w:rsidP="00F914F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914F5" w:rsidRDefault="004241AC" w:rsidP="00F914F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914F5" w:rsidRDefault="004241AC" w:rsidP="00F914F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914F5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075F06" w:rsidRPr="00F914F5">
        <w:rPr>
          <w:rFonts w:eastAsia="Calibri" w:cs="Calibri"/>
          <w:b/>
          <w:bCs/>
          <w:color w:val="000000"/>
          <w:lang w:eastAsia="it-IT"/>
        </w:rPr>
        <w:t>Amoxicillina</w:t>
      </w:r>
      <w:proofErr w:type="spellEnd"/>
      <w:r w:rsidR="00075F06" w:rsidRPr="00F914F5">
        <w:rPr>
          <w:rFonts w:eastAsia="Calibri" w:cs="Calibri"/>
          <w:b/>
          <w:bCs/>
          <w:color w:val="000000"/>
          <w:lang w:eastAsia="it-IT"/>
        </w:rPr>
        <w:t xml:space="preserve"> e acido </w:t>
      </w:r>
      <w:proofErr w:type="spellStart"/>
      <w:r w:rsidR="00075F06" w:rsidRPr="00F914F5">
        <w:rPr>
          <w:rFonts w:eastAsia="Calibri" w:cs="Calibri"/>
          <w:b/>
          <w:bCs/>
          <w:color w:val="000000"/>
          <w:lang w:eastAsia="it-IT"/>
        </w:rPr>
        <w:t>clavulanico</w:t>
      </w:r>
      <w:proofErr w:type="spellEnd"/>
      <w:r w:rsidR="00075F06" w:rsidRPr="00F914F5">
        <w:rPr>
          <w:rFonts w:eastAsia="Calibri" w:cs="Calibri"/>
          <w:b/>
          <w:bCs/>
          <w:color w:val="000000"/>
          <w:lang w:eastAsia="it-IT"/>
        </w:rPr>
        <w:t xml:space="preserve"> DOC</w:t>
      </w:r>
      <w:r w:rsidRPr="00F914F5">
        <w:rPr>
          <w:rFonts w:eastAsia="Calibri" w:cs="Calibri"/>
          <w:b/>
          <w:lang w:eastAsia="it-IT"/>
        </w:rPr>
        <w:t>?</w:t>
      </w:r>
      <w:r w:rsidRPr="00F914F5">
        <w:rPr>
          <w:rFonts w:eastAsia="Calibri" w:cs="Calibri"/>
          <w:lang w:eastAsia="it-IT"/>
        </w:rPr>
        <w:t xml:space="preserve"> </w:t>
      </w:r>
    </w:p>
    <w:p w:rsidR="004241AC" w:rsidRPr="00F914F5" w:rsidRDefault="00075F06" w:rsidP="00F914F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F914F5">
        <w:rPr>
          <w:rFonts w:eastAsia="Calibri" w:cs="Calibri"/>
          <w:bCs/>
          <w:color w:val="000000"/>
          <w:lang w:eastAsia="it-IT"/>
        </w:rPr>
        <w:t>Amoxicillina</w:t>
      </w:r>
      <w:proofErr w:type="spellEnd"/>
      <w:r w:rsidRPr="00F914F5">
        <w:rPr>
          <w:rFonts w:eastAsia="Calibri" w:cs="Calibri"/>
          <w:bCs/>
          <w:color w:val="000000"/>
          <w:lang w:eastAsia="it-IT"/>
        </w:rPr>
        <w:t xml:space="preserve"> e acido </w:t>
      </w:r>
      <w:proofErr w:type="spellStart"/>
      <w:r w:rsidRPr="00F914F5">
        <w:rPr>
          <w:rFonts w:eastAsia="Calibri" w:cs="Calibri"/>
          <w:bCs/>
          <w:color w:val="000000"/>
          <w:lang w:eastAsia="it-IT"/>
        </w:rPr>
        <w:t>clavulanico</w:t>
      </w:r>
      <w:proofErr w:type="spellEnd"/>
      <w:r w:rsidRPr="00F914F5">
        <w:rPr>
          <w:rFonts w:eastAsia="Calibri" w:cs="Calibri"/>
          <w:bCs/>
          <w:color w:val="000000"/>
          <w:lang w:eastAsia="it-IT"/>
        </w:rPr>
        <w:t xml:space="preserve"> DOC</w:t>
      </w:r>
      <w:r w:rsidR="00B8237B" w:rsidRPr="00F914F5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F914F5">
        <w:rPr>
          <w:rFonts w:eastAsia="Calibri" w:cs="Calibri"/>
          <w:lang w:eastAsia="it-IT"/>
        </w:rPr>
        <w:t xml:space="preserve">è un medicinale </w:t>
      </w:r>
      <w:r w:rsidR="00013020" w:rsidRPr="00F914F5">
        <w:rPr>
          <w:rFonts w:eastAsia="Calibri" w:cs="Calibri"/>
          <w:lang w:eastAsia="it-IT"/>
        </w:rPr>
        <w:t xml:space="preserve">generico ed è </w:t>
      </w:r>
      <w:r w:rsidR="009F52E6" w:rsidRPr="00F914F5">
        <w:rPr>
          <w:rFonts w:eastAsia="Calibri" w:cs="Calibri"/>
          <w:lang w:eastAsia="it-IT"/>
        </w:rPr>
        <w:t xml:space="preserve">uguale </w:t>
      </w:r>
      <w:r w:rsidR="00013020" w:rsidRPr="00F914F5">
        <w:rPr>
          <w:rFonts w:eastAsia="Calibri" w:cs="Calibri"/>
          <w:lang w:eastAsia="it-IT"/>
        </w:rPr>
        <w:t>al medicinale di riferimento</w:t>
      </w:r>
      <w:r w:rsidR="004349A2" w:rsidRPr="00F914F5">
        <w:rPr>
          <w:rFonts w:eastAsia="Calibri" w:cs="Calibri"/>
          <w:lang w:eastAsia="it-IT"/>
        </w:rPr>
        <w:t>; pertanto,</w:t>
      </w:r>
      <w:r w:rsidR="004241AC" w:rsidRPr="00F914F5">
        <w:rPr>
          <w:rFonts w:eastAsia="Calibri" w:cs="Calibri"/>
          <w:lang w:eastAsia="it-IT"/>
        </w:rPr>
        <w:t xml:space="preserve"> </w:t>
      </w:r>
      <w:r w:rsidR="00013020" w:rsidRPr="00F914F5">
        <w:rPr>
          <w:rFonts w:eastAsia="Calibri" w:cs="Calibri"/>
          <w:lang w:eastAsia="it-IT"/>
        </w:rPr>
        <w:t>i suoi</w:t>
      </w:r>
      <w:r w:rsidR="004241AC" w:rsidRPr="00F914F5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F914F5">
        <w:rPr>
          <w:rFonts w:eastAsia="Calibri" w:cs="Calibri"/>
          <w:lang w:eastAsia="it-IT"/>
        </w:rPr>
        <w:t>l</w:t>
      </w:r>
      <w:r w:rsidR="004241AC" w:rsidRPr="00F914F5">
        <w:rPr>
          <w:rFonts w:eastAsia="Calibri" w:cs="Calibri"/>
          <w:lang w:eastAsia="it-IT"/>
        </w:rPr>
        <w:t xml:space="preserve"> medicinal</w:t>
      </w:r>
      <w:r w:rsidR="00013020" w:rsidRPr="00F914F5">
        <w:rPr>
          <w:rFonts w:eastAsia="Calibri" w:cs="Calibri"/>
          <w:lang w:eastAsia="it-IT"/>
        </w:rPr>
        <w:t>e</w:t>
      </w:r>
      <w:r w:rsidR="004241AC" w:rsidRPr="00F914F5">
        <w:rPr>
          <w:rFonts w:eastAsia="Calibri" w:cs="Calibri"/>
          <w:lang w:eastAsia="it-IT"/>
        </w:rPr>
        <w:t xml:space="preserve"> di riferimento. </w:t>
      </w:r>
    </w:p>
    <w:p w:rsidR="004241AC" w:rsidRPr="00F914F5" w:rsidRDefault="004241AC" w:rsidP="00F914F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914F5" w:rsidRDefault="004241AC" w:rsidP="00F914F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914F5" w:rsidRDefault="004241AC" w:rsidP="00F914F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914F5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075F06" w:rsidRPr="00F914F5">
        <w:rPr>
          <w:rFonts w:eastAsia="Calibri" w:cs="Calibri"/>
          <w:b/>
          <w:bCs/>
          <w:color w:val="000000"/>
          <w:lang w:eastAsia="it-IT"/>
        </w:rPr>
        <w:t>Amoxicillina</w:t>
      </w:r>
      <w:proofErr w:type="spellEnd"/>
      <w:r w:rsidR="00075F06" w:rsidRPr="00F914F5">
        <w:rPr>
          <w:rFonts w:eastAsia="Calibri" w:cs="Calibri"/>
          <w:b/>
          <w:bCs/>
          <w:color w:val="000000"/>
          <w:lang w:eastAsia="it-IT"/>
        </w:rPr>
        <w:t xml:space="preserve"> e acido </w:t>
      </w:r>
      <w:proofErr w:type="spellStart"/>
      <w:r w:rsidR="00075F06" w:rsidRPr="00F914F5">
        <w:rPr>
          <w:rFonts w:eastAsia="Calibri" w:cs="Calibri"/>
          <w:b/>
          <w:bCs/>
          <w:color w:val="000000"/>
          <w:lang w:eastAsia="it-IT"/>
        </w:rPr>
        <w:t>clavulanico</w:t>
      </w:r>
      <w:proofErr w:type="spellEnd"/>
      <w:r w:rsidR="00075F06" w:rsidRPr="00F914F5">
        <w:rPr>
          <w:rFonts w:eastAsia="Calibri" w:cs="Calibri"/>
          <w:b/>
          <w:bCs/>
          <w:color w:val="000000"/>
          <w:lang w:eastAsia="it-IT"/>
        </w:rPr>
        <w:t xml:space="preserve"> DOC</w:t>
      </w:r>
      <w:r w:rsidR="00062636" w:rsidRPr="00F914F5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F914F5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F914F5" w:rsidRDefault="004241AC" w:rsidP="00F914F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914F5">
        <w:rPr>
          <w:rFonts w:eastAsia="Calibri" w:cs="Calibri"/>
          <w:lang w:eastAsia="it-IT"/>
        </w:rPr>
        <w:t>La Commissione Tecnico Scientifica (CTS), nell</w:t>
      </w:r>
      <w:r w:rsidR="00FD1D5D" w:rsidRPr="00F914F5">
        <w:rPr>
          <w:rFonts w:eastAsia="Calibri" w:cs="Calibri"/>
          <w:lang w:eastAsia="it-IT"/>
        </w:rPr>
        <w:t>a</w:t>
      </w:r>
      <w:r w:rsidRPr="00F914F5">
        <w:rPr>
          <w:rFonts w:eastAsia="Calibri" w:cs="Calibri"/>
          <w:lang w:eastAsia="it-IT"/>
        </w:rPr>
        <w:t xml:space="preserve"> sedut</w:t>
      </w:r>
      <w:r w:rsidR="00FD1D5D" w:rsidRPr="00F914F5">
        <w:rPr>
          <w:rFonts w:eastAsia="Calibri" w:cs="Calibri"/>
          <w:lang w:eastAsia="it-IT"/>
        </w:rPr>
        <w:t>a</w:t>
      </w:r>
      <w:r w:rsidRPr="00F914F5">
        <w:rPr>
          <w:rFonts w:eastAsia="Calibri" w:cs="Calibri"/>
          <w:lang w:eastAsia="it-IT"/>
        </w:rPr>
        <w:t xml:space="preserve"> del </w:t>
      </w:r>
      <w:r w:rsidR="00AD6B65" w:rsidRPr="00F914F5">
        <w:rPr>
          <w:rFonts w:eastAsia="Calibri" w:cs="Calibri"/>
          <w:lang w:eastAsia="it-IT"/>
        </w:rPr>
        <w:t>11-13 luglio 2016</w:t>
      </w:r>
      <w:r w:rsidRPr="00F914F5">
        <w:rPr>
          <w:rFonts w:eastAsia="Calibri" w:cs="Calibri"/>
          <w:lang w:eastAsia="it-IT"/>
        </w:rPr>
        <w:t xml:space="preserve">, ha concluso che, conformemente ai requisiti della normativa vigente, come nel caso </w:t>
      </w:r>
      <w:r w:rsidR="00D20170" w:rsidRPr="00F914F5">
        <w:rPr>
          <w:rFonts w:eastAsia="Calibri" w:cs="Calibri"/>
          <w:lang w:eastAsia="it-IT"/>
        </w:rPr>
        <w:t>del</w:t>
      </w:r>
      <w:r w:rsidRPr="00F914F5">
        <w:rPr>
          <w:rFonts w:eastAsia="Calibri" w:cs="Calibri"/>
          <w:lang w:eastAsia="it-IT"/>
        </w:rPr>
        <w:t xml:space="preserve"> medicinal</w:t>
      </w:r>
      <w:r w:rsidR="00D20170" w:rsidRPr="00F914F5">
        <w:rPr>
          <w:rFonts w:eastAsia="Calibri" w:cs="Calibri"/>
          <w:lang w:eastAsia="it-IT"/>
        </w:rPr>
        <w:t>e</w:t>
      </w:r>
      <w:r w:rsidRPr="00F914F5">
        <w:rPr>
          <w:rFonts w:eastAsia="Calibri" w:cs="Calibri"/>
          <w:lang w:eastAsia="it-IT"/>
        </w:rPr>
        <w:t xml:space="preserve"> di riferimento </w:t>
      </w:r>
      <w:proofErr w:type="spellStart"/>
      <w:r w:rsidR="00075F06" w:rsidRPr="00F914F5">
        <w:rPr>
          <w:rFonts w:eastAsia="Calibri" w:cs="Calibri"/>
          <w:lang w:eastAsia="it-IT"/>
        </w:rPr>
        <w:t>Augmentin</w:t>
      </w:r>
      <w:proofErr w:type="spellEnd"/>
      <w:r w:rsidRPr="00F914F5">
        <w:rPr>
          <w:rFonts w:eastAsia="Calibri" w:cs="Calibri"/>
          <w:lang w:eastAsia="it-IT"/>
        </w:rPr>
        <w:t xml:space="preserve">, i benefici di </w:t>
      </w:r>
      <w:r w:rsidR="00075F06" w:rsidRPr="00F914F5">
        <w:rPr>
          <w:rFonts w:eastAsia="Calibri" w:cs="Calibri"/>
          <w:lang w:eastAsia="it-IT"/>
        </w:rPr>
        <w:t xml:space="preserve"> </w:t>
      </w:r>
      <w:proofErr w:type="spellStart"/>
      <w:r w:rsidR="00075F06" w:rsidRPr="00F914F5">
        <w:rPr>
          <w:rFonts w:eastAsia="Calibri" w:cs="Calibri"/>
          <w:lang w:eastAsia="it-IT"/>
        </w:rPr>
        <w:t>Amoxicillina</w:t>
      </w:r>
      <w:proofErr w:type="spellEnd"/>
      <w:r w:rsidR="00075F06" w:rsidRPr="00F914F5">
        <w:rPr>
          <w:rFonts w:eastAsia="Calibri" w:cs="Calibri"/>
          <w:lang w:eastAsia="it-IT"/>
        </w:rPr>
        <w:t xml:space="preserve"> e </w:t>
      </w:r>
      <w:r w:rsidR="00097B06">
        <w:rPr>
          <w:rFonts w:eastAsia="Calibri" w:cs="Calibri"/>
          <w:lang w:eastAsia="it-IT"/>
        </w:rPr>
        <w:t>a</w:t>
      </w:r>
      <w:r w:rsidR="00075F06" w:rsidRPr="00F914F5">
        <w:rPr>
          <w:rFonts w:eastAsia="Calibri" w:cs="Calibri"/>
          <w:lang w:eastAsia="it-IT"/>
        </w:rPr>
        <w:t xml:space="preserve">cido </w:t>
      </w:r>
      <w:proofErr w:type="spellStart"/>
      <w:r w:rsidR="00097B06">
        <w:rPr>
          <w:rFonts w:eastAsia="Calibri" w:cs="Calibri"/>
          <w:lang w:eastAsia="it-IT"/>
        </w:rPr>
        <w:t>c</w:t>
      </w:r>
      <w:r w:rsidR="00075F06" w:rsidRPr="00F914F5">
        <w:rPr>
          <w:rFonts w:eastAsia="Calibri" w:cs="Calibri"/>
          <w:lang w:eastAsia="it-IT"/>
        </w:rPr>
        <w:t>lavulanico</w:t>
      </w:r>
      <w:proofErr w:type="spellEnd"/>
      <w:r w:rsidR="00075F06" w:rsidRPr="00F914F5">
        <w:rPr>
          <w:rFonts w:eastAsia="Calibri" w:cs="Calibri"/>
          <w:lang w:eastAsia="it-IT"/>
        </w:rPr>
        <w:t xml:space="preserve"> DOC</w:t>
      </w:r>
      <w:r w:rsidRPr="00F914F5">
        <w:rPr>
          <w:rFonts w:eastAsia="Calibri" w:cs="Calibri"/>
          <w:lang w:eastAsia="it-IT"/>
        </w:rPr>
        <w:t xml:space="preserve"> </w:t>
      </w:r>
      <w:r w:rsidR="00010B82" w:rsidRPr="00F914F5">
        <w:rPr>
          <w:rFonts w:eastAsia="Calibri" w:cs="Calibri"/>
          <w:lang w:eastAsia="it-IT"/>
        </w:rPr>
        <w:t>sono</w:t>
      </w:r>
      <w:r w:rsidRPr="00F914F5">
        <w:rPr>
          <w:rFonts w:eastAsia="Calibri" w:cs="Calibri"/>
          <w:lang w:eastAsia="it-IT"/>
        </w:rPr>
        <w:t xml:space="preserve"> superiori ai rischi individuati. La CTS ha, inoltre, definito le modalità d</w:t>
      </w:r>
      <w:r w:rsidR="00E159A3" w:rsidRPr="00F914F5">
        <w:rPr>
          <w:rFonts w:eastAsia="Calibri" w:cs="Calibri"/>
          <w:lang w:eastAsia="it-IT"/>
        </w:rPr>
        <w:t xml:space="preserve">i prescrizione di cui al punto </w:t>
      </w:r>
      <w:r w:rsidRPr="00F914F5">
        <w:rPr>
          <w:rFonts w:eastAsia="Calibri" w:cs="Calibri"/>
          <w:lang w:eastAsia="it-IT"/>
        </w:rPr>
        <w:t>2) di questo Riassunto e la classe di rimborsabilità del medicinale</w:t>
      </w:r>
      <w:r w:rsidR="00D20170" w:rsidRPr="00F914F5">
        <w:rPr>
          <w:rFonts w:eastAsia="Calibri" w:cs="Calibri"/>
          <w:lang w:eastAsia="it-IT"/>
        </w:rPr>
        <w:t xml:space="preserve"> </w:t>
      </w:r>
      <w:r w:rsidR="00FD1D5D" w:rsidRPr="00E24E1C">
        <w:rPr>
          <w:rFonts w:eastAsia="Calibri" w:cs="Calibri"/>
          <w:lang w:eastAsia="it-IT"/>
        </w:rPr>
        <w:t>(A</w:t>
      </w:r>
      <w:r w:rsidR="00AD6B65" w:rsidRPr="00E24E1C">
        <w:rPr>
          <w:rFonts w:eastAsia="Calibri" w:cs="Calibri"/>
          <w:lang w:eastAsia="it-IT"/>
        </w:rPr>
        <w:t>)</w:t>
      </w:r>
      <w:r w:rsidR="00FD1D5D" w:rsidRPr="00E24E1C">
        <w:rPr>
          <w:rFonts w:eastAsia="Calibri" w:cs="Calibri"/>
          <w:lang w:eastAsia="it-IT"/>
        </w:rPr>
        <w:t>.</w:t>
      </w:r>
    </w:p>
    <w:p w:rsidR="004241AC" w:rsidRPr="00F914F5" w:rsidRDefault="004241AC" w:rsidP="00F914F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F914F5" w:rsidRDefault="004241AC" w:rsidP="00F914F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F914F5" w:rsidRDefault="004241AC" w:rsidP="00F914F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914F5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F914F5">
        <w:rPr>
          <w:rFonts w:eastAsia="Calibri" w:cs="Calibri"/>
          <w:b/>
          <w:bCs/>
          <w:lang w:eastAsia="it-IT"/>
        </w:rPr>
        <w:t>DI</w:t>
      </w:r>
      <w:proofErr w:type="spellEnd"/>
      <w:r w:rsidRPr="00F914F5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075F06" w:rsidRPr="00F914F5">
        <w:rPr>
          <w:rFonts w:eastAsia="Calibri" w:cs="Calibri"/>
          <w:b/>
          <w:bCs/>
          <w:color w:val="000000"/>
          <w:lang w:eastAsia="it-IT"/>
        </w:rPr>
        <w:t>Amoxicillina</w:t>
      </w:r>
      <w:proofErr w:type="spellEnd"/>
      <w:r w:rsidR="00075F06" w:rsidRPr="00F914F5">
        <w:rPr>
          <w:rFonts w:eastAsia="Calibri" w:cs="Calibri"/>
          <w:b/>
          <w:bCs/>
          <w:color w:val="000000"/>
          <w:lang w:eastAsia="it-IT"/>
        </w:rPr>
        <w:t xml:space="preserve"> e acido </w:t>
      </w:r>
      <w:proofErr w:type="spellStart"/>
      <w:r w:rsidR="00075F06" w:rsidRPr="00F914F5">
        <w:rPr>
          <w:rFonts w:eastAsia="Calibri" w:cs="Calibri"/>
          <w:b/>
          <w:bCs/>
          <w:color w:val="000000"/>
          <w:lang w:eastAsia="it-IT"/>
        </w:rPr>
        <w:t>clavulanico</w:t>
      </w:r>
      <w:proofErr w:type="spellEnd"/>
      <w:r w:rsidR="00075F06" w:rsidRPr="00F914F5">
        <w:rPr>
          <w:rFonts w:eastAsia="Calibri" w:cs="Calibri"/>
          <w:b/>
          <w:bCs/>
          <w:color w:val="000000"/>
          <w:lang w:eastAsia="it-IT"/>
        </w:rPr>
        <w:t xml:space="preserve"> DOC</w:t>
      </w:r>
      <w:r w:rsidRPr="00F914F5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F914F5" w:rsidRDefault="00031BAD" w:rsidP="00F914F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914F5">
        <w:rPr>
          <w:rFonts w:eastAsia="Calibri" w:cs="Calibri"/>
          <w:lang w:eastAsia="it-IT"/>
        </w:rPr>
        <w:t xml:space="preserve">Il titolare </w:t>
      </w:r>
      <w:r w:rsidR="004241AC" w:rsidRPr="00F914F5">
        <w:rPr>
          <w:rFonts w:eastAsia="Calibri" w:cs="Calibri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075F06" w:rsidRPr="00F914F5">
        <w:rPr>
          <w:rFonts w:eastAsia="Calibri" w:cs="Calibri"/>
          <w:lang w:eastAsia="it-IT"/>
        </w:rPr>
        <w:t>Amoxicillina</w:t>
      </w:r>
      <w:proofErr w:type="spellEnd"/>
      <w:r w:rsidR="00075F06" w:rsidRPr="00F914F5">
        <w:rPr>
          <w:rFonts w:eastAsia="Calibri" w:cs="Calibri"/>
          <w:lang w:eastAsia="it-IT"/>
        </w:rPr>
        <w:t xml:space="preserve"> e </w:t>
      </w:r>
      <w:r w:rsidR="00097B06">
        <w:rPr>
          <w:rFonts w:eastAsia="Calibri" w:cs="Calibri"/>
          <w:lang w:eastAsia="it-IT"/>
        </w:rPr>
        <w:t>a</w:t>
      </w:r>
      <w:r w:rsidR="00075F06" w:rsidRPr="00F914F5">
        <w:rPr>
          <w:rFonts w:eastAsia="Calibri" w:cs="Calibri"/>
          <w:lang w:eastAsia="it-IT"/>
        </w:rPr>
        <w:t xml:space="preserve">cido </w:t>
      </w:r>
      <w:proofErr w:type="spellStart"/>
      <w:r w:rsidR="00097B06">
        <w:rPr>
          <w:rFonts w:eastAsia="Calibri" w:cs="Calibri"/>
          <w:lang w:eastAsia="it-IT"/>
        </w:rPr>
        <w:t>c</w:t>
      </w:r>
      <w:r w:rsidR="00075F06" w:rsidRPr="00F914F5">
        <w:rPr>
          <w:rFonts w:eastAsia="Calibri" w:cs="Calibri"/>
          <w:lang w:eastAsia="it-IT"/>
        </w:rPr>
        <w:t>lavulanico</w:t>
      </w:r>
      <w:proofErr w:type="spellEnd"/>
      <w:r w:rsidR="00075F06" w:rsidRPr="00F914F5">
        <w:rPr>
          <w:rFonts w:eastAsia="Calibri" w:cs="Calibri"/>
          <w:lang w:eastAsia="it-IT"/>
        </w:rPr>
        <w:t xml:space="preserve"> DOC</w:t>
      </w:r>
      <w:r w:rsidR="004241AC" w:rsidRPr="00F914F5">
        <w:rPr>
          <w:rFonts w:eastAsia="Calibri" w:cs="Calibri"/>
          <w:lang w:eastAsia="it-IT"/>
        </w:rPr>
        <w:t>.</w:t>
      </w:r>
    </w:p>
    <w:p w:rsidR="004241AC" w:rsidRPr="00F914F5" w:rsidRDefault="004241AC" w:rsidP="00F914F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FD1D5D" w:rsidRDefault="00FD1D5D" w:rsidP="00F914F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1878BF" w:rsidRDefault="001878BF" w:rsidP="00F914F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914F5" w:rsidRDefault="004241AC" w:rsidP="00F914F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914F5">
        <w:rPr>
          <w:rFonts w:eastAsia="Calibri" w:cs="Calibri"/>
          <w:b/>
          <w:bCs/>
          <w:lang w:eastAsia="it-IT"/>
        </w:rPr>
        <w:lastRenderedPageBreak/>
        <w:t xml:space="preserve">8) ALTRE INFORMAZIONI RELATIVE A </w:t>
      </w:r>
      <w:proofErr w:type="spellStart"/>
      <w:r w:rsidR="00075F06" w:rsidRPr="00F914F5">
        <w:rPr>
          <w:rFonts w:eastAsia="Calibri" w:cs="Calibri"/>
          <w:b/>
          <w:bCs/>
          <w:color w:val="000000"/>
          <w:lang w:eastAsia="it-IT"/>
        </w:rPr>
        <w:t>Amoxicillina</w:t>
      </w:r>
      <w:proofErr w:type="spellEnd"/>
      <w:r w:rsidR="00075F06" w:rsidRPr="00F914F5">
        <w:rPr>
          <w:rFonts w:eastAsia="Calibri" w:cs="Calibri"/>
          <w:b/>
          <w:bCs/>
          <w:color w:val="000000"/>
          <w:lang w:eastAsia="it-IT"/>
        </w:rPr>
        <w:t xml:space="preserve"> e </w:t>
      </w:r>
      <w:r w:rsidR="001E5CC6" w:rsidRPr="00F914F5">
        <w:rPr>
          <w:rFonts w:eastAsia="Calibri" w:cs="Calibri"/>
          <w:b/>
          <w:bCs/>
          <w:color w:val="000000"/>
          <w:lang w:eastAsia="it-IT"/>
        </w:rPr>
        <w:t>A</w:t>
      </w:r>
      <w:r w:rsidR="00075F06" w:rsidRPr="00F914F5">
        <w:rPr>
          <w:rFonts w:eastAsia="Calibri" w:cs="Calibri"/>
          <w:b/>
          <w:bCs/>
          <w:color w:val="000000"/>
          <w:lang w:eastAsia="it-IT"/>
        </w:rPr>
        <w:t xml:space="preserve">cido </w:t>
      </w:r>
      <w:proofErr w:type="spellStart"/>
      <w:r w:rsidR="001E5CC6" w:rsidRPr="00F914F5">
        <w:rPr>
          <w:rFonts w:eastAsia="Calibri" w:cs="Calibri"/>
          <w:b/>
          <w:bCs/>
          <w:color w:val="000000"/>
          <w:lang w:eastAsia="it-IT"/>
        </w:rPr>
        <w:t>C</w:t>
      </w:r>
      <w:r w:rsidR="00075F06" w:rsidRPr="00F914F5">
        <w:rPr>
          <w:rFonts w:eastAsia="Calibri" w:cs="Calibri"/>
          <w:b/>
          <w:bCs/>
          <w:color w:val="000000"/>
          <w:lang w:eastAsia="it-IT"/>
        </w:rPr>
        <w:t>lavulanico</w:t>
      </w:r>
      <w:proofErr w:type="spellEnd"/>
      <w:r w:rsidR="00075F06" w:rsidRPr="00F914F5">
        <w:rPr>
          <w:rFonts w:eastAsia="Calibri" w:cs="Calibri"/>
          <w:b/>
          <w:bCs/>
          <w:color w:val="000000"/>
          <w:lang w:eastAsia="it-IT"/>
        </w:rPr>
        <w:t xml:space="preserve"> DOC</w:t>
      </w:r>
      <w:r w:rsidR="00062636" w:rsidRPr="00F914F5">
        <w:rPr>
          <w:rFonts w:eastAsia="Calibri" w:cs="Calibri"/>
          <w:b/>
          <w:bCs/>
          <w:color w:val="000000"/>
          <w:lang w:eastAsia="it-IT"/>
        </w:rPr>
        <w:t xml:space="preserve"> </w:t>
      </w:r>
    </w:p>
    <w:p w:rsidR="004241AC" w:rsidRPr="00F914F5" w:rsidRDefault="008A33EC" w:rsidP="00F914F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F914F5">
        <w:rPr>
          <w:rFonts w:eastAsia="Calibri" w:cs="Calibri"/>
          <w:bCs/>
          <w:iCs/>
          <w:lang w:eastAsia="it-IT"/>
        </w:rPr>
        <w:t xml:space="preserve">Il </w:t>
      </w:r>
      <w:r w:rsidR="00E24E1C">
        <w:rPr>
          <w:rFonts w:eastAsia="Calibri" w:cs="Calibri"/>
          <w:bCs/>
          <w:iCs/>
          <w:lang w:eastAsia="it-IT"/>
        </w:rPr>
        <w:t>1 febbraio 2017</w:t>
      </w:r>
      <w:r w:rsidR="004241AC" w:rsidRPr="00F914F5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075F06" w:rsidRPr="00F914F5">
        <w:rPr>
          <w:rFonts w:eastAsia="Calibri" w:cs="Calibri"/>
          <w:bCs/>
          <w:color w:val="000000"/>
          <w:lang w:eastAsia="it-IT"/>
        </w:rPr>
        <w:t>Amoxicillina</w:t>
      </w:r>
      <w:proofErr w:type="spellEnd"/>
      <w:r w:rsidR="00075F06" w:rsidRPr="00F914F5">
        <w:rPr>
          <w:rFonts w:eastAsia="Calibri" w:cs="Calibri"/>
          <w:bCs/>
          <w:color w:val="000000"/>
          <w:lang w:eastAsia="it-IT"/>
        </w:rPr>
        <w:t xml:space="preserve"> e </w:t>
      </w:r>
      <w:r w:rsidR="00097B06">
        <w:rPr>
          <w:rFonts w:eastAsia="Calibri" w:cs="Calibri"/>
          <w:bCs/>
          <w:color w:val="000000"/>
          <w:lang w:eastAsia="it-IT"/>
        </w:rPr>
        <w:t>a</w:t>
      </w:r>
      <w:r w:rsidR="001E5CC6" w:rsidRPr="00F914F5">
        <w:rPr>
          <w:rFonts w:eastAsia="Calibri" w:cs="Calibri"/>
          <w:bCs/>
          <w:color w:val="000000"/>
          <w:lang w:eastAsia="it-IT"/>
        </w:rPr>
        <w:t xml:space="preserve">cido </w:t>
      </w:r>
      <w:proofErr w:type="spellStart"/>
      <w:r w:rsidR="00097B06">
        <w:rPr>
          <w:rFonts w:eastAsia="Calibri" w:cs="Calibri"/>
          <w:bCs/>
          <w:color w:val="000000"/>
          <w:lang w:eastAsia="it-IT"/>
        </w:rPr>
        <w:t>c</w:t>
      </w:r>
      <w:r w:rsidR="00075F06" w:rsidRPr="00F914F5">
        <w:rPr>
          <w:rFonts w:eastAsia="Calibri" w:cs="Calibri"/>
          <w:bCs/>
          <w:color w:val="000000"/>
          <w:lang w:eastAsia="it-IT"/>
        </w:rPr>
        <w:t>lavulanico</w:t>
      </w:r>
      <w:proofErr w:type="spellEnd"/>
      <w:r w:rsidR="00075F06" w:rsidRPr="00F914F5">
        <w:rPr>
          <w:rFonts w:eastAsia="Calibri" w:cs="Calibri"/>
          <w:bCs/>
          <w:color w:val="000000"/>
          <w:lang w:eastAsia="it-IT"/>
        </w:rPr>
        <w:t xml:space="preserve"> DOC</w:t>
      </w:r>
      <w:r w:rsidR="004241AC" w:rsidRPr="00F914F5">
        <w:rPr>
          <w:rFonts w:eastAsia="Calibri" w:cs="Calibri"/>
          <w:bCs/>
          <w:lang w:eastAsia="it-IT"/>
        </w:rPr>
        <w:t xml:space="preserve">. </w:t>
      </w:r>
    </w:p>
    <w:p w:rsidR="00900C91" w:rsidRDefault="00900C91" w:rsidP="00F914F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097B06" w:rsidRPr="00F914F5" w:rsidRDefault="00097B06" w:rsidP="00F914F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00C91" w:rsidRPr="00F914F5" w:rsidRDefault="00900C91" w:rsidP="00F914F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914F5"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F914F5" w:rsidRDefault="004241AC" w:rsidP="00F914F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914F5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075F06" w:rsidRPr="00F914F5">
        <w:rPr>
          <w:rFonts w:eastAsia="Calibri" w:cs="Calibri"/>
          <w:bCs/>
          <w:color w:val="000000"/>
          <w:lang w:eastAsia="it-IT"/>
        </w:rPr>
        <w:t>Amoxicillina</w:t>
      </w:r>
      <w:proofErr w:type="spellEnd"/>
      <w:r w:rsidR="00075F06" w:rsidRPr="00F914F5">
        <w:rPr>
          <w:rFonts w:eastAsia="Calibri" w:cs="Calibri"/>
          <w:bCs/>
          <w:color w:val="000000"/>
          <w:lang w:eastAsia="it-IT"/>
        </w:rPr>
        <w:t xml:space="preserve"> e </w:t>
      </w:r>
      <w:r w:rsidR="00097B06">
        <w:rPr>
          <w:rFonts w:eastAsia="Calibri" w:cs="Calibri"/>
          <w:bCs/>
          <w:color w:val="000000"/>
          <w:lang w:eastAsia="it-IT"/>
        </w:rPr>
        <w:t>a</w:t>
      </w:r>
      <w:r w:rsidR="00075F06" w:rsidRPr="00F914F5">
        <w:rPr>
          <w:rFonts w:eastAsia="Calibri" w:cs="Calibri"/>
          <w:bCs/>
          <w:color w:val="000000"/>
          <w:lang w:eastAsia="it-IT"/>
        </w:rPr>
        <w:t xml:space="preserve">cido </w:t>
      </w:r>
      <w:proofErr w:type="spellStart"/>
      <w:r w:rsidR="00097B06">
        <w:rPr>
          <w:rFonts w:eastAsia="Calibri" w:cs="Calibri"/>
          <w:bCs/>
          <w:color w:val="000000"/>
          <w:lang w:eastAsia="it-IT"/>
        </w:rPr>
        <w:t>c</w:t>
      </w:r>
      <w:r w:rsidR="00075F06" w:rsidRPr="00F914F5">
        <w:rPr>
          <w:rFonts w:eastAsia="Calibri" w:cs="Calibri"/>
          <w:bCs/>
          <w:color w:val="000000"/>
          <w:lang w:eastAsia="it-IT"/>
        </w:rPr>
        <w:t>lavulanico</w:t>
      </w:r>
      <w:proofErr w:type="spellEnd"/>
      <w:r w:rsidR="00075F06" w:rsidRPr="00F914F5">
        <w:rPr>
          <w:rFonts w:eastAsia="Calibri" w:cs="Calibri"/>
          <w:bCs/>
          <w:color w:val="000000"/>
          <w:lang w:eastAsia="it-IT"/>
        </w:rPr>
        <w:t xml:space="preserve"> DOC</w:t>
      </w:r>
      <w:r w:rsidRPr="00F914F5">
        <w:rPr>
          <w:rFonts w:eastAsia="Calibri" w:cs="Calibri"/>
          <w:bCs/>
          <w:color w:val="000000"/>
          <w:lang w:eastAsia="it-IT"/>
        </w:rPr>
        <w:t xml:space="preserve">, </w:t>
      </w:r>
      <w:r w:rsidRPr="00F914F5">
        <w:rPr>
          <w:rFonts w:eastAsia="Calibri" w:cs="Calibri"/>
          <w:lang w:eastAsia="it-IT"/>
        </w:rPr>
        <w:t>si può leggere il foglio illustrativo</w:t>
      </w:r>
      <w:r w:rsidR="00D20170" w:rsidRPr="00F914F5">
        <w:rPr>
          <w:rFonts w:eastAsia="Calibri" w:cs="Calibri"/>
          <w:lang w:eastAsia="it-IT"/>
        </w:rPr>
        <w:t xml:space="preserve"> (</w:t>
      </w:r>
      <w:hyperlink r:id="rId9" w:history="1">
        <w:r w:rsidR="00947EF5" w:rsidRPr="00F914F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D20170" w:rsidRPr="00F914F5">
        <w:rPr>
          <w:rFonts w:eastAsia="Calibri" w:cs="Calibri"/>
          <w:lang w:eastAsia="it-IT"/>
        </w:rPr>
        <w:t>)</w:t>
      </w:r>
      <w:r w:rsidRPr="00F914F5">
        <w:rPr>
          <w:rFonts w:eastAsia="Calibri" w:cs="Calibri"/>
          <w:lang w:eastAsia="it-IT"/>
        </w:rPr>
        <w:t xml:space="preserve"> o contattare il medico o </w:t>
      </w:r>
      <w:r w:rsidR="00FA55B0" w:rsidRPr="00F914F5">
        <w:rPr>
          <w:rFonts w:eastAsia="Calibri" w:cs="Calibri"/>
          <w:lang w:eastAsia="it-IT"/>
        </w:rPr>
        <w:t xml:space="preserve">il </w:t>
      </w:r>
      <w:r w:rsidRPr="00F914F5">
        <w:rPr>
          <w:rFonts w:eastAsia="Calibri" w:cs="Calibri"/>
          <w:lang w:eastAsia="it-IT"/>
        </w:rPr>
        <w:t xml:space="preserve">farmacista. </w:t>
      </w:r>
    </w:p>
    <w:p w:rsidR="005F62FE" w:rsidRPr="00F914F5" w:rsidRDefault="005F62FE" w:rsidP="00F914F5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914F5" w:rsidRDefault="004241AC" w:rsidP="00F914F5">
      <w:pPr>
        <w:spacing w:after="0" w:line="240" w:lineRule="auto"/>
        <w:jc w:val="both"/>
        <w:rPr>
          <w:rFonts w:eastAsia="Calibri" w:cs="Calibri"/>
          <w:lang w:eastAsia="it-IT"/>
        </w:rPr>
      </w:pPr>
      <w:r w:rsidRPr="00F914F5">
        <w:rPr>
          <w:rFonts w:eastAsia="Calibri" w:cs="Calibri"/>
          <w:lang w:eastAsia="it-IT"/>
        </w:rPr>
        <w:t xml:space="preserve">Questo riassunto è stato redatto in data </w:t>
      </w:r>
      <w:r w:rsidR="00097B06">
        <w:rPr>
          <w:rFonts w:eastAsia="Calibri" w:cs="Calibri"/>
          <w:lang w:eastAsia="it-IT"/>
        </w:rPr>
        <w:t>20.10.</w:t>
      </w:r>
      <w:r w:rsidR="00A17247" w:rsidRPr="00F914F5">
        <w:rPr>
          <w:rFonts w:eastAsia="Calibri" w:cs="Calibri"/>
          <w:lang w:eastAsia="it-IT"/>
        </w:rPr>
        <w:t>2016</w:t>
      </w:r>
      <w:r w:rsidR="00644AE9" w:rsidRPr="00F914F5">
        <w:rPr>
          <w:rFonts w:eastAsia="Calibri" w:cs="Calibri"/>
          <w:lang w:eastAsia="it-IT"/>
        </w:rPr>
        <w:t xml:space="preserve"> </w:t>
      </w:r>
    </w:p>
    <w:p w:rsidR="00A41EA1" w:rsidRPr="00F914F5" w:rsidRDefault="00A41EA1" w:rsidP="00F914F5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914F5" w:rsidRDefault="004241AC" w:rsidP="00F914F5">
      <w:pPr>
        <w:spacing w:after="0" w:line="240" w:lineRule="auto"/>
        <w:jc w:val="both"/>
      </w:pPr>
    </w:p>
    <w:p w:rsidR="00C24649" w:rsidRPr="00F914F5" w:rsidRDefault="00C24649" w:rsidP="00F914F5">
      <w:pPr>
        <w:spacing w:after="0" w:line="240" w:lineRule="auto"/>
        <w:jc w:val="both"/>
      </w:pPr>
    </w:p>
    <w:p w:rsidR="00C24649" w:rsidRPr="00F914F5" w:rsidRDefault="00C24649" w:rsidP="00F914F5">
      <w:pPr>
        <w:spacing w:after="0" w:line="240" w:lineRule="auto"/>
        <w:jc w:val="both"/>
      </w:pPr>
    </w:p>
    <w:p w:rsidR="00C24649" w:rsidRPr="00F914F5" w:rsidRDefault="00C24649" w:rsidP="00F914F5">
      <w:pPr>
        <w:spacing w:after="0" w:line="240" w:lineRule="auto"/>
        <w:jc w:val="both"/>
      </w:pPr>
    </w:p>
    <w:p w:rsidR="00C24649" w:rsidRPr="00F914F5" w:rsidRDefault="00C24649" w:rsidP="00F914F5">
      <w:pPr>
        <w:spacing w:after="0" w:line="240" w:lineRule="auto"/>
        <w:jc w:val="both"/>
      </w:pPr>
    </w:p>
    <w:p w:rsidR="00C24649" w:rsidRPr="00F914F5" w:rsidRDefault="00C24649" w:rsidP="00F914F5">
      <w:pPr>
        <w:spacing w:after="0" w:line="240" w:lineRule="auto"/>
        <w:jc w:val="both"/>
      </w:pPr>
    </w:p>
    <w:p w:rsidR="00C24649" w:rsidRPr="00F914F5" w:rsidRDefault="00C24649" w:rsidP="00F914F5">
      <w:pPr>
        <w:spacing w:after="0" w:line="240" w:lineRule="auto"/>
        <w:jc w:val="both"/>
      </w:pPr>
    </w:p>
    <w:p w:rsidR="00FD1D5D" w:rsidRPr="00F914F5" w:rsidRDefault="00FD1D5D" w:rsidP="00F914F5">
      <w:pPr>
        <w:spacing w:after="0" w:line="240" w:lineRule="auto"/>
        <w:jc w:val="both"/>
      </w:pPr>
    </w:p>
    <w:p w:rsidR="00FD1D5D" w:rsidRPr="00F914F5" w:rsidRDefault="00FD1D5D" w:rsidP="00F914F5">
      <w:pPr>
        <w:spacing w:after="0" w:line="240" w:lineRule="auto"/>
        <w:jc w:val="both"/>
      </w:pPr>
    </w:p>
    <w:p w:rsidR="00FD1D5D" w:rsidRPr="00F914F5" w:rsidRDefault="00FD1D5D" w:rsidP="00F914F5">
      <w:pPr>
        <w:spacing w:after="0" w:line="240" w:lineRule="auto"/>
        <w:jc w:val="both"/>
      </w:pPr>
    </w:p>
    <w:p w:rsidR="00FD1D5D" w:rsidRPr="00F914F5" w:rsidRDefault="00FD1D5D" w:rsidP="00F914F5">
      <w:pPr>
        <w:spacing w:after="0" w:line="240" w:lineRule="auto"/>
        <w:jc w:val="both"/>
      </w:pPr>
    </w:p>
    <w:p w:rsidR="00FD1D5D" w:rsidRPr="00F914F5" w:rsidRDefault="00FD1D5D" w:rsidP="00F914F5">
      <w:pPr>
        <w:spacing w:after="0" w:line="240" w:lineRule="auto"/>
        <w:jc w:val="both"/>
      </w:pPr>
    </w:p>
    <w:p w:rsidR="00FD1D5D" w:rsidRPr="00F914F5" w:rsidRDefault="00FD1D5D" w:rsidP="00F914F5">
      <w:pPr>
        <w:spacing w:after="0" w:line="240" w:lineRule="auto"/>
        <w:jc w:val="both"/>
      </w:pPr>
    </w:p>
    <w:p w:rsidR="00FD1D5D" w:rsidRPr="00F914F5" w:rsidRDefault="00FD1D5D" w:rsidP="00F914F5">
      <w:pPr>
        <w:spacing w:after="0" w:line="240" w:lineRule="auto"/>
        <w:jc w:val="both"/>
      </w:pPr>
    </w:p>
    <w:p w:rsidR="00FD1D5D" w:rsidRPr="00F914F5" w:rsidRDefault="00FD1D5D" w:rsidP="00F914F5">
      <w:pPr>
        <w:spacing w:after="0" w:line="240" w:lineRule="auto"/>
        <w:jc w:val="both"/>
      </w:pPr>
    </w:p>
    <w:p w:rsidR="00FD1D5D" w:rsidRPr="00F914F5" w:rsidRDefault="00FD1D5D" w:rsidP="00F914F5">
      <w:pPr>
        <w:spacing w:after="0" w:line="240" w:lineRule="auto"/>
        <w:jc w:val="both"/>
      </w:pPr>
    </w:p>
    <w:p w:rsidR="00FD1D5D" w:rsidRPr="00F914F5" w:rsidRDefault="00FD1D5D" w:rsidP="00F914F5">
      <w:pPr>
        <w:spacing w:after="0" w:line="240" w:lineRule="auto"/>
        <w:jc w:val="both"/>
      </w:pPr>
    </w:p>
    <w:p w:rsidR="00FD1D5D" w:rsidRPr="00F914F5" w:rsidRDefault="00FD1D5D" w:rsidP="00F914F5">
      <w:pPr>
        <w:spacing w:after="0" w:line="240" w:lineRule="auto"/>
        <w:jc w:val="both"/>
      </w:pPr>
    </w:p>
    <w:p w:rsidR="00FD1D5D" w:rsidRPr="00F914F5" w:rsidRDefault="00FD1D5D" w:rsidP="00F914F5">
      <w:pPr>
        <w:spacing w:after="0" w:line="240" w:lineRule="auto"/>
        <w:jc w:val="both"/>
      </w:pPr>
    </w:p>
    <w:p w:rsidR="00FD1D5D" w:rsidRPr="00F914F5" w:rsidRDefault="00FD1D5D" w:rsidP="00F914F5">
      <w:pPr>
        <w:spacing w:after="0" w:line="240" w:lineRule="auto"/>
        <w:jc w:val="both"/>
      </w:pPr>
    </w:p>
    <w:p w:rsidR="00FD1D5D" w:rsidRPr="00F914F5" w:rsidRDefault="00FD1D5D" w:rsidP="00F914F5">
      <w:pPr>
        <w:spacing w:after="0" w:line="240" w:lineRule="auto"/>
        <w:jc w:val="both"/>
      </w:pPr>
    </w:p>
    <w:p w:rsidR="00FD1D5D" w:rsidRPr="00F914F5" w:rsidRDefault="00FD1D5D" w:rsidP="00F914F5">
      <w:pPr>
        <w:spacing w:after="0" w:line="240" w:lineRule="auto"/>
        <w:jc w:val="both"/>
      </w:pPr>
    </w:p>
    <w:p w:rsidR="00FD1D5D" w:rsidRPr="00F914F5" w:rsidRDefault="00FD1D5D" w:rsidP="00F914F5">
      <w:pPr>
        <w:spacing w:after="0" w:line="240" w:lineRule="auto"/>
        <w:jc w:val="both"/>
      </w:pPr>
    </w:p>
    <w:p w:rsidR="00FD1D5D" w:rsidRPr="00F914F5" w:rsidRDefault="00FD1D5D" w:rsidP="00F914F5">
      <w:pPr>
        <w:spacing w:after="0" w:line="240" w:lineRule="auto"/>
        <w:jc w:val="both"/>
      </w:pPr>
    </w:p>
    <w:p w:rsidR="00FD1D5D" w:rsidRPr="00F914F5" w:rsidRDefault="00FD1D5D" w:rsidP="00F914F5">
      <w:pPr>
        <w:spacing w:after="0" w:line="240" w:lineRule="auto"/>
        <w:jc w:val="both"/>
      </w:pPr>
    </w:p>
    <w:p w:rsidR="00FD1D5D" w:rsidRPr="00F914F5" w:rsidRDefault="00FD1D5D" w:rsidP="00F914F5">
      <w:pPr>
        <w:spacing w:after="0" w:line="240" w:lineRule="auto"/>
        <w:jc w:val="both"/>
      </w:pPr>
    </w:p>
    <w:p w:rsidR="00FD1D5D" w:rsidRPr="00F914F5" w:rsidRDefault="00FD1D5D" w:rsidP="00F914F5">
      <w:pPr>
        <w:spacing w:after="0" w:line="240" w:lineRule="auto"/>
        <w:jc w:val="both"/>
      </w:pPr>
    </w:p>
    <w:p w:rsidR="00FD1D5D" w:rsidRPr="00F914F5" w:rsidRDefault="00FD1D5D" w:rsidP="00F914F5">
      <w:pPr>
        <w:spacing w:after="0" w:line="240" w:lineRule="auto"/>
        <w:jc w:val="both"/>
      </w:pPr>
    </w:p>
    <w:p w:rsidR="00FD1D5D" w:rsidRPr="00F914F5" w:rsidRDefault="00FD1D5D" w:rsidP="00F914F5">
      <w:pPr>
        <w:spacing w:after="0" w:line="240" w:lineRule="auto"/>
        <w:jc w:val="both"/>
      </w:pPr>
    </w:p>
    <w:p w:rsidR="00FD1D5D" w:rsidRPr="00F914F5" w:rsidRDefault="00FD1D5D" w:rsidP="00F914F5">
      <w:pPr>
        <w:spacing w:after="0" w:line="240" w:lineRule="auto"/>
        <w:jc w:val="both"/>
      </w:pPr>
    </w:p>
    <w:p w:rsidR="00FD1D5D" w:rsidRPr="00F914F5" w:rsidRDefault="00FD1D5D" w:rsidP="00F914F5">
      <w:pPr>
        <w:spacing w:after="0" w:line="240" w:lineRule="auto"/>
        <w:jc w:val="both"/>
      </w:pPr>
    </w:p>
    <w:p w:rsidR="00FD1D5D" w:rsidRPr="00F914F5" w:rsidRDefault="00FD1D5D" w:rsidP="00F914F5">
      <w:pPr>
        <w:spacing w:after="0" w:line="240" w:lineRule="auto"/>
        <w:jc w:val="both"/>
      </w:pPr>
    </w:p>
    <w:p w:rsidR="00FD1D5D" w:rsidRPr="00F914F5" w:rsidRDefault="00FD1D5D" w:rsidP="00F914F5">
      <w:pPr>
        <w:spacing w:after="0" w:line="240" w:lineRule="auto"/>
        <w:jc w:val="both"/>
      </w:pPr>
    </w:p>
    <w:p w:rsidR="00FD1D5D" w:rsidRPr="00F914F5" w:rsidRDefault="00FD1D5D" w:rsidP="00F914F5">
      <w:pPr>
        <w:spacing w:after="0" w:line="240" w:lineRule="auto"/>
        <w:jc w:val="both"/>
      </w:pPr>
    </w:p>
    <w:p w:rsidR="00FD1D5D" w:rsidRPr="00F914F5" w:rsidRDefault="00FD1D5D" w:rsidP="00F914F5">
      <w:pPr>
        <w:spacing w:after="0" w:line="240" w:lineRule="auto"/>
        <w:jc w:val="both"/>
      </w:pPr>
    </w:p>
    <w:p w:rsidR="00FD1D5D" w:rsidRPr="00F914F5" w:rsidRDefault="00FD1D5D" w:rsidP="00F914F5">
      <w:pPr>
        <w:spacing w:after="0" w:line="240" w:lineRule="auto"/>
        <w:jc w:val="both"/>
      </w:pPr>
    </w:p>
    <w:p w:rsidR="00FD1D5D" w:rsidRPr="00F914F5" w:rsidRDefault="00FD1D5D" w:rsidP="00F914F5">
      <w:pPr>
        <w:spacing w:after="0" w:line="240" w:lineRule="auto"/>
        <w:jc w:val="both"/>
      </w:pPr>
    </w:p>
    <w:p w:rsidR="00FD1D5D" w:rsidRPr="00F914F5" w:rsidRDefault="00FD1D5D" w:rsidP="00F914F5">
      <w:pPr>
        <w:spacing w:after="0" w:line="240" w:lineRule="auto"/>
        <w:jc w:val="both"/>
      </w:pPr>
    </w:p>
    <w:p w:rsidR="00FD1D5D" w:rsidRPr="00F914F5" w:rsidRDefault="00FD1D5D" w:rsidP="00F914F5">
      <w:pPr>
        <w:spacing w:after="0" w:line="240" w:lineRule="auto"/>
        <w:jc w:val="both"/>
      </w:pPr>
    </w:p>
    <w:p w:rsidR="00FD1D5D" w:rsidRPr="00F914F5" w:rsidRDefault="00FD1D5D" w:rsidP="00F914F5">
      <w:pPr>
        <w:spacing w:after="0" w:line="240" w:lineRule="auto"/>
        <w:jc w:val="both"/>
      </w:pPr>
    </w:p>
    <w:p w:rsidR="00FD1D5D" w:rsidRDefault="00FD1D5D" w:rsidP="00F914F5">
      <w:pPr>
        <w:spacing w:after="0" w:line="240" w:lineRule="auto"/>
        <w:jc w:val="both"/>
      </w:pPr>
    </w:p>
    <w:p w:rsidR="00FD1D5D" w:rsidRPr="00F914F5" w:rsidRDefault="00FD1D5D" w:rsidP="00F914F5">
      <w:pPr>
        <w:spacing w:after="0" w:line="240" w:lineRule="auto"/>
        <w:jc w:val="both"/>
      </w:pPr>
    </w:p>
    <w:p w:rsidR="00C24649" w:rsidRPr="00F914F5" w:rsidRDefault="00C24649" w:rsidP="00F914F5">
      <w:pPr>
        <w:spacing w:after="0" w:line="240" w:lineRule="auto"/>
        <w:jc w:val="both"/>
      </w:pPr>
    </w:p>
    <w:p w:rsidR="00900C91" w:rsidRPr="00097B06" w:rsidRDefault="00900C91" w:rsidP="00F914F5">
      <w:pPr>
        <w:spacing w:after="0" w:line="240" w:lineRule="auto"/>
        <w:jc w:val="center"/>
        <w:rPr>
          <w:b/>
          <w:sz w:val="28"/>
        </w:rPr>
      </w:pPr>
      <w:r w:rsidRPr="00097B06">
        <w:rPr>
          <w:b/>
          <w:sz w:val="28"/>
        </w:rPr>
        <w:t>RELAZIONE PUBBLICA DI VALUTAZIONE</w:t>
      </w:r>
    </w:p>
    <w:p w:rsidR="00900C91" w:rsidRPr="00F914F5" w:rsidRDefault="00900C91" w:rsidP="00F914F5">
      <w:pPr>
        <w:spacing w:after="0" w:line="240" w:lineRule="auto"/>
        <w:jc w:val="center"/>
        <w:rPr>
          <w:b/>
        </w:rPr>
      </w:pPr>
    </w:p>
    <w:p w:rsidR="00900C91" w:rsidRPr="00F914F5" w:rsidRDefault="00900C91" w:rsidP="00F914F5">
      <w:pPr>
        <w:spacing w:after="0" w:line="240" w:lineRule="auto"/>
        <w:jc w:val="center"/>
        <w:rPr>
          <w:b/>
        </w:rPr>
      </w:pPr>
    </w:p>
    <w:p w:rsidR="00900C91" w:rsidRPr="00F914F5" w:rsidRDefault="00900C91" w:rsidP="00F914F5">
      <w:pPr>
        <w:spacing w:after="0" w:line="240" w:lineRule="auto"/>
        <w:jc w:val="center"/>
        <w:rPr>
          <w:b/>
        </w:rPr>
      </w:pPr>
    </w:p>
    <w:p w:rsidR="00900C91" w:rsidRPr="00F914F5" w:rsidRDefault="00900C91" w:rsidP="00F914F5">
      <w:pPr>
        <w:spacing w:after="0" w:line="240" w:lineRule="auto"/>
        <w:jc w:val="center"/>
        <w:rPr>
          <w:b/>
        </w:rPr>
      </w:pPr>
    </w:p>
    <w:p w:rsidR="00900C91" w:rsidRPr="00F914F5" w:rsidRDefault="00900C91" w:rsidP="00F914F5">
      <w:pPr>
        <w:spacing w:after="0" w:line="240" w:lineRule="auto"/>
        <w:jc w:val="center"/>
        <w:rPr>
          <w:b/>
        </w:rPr>
      </w:pPr>
      <w:r w:rsidRPr="00F914F5">
        <w:rPr>
          <w:b/>
        </w:rPr>
        <w:t>INDICE</w:t>
      </w:r>
    </w:p>
    <w:p w:rsidR="00900C91" w:rsidRPr="00F914F5" w:rsidRDefault="00900C91" w:rsidP="00F914F5">
      <w:pPr>
        <w:spacing w:after="0" w:line="240" w:lineRule="auto"/>
        <w:jc w:val="both"/>
      </w:pPr>
    </w:p>
    <w:p w:rsidR="00900C91" w:rsidRPr="00F914F5" w:rsidRDefault="00900C91" w:rsidP="00F914F5">
      <w:pPr>
        <w:spacing w:after="0" w:line="240" w:lineRule="auto"/>
        <w:jc w:val="both"/>
      </w:pPr>
    </w:p>
    <w:p w:rsidR="00900C91" w:rsidRPr="00F914F5" w:rsidRDefault="00900C91" w:rsidP="00F914F5">
      <w:pPr>
        <w:spacing w:after="0" w:line="240" w:lineRule="auto"/>
        <w:jc w:val="both"/>
      </w:pPr>
    </w:p>
    <w:p w:rsidR="00900C91" w:rsidRPr="00F914F5" w:rsidRDefault="00900C91" w:rsidP="00F914F5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F914F5">
        <w:rPr>
          <w:b/>
        </w:rPr>
        <w:t>INTRODUZIONE</w:t>
      </w:r>
    </w:p>
    <w:p w:rsidR="00900C91" w:rsidRPr="00F914F5" w:rsidRDefault="00900C91" w:rsidP="00F914F5">
      <w:pPr>
        <w:spacing w:after="0" w:line="240" w:lineRule="auto"/>
        <w:jc w:val="both"/>
      </w:pPr>
    </w:p>
    <w:p w:rsidR="00900C91" w:rsidRPr="00F914F5" w:rsidRDefault="00900C91" w:rsidP="00F914F5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F914F5">
        <w:rPr>
          <w:b/>
        </w:rPr>
        <w:t>ASPETTI DI QUALITA’</w:t>
      </w:r>
    </w:p>
    <w:p w:rsidR="00900C91" w:rsidRPr="00F914F5" w:rsidRDefault="00900C91" w:rsidP="00F914F5">
      <w:pPr>
        <w:pStyle w:val="Paragrafoelenco"/>
        <w:spacing w:after="0" w:line="240" w:lineRule="auto"/>
        <w:rPr>
          <w:b/>
        </w:rPr>
      </w:pPr>
    </w:p>
    <w:p w:rsidR="00900C91" w:rsidRPr="00F914F5" w:rsidRDefault="00900C91" w:rsidP="00F914F5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F914F5">
        <w:rPr>
          <w:b/>
        </w:rPr>
        <w:t>ASPETTI NON CLINICI</w:t>
      </w:r>
    </w:p>
    <w:p w:rsidR="00900C91" w:rsidRPr="00F914F5" w:rsidRDefault="00900C91" w:rsidP="00F914F5">
      <w:pPr>
        <w:pStyle w:val="Paragrafoelenco"/>
        <w:spacing w:after="0" w:line="240" w:lineRule="auto"/>
        <w:rPr>
          <w:b/>
        </w:rPr>
      </w:pPr>
    </w:p>
    <w:p w:rsidR="00900C91" w:rsidRPr="00F914F5" w:rsidRDefault="00900C91" w:rsidP="00F914F5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F914F5">
        <w:rPr>
          <w:b/>
        </w:rPr>
        <w:t>ASPETTI CLINICI</w:t>
      </w:r>
    </w:p>
    <w:p w:rsidR="00900C91" w:rsidRPr="00F914F5" w:rsidRDefault="00900C91" w:rsidP="00F914F5">
      <w:pPr>
        <w:pStyle w:val="Paragrafoelenco"/>
        <w:spacing w:after="0" w:line="240" w:lineRule="auto"/>
        <w:rPr>
          <w:b/>
        </w:rPr>
      </w:pPr>
    </w:p>
    <w:p w:rsidR="00900C91" w:rsidRPr="00F914F5" w:rsidRDefault="00900C91" w:rsidP="00F914F5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F914F5">
        <w:rPr>
          <w:b/>
        </w:rPr>
        <w:t>CONSULTAZIONE SUL FOGLIO ILLUSTRATIVO</w:t>
      </w:r>
    </w:p>
    <w:p w:rsidR="00900C91" w:rsidRPr="00F914F5" w:rsidRDefault="00900C91" w:rsidP="00F914F5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900C91" w:rsidRPr="00F914F5" w:rsidRDefault="00900C91" w:rsidP="00F914F5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F914F5">
        <w:rPr>
          <w:b/>
        </w:rPr>
        <w:t>CONCLUSIONI, VALUTAZIONE DEL RAPPORTO BENEFICIO/RISCHIO E RACCOMANDAZIONI</w:t>
      </w:r>
    </w:p>
    <w:p w:rsidR="00900C91" w:rsidRPr="00F914F5" w:rsidRDefault="00900C91" w:rsidP="00F914F5">
      <w:pPr>
        <w:spacing w:after="0" w:line="240" w:lineRule="auto"/>
      </w:pPr>
    </w:p>
    <w:p w:rsidR="00900C91" w:rsidRPr="00F914F5" w:rsidRDefault="00900C91" w:rsidP="00F914F5">
      <w:pPr>
        <w:spacing w:after="0" w:line="240" w:lineRule="auto"/>
      </w:pPr>
    </w:p>
    <w:p w:rsidR="00900C91" w:rsidRPr="00F914F5" w:rsidRDefault="00900C91" w:rsidP="00F914F5">
      <w:pPr>
        <w:spacing w:after="0" w:line="240" w:lineRule="auto"/>
      </w:pPr>
    </w:p>
    <w:p w:rsidR="00900C91" w:rsidRPr="00F914F5" w:rsidRDefault="00900C91" w:rsidP="00F914F5">
      <w:pPr>
        <w:spacing w:after="0" w:line="240" w:lineRule="auto"/>
      </w:pPr>
    </w:p>
    <w:p w:rsidR="00900C91" w:rsidRPr="00F914F5" w:rsidRDefault="00900C91" w:rsidP="00F914F5">
      <w:pPr>
        <w:spacing w:after="0" w:line="240" w:lineRule="auto"/>
      </w:pPr>
    </w:p>
    <w:p w:rsidR="00900C91" w:rsidRPr="00F914F5" w:rsidRDefault="00900C91" w:rsidP="00F914F5">
      <w:pPr>
        <w:spacing w:after="0" w:line="240" w:lineRule="auto"/>
      </w:pPr>
    </w:p>
    <w:p w:rsidR="00900C91" w:rsidRPr="00F914F5" w:rsidRDefault="00900C91" w:rsidP="00F914F5">
      <w:pPr>
        <w:spacing w:after="0" w:line="240" w:lineRule="auto"/>
      </w:pPr>
    </w:p>
    <w:p w:rsidR="00900C91" w:rsidRPr="00F914F5" w:rsidRDefault="00900C91" w:rsidP="00F914F5">
      <w:pPr>
        <w:spacing w:after="0" w:line="240" w:lineRule="auto"/>
      </w:pPr>
    </w:p>
    <w:p w:rsidR="00900C91" w:rsidRPr="00F914F5" w:rsidRDefault="00900C91" w:rsidP="00F914F5">
      <w:pPr>
        <w:spacing w:after="0" w:line="240" w:lineRule="auto"/>
      </w:pPr>
    </w:p>
    <w:p w:rsidR="00900C91" w:rsidRPr="00F914F5" w:rsidRDefault="00900C91" w:rsidP="00F914F5">
      <w:pPr>
        <w:spacing w:after="0" w:line="240" w:lineRule="auto"/>
      </w:pPr>
    </w:p>
    <w:p w:rsidR="00900C91" w:rsidRPr="00F914F5" w:rsidRDefault="00900C91" w:rsidP="00F914F5">
      <w:pPr>
        <w:spacing w:after="0" w:line="240" w:lineRule="auto"/>
      </w:pPr>
    </w:p>
    <w:p w:rsidR="00900C91" w:rsidRPr="00F914F5" w:rsidRDefault="00900C91" w:rsidP="00F914F5">
      <w:pPr>
        <w:spacing w:after="0" w:line="240" w:lineRule="auto"/>
      </w:pPr>
    </w:p>
    <w:p w:rsidR="00FD1D5D" w:rsidRPr="00F914F5" w:rsidRDefault="00FD1D5D" w:rsidP="00F914F5">
      <w:pPr>
        <w:spacing w:after="0" w:line="240" w:lineRule="auto"/>
      </w:pPr>
    </w:p>
    <w:p w:rsidR="00FD1D5D" w:rsidRPr="00F914F5" w:rsidRDefault="00FD1D5D" w:rsidP="00F914F5">
      <w:pPr>
        <w:spacing w:after="0" w:line="240" w:lineRule="auto"/>
      </w:pPr>
    </w:p>
    <w:p w:rsidR="00FD1D5D" w:rsidRPr="00F914F5" w:rsidRDefault="00FD1D5D" w:rsidP="00F914F5">
      <w:pPr>
        <w:spacing w:after="0" w:line="240" w:lineRule="auto"/>
      </w:pPr>
    </w:p>
    <w:p w:rsidR="00FD1D5D" w:rsidRPr="00F914F5" w:rsidRDefault="00FD1D5D" w:rsidP="00F914F5">
      <w:pPr>
        <w:spacing w:after="0" w:line="240" w:lineRule="auto"/>
      </w:pPr>
    </w:p>
    <w:p w:rsidR="00FD1D5D" w:rsidRPr="00F914F5" w:rsidRDefault="00FD1D5D" w:rsidP="00F914F5">
      <w:pPr>
        <w:spacing w:after="0" w:line="240" w:lineRule="auto"/>
      </w:pPr>
    </w:p>
    <w:p w:rsidR="00FD1D5D" w:rsidRPr="00F914F5" w:rsidRDefault="00FD1D5D" w:rsidP="00F914F5">
      <w:pPr>
        <w:spacing w:after="0" w:line="240" w:lineRule="auto"/>
      </w:pPr>
    </w:p>
    <w:p w:rsidR="00FD1D5D" w:rsidRPr="00F914F5" w:rsidRDefault="00FD1D5D" w:rsidP="00F914F5">
      <w:pPr>
        <w:spacing w:after="0" w:line="240" w:lineRule="auto"/>
      </w:pPr>
    </w:p>
    <w:p w:rsidR="00FD1D5D" w:rsidRPr="00F914F5" w:rsidRDefault="00FD1D5D" w:rsidP="00F914F5">
      <w:pPr>
        <w:spacing w:after="0" w:line="240" w:lineRule="auto"/>
      </w:pPr>
    </w:p>
    <w:p w:rsidR="00FD1D5D" w:rsidRPr="00F914F5" w:rsidRDefault="00FD1D5D" w:rsidP="00F914F5">
      <w:pPr>
        <w:spacing w:after="0" w:line="240" w:lineRule="auto"/>
      </w:pPr>
    </w:p>
    <w:p w:rsidR="00FD1D5D" w:rsidRPr="00F914F5" w:rsidRDefault="00FD1D5D" w:rsidP="00F914F5">
      <w:pPr>
        <w:spacing w:after="0" w:line="240" w:lineRule="auto"/>
      </w:pPr>
    </w:p>
    <w:p w:rsidR="00FD1D5D" w:rsidRPr="00F914F5" w:rsidRDefault="00FD1D5D" w:rsidP="00F914F5">
      <w:pPr>
        <w:spacing w:after="0" w:line="240" w:lineRule="auto"/>
      </w:pPr>
    </w:p>
    <w:p w:rsidR="00FD1D5D" w:rsidRPr="00F914F5" w:rsidRDefault="00FD1D5D" w:rsidP="00F914F5">
      <w:pPr>
        <w:spacing w:after="0" w:line="240" w:lineRule="auto"/>
      </w:pPr>
    </w:p>
    <w:p w:rsidR="00FD1D5D" w:rsidRPr="00F914F5" w:rsidRDefault="00FD1D5D" w:rsidP="00F914F5">
      <w:pPr>
        <w:spacing w:after="0" w:line="240" w:lineRule="auto"/>
      </w:pPr>
    </w:p>
    <w:p w:rsidR="00FD1D5D" w:rsidRPr="00F914F5" w:rsidRDefault="00FD1D5D" w:rsidP="00F914F5">
      <w:pPr>
        <w:spacing w:after="0" w:line="240" w:lineRule="auto"/>
      </w:pPr>
    </w:p>
    <w:p w:rsidR="00FD1D5D" w:rsidRPr="00F914F5" w:rsidRDefault="00FD1D5D" w:rsidP="00F914F5">
      <w:pPr>
        <w:spacing w:after="0" w:line="240" w:lineRule="auto"/>
      </w:pPr>
    </w:p>
    <w:p w:rsidR="00FD1D5D" w:rsidRPr="00F914F5" w:rsidRDefault="00FD1D5D" w:rsidP="00F914F5">
      <w:pPr>
        <w:spacing w:after="0" w:line="240" w:lineRule="auto"/>
      </w:pPr>
    </w:p>
    <w:p w:rsidR="00ED287E" w:rsidRPr="00F914F5" w:rsidRDefault="00ED287E" w:rsidP="00F914F5">
      <w:pPr>
        <w:spacing w:after="0" w:line="240" w:lineRule="auto"/>
      </w:pPr>
    </w:p>
    <w:p w:rsidR="00900C91" w:rsidRPr="00F914F5" w:rsidRDefault="00900C91" w:rsidP="00F914F5">
      <w:pPr>
        <w:spacing w:after="0" w:line="240" w:lineRule="auto"/>
      </w:pPr>
    </w:p>
    <w:p w:rsidR="00900C91" w:rsidRPr="00F914F5" w:rsidRDefault="00900C91" w:rsidP="00F914F5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F914F5">
        <w:rPr>
          <w:b/>
        </w:rPr>
        <w:lastRenderedPageBreak/>
        <w:t>INTRODUZIONE</w:t>
      </w:r>
    </w:p>
    <w:p w:rsidR="00900C91" w:rsidRPr="00F914F5" w:rsidRDefault="00900C91" w:rsidP="00F914F5">
      <w:pPr>
        <w:autoSpaceDE w:val="0"/>
        <w:autoSpaceDN w:val="0"/>
        <w:adjustRightInd w:val="0"/>
        <w:spacing w:after="0" w:line="240" w:lineRule="auto"/>
        <w:jc w:val="both"/>
      </w:pPr>
      <w:r w:rsidRPr="00F914F5">
        <w:t xml:space="preserve">Sulla base dei dati di qualità, sicurezza ed efficacia, l’AIFA ha rilasciato </w:t>
      </w:r>
      <w:r w:rsidR="00097B06">
        <w:t>a</w:t>
      </w:r>
      <w:r w:rsidR="008A33EC" w:rsidRPr="00F914F5">
        <w:t xml:space="preserve"> </w:t>
      </w:r>
      <w:r w:rsidR="004546EF" w:rsidRPr="00F914F5">
        <w:t xml:space="preserve">DOC </w:t>
      </w:r>
      <w:r w:rsidR="00097B06">
        <w:t>Generici</w:t>
      </w:r>
      <w:r w:rsidR="004546EF" w:rsidRPr="00F914F5">
        <w:t xml:space="preserve"> </w:t>
      </w:r>
      <w:r w:rsidRPr="00F914F5">
        <w:t xml:space="preserve">l’autorizzazione </w:t>
      </w:r>
      <w:r w:rsidRPr="00E24E1C">
        <w:t xml:space="preserve">all’immissione in commercio (AIC) per il medicinale </w:t>
      </w:r>
      <w:proofErr w:type="spellStart"/>
      <w:r w:rsidR="00075F06" w:rsidRPr="00E24E1C">
        <w:t>Amoxicillina</w:t>
      </w:r>
      <w:proofErr w:type="spellEnd"/>
      <w:r w:rsidR="00075F06" w:rsidRPr="00E24E1C">
        <w:t xml:space="preserve"> e </w:t>
      </w:r>
      <w:r w:rsidR="00097B06" w:rsidRPr="00E24E1C">
        <w:t>a</w:t>
      </w:r>
      <w:r w:rsidR="00075F06" w:rsidRPr="00E24E1C">
        <w:t xml:space="preserve">cido </w:t>
      </w:r>
      <w:proofErr w:type="spellStart"/>
      <w:r w:rsidR="00097B06" w:rsidRPr="00E24E1C">
        <w:t>c</w:t>
      </w:r>
      <w:r w:rsidR="00075F06" w:rsidRPr="00E24E1C">
        <w:t>lavulanico</w:t>
      </w:r>
      <w:proofErr w:type="spellEnd"/>
      <w:r w:rsidR="00075F06" w:rsidRPr="00E24E1C">
        <w:t xml:space="preserve"> DOC</w:t>
      </w:r>
      <w:r w:rsidRPr="00E24E1C">
        <w:t xml:space="preserve"> </w:t>
      </w:r>
      <w:r w:rsidR="00FD1D5D" w:rsidRPr="00E24E1C">
        <w:t xml:space="preserve">il </w:t>
      </w:r>
      <w:r w:rsidR="00E24E1C" w:rsidRPr="00E24E1C">
        <w:rPr>
          <w:rFonts w:eastAsia="Calibri" w:cs="Calibri"/>
          <w:bCs/>
          <w:iCs/>
          <w:lang w:eastAsia="it-IT"/>
        </w:rPr>
        <w:t>1 febbraio 2017.</w:t>
      </w:r>
    </w:p>
    <w:p w:rsidR="00C24649" w:rsidRPr="00F914F5" w:rsidRDefault="00C24649" w:rsidP="00F914F5">
      <w:pPr>
        <w:autoSpaceDE w:val="0"/>
        <w:autoSpaceDN w:val="0"/>
        <w:adjustRightInd w:val="0"/>
        <w:spacing w:after="0" w:line="240" w:lineRule="auto"/>
        <w:jc w:val="both"/>
      </w:pPr>
    </w:p>
    <w:p w:rsidR="00900C91" w:rsidRPr="00F914F5" w:rsidRDefault="00075F06" w:rsidP="00F914F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F914F5">
        <w:rPr>
          <w:rFonts w:eastAsia="Calibri" w:cs="Calibri"/>
          <w:color w:val="000000"/>
          <w:lang w:eastAsia="it-IT"/>
        </w:rPr>
        <w:t>Amoxicillina</w:t>
      </w:r>
      <w:proofErr w:type="spellEnd"/>
      <w:r w:rsidRPr="00F914F5">
        <w:rPr>
          <w:rFonts w:eastAsia="Calibri" w:cs="Calibri"/>
          <w:color w:val="000000"/>
          <w:lang w:eastAsia="it-IT"/>
        </w:rPr>
        <w:t xml:space="preserve"> e </w:t>
      </w:r>
      <w:r w:rsidR="00097B06">
        <w:rPr>
          <w:rFonts w:eastAsia="Calibri" w:cs="Calibri"/>
          <w:color w:val="000000"/>
          <w:lang w:eastAsia="it-IT"/>
        </w:rPr>
        <w:t>a</w:t>
      </w:r>
      <w:r w:rsidRPr="00F914F5">
        <w:rPr>
          <w:rFonts w:eastAsia="Calibri" w:cs="Calibri"/>
          <w:color w:val="000000"/>
          <w:lang w:eastAsia="it-IT"/>
        </w:rPr>
        <w:t xml:space="preserve">cido </w:t>
      </w:r>
      <w:proofErr w:type="spellStart"/>
      <w:r w:rsidR="00097B06">
        <w:rPr>
          <w:rFonts w:eastAsia="Calibri" w:cs="Calibri"/>
          <w:color w:val="000000"/>
          <w:lang w:eastAsia="it-IT"/>
        </w:rPr>
        <w:t>c</w:t>
      </w:r>
      <w:r w:rsidRPr="00F914F5">
        <w:rPr>
          <w:rFonts w:eastAsia="Calibri" w:cs="Calibri"/>
          <w:color w:val="000000"/>
          <w:lang w:eastAsia="it-IT"/>
        </w:rPr>
        <w:t>lavulanico</w:t>
      </w:r>
      <w:proofErr w:type="spellEnd"/>
      <w:r w:rsidRPr="00F914F5">
        <w:rPr>
          <w:rFonts w:eastAsia="Calibri" w:cs="Calibri"/>
          <w:color w:val="000000"/>
          <w:lang w:eastAsia="it-IT"/>
        </w:rPr>
        <w:t xml:space="preserve"> DOC</w:t>
      </w:r>
      <w:r w:rsidR="00900C91" w:rsidRPr="00F914F5">
        <w:rPr>
          <w:rFonts w:eastAsia="Calibri"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900C91" w:rsidRPr="00F914F5" w:rsidRDefault="00900C91" w:rsidP="00F914F5">
      <w:pPr>
        <w:spacing w:after="0" w:line="240" w:lineRule="auto"/>
        <w:jc w:val="both"/>
      </w:pPr>
    </w:p>
    <w:p w:rsidR="00900C91" w:rsidRPr="00F914F5" w:rsidRDefault="00900C91" w:rsidP="00F914F5">
      <w:pPr>
        <w:spacing w:after="0" w:line="240" w:lineRule="auto"/>
        <w:jc w:val="both"/>
      </w:pPr>
      <w:r w:rsidRPr="00F914F5">
        <w:t>Questa procedura è stata presentata ai sensi dell’art. 10</w:t>
      </w:r>
      <w:r w:rsidR="007461B9" w:rsidRPr="00F914F5">
        <w:t>(1)</w:t>
      </w:r>
      <w:r w:rsidRPr="00F914F5">
        <w:t xml:space="preserve"> della Direttiva 2001/83/EU </w:t>
      </w:r>
      <w:proofErr w:type="spellStart"/>
      <w:r w:rsidRPr="00F914F5">
        <w:t>s.m.i.</w:t>
      </w:r>
      <w:proofErr w:type="spellEnd"/>
    </w:p>
    <w:p w:rsidR="00900C91" w:rsidRPr="00F914F5" w:rsidRDefault="00900C91" w:rsidP="00F914F5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900C91" w:rsidRPr="00F914F5" w:rsidRDefault="00075F06" w:rsidP="00F914F5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F914F5">
        <w:rPr>
          <w:rFonts w:eastAsia="Calibri" w:cs="Calibri"/>
          <w:bCs/>
          <w:color w:val="000000"/>
          <w:lang w:eastAsia="it-IT"/>
        </w:rPr>
        <w:t>Amoxicillina</w:t>
      </w:r>
      <w:proofErr w:type="spellEnd"/>
      <w:r w:rsidRPr="00F914F5">
        <w:rPr>
          <w:rFonts w:eastAsia="Calibri" w:cs="Calibri"/>
          <w:bCs/>
          <w:color w:val="000000"/>
          <w:lang w:eastAsia="it-IT"/>
        </w:rPr>
        <w:t xml:space="preserve"> e acido </w:t>
      </w:r>
      <w:proofErr w:type="spellStart"/>
      <w:r w:rsidRPr="00F914F5">
        <w:rPr>
          <w:rFonts w:eastAsia="Calibri" w:cs="Calibri"/>
          <w:bCs/>
          <w:color w:val="000000"/>
          <w:lang w:eastAsia="it-IT"/>
        </w:rPr>
        <w:t>clavulanico</w:t>
      </w:r>
      <w:proofErr w:type="spellEnd"/>
      <w:r w:rsidRPr="00F914F5">
        <w:rPr>
          <w:rFonts w:eastAsia="Calibri" w:cs="Calibri"/>
          <w:bCs/>
          <w:color w:val="000000"/>
          <w:lang w:eastAsia="it-IT"/>
        </w:rPr>
        <w:t xml:space="preserve"> DOC</w:t>
      </w:r>
      <w:r w:rsidR="00900C91" w:rsidRPr="00F914F5">
        <w:rPr>
          <w:rFonts w:eastAsia="Calibri" w:cs="Calibri"/>
          <w:bCs/>
          <w:color w:val="000000"/>
          <w:lang w:eastAsia="it-IT"/>
        </w:rPr>
        <w:t xml:space="preserve"> </w:t>
      </w:r>
      <w:r w:rsidR="00900C91" w:rsidRPr="00F914F5">
        <w:rPr>
          <w:rFonts w:eastAsia="Calibri" w:cs="Calibri"/>
          <w:color w:val="000000"/>
          <w:lang w:eastAsia="it-IT"/>
        </w:rPr>
        <w:t>è un medicinale</w:t>
      </w:r>
      <w:r w:rsidR="009246CB" w:rsidRPr="00F914F5">
        <w:rPr>
          <w:rFonts w:eastAsia="Calibri" w:cs="Calibri"/>
          <w:color w:val="000000"/>
          <w:lang w:eastAsia="it-IT"/>
        </w:rPr>
        <w:t xml:space="preserve"> generico</w:t>
      </w:r>
      <w:r w:rsidR="00900C91" w:rsidRPr="00F914F5">
        <w:rPr>
          <w:rFonts w:eastAsia="Calibri" w:cs="Calibri"/>
          <w:color w:val="000000"/>
          <w:lang w:eastAsia="it-IT"/>
        </w:rPr>
        <w:t xml:space="preserve"> contenente</w:t>
      </w:r>
      <w:r w:rsidR="008A33EC" w:rsidRPr="00F914F5">
        <w:rPr>
          <w:rFonts w:eastAsia="Calibri" w:cs="Calibri"/>
          <w:color w:val="000000"/>
          <w:lang w:eastAsia="it-IT"/>
        </w:rPr>
        <w:t xml:space="preserve"> i principi</w:t>
      </w:r>
      <w:r w:rsidR="004546EF" w:rsidRPr="00F914F5">
        <w:rPr>
          <w:rFonts w:eastAsia="Calibri" w:cs="Calibri"/>
          <w:color w:val="000000"/>
          <w:lang w:eastAsia="it-IT"/>
        </w:rPr>
        <w:t xml:space="preserve"> </w:t>
      </w:r>
      <w:r w:rsidR="008A33EC" w:rsidRPr="00F914F5">
        <w:rPr>
          <w:rFonts w:eastAsia="Calibri" w:cs="Calibri"/>
          <w:color w:val="000000"/>
          <w:lang w:eastAsia="it-IT"/>
        </w:rPr>
        <w:t>attiv</w:t>
      </w:r>
      <w:r w:rsidR="004546EF" w:rsidRPr="00F914F5">
        <w:rPr>
          <w:rFonts w:eastAsia="Calibri" w:cs="Calibri"/>
          <w:color w:val="000000"/>
          <w:lang w:eastAsia="it-IT"/>
        </w:rPr>
        <w:t xml:space="preserve">i </w:t>
      </w:r>
      <w:proofErr w:type="spellStart"/>
      <w:r w:rsidR="004546EF" w:rsidRPr="00F914F5">
        <w:rPr>
          <w:rFonts w:eastAsia="Calibri" w:cs="Calibri"/>
          <w:color w:val="000000"/>
          <w:lang w:eastAsia="it-IT"/>
        </w:rPr>
        <w:t>amoxicillina</w:t>
      </w:r>
      <w:proofErr w:type="spellEnd"/>
      <w:r w:rsidR="004546EF" w:rsidRPr="00F914F5">
        <w:rPr>
          <w:rFonts w:eastAsia="Calibri" w:cs="Calibri"/>
          <w:color w:val="000000"/>
          <w:lang w:eastAsia="it-IT"/>
        </w:rPr>
        <w:t xml:space="preserve"> ed acido </w:t>
      </w:r>
      <w:proofErr w:type="spellStart"/>
      <w:r w:rsidR="004546EF" w:rsidRPr="00F914F5">
        <w:rPr>
          <w:rFonts w:eastAsia="Calibri" w:cs="Calibri"/>
          <w:color w:val="000000"/>
          <w:lang w:eastAsia="it-IT"/>
        </w:rPr>
        <w:t>clavulanico</w:t>
      </w:r>
      <w:proofErr w:type="spellEnd"/>
      <w:r w:rsidR="004546EF" w:rsidRPr="00F914F5">
        <w:rPr>
          <w:rFonts w:eastAsia="Calibri" w:cs="Calibri"/>
          <w:color w:val="000000"/>
          <w:lang w:eastAsia="it-IT"/>
        </w:rPr>
        <w:t>,</w:t>
      </w:r>
      <w:r w:rsidR="0064750D" w:rsidRPr="00F914F5">
        <w:rPr>
          <w:rFonts w:eastAsia="Calibri" w:cs="Calibri"/>
          <w:color w:val="000000"/>
          <w:lang w:eastAsia="it-IT"/>
        </w:rPr>
        <w:t xml:space="preserve"> </w:t>
      </w:r>
      <w:r w:rsidR="004546EF" w:rsidRPr="00F914F5">
        <w:rPr>
          <w:rFonts w:eastAsia="Calibri" w:cs="Calibri"/>
          <w:color w:val="000000"/>
          <w:lang w:eastAsia="it-IT"/>
        </w:rPr>
        <w:t xml:space="preserve">presenti </w:t>
      </w:r>
      <w:r w:rsidR="007E00D8" w:rsidRPr="00F914F5">
        <w:rPr>
          <w:rFonts w:eastAsia="Calibri" w:cs="Calibri"/>
          <w:color w:val="000000"/>
          <w:lang w:eastAsia="it-IT"/>
        </w:rPr>
        <w:t xml:space="preserve">nel medicinale di riferimento </w:t>
      </w:r>
      <w:proofErr w:type="spellStart"/>
      <w:r w:rsidRPr="00F914F5">
        <w:rPr>
          <w:rFonts w:eastAsia="Calibri" w:cs="Calibri"/>
          <w:color w:val="000000"/>
          <w:lang w:eastAsia="it-IT"/>
        </w:rPr>
        <w:t>Augmentin</w:t>
      </w:r>
      <w:proofErr w:type="spellEnd"/>
      <w:r w:rsidR="007E00D8" w:rsidRPr="00F914F5">
        <w:rPr>
          <w:rFonts w:eastAsia="Calibri" w:cs="Calibri"/>
          <w:color w:val="000000"/>
          <w:lang w:eastAsia="it-IT"/>
        </w:rPr>
        <w:t>, autorizzato in Italia da più di 10 anni.</w:t>
      </w:r>
    </w:p>
    <w:p w:rsidR="007E00D8" w:rsidRPr="00F914F5" w:rsidRDefault="007E00D8" w:rsidP="00F914F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546EF" w:rsidRPr="00F914F5" w:rsidRDefault="004546EF" w:rsidP="00F914F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F914F5">
        <w:rPr>
          <w:rFonts w:eastAsia="Calibri" w:cs="Calibri"/>
          <w:bCs/>
          <w:color w:val="000000"/>
          <w:lang w:eastAsia="it-IT"/>
        </w:rPr>
        <w:t>Amoxicillina</w:t>
      </w:r>
      <w:proofErr w:type="spellEnd"/>
      <w:r w:rsidRPr="00F914F5">
        <w:rPr>
          <w:rFonts w:eastAsia="Calibri" w:cs="Calibri"/>
          <w:bCs/>
          <w:color w:val="000000"/>
          <w:lang w:eastAsia="it-IT"/>
        </w:rPr>
        <w:t xml:space="preserve"> e </w:t>
      </w:r>
      <w:r w:rsidR="00097B06">
        <w:rPr>
          <w:rFonts w:eastAsia="Calibri" w:cs="Calibri"/>
          <w:bCs/>
          <w:color w:val="000000"/>
          <w:lang w:eastAsia="it-IT"/>
        </w:rPr>
        <w:t>a</w:t>
      </w:r>
      <w:r w:rsidR="0064750D" w:rsidRPr="00F914F5">
        <w:rPr>
          <w:rFonts w:eastAsia="Calibri" w:cs="Calibri"/>
          <w:bCs/>
          <w:color w:val="000000"/>
          <w:lang w:eastAsia="it-IT"/>
        </w:rPr>
        <w:t xml:space="preserve">cido </w:t>
      </w:r>
      <w:proofErr w:type="spellStart"/>
      <w:r w:rsidR="00097B06">
        <w:rPr>
          <w:rFonts w:eastAsia="Calibri" w:cs="Calibri"/>
          <w:bCs/>
          <w:color w:val="000000"/>
          <w:lang w:eastAsia="it-IT"/>
        </w:rPr>
        <w:t>c</w:t>
      </w:r>
      <w:r w:rsidRPr="00F914F5">
        <w:rPr>
          <w:rFonts w:eastAsia="Calibri" w:cs="Calibri"/>
          <w:bCs/>
          <w:color w:val="000000"/>
          <w:lang w:eastAsia="it-IT"/>
        </w:rPr>
        <w:t>lavulanico</w:t>
      </w:r>
      <w:proofErr w:type="spellEnd"/>
      <w:r w:rsidRPr="00F914F5">
        <w:rPr>
          <w:rFonts w:eastAsia="Calibri" w:cs="Calibri"/>
          <w:bCs/>
          <w:color w:val="000000"/>
          <w:lang w:eastAsia="it-IT"/>
        </w:rPr>
        <w:t xml:space="preserve"> DOC, il cui codice ATC è </w:t>
      </w:r>
      <w:r w:rsidRPr="00F914F5">
        <w:t>J01CR02</w:t>
      </w:r>
      <w:r w:rsidRPr="00F914F5">
        <w:rPr>
          <w:rFonts w:eastAsia="DejaVuSans" w:cs="DejaVuSans"/>
        </w:rPr>
        <w:t xml:space="preserve">, </w:t>
      </w:r>
      <w:r w:rsidRPr="00F914F5">
        <w:rPr>
          <w:rFonts w:eastAsia="Calibri" w:cs="Calibri"/>
          <w:color w:val="000000"/>
          <w:lang w:eastAsia="it-IT"/>
        </w:rPr>
        <w:t>contiene i principi attiv</w:t>
      </w:r>
      <w:r w:rsidR="00097B06">
        <w:rPr>
          <w:rFonts w:eastAsia="Calibri" w:cs="Calibri"/>
          <w:color w:val="000000"/>
          <w:lang w:eastAsia="it-IT"/>
        </w:rPr>
        <w:t>i</w:t>
      </w:r>
      <w:r w:rsidRPr="00F914F5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F914F5">
        <w:rPr>
          <w:rFonts w:eastAsia="Calibri" w:cs="Calibri"/>
          <w:color w:val="000000"/>
          <w:lang w:eastAsia="it-IT"/>
        </w:rPr>
        <w:t>amoxicillina</w:t>
      </w:r>
      <w:proofErr w:type="spellEnd"/>
      <w:r w:rsidR="00097B06">
        <w:rPr>
          <w:rFonts w:eastAsia="Calibri" w:cs="Calibri"/>
          <w:color w:val="000000"/>
          <w:lang w:eastAsia="it-IT"/>
        </w:rPr>
        <w:t xml:space="preserve"> e </w:t>
      </w:r>
      <w:r w:rsidRPr="00F914F5">
        <w:rPr>
          <w:rFonts w:eastAsia="Calibri" w:cs="Calibri"/>
          <w:color w:val="000000"/>
          <w:lang w:eastAsia="it-IT"/>
        </w:rPr>
        <w:t xml:space="preserve">acido </w:t>
      </w:r>
      <w:proofErr w:type="spellStart"/>
      <w:r w:rsidRPr="00F914F5">
        <w:rPr>
          <w:rFonts w:eastAsia="Calibri" w:cs="Calibri"/>
          <w:color w:val="000000"/>
          <w:lang w:eastAsia="it-IT"/>
        </w:rPr>
        <w:t>clavulanico</w:t>
      </w:r>
      <w:proofErr w:type="spellEnd"/>
      <w:r w:rsidRPr="00F914F5">
        <w:rPr>
          <w:rFonts w:eastAsia="Calibri" w:cs="Calibri"/>
          <w:color w:val="000000"/>
          <w:lang w:eastAsia="it-IT"/>
        </w:rPr>
        <w:t xml:space="preserve">.  </w:t>
      </w:r>
    </w:p>
    <w:p w:rsidR="004546EF" w:rsidRPr="00F914F5" w:rsidRDefault="004546EF" w:rsidP="00F914F5">
      <w:pPr>
        <w:autoSpaceDE w:val="0"/>
        <w:autoSpaceDN w:val="0"/>
        <w:adjustRightInd w:val="0"/>
        <w:spacing w:after="0" w:line="240" w:lineRule="auto"/>
        <w:jc w:val="both"/>
      </w:pPr>
      <w:r w:rsidRPr="00F914F5">
        <w:t>L’</w:t>
      </w:r>
      <w:proofErr w:type="spellStart"/>
      <w:r w:rsidRPr="00F914F5">
        <w:t>amoxicillina</w:t>
      </w:r>
      <w:proofErr w:type="spellEnd"/>
      <w:r w:rsidR="00097B06" w:rsidRPr="00F914F5">
        <w:rPr>
          <w:rFonts w:eastAsia="Calibri" w:cs="Calibri"/>
          <w:color w:val="000000"/>
          <w:lang w:eastAsia="it-IT"/>
        </w:rPr>
        <w:t>, che è un antibiotico appartenente al gruppo delle penicilline</w:t>
      </w:r>
      <w:r w:rsidR="00097B06">
        <w:rPr>
          <w:rFonts w:eastAsia="Calibri" w:cs="Calibri"/>
          <w:color w:val="000000"/>
          <w:lang w:eastAsia="it-IT"/>
        </w:rPr>
        <w:t>,</w:t>
      </w:r>
      <w:r w:rsidR="00097B06" w:rsidRPr="00F914F5">
        <w:t xml:space="preserve"> esercita</w:t>
      </w:r>
      <w:r w:rsidRPr="00F914F5">
        <w:t xml:space="preserve"> la sua azione </w:t>
      </w:r>
      <w:r w:rsidR="00097B06">
        <w:t>antibatterica</w:t>
      </w:r>
      <w:r w:rsidRPr="00F914F5">
        <w:t xml:space="preserve"> </w:t>
      </w:r>
      <w:r w:rsidR="00097B06">
        <w:t>mediante l’inibizione di</w:t>
      </w:r>
      <w:r w:rsidRPr="00F914F5">
        <w:t xml:space="preserve"> uno o più enzimi (spesso riferiti come proteine leganti la penicillina, PBP) che servono alla riproduzione dei batteri, determinando la rottura della  parete cellulare batterica e la morte del batterio.</w:t>
      </w:r>
    </w:p>
    <w:p w:rsidR="004546EF" w:rsidRPr="00F914F5" w:rsidRDefault="004546EF" w:rsidP="00F914F5">
      <w:pPr>
        <w:autoSpaceDE w:val="0"/>
        <w:autoSpaceDN w:val="0"/>
        <w:adjustRightInd w:val="0"/>
        <w:spacing w:after="0" w:line="240" w:lineRule="auto"/>
        <w:jc w:val="both"/>
      </w:pPr>
      <w:r w:rsidRPr="00F914F5">
        <w:rPr>
          <w:rFonts w:eastAsia="Calibri" w:cs="Calibri"/>
          <w:color w:val="000000"/>
          <w:lang w:eastAsia="it-IT"/>
        </w:rPr>
        <w:t xml:space="preserve">L’acido </w:t>
      </w:r>
      <w:proofErr w:type="spellStart"/>
      <w:r w:rsidRPr="00F914F5">
        <w:rPr>
          <w:rFonts w:eastAsia="Calibri" w:cs="Calibri"/>
          <w:color w:val="000000"/>
          <w:lang w:eastAsia="it-IT"/>
        </w:rPr>
        <w:t>clavulanico</w:t>
      </w:r>
      <w:proofErr w:type="spellEnd"/>
      <w:r w:rsidRPr="00F914F5">
        <w:rPr>
          <w:rFonts w:eastAsia="Calibri" w:cs="Calibri"/>
          <w:color w:val="000000"/>
          <w:lang w:eastAsia="it-IT"/>
        </w:rPr>
        <w:t xml:space="preserve"> è una sostanza che favorisce l’azione della </w:t>
      </w:r>
      <w:proofErr w:type="spellStart"/>
      <w:r w:rsidRPr="00F914F5">
        <w:rPr>
          <w:rFonts w:eastAsia="Calibri" w:cs="Calibri"/>
          <w:color w:val="000000"/>
          <w:lang w:eastAsia="it-IT"/>
        </w:rPr>
        <w:t>amoxicillina</w:t>
      </w:r>
      <w:proofErr w:type="spellEnd"/>
      <w:r w:rsidRPr="00F914F5">
        <w:rPr>
          <w:rFonts w:eastAsia="Calibri" w:cs="Calibri"/>
          <w:color w:val="000000"/>
          <w:lang w:eastAsia="it-IT"/>
        </w:rPr>
        <w:t xml:space="preserve">, ma da solo </w:t>
      </w:r>
      <w:r w:rsidRPr="00F914F5">
        <w:t>non esercita un effetto antibatterico clinicamente utile.</w:t>
      </w:r>
    </w:p>
    <w:p w:rsidR="00097B06" w:rsidRDefault="00097B06" w:rsidP="00F914F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F8588A" w:rsidRPr="00F914F5" w:rsidRDefault="00F8588A" w:rsidP="00F8588A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F914F5">
        <w:t>Amoxicillina</w:t>
      </w:r>
      <w:proofErr w:type="spellEnd"/>
      <w:r w:rsidRPr="00F914F5">
        <w:t xml:space="preserve"> e acido </w:t>
      </w:r>
      <w:proofErr w:type="spellStart"/>
      <w:r w:rsidRPr="00F914F5">
        <w:t>clavulanico</w:t>
      </w:r>
      <w:proofErr w:type="spellEnd"/>
      <w:r w:rsidRPr="00F914F5">
        <w:t xml:space="preserve"> DOC è utilizzato nel trattamento delle seguenti infezioni negli adulti e nei bambini: Sinusite batterica acuta, otite media acuta, esacerbazioni acute di bronchiti croniche, polmonite acquisita in comunità, cistite, pielonefrite, infezioni della pelle e dei tessuti molli in particolare cellulite, morsi di animale, ascesso dentale grave con cellulite diffusa, infezioni ossee ed articolari, in particolare osteomielite.</w:t>
      </w:r>
    </w:p>
    <w:p w:rsidR="00097B06" w:rsidRPr="00F914F5" w:rsidRDefault="00097B06" w:rsidP="00F914F5">
      <w:pPr>
        <w:autoSpaceDE w:val="0"/>
        <w:autoSpaceDN w:val="0"/>
        <w:adjustRightInd w:val="0"/>
        <w:spacing w:after="0" w:line="240" w:lineRule="auto"/>
        <w:jc w:val="both"/>
      </w:pPr>
    </w:p>
    <w:p w:rsidR="00900C91" w:rsidRPr="00F914F5" w:rsidRDefault="00900C91" w:rsidP="00F914F5">
      <w:pPr>
        <w:spacing w:after="0" w:line="240" w:lineRule="auto"/>
        <w:jc w:val="both"/>
      </w:pPr>
      <w:r w:rsidRPr="00F914F5">
        <w:t xml:space="preserve">Poiché </w:t>
      </w:r>
      <w:proofErr w:type="spellStart"/>
      <w:r w:rsidR="00075F06" w:rsidRPr="00F914F5">
        <w:t>Amoxicillina</w:t>
      </w:r>
      <w:proofErr w:type="spellEnd"/>
      <w:r w:rsidR="00075F06" w:rsidRPr="00F914F5">
        <w:t xml:space="preserve"> e </w:t>
      </w:r>
      <w:r w:rsidR="00097B06">
        <w:t>a</w:t>
      </w:r>
      <w:r w:rsidR="00075F06" w:rsidRPr="00F914F5">
        <w:t xml:space="preserve">cido </w:t>
      </w:r>
      <w:proofErr w:type="spellStart"/>
      <w:r w:rsidR="00097B06">
        <w:t>c</w:t>
      </w:r>
      <w:r w:rsidR="00075F06" w:rsidRPr="00F914F5">
        <w:t>lavulanico</w:t>
      </w:r>
      <w:proofErr w:type="spellEnd"/>
      <w:r w:rsidR="00075F06" w:rsidRPr="00F914F5">
        <w:t xml:space="preserve"> DOC</w:t>
      </w:r>
      <w:r w:rsidRPr="00F914F5">
        <w:t xml:space="preserve"> contiene </w:t>
      </w:r>
      <w:r w:rsidR="008A33EC" w:rsidRPr="00F914F5">
        <w:t>principi attiv</w:t>
      </w:r>
      <w:r w:rsidR="004546EF" w:rsidRPr="00F914F5">
        <w:t>i</w:t>
      </w:r>
      <w:r w:rsidR="008A33EC" w:rsidRPr="00F914F5">
        <w:t xml:space="preserve"> not</w:t>
      </w:r>
      <w:r w:rsidR="004546EF" w:rsidRPr="00F914F5">
        <w:t>i,</w:t>
      </w:r>
      <w:r w:rsidR="008A4633" w:rsidRPr="00F914F5">
        <w:t xml:space="preserve"> </w:t>
      </w:r>
      <w:r w:rsidRPr="00F914F5">
        <w:t xml:space="preserve">non sono stati forniti nuovi dati non clinici e clinici: questo approccio è accettabile poiché il medicinale di riferimento </w:t>
      </w:r>
      <w:proofErr w:type="spellStart"/>
      <w:r w:rsidR="00075F06" w:rsidRPr="00F914F5">
        <w:t>Augmentin</w:t>
      </w:r>
      <w:proofErr w:type="spellEnd"/>
      <w:r w:rsidRPr="00F914F5">
        <w:t xml:space="preserve"> è autorizzato </w:t>
      </w:r>
      <w:r w:rsidR="00A41EA1" w:rsidRPr="00F914F5">
        <w:t xml:space="preserve">in Italia </w:t>
      </w:r>
      <w:r w:rsidRPr="00F914F5">
        <w:t>da oltre 10 anni.</w:t>
      </w:r>
    </w:p>
    <w:p w:rsidR="00900C91" w:rsidRPr="00F914F5" w:rsidRDefault="00900C91" w:rsidP="00F914F5">
      <w:pPr>
        <w:spacing w:after="0" w:line="240" w:lineRule="auto"/>
        <w:jc w:val="both"/>
      </w:pPr>
    </w:p>
    <w:p w:rsidR="008A59E9" w:rsidRPr="00F914F5" w:rsidRDefault="00900C91" w:rsidP="00F914F5">
      <w:pPr>
        <w:spacing w:after="0" w:line="240" w:lineRule="auto"/>
        <w:jc w:val="both"/>
      </w:pPr>
      <w:r w:rsidRPr="00F914F5">
        <w:t>Le officine coinvolte nella produzione sono conformi alle linee guida di Buona Pratica di Fabbricazione (</w:t>
      </w:r>
      <w:proofErr w:type="spellStart"/>
      <w:r w:rsidRPr="00F914F5">
        <w:rPr>
          <w:i/>
        </w:rPr>
        <w:t>Good</w:t>
      </w:r>
      <w:proofErr w:type="spellEnd"/>
      <w:r w:rsidRPr="00F914F5">
        <w:rPr>
          <w:i/>
        </w:rPr>
        <w:t xml:space="preserve"> Manufacturing </w:t>
      </w:r>
      <w:proofErr w:type="spellStart"/>
      <w:r w:rsidRPr="00F914F5">
        <w:rPr>
          <w:i/>
        </w:rPr>
        <w:t>Practice</w:t>
      </w:r>
      <w:proofErr w:type="spellEnd"/>
      <w:r w:rsidRPr="00F914F5">
        <w:t xml:space="preserve"> - GMP). </w:t>
      </w:r>
      <w:r w:rsidR="008A59E9" w:rsidRPr="00F914F5">
        <w:t xml:space="preserve">Le autorità </w:t>
      </w:r>
      <w:proofErr w:type="spellStart"/>
      <w:r w:rsidR="00E35FFF" w:rsidRPr="00F914F5">
        <w:t>regolatorie</w:t>
      </w:r>
      <w:proofErr w:type="spellEnd"/>
      <w:r w:rsidR="008A59E9" w:rsidRPr="00F914F5">
        <w:t xml:space="preserve"> europee competenti hanno rilasciato i certificati GMP per i siti di produzione.</w:t>
      </w:r>
    </w:p>
    <w:p w:rsidR="00900C91" w:rsidRPr="00F914F5" w:rsidRDefault="00900C91" w:rsidP="00F914F5">
      <w:pPr>
        <w:spacing w:after="0" w:line="240" w:lineRule="auto"/>
        <w:jc w:val="both"/>
        <w:rPr>
          <w:highlight w:val="yellow"/>
        </w:rPr>
      </w:pPr>
    </w:p>
    <w:p w:rsidR="00900C91" w:rsidRPr="00F914F5" w:rsidRDefault="00900C91" w:rsidP="00F914F5">
      <w:pPr>
        <w:spacing w:after="0" w:line="240" w:lineRule="auto"/>
        <w:jc w:val="both"/>
      </w:pPr>
      <w:r w:rsidRPr="00F914F5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F914F5">
        <w:rPr>
          <w:i/>
        </w:rPr>
        <w:t>Risk</w:t>
      </w:r>
      <w:proofErr w:type="spellEnd"/>
      <w:r w:rsidRPr="00F914F5">
        <w:rPr>
          <w:i/>
        </w:rPr>
        <w:t xml:space="preserve"> Management </w:t>
      </w:r>
      <w:proofErr w:type="spellStart"/>
      <w:r w:rsidRPr="00F914F5">
        <w:rPr>
          <w:i/>
        </w:rPr>
        <w:t>Plan</w:t>
      </w:r>
      <w:proofErr w:type="spellEnd"/>
      <w:r w:rsidRPr="00F914F5">
        <w:t xml:space="preserve"> – RMP) accettabile.</w:t>
      </w:r>
    </w:p>
    <w:p w:rsidR="00900C91" w:rsidRPr="00F914F5" w:rsidRDefault="00900C91" w:rsidP="00F914F5">
      <w:pPr>
        <w:spacing w:after="0" w:line="240" w:lineRule="auto"/>
        <w:jc w:val="both"/>
      </w:pPr>
    </w:p>
    <w:p w:rsidR="00900C91" w:rsidRPr="00F914F5" w:rsidRDefault="00900C91" w:rsidP="00F914F5">
      <w:pPr>
        <w:spacing w:after="0" w:line="240" w:lineRule="auto"/>
        <w:jc w:val="both"/>
      </w:pPr>
      <w:r w:rsidRPr="00F914F5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075F06" w:rsidRPr="00F914F5">
        <w:t>Amoxicillina</w:t>
      </w:r>
      <w:proofErr w:type="spellEnd"/>
      <w:r w:rsidR="00075F06" w:rsidRPr="00F914F5">
        <w:t xml:space="preserve"> e </w:t>
      </w:r>
      <w:r w:rsidR="0064750D" w:rsidRPr="00F914F5">
        <w:t>A</w:t>
      </w:r>
      <w:r w:rsidR="00075F06" w:rsidRPr="00F914F5">
        <w:t xml:space="preserve">cido </w:t>
      </w:r>
      <w:proofErr w:type="spellStart"/>
      <w:r w:rsidR="0064750D" w:rsidRPr="00F914F5">
        <w:t>C</w:t>
      </w:r>
      <w:r w:rsidR="00075F06" w:rsidRPr="00F914F5">
        <w:t>lavulanico</w:t>
      </w:r>
      <w:proofErr w:type="spellEnd"/>
      <w:r w:rsidR="00075F06" w:rsidRPr="00F914F5">
        <w:t xml:space="preserve"> DOC</w:t>
      </w:r>
      <w:r w:rsidRPr="00F914F5">
        <w:t xml:space="preserve"> contiene principi attivi noti presenti in medicinali autorizzati; inoltre, non sono presenti componenti geneticamente modificati; il metodo di produzione e la formulazione del medicinale non presentano problematiche di carattere ambientale.</w:t>
      </w:r>
    </w:p>
    <w:p w:rsidR="00900C91" w:rsidRPr="00F914F5" w:rsidRDefault="00900C91" w:rsidP="00F914F5">
      <w:pPr>
        <w:spacing w:after="0" w:line="240" w:lineRule="auto"/>
        <w:jc w:val="both"/>
      </w:pPr>
    </w:p>
    <w:p w:rsidR="008A4633" w:rsidRPr="00F914F5" w:rsidRDefault="008A4633" w:rsidP="00F914F5">
      <w:pPr>
        <w:spacing w:after="0" w:line="240" w:lineRule="auto"/>
        <w:jc w:val="both"/>
      </w:pPr>
    </w:p>
    <w:p w:rsidR="00900C91" w:rsidRPr="00F914F5" w:rsidRDefault="00900C91" w:rsidP="00F914F5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F914F5">
        <w:rPr>
          <w:b/>
        </w:rPr>
        <w:t>ASPETTI DI QUALITA’</w:t>
      </w:r>
    </w:p>
    <w:p w:rsidR="00900C91" w:rsidRPr="00F914F5" w:rsidRDefault="00900C91" w:rsidP="00F914F5">
      <w:pPr>
        <w:spacing w:after="0" w:line="240" w:lineRule="auto"/>
        <w:jc w:val="both"/>
      </w:pPr>
      <w:r w:rsidRPr="00F914F5">
        <w:rPr>
          <w:b/>
        </w:rPr>
        <w:t xml:space="preserve">II.1a PRINCIPIO ATTIVO </w:t>
      </w:r>
      <w:proofErr w:type="spellStart"/>
      <w:r w:rsidR="0002134A" w:rsidRPr="00F914F5">
        <w:rPr>
          <w:b/>
        </w:rPr>
        <w:t>Amoxicillina</w:t>
      </w:r>
      <w:proofErr w:type="spellEnd"/>
      <w:r w:rsidR="0002134A" w:rsidRPr="00F914F5">
        <w:rPr>
          <w:b/>
        </w:rPr>
        <w:t xml:space="preserve"> </w:t>
      </w:r>
      <w:r w:rsidR="00B73716" w:rsidRPr="00F914F5">
        <w:rPr>
          <w:b/>
        </w:rPr>
        <w:t xml:space="preserve"> </w:t>
      </w:r>
    </w:p>
    <w:p w:rsidR="0064750D" w:rsidRPr="00F914F5" w:rsidRDefault="00900C91" w:rsidP="00097B06">
      <w:pPr>
        <w:spacing w:after="0" w:line="240" w:lineRule="auto"/>
        <w:jc w:val="both"/>
      </w:pPr>
      <w:r w:rsidRPr="00097B06">
        <w:rPr>
          <w:u w:val="single"/>
        </w:rPr>
        <w:t>Nome chimico</w:t>
      </w:r>
      <w:r w:rsidR="00097B06">
        <w:t xml:space="preserve">: </w:t>
      </w:r>
      <w:r w:rsidR="008D710E" w:rsidRPr="00097B06">
        <w:t xml:space="preserve"> (2S,5R,6R)-6-[[(2R)-2-Amino-2-(4-hydroxyphenyl)acetyl]amino]-3,3-dimethyl-7-oxo-4-thia-1-</w:t>
      </w:r>
      <w:r w:rsidR="008D710E" w:rsidRPr="00F914F5">
        <w:t xml:space="preserve">azabicyclo[3.2.0]heptane-2-carboxylic acid </w:t>
      </w:r>
      <w:proofErr w:type="spellStart"/>
      <w:r w:rsidR="008D710E" w:rsidRPr="00F914F5">
        <w:t>trihydrate</w:t>
      </w:r>
      <w:proofErr w:type="spellEnd"/>
    </w:p>
    <w:p w:rsidR="00F8588A" w:rsidRDefault="00F8588A" w:rsidP="00F914F5">
      <w:pPr>
        <w:autoSpaceDE w:val="0"/>
        <w:autoSpaceDN w:val="0"/>
        <w:adjustRightInd w:val="0"/>
        <w:spacing w:after="0" w:line="240" w:lineRule="auto"/>
        <w:rPr>
          <w:u w:val="single"/>
        </w:rPr>
      </w:pPr>
    </w:p>
    <w:p w:rsidR="00F8588A" w:rsidRDefault="00F8588A" w:rsidP="00F914F5">
      <w:pPr>
        <w:autoSpaceDE w:val="0"/>
        <w:autoSpaceDN w:val="0"/>
        <w:adjustRightInd w:val="0"/>
        <w:spacing w:after="0" w:line="240" w:lineRule="auto"/>
        <w:rPr>
          <w:u w:val="single"/>
        </w:rPr>
      </w:pPr>
    </w:p>
    <w:p w:rsidR="00F8588A" w:rsidRDefault="00F8588A" w:rsidP="00F914F5">
      <w:pPr>
        <w:autoSpaceDE w:val="0"/>
        <w:autoSpaceDN w:val="0"/>
        <w:adjustRightInd w:val="0"/>
        <w:spacing w:after="0" w:line="240" w:lineRule="auto"/>
        <w:rPr>
          <w:u w:val="single"/>
        </w:rPr>
      </w:pPr>
    </w:p>
    <w:p w:rsidR="00F8588A" w:rsidRDefault="00F8588A" w:rsidP="00F914F5">
      <w:pPr>
        <w:autoSpaceDE w:val="0"/>
        <w:autoSpaceDN w:val="0"/>
        <w:adjustRightInd w:val="0"/>
        <w:spacing w:after="0" w:line="240" w:lineRule="auto"/>
        <w:rPr>
          <w:u w:val="single"/>
        </w:rPr>
      </w:pPr>
    </w:p>
    <w:p w:rsidR="00900C91" w:rsidRPr="00F914F5" w:rsidRDefault="00900C91" w:rsidP="00F914F5">
      <w:pPr>
        <w:autoSpaceDE w:val="0"/>
        <w:autoSpaceDN w:val="0"/>
        <w:adjustRightInd w:val="0"/>
        <w:spacing w:after="0" w:line="240" w:lineRule="auto"/>
      </w:pPr>
      <w:r w:rsidRPr="00097B06">
        <w:rPr>
          <w:u w:val="single"/>
        </w:rPr>
        <w:lastRenderedPageBreak/>
        <w:t>Struttura</w:t>
      </w:r>
      <w:r w:rsidRPr="00F914F5">
        <w:t>:</w:t>
      </w:r>
    </w:p>
    <w:p w:rsidR="008D710E" w:rsidRPr="00F914F5" w:rsidRDefault="008D710E" w:rsidP="00F914F5">
      <w:pPr>
        <w:spacing w:after="0" w:line="240" w:lineRule="auto"/>
        <w:jc w:val="center"/>
        <w:rPr>
          <w:noProof/>
          <w:lang w:eastAsia="it-IT"/>
        </w:rPr>
      </w:pPr>
      <w:r w:rsidRPr="00F914F5">
        <w:rPr>
          <w:noProof/>
          <w:lang w:eastAsia="it-IT"/>
        </w:rPr>
        <w:drawing>
          <wp:inline distT="0" distB="0" distL="0" distR="0">
            <wp:extent cx="2030513" cy="694143"/>
            <wp:effectExtent l="19050" t="0" r="7837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927" cy="695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710E" w:rsidRPr="00F914F5" w:rsidRDefault="008D710E" w:rsidP="00F914F5">
      <w:pPr>
        <w:spacing w:after="0" w:line="240" w:lineRule="auto"/>
        <w:jc w:val="center"/>
        <w:rPr>
          <w:noProof/>
          <w:lang w:eastAsia="it-IT"/>
        </w:rPr>
      </w:pPr>
    </w:p>
    <w:p w:rsidR="0064750D" w:rsidRPr="00F914F5" w:rsidRDefault="00341525" w:rsidP="00F914F5">
      <w:pPr>
        <w:spacing w:after="0" w:line="240" w:lineRule="auto"/>
        <w:jc w:val="both"/>
      </w:pPr>
      <w:r w:rsidRPr="00097B06">
        <w:rPr>
          <w:u w:val="single"/>
        </w:rPr>
        <w:t>Formula molecolare</w:t>
      </w:r>
      <w:r w:rsidRPr="00F914F5">
        <w:t xml:space="preserve">: </w:t>
      </w:r>
      <w:r w:rsidR="008D710E" w:rsidRPr="00F914F5">
        <w:t>C</w:t>
      </w:r>
      <w:r w:rsidR="008D710E" w:rsidRPr="00097B06">
        <w:rPr>
          <w:vertAlign w:val="subscript"/>
        </w:rPr>
        <w:t>16</w:t>
      </w:r>
      <w:r w:rsidR="008D710E" w:rsidRPr="00F914F5">
        <w:t>H</w:t>
      </w:r>
      <w:r w:rsidR="008D710E" w:rsidRPr="00097B06">
        <w:rPr>
          <w:vertAlign w:val="subscript"/>
        </w:rPr>
        <w:t>19</w:t>
      </w:r>
      <w:r w:rsidR="008D710E" w:rsidRPr="00F914F5">
        <w:t>N</w:t>
      </w:r>
      <w:r w:rsidR="008D710E" w:rsidRPr="00097B06">
        <w:rPr>
          <w:vertAlign w:val="subscript"/>
        </w:rPr>
        <w:t>3</w:t>
      </w:r>
      <w:r w:rsidR="008D710E" w:rsidRPr="00F914F5">
        <w:t>O</w:t>
      </w:r>
      <w:r w:rsidR="008D710E" w:rsidRPr="00097B06">
        <w:rPr>
          <w:vertAlign w:val="subscript"/>
        </w:rPr>
        <w:t>5</w:t>
      </w:r>
      <w:r w:rsidR="008D710E" w:rsidRPr="00F914F5">
        <w:t>S</w:t>
      </w:r>
      <w:r w:rsidR="00097B06">
        <w:t>.</w:t>
      </w:r>
      <w:r w:rsidR="008D710E" w:rsidRPr="00F914F5">
        <w:t>3H</w:t>
      </w:r>
      <w:r w:rsidR="008D710E" w:rsidRPr="00097B06">
        <w:rPr>
          <w:vertAlign w:val="subscript"/>
        </w:rPr>
        <w:t>2</w:t>
      </w:r>
      <w:r w:rsidR="008D710E" w:rsidRPr="00F914F5">
        <w:t>O</w:t>
      </w:r>
    </w:p>
    <w:p w:rsidR="00341525" w:rsidRPr="00F914F5" w:rsidRDefault="00341525" w:rsidP="00F914F5">
      <w:pPr>
        <w:spacing w:after="0" w:line="240" w:lineRule="auto"/>
        <w:jc w:val="both"/>
      </w:pPr>
      <w:r w:rsidRPr="00F914F5">
        <w:rPr>
          <w:u w:val="single"/>
        </w:rPr>
        <w:t>Peso molecolare</w:t>
      </w:r>
      <w:r w:rsidRPr="00F914F5">
        <w:t>:</w:t>
      </w:r>
      <w:r w:rsidRPr="00F914F5">
        <w:rPr>
          <w:rFonts w:cs="Arial"/>
          <w:color w:val="252525"/>
          <w:shd w:val="clear" w:color="auto" w:fill="F9F9F9"/>
        </w:rPr>
        <w:t xml:space="preserve"> </w:t>
      </w:r>
      <w:r w:rsidR="008D710E" w:rsidRPr="00F914F5">
        <w:rPr>
          <w:rFonts w:cs="Times New Roman"/>
        </w:rPr>
        <w:t xml:space="preserve">419.4 g/mol </w:t>
      </w:r>
    </w:p>
    <w:p w:rsidR="00341525" w:rsidRPr="00F914F5" w:rsidRDefault="002A5D64" w:rsidP="00F914F5">
      <w:pPr>
        <w:spacing w:after="0" w:line="240" w:lineRule="auto"/>
        <w:jc w:val="both"/>
      </w:pPr>
      <w:r w:rsidRPr="00F914F5">
        <w:rPr>
          <w:u w:val="single"/>
        </w:rPr>
        <w:t>CAS</w:t>
      </w:r>
      <w:r w:rsidR="00097B06">
        <w:t xml:space="preserve">: </w:t>
      </w:r>
      <w:r w:rsidR="00097B06" w:rsidRPr="004372D8">
        <w:rPr>
          <w:rStyle w:val="s1"/>
          <w:rFonts w:asciiTheme="minorHAnsi" w:hAnsiTheme="minorHAnsi"/>
        </w:rPr>
        <w:t>[</w:t>
      </w:r>
      <w:r w:rsidR="00097B06" w:rsidRPr="004372D8">
        <w:rPr>
          <w:rFonts w:cs="Times New Roman"/>
        </w:rPr>
        <w:t>61336-70-7</w:t>
      </w:r>
      <w:r w:rsidR="00097B06" w:rsidRPr="004372D8">
        <w:rPr>
          <w:rStyle w:val="s1"/>
          <w:rFonts w:asciiTheme="minorHAnsi" w:hAnsiTheme="minorHAnsi"/>
        </w:rPr>
        <w:t>]</w:t>
      </w:r>
    </w:p>
    <w:p w:rsidR="00341525" w:rsidRPr="00F914F5" w:rsidRDefault="00341525" w:rsidP="00F914F5">
      <w:pPr>
        <w:spacing w:after="0" w:line="240" w:lineRule="auto"/>
        <w:jc w:val="both"/>
      </w:pPr>
      <w:r w:rsidRPr="00F914F5">
        <w:rPr>
          <w:u w:val="single"/>
        </w:rPr>
        <w:t>Aspetto</w:t>
      </w:r>
      <w:r w:rsidRPr="00F914F5">
        <w:t xml:space="preserve">: </w:t>
      </w:r>
      <w:r w:rsidR="002D52D4" w:rsidRPr="00F914F5">
        <w:t>polvere cristallina bianca o quasi bianca</w:t>
      </w:r>
      <w:r w:rsidR="008D710E" w:rsidRPr="00F914F5">
        <w:rPr>
          <w:rFonts w:cs="Times New Roman"/>
        </w:rPr>
        <w:t>.</w:t>
      </w:r>
    </w:p>
    <w:p w:rsidR="002D52D4" w:rsidRPr="00F914F5" w:rsidRDefault="002A5D64" w:rsidP="00F914F5">
      <w:pPr>
        <w:autoSpaceDE w:val="0"/>
        <w:autoSpaceDN w:val="0"/>
        <w:adjustRightInd w:val="0"/>
        <w:spacing w:after="0" w:line="240" w:lineRule="auto"/>
      </w:pPr>
      <w:r w:rsidRPr="00F914F5">
        <w:rPr>
          <w:u w:val="single"/>
        </w:rPr>
        <w:t>Solubilità</w:t>
      </w:r>
      <w:r w:rsidRPr="00F914F5">
        <w:t xml:space="preserve">: </w:t>
      </w:r>
      <w:r w:rsidR="002D52D4" w:rsidRPr="00F914F5">
        <w:t>scarsamente solubile in acqua, molto poco solubile in etanolo, praticamente insolubile in olio.</w:t>
      </w:r>
    </w:p>
    <w:p w:rsidR="002D52D4" w:rsidRPr="00F914F5" w:rsidRDefault="002D52D4" w:rsidP="00F914F5">
      <w:pPr>
        <w:autoSpaceDE w:val="0"/>
        <w:autoSpaceDN w:val="0"/>
        <w:adjustRightInd w:val="0"/>
        <w:spacing w:after="0" w:line="240" w:lineRule="auto"/>
      </w:pPr>
      <w:r w:rsidRPr="00F914F5">
        <w:t>Si scioglie in acidi diluiti ed in soluzioni alcaline</w:t>
      </w:r>
    </w:p>
    <w:p w:rsidR="00341525" w:rsidRPr="00F914F5" w:rsidRDefault="002A5D64" w:rsidP="00F914F5">
      <w:pPr>
        <w:spacing w:after="0" w:line="240" w:lineRule="auto"/>
        <w:jc w:val="both"/>
      </w:pPr>
      <w:r w:rsidRPr="00F914F5">
        <w:rPr>
          <w:u w:val="single"/>
        </w:rPr>
        <w:t>Polimorfismo</w:t>
      </w:r>
      <w:r w:rsidRPr="00F914F5">
        <w:t xml:space="preserve">: </w:t>
      </w:r>
      <w:proofErr w:type="spellStart"/>
      <w:r w:rsidR="002D52D4" w:rsidRPr="00F914F5">
        <w:rPr>
          <w:lang w:eastAsia="it-IT"/>
        </w:rPr>
        <w:t>amoxicillina</w:t>
      </w:r>
      <w:proofErr w:type="spellEnd"/>
      <w:r w:rsidR="002D52D4" w:rsidRPr="00F914F5">
        <w:rPr>
          <w:lang w:eastAsia="it-IT"/>
        </w:rPr>
        <w:t xml:space="preserve"> non mostra polimorfismo</w:t>
      </w:r>
      <w:r w:rsidRPr="00F914F5">
        <w:t>.</w:t>
      </w:r>
    </w:p>
    <w:p w:rsidR="00F147C1" w:rsidRPr="00F914F5" w:rsidRDefault="00F147C1" w:rsidP="00F914F5">
      <w:pPr>
        <w:spacing w:after="0" w:line="240" w:lineRule="auto"/>
        <w:jc w:val="both"/>
      </w:pPr>
    </w:p>
    <w:p w:rsidR="00341525" w:rsidRPr="00F914F5" w:rsidRDefault="007461B9" w:rsidP="00F914F5">
      <w:pPr>
        <w:spacing w:after="0" w:line="240" w:lineRule="auto"/>
        <w:jc w:val="both"/>
      </w:pPr>
      <w:r w:rsidRPr="00F914F5">
        <w:t>Il principi</w:t>
      </w:r>
      <w:r w:rsidR="00CE3AC9" w:rsidRPr="00F914F5">
        <w:t xml:space="preserve">o </w:t>
      </w:r>
      <w:r w:rsidRPr="00F914F5">
        <w:t>attiv</w:t>
      </w:r>
      <w:r w:rsidR="002D52D4" w:rsidRPr="00F914F5">
        <w:t>o</w:t>
      </w:r>
      <w:r w:rsidRPr="00F914F5">
        <w:t xml:space="preserve"> </w:t>
      </w:r>
      <w:proofErr w:type="spellStart"/>
      <w:r w:rsidR="00763AB0" w:rsidRPr="00F914F5">
        <w:t>amoxicillina</w:t>
      </w:r>
      <w:proofErr w:type="spellEnd"/>
      <w:r w:rsidR="00763AB0" w:rsidRPr="00F914F5">
        <w:t xml:space="preserve"> </w:t>
      </w:r>
      <w:r w:rsidR="00CE3AC9" w:rsidRPr="00F914F5">
        <w:t xml:space="preserve">è presente </w:t>
      </w:r>
      <w:r w:rsidRPr="00F914F5">
        <w:t>in Farmacopea Europea</w:t>
      </w:r>
      <w:r w:rsidR="00341525" w:rsidRPr="00F914F5">
        <w:t xml:space="preserve"> e il </w:t>
      </w:r>
      <w:proofErr w:type="spellStart"/>
      <w:r w:rsidR="00341525" w:rsidRPr="00F914F5">
        <w:t>Direttorato</w:t>
      </w:r>
      <w:proofErr w:type="spellEnd"/>
      <w:r w:rsidR="00341525" w:rsidRPr="00F914F5">
        <w:t xml:space="preserve"> Europeo per la Qualità dei Medicinali (</w:t>
      </w:r>
      <w:proofErr w:type="spellStart"/>
      <w:r w:rsidR="00341525" w:rsidRPr="00F914F5">
        <w:rPr>
          <w:i/>
        </w:rPr>
        <w:t>European</w:t>
      </w:r>
      <w:proofErr w:type="spellEnd"/>
      <w:r w:rsidR="00341525" w:rsidRPr="00F914F5">
        <w:rPr>
          <w:i/>
        </w:rPr>
        <w:t xml:space="preserve"> </w:t>
      </w:r>
      <w:proofErr w:type="spellStart"/>
      <w:r w:rsidR="00341525" w:rsidRPr="00F914F5">
        <w:rPr>
          <w:i/>
        </w:rPr>
        <w:t>Directorate</w:t>
      </w:r>
      <w:proofErr w:type="spellEnd"/>
      <w:r w:rsidR="00341525" w:rsidRPr="00F914F5">
        <w:rPr>
          <w:i/>
        </w:rPr>
        <w:t xml:space="preserve"> </w:t>
      </w:r>
      <w:proofErr w:type="spellStart"/>
      <w:r w:rsidR="00341525" w:rsidRPr="00F914F5">
        <w:rPr>
          <w:i/>
        </w:rPr>
        <w:t>for</w:t>
      </w:r>
      <w:proofErr w:type="spellEnd"/>
      <w:r w:rsidR="00341525" w:rsidRPr="00F914F5">
        <w:rPr>
          <w:i/>
        </w:rPr>
        <w:t xml:space="preserve"> </w:t>
      </w:r>
      <w:proofErr w:type="spellStart"/>
      <w:r w:rsidR="00341525" w:rsidRPr="00F914F5">
        <w:rPr>
          <w:i/>
        </w:rPr>
        <w:t>Quality</w:t>
      </w:r>
      <w:proofErr w:type="spellEnd"/>
      <w:r w:rsidR="00341525" w:rsidRPr="00F914F5">
        <w:rPr>
          <w:i/>
        </w:rPr>
        <w:t xml:space="preserve"> </w:t>
      </w:r>
      <w:proofErr w:type="spellStart"/>
      <w:r w:rsidR="00341525" w:rsidRPr="00F914F5">
        <w:rPr>
          <w:i/>
        </w:rPr>
        <w:t>of</w:t>
      </w:r>
      <w:proofErr w:type="spellEnd"/>
      <w:r w:rsidR="00341525" w:rsidRPr="00F914F5">
        <w:rPr>
          <w:i/>
        </w:rPr>
        <w:t xml:space="preserve"> </w:t>
      </w:r>
      <w:proofErr w:type="spellStart"/>
      <w:r w:rsidR="00341525" w:rsidRPr="00F914F5">
        <w:rPr>
          <w:i/>
        </w:rPr>
        <w:t>Medic</w:t>
      </w:r>
      <w:r w:rsidR="00517852" w:rsidRPr="00F914F5">
        <w:rPr>
          <w:i/>
        </w:rPr>
        <w:t>i</w:t>
      </w:r>
      <w:r w:rsidR="00341525" w:rsidRPr="00F914F5">
        <w:rPr>
          <w:i/>
        </w:rPr>
        <w:t>nals</w:t>
      </w:r>
      <w:proofErr w:type="spellEnd"/>
      <w:r w:rsidR="00341525" w:rsidRPr="00F914F5">
        <w:t xml:space="preserve"> – EDQM) ha rilasciato a</w:t>
      </w:r>
      <w:r w:rsidR="00CE3AC9" w:rsidRPr="00F914F5">
        <w:t xml:space="preserve">l </w:t>
      </w:r>
      <w:r w:rsidR="00341525" w:rsidRPr="00F914F5">
        <w:t xml:space="preserve"> produttor</w:t>
      </w:r>
      <w:r w:rsidR="00CE3AC9" w:rsidRPr="00F914F5">
        <w:t xml:space="preserve">e </w:t>
      </w:r>
      <w:r w:rsidR="00341525" w:rsidRPr="00F914F5">
        <w:t xml:space="preserve"> il certificato di conformità alla Farmacopea Europea (CEP).</w:t>
      </w:r>
    </w:p>
    <w:p w:rsidR="005362F6" w:rsidRPr="00F914F5" w:rsidRDefault="00341525" w:rsidP="00F914F5">
      <w:pPr>
        <w:spacing w:after="0" w:line="240" w:lineRule="auto"/>
        <w:jc w:val="both"/>
      </w:pPr>
      <w:r w:rsidRPr="00F914F5">
        <w:t xml:space="preserve">Tutti gli aspetti di produzione e controllo sono coperti dal certificato di conformità alla Farmacopea Europea. </w:t>
      </w:r>
      <w:r w:rsidR="00B60E6E" w:rsidRPr="00F914F5">
        <w:t xml:space="preserve">Il </w:t>
      </w:r>
      <w:r w:rsidRPr="00F914F5">
        <w:t>period</w:t>
      </w:r>
      <w:r w:rsidR="00B60E6E" w:rsidRPr="00F914F5">
        <w:t xml:space="preserve">o di </w:t>
      </w:r>
      <w:proofErr w:type="spellStart"/>
      <w:r w:rsidR="00B60E6E" w:rsidRPr="00F914F5">
        <w:t>retest</w:t>
      </w:r>
      <w:proofErr w:type="spellEnd"/>
      <w:r w:rsidRPr="00F914F5">
        <w:t xml:space="preserve"> </w:t>
      </w:r>
      <w:r w:rsidR="004372D8">
        <w:t xml:space="preserve">è </w:t>
      </w:r>
      <w:r w:rsidRPr="00F914F5">
        <w:t xml:space="preserve">di </w:t>
      </w:r>
      <w:r w:rsidR="005362F6" w:rsidRPr="00F914F5">
        <w:t xml:space="preserve">6 </w:t>
      </w:r>
      <w:r w:rsidRPr="00F914F5">
        <w:t xml:space="preserve">anni </w:t>
      </w:r>
      <w:r w:rsidR="004372D8">
        <w:t xml:space="preserve">quando il principio attivo è </w:t>
      </w:r>
      <w:r w:rsidR="005362F6" w:rsidRPr="00F914F5">
        <w:t>conservat</w:t>
      </w:r>
      <w:r w:rsidR="004372D8">
        <w:t>o</w:t>
      </w:r>
      <w:r w:rsidR="005362F6" w:rsidRPr="00F914F5">
        <w:t xml:space="preserve"> in contenitore di polietilene inserito in un contenitore in laminato sigillato</w:t>
      </w:r>
      <w:r w:rsidR="004372D8">
        <w:t>.</w:t>
      </w:r>
      <w:r w:rsidR="005362F6" w:rsidRPr="00F914F5">
        <w:t xml:space="preserve"> </w:t>
      </w:r>
    </w:p>
    <w:p w:rsidR="005362F6" w:rsidRPr="00F914F5" w:rsidRDefault="005362F6" w:rsidP="00F914F5">
      <w:pPr>
        <w:spacing w:after="0" w:line="240" w:lineRule="auto"/>
        <w:jc w:val="both"/>
      </w:pPr>
    </w:p>
    <w:p w:rsidR="005362F6" w:rsidRPr="00F914F5" w:rsidRDefault="005362F6" w:rsidP="00F914F5">
      <w:pPr>
        <w:spacing w:after="0" w:line="240" w:lineRule="auto"/>
        <w:jc w:val="both"/>
        <w:rPr>
          <w:b/>
        </w:rPr>
      </w:pPr>
      <w:r w:rsidRPr="00F914F5">
        <w:rPr>
          <w:b/>
        </w:rPr>
        <w:t>II.1b PRINCIPIO ATTIVO</w:t>
      </w:r>
      <w:r w:rsidR="004372D8" w:rsidRPr="00F914F5">
        <w:rPr>
          <w:b/>
        </w:rPr>
        <w:t xml:space="preserve"> ACIDO CLAVULANICO</w:t>
      </w:r>
      <w:r w:rsidR="00CE3AC9" w:rsidRPr="00F914F5">
        <w:rPr>
          <w:b/>
        </w:rPr>
        <w:t xml:space="preserve"> </w:t>
      </w:r>
    </w:p>
    <w:p w:rsidR="00B164AB" w:rsidRPr="00F914F5" w:rsidRDefault="00B164AB" w:rsidP="00F914F5">
      <w:pPr>
        <w:spacing w:after="0" w:line="240" w:lineRule="auto"/>
        <w:jc w:val="both"/>
      </w:pPr>
      <w:r w:rsidRPr="004372D8">
        <w:rPr>
          <w:u w:val="single"/>
        </w:rPr>
        <w:t>Nome chimico</w:t>
      </w:r>
      <w:r w:rsidRPr="00F914F5">
        <w:t xml:space="preserve">: </w:t>
      </w:r>
      <w:proofErr w:type="spellStart"/>
      <w:r w:rsidRPr="00F914F5">
        <w:t>Potassium</w:t>
      </w:r>
      <w:proofErr w:type="spellEnd"/>
      <w:r w:rsidRPr="00F914F5">
        <w:t xml:space="preserve"> (2R,3Z,5R)-3-(2-hydroxyethylidene)-7-oxo-4-oxa-1-azabicyclo[3.2.0]heptane-2-carboxylate</w:t>
      </w:r>
    </w:p>
    <w:p w:rsidR="00B164AB" w:rsidRPr="00F914F5" w:rsidRDefault="00B164AB" w:rsidP="00F914F5">
      <w:pPr>
        <w:spacing w:after="0" w:line="240" w:lineRule="auto"/>
        <w:jc w:val="both"/>
      </w:pPr>
      <w:r w:rsidRPr="004372D8">
        <w:rPr>
          <w:u w:val="single"/>
        </w:rPr>
        <w:t>Struttura</w:t>
      </w:r>
      <w:r w:rsidRPr="00F914F5">
        <w:t>:</w:t>
      </w:r>
    </w:p>
    <w:p w:rsidR="00B164AB" w:rsidRPr="00F914F5" w:rsidRDefault="004372D8" w:rsidP="004372D8">
      <w:pPr>
        <w:spacing w:after="0" w:line="240" w:lineRule="auto"/>
        <w:jc w:val="center"/>
        <w:rPr>
          <w:rFonts w:cs="Times New Roman"/>
        </w:rPr>
      </w:pPr>
      <w:r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>
            <wp:extent cx="1022164" cy="556310"/>
            <wp:effectExtent l="19050" t="0" r="6536" b="0"/>
            <wp:docPr id="5" name="Immagine 1" descr="P:\_dp\807\XML-IN\Images\cf1653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7\XML-IN\Images\cf1653-b.t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46" cy="5564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4AB" w:rsidRPr="00F914F5" w:rsidRDefault="00B164AB" w:rsidP="00F914F5">
      <w:pPr>
        <w:spacing w:after="0" w:line="240" w:lineRule="auto"/>
        <w:jc w:val="both"/>
      </w:pPr>
      <w:r w:rsidRPr="004372D8">
        <w:rPr>
          <w:u w:val="single"/>
        </w:rPr>
        <w:t>Formula molecolare</w:t>
      </w:r>
      <w:r w:rsidRPr="00F914F5">
        <w:t>: C</w:t>
      </w:r>
      <w:r w:rsidRPr="004372D8">
        <w:rPr>
          <w:vertAlign w:val="subscript"/>
        </w:rPr>
        <w:t>8</w:t>
      </w:r>
      <w:r w:rsidRPr="00F914F5">
        <w:t>H</w:t>
      </w:r>
      <w:r w:rsidRPr="004372D8">
        <w:rPr>
          <w:vertAlign w:val="subscript"/>
        </w:rPr>
        <w:t>8</w:t>
      </w:r>
      <w:r w:rsidRPr="00F914F5">
        <w:t>KNO</w:t>
      </w:r>
      <w:r w:rsidRPr="004372D8">
        <w:rPr>
          <w:vertAlign w:val="subscript"/>
        </w:rPr>
        <w:t>5</w:t>
      </w:r>
    </w:p>
    <w:p w:rsidR="00B164AB" w:rsidRPr="00F914F5" w:rsidRDefault="00B164AB" w:rsidP="00F914F5">
      <w:pPr>
        <w:spacing w:after="0" w:line="240" w:lineRule="auto"/>
        <w:jc w:val="both"/>
      </w:pPr>
      <w:r w:rsidRPr="004372D8">
        <w:rPr>
          <w:u w:val="single"/>
        </w:rPr>
        <w:t>Peso molecolare</w:t>
      </w:r>
      <w:r w:rsidRPr="00F914F5">
        <w:t>: 237.3</w:t>
      </w:r>
    </w:p>
    <w:p w:rsidR="00B164AB" w:rsidRPr="00F914F5" w:rsidRDefault="004372D8" w:rsidP="00F914F5">
      <w:pPr>
        <w:spacing w:after="0" w:line="240" w:lineRule="auto"/>
        <w:jc w:val="both"/>
      </w:pPr>
      <w:r w:rsidRPr="004372D8">
        <w:rPr>
          <w:u w:val="single"/>
        </w:rPr>
        <w:t>CAS</w:t>
      </w:r>
      <w:r>
        <w:t xml:space="preserve">: </w:t>
      </w:r>
      <w:r w:rsidRPr="004372D8">
        <w:rPr>
          <w:rStyle w:val="s1"/>
          <w:rFonts w:asciiTheme="minorHAnsi" w:hAnsiTheme="minorHAnsi"/>
        </w:rPr>
        <w:t>[</w:t>
      </w:r>
      <w:r w:rsidRPr="00F914F5">
        <w:t>61177-45-5</w:t>
      </w:r>
      <w:r w:rsidRPr="004372D8">
        <w:rPr>
          <w:rStyle w:val="s1"/>
          <w:rFonts w:asciiTheme="minorHAnsi" w:hAnsiTheme="minorHAnsi"/>
        </w:rPr>
        <w:t>]</w:t>
      </w:r>
    </w:p>
    <w:p w:rsidR="00B164AB" w:rsidRPr="00F914F5" w:rsidRDefault="00AD7EF2" w:rsidP="00F914F5">
      <w:pPr>
        <w:autoSpaceDE w:val="0"/>
        <w:autoSpaceDN w:val="0"/>
        <w:adjustRightInd w:val="0"/>
        <w:spacing w:after="0" w:line="240" w:lineRule="auto"/>
      </w:pPr>
      <w:r w:rsidRPr="004372D8">
        <w:rPr>
          <w:u w:val="single"/>
        </w:rPr>
        <w:t>A</w:t>
      </w:r>
      <w:r w:rsidR="00B164AB" w:rsidRPr="004372D8">
        <w:rPr>
          <w:u w:val="single"/>
        </w:rPr>
        <w:t>spetto</w:t>
      </w:r>
      <w:r w:rsidR="00B164AB" w:rsidRPr="00F914F5">
        <w:t xml:space="preserve">: </w:t>
      </w:r>
      <w:r w:rsidR="002D52D4" w:rsidRPr="00F914F5">
        <w:t xml:space="preserve">polvere cristallina, igroscopica </w:t>
      </w:r>
      <w:r w:rsidR="004372D8">
        <w:t>b</w:t>
      </w:r>
      <w:r w:rsidR="002D52D4" w:rsidRPr="00F914F5">
        <w:t xml:space="preserve">ianca o quasi bianca. </w:t>
      </w:r>
    </w:p>
    <w:p w:rsidR="00B164AB" w:rsidRPr="00F914F5" w:rsidRDefault="00AD7EF2" w:rsidP="00F914F5">
      <w:pPr>
        <w:autoSpaceDE w:val="0"/>
        <w:autoSpaceDN w:val="0"/>
        <w:adjustRightInd w:val="0"/>
        <w:spacing w:after="0" w:line="240" w:lineRule="auto"/>
      </w:pPr>
      <w:r w:rsidRPr="004372D8">
        <w:rPr>
          <w:u w:val="single"/>
        </w:rPr>
        <w:t>Solubilità</w:t>
      </w:r>
      <w:r w:rsidR="00B164AB" w:rsidRPr="00F914F5">
        <w:t xml:space="preserve">: </w:t>
      </w:r>
      <w:r w:rsidR="002D52D4" w:rsidRPr="00F914F5">
        <w:t xml:space="preserve">solubile in acqua, scarsamente solubile in etanolo, molto solubile in acetone. </w:t>
      </w:r>
    </w:p>
    <w:p w:rsidR="00B164AB" w:rsidRDefault="00B164AB" w:rsidP="00F914F5">
      <w:pPr>
        <w:spacing w:after="0" w:line="240" w:lineRule="auto"/>
        <w:jc w:val="both"/>
        <w:rPr>
          <w:b/>
        </w:rPr>
      </w:pPr>
    </w:p>
    <w:p w:rsidR="00CE3AC9" w:rsidRPr="00F914F5" w:rsidRDefault="00CE3AC9" w:rsidP="00F914F5">
      <w:pPr>
        <w:spacing w:after="0" w:line="240" w:lineRule="auto"/>
        <w:jc w:val="both"/>
      </w:pPr>
      <w:r w:rsidRPr="004372D8">
        <w:t>Il principio attivo aci</w:t>
      </w:r>
      <w:r w:rsidR="00AD7EF2" w:rsidRPr="004372D8">
        <w:t xml:space="preserve">do </w:t>
      </w:r>
      <w:proofErr w:type="spellStart"/>
      <w:r w:rsidR="00AD7EF2" w:rsidRPr="004372D8">
        <w:t>c</w:t>
      </w:r>
      <w:r w:rsidR="004372D8">
        <w:t>la</w:t>
      </w:r>
      <w:r w:rsidR="00AD7EF2" w:rsidRPr="004372D8">
        <w:t>vulanico</w:t>
      </w:r>
      <w:proofErr w:type="spellEnd"/>
      <w:r w:rsidR="00AD7EF2" w:rsidRPr="004372D8">
        <w:t xml:space="preserve"> </w:t>
      </w:r>
      <w:r w:rsidR="00662EE7">
        <w:t xml:space="preserve">è </w:t>
      </w:r>
      <w:r w:rsidR="00662EE7" w:rsidRPr="00662EE7">
        <w:t xml:space="preserve">fornito </w:t>
      </w:r>
      <w:r w:rsidR="00AD7EF2" w:rsidRPr="00662EE7">
        <w:t>diluito con cellu</w:t>
      </w:r>
      <w:r w:rsidRPr="00662EE7">
        <w:t>losa microcristallina</w:t>
      </w:r>
      <w:r w:rsidR="00662EE7" w:rsidRPr="00662EE7">
        <w:t xml:space="preserve"> o c</w:t>
      </w:r>
      <w:r w:rsidR="00662EE7">
        <w:t>on silice colloidale ed</w:t>
      </w:r>
      <w:r w:rsidRPr="004372D8">
        <w:t xml:space="preserve"> è presente in </w:t>
      </w:r>
      <w:r w:rsidRPr="00F914F5">
        <w:t>Farmacopea Europea</w:t>
      </w:r>
      <w:r w:rsidR="00662EE7">
        <w:t>;</w:t>
      </w:r>
      <w:r w:rsidRPr="00F914F5">
        <w:t xml:space="preserve"> il </w:t>
      </w:r>
      <w:proofErr w:type="spellStart"/>
      <w:r w:rsidRPr="00F914F5">
        <w:t>Direttorato</w:t>
      </w:r>
      <w:proofErr w:type="spellEnd"/>
      <w:r w:rsidRPr="00F914F5">
        <w:t xml:space="preserve"> Europeo per la Qualità dei Medicinali (</w:t>
      </w:r>
      <w:proofErr w:type="spellStart"/>
      <w:r w:rsidRPr="00F914F5">
        <w:rPr>
          <w:i/>
        </w:rPr>
        <w:t>European</w:t>
      </w:r>
      <w:proofErr w:type="spellEnd"/>
      <w:r w:rsidRPr="00F914F5">
        <w:rPr>
          <w:i/>
        </w:rPr>
        <w:t xml:space="preserve"> </w:t>
      </w:r>
      <w:proofErr w:type="spellStart"/>
      <w:r w:rsidRPr="00F914F5">
        <w:rPr>
          <w:i/>
        </w:rPr>
        <w:t>Directorate</w:t>
      </w:r>
      <w:proofErr w:type="spellEnd"/>
      <w:r w:rsidRPr="00F914F5">
        <w:rPr>
          <w:i/>
        </w:rPr>
        <w:t xml:space="preserve"> </w:t>
      </w:r>
      <w:proofErr w:type="spellStart"/>
      <w:r w:rsidRPr="00F914F5">
        <w:rPr>
          <w:i/>
        </w:rPr>
        <w:t>for</w:t>
      </w:r>
      <w:proofErr w:type="spellEnd"/>
      <w:r w:rsidRPr="00F914F5">
        <w:rPr>
          <w:i/>
        </w:rPr>
        <w:t xml:space="preserve"> </w:t>
      </w:r>
      <w:proofErr w:type="spellStart"/>
      <w:r w:rsidRPr="00F914F5">
        <w:rPr>
          <w:i/>
        </w:rPr>
        <w:t>Quality</w:t>
      </w:r>
      <w:proofErr w:type="spellEnd"/>
      <w:r w:rsidRPr="00F914F5">
        <w:rPr>
          <w:i/>
        </w:rPr>
        <w:t xml:space="preserve"> </w:t>
      </w:r>
      <w:proofErr w:type="spellStart"/>
      <w:r w:rsidRPr="00F914F5">
        <w:rPr>
          <w:i/>
        </w:rPr>
        <w:t>of</w:t>
      </w:r>
      <w:proofErr w:type="spellEnd"/>
      <w:r w:rsidRPr="00F914F5">
        <w:rPr>
          <w:i/>
        </w:rPr>
        <w:t xml:space="preserve"> </w:t>
      </w:r>
      <w:proofErr w:type="spellStart"/>
      <w:r w:rsidRPr="00F914F5">
        <w:rPr>
          <w:i/>
        </w:rPr>
        <w:t>Medicinals</w:t>
      </w:r>
      <w:proofErr w:type="spellEnd"/>
      <w:r w:rsidRPr="00F914F5">
        <w:t xml:space="preserve"> – EDQM) ha rilasciato a</w:t>
      </w:r>
      <w:r w:rsidR="00D45E67" w:rsidRPr="00F914F5">
        <w:t>i</w:t>
      </w:r>
      <w:r w:rsidRPr="00F914F5">
        <w:t xml:space="preserve"> produttor</w:t>
      </w:r>
      <w:r w:rsidR="00D45E67" w:rsidRPr="00F914F5">
        <w:t>i</w:t>
      </w:r>
      <w:r w:rsidRPr="00F914F5">
        <w:t xml:space="preserve"> </w:t>
      </w:r>
      <w:r w:rsidR="004372D8">
        <w:t>proposti</w:t>
      </w:r>
      <w:r w:rsidRPr="00F914F5">
        <w:t xml:space="preserve"> il certificato di conformità alla Farmacopea Europea (CEP).</w:t>
      </w:r>
    </w:p>
    <w:p w:rsidR="00997165" w:rsidRDefault="004372D8" w:rsidP="00F914F5">
      <w:pPr>
        <w:spacing w:after="0" w:line="240" w:lineRule="auto"/>
        <w:jc w:val="both"/>
        <w:rPr>
          <w:rFonts w:cs="Arial"/>
        </w:rPr>
      </w:pPr>
      <w:r>
        <w:t xml:space="preserve">Per un </w:t>
      </w:r>
      <w:r w:rsidR="00997165" w:rsidRPr="00F914F5">
        <w:t>produttore</w:t>
      </w:r>
      <w:r w:rsidR="00662EE7">
        <w:rPr>
          <w:rFonts w:eastAsia="Times New Roman" w:cs="Arial"/>
          <w:color w:val="3366FF"/>
        </w:rPr>
        <w:t>,</w:t>
      </w:r>
      <w:r w:rsidR="00997165" w:rsidRPr="00F914F5">
        <w:t xml:space="preserve"> tutti gli aspetti di produzione e controllo sono coperti dal certificato di conformità alla Farmacopea Europea. Il </w:t>
      </w:r>
      <w:r w:rsidR="00662EE7">
        <w:t xml:space="preserve">periodo di </w:t>
      </w:r>
      <w:proofErr w:type="spellStart"/>
      <w:r w:rsidR="00997165" w:rsidRPr="00F914F5">
        <w:rPr>
          <w:rFonts w:cs="Arial"/>
        </w:rPr>
        <w:t>retest</w:t>
      </w:r>
      <w:proofErr w:type="spellEnd"/>
      <w:r w:rsidR="00997165" w:rsidRPr="00F914F5">
        <w:rPr>
          <w:rFonts w:cs="Arial"/>
        </w:rPr>
        <w:t xml:space="preserve"> è di 4 anni </w:t>
      </w:r>
      <w:r w:rsidR="00662EE7">
        <w:rPr>
          <w:rFonts w:cs="Arial"/>
        </w:rPr>
        <w:t>quando</w:t>
      </w:r>
      <w:r w:rsidR="00997165" w:rsidRPr="00F914F5">
        <w:rPr>
          <w:rFonts w:cs="Arial"/>
        </w:rPr>
        <w:t xml:space="preserve"> confezionato in contenitore in triplo strato di polietilene inserito in contenitore di </w:t>
      </w:r>
      <w:proofErr w:type="spellStart"/>
      <w:r w:rsidR="00997165" w:rsidRPr="00F914F5">
        <w:rPr>
          <w:rFonts w:cs="Arial"/>
        </w:rPr>
        <w:t>cellopolial</w:t>
      </w:r>
      <w:proofErr w:type="spellEnd"/>
      <w:r w:rsidR="00997165" w:rsidRPr="00F914F5">
        <w:rPr>
          <w:rFonts w:cs="Arial"/>
        </w:rPr>
        <w:t xml:space="preserve"> termosaldato</w:t>
      </w:r>
      <w:r w:rsidR="00662EE7">
        <w:rPr>
          <w:rFonts w:cs="Arial"/>
        </w:rPr>
        <w:t>, a sua volta</w:t>
      </w:r>
      <w:r w:rsidR="00997165" w:rsidRPr="00F914F5">
        <w:rPr>
          <w:rFonts w:cs="Arial"/>
        </w:rPr>
        <w:t xml:space="preserve"> messo in un contenitore di acciaio.</w:t>
      </w:r>
    </w:p>
    <w:p w:rsidR="00997165" w:rsidRPr="00F914F5" w:rsidRDefault="00997165" w:rsidP="00F914F5">
      <w:pPr>
        <w:spacing w:after="0" w:line="240" w:lineRule="auto"/>
        <w:jc w:val="both"/>
      </w:pPr>
      <w:r w:rsidRPr="00F914F5">
        <w:rPr>
          <w:rFonts w:cs="Arial"/>
        </w:rPr>
        <w:t>Per il secondo produttore</w:t>
      </w:r>
      <w:r w:rsidR="00662EE7">
        <w:rPr>
          <w:rFonts w:cs="Arial"/>
        </w:rPr>
        <w:t>,</w:t>
      </w:r>
      <w:r w:rsidR="00D1430D" w:rsidRPr="00F914F5">
        <w:t xml:space="preserve"> </w:t>
      </w:r>
      <w:r w:rsidRPr="00F914F5">
        <w:t xml:space="preserve">ad eccezione del confezionamento e della stabilità, gli aspetti di produzione e controllo sono coperti dal certificato di conformità alla Farmacopea Europea. </w:t>
      </w:r>
    </w:p>
    <w:p w:rsidR="004372D8" w:rsidRPr="00F914F5" w:rsidRDefault="00997165" w:rsidP="004372D8">
      <w:pPr>
        <w:spacing w:after="0" w:line="240" w:lineRule="auto"/>
        <w:jc w:val="both"/>
        <w:rPr>
          <w:rFonts w:cs="Arial"/>
        </w:rPr>
      </w:pPr>
      <w:r w:rsidRPr="00F914F5">
        <w:t xml:space="preserve">Sono stati forniti adeguati studi di stabilità per il principio attivo conservato nel confezionamento proposto per il commercio. Sulla base di questi dati, </w:t>
      </w:r>
      <w:r w:rsidR="00AE7AB0">
        <w:t>per il principio attivo diluito con cellulosa microcristallina</w:t>
      </w:r>
      <w:r w:rsidR="00AE7AB0" w:rsidRPr="00F914F5">
        <w:t xml:space="preserve"> </w:t>
      </w:r>
      <w:r w:rsidRPr="00F914F5">
        <w:t xml:space="preserve">è stato approvato un periodo di </w:t>
      </w:r>
      <w:proofErr w:type="spellStart"/>
      <w:r w:rsidRPr="00F914F5">
        <w:t>retest</w:t>
      </w:r>
      <w:proofErr w:type="spellEnd"/>
      <w:r w:rsidRPr="00F914F5">
        <w:t xml:space="preserve"> di 4 anni </w:t>
      </w:r>
      <w:r w:rsidR="00662EE7">
        <w:t>quando</w:t>
      </w:r>
      <w:r w:rsidR="00FC042B" w:rsidRPr="00F914F5">
        <w:t xml:space="preserve"> </w:t>
      </w:r>
      <w:r w:rsidR="00662EE7">
        <w:t xml:space="preserve">è </w:t>
      </w:r>
      <w:r w:rsidRPr="00F914F5">
        <w:t>conservato</w:t>
      </w:r>
      <w:r w:rsidR="00662EE7">
        <w:t>,</w:t>
      </w:r>
      <w:r w:rsidR="00662EE7" w:rsidRPr="00662EE7">
        <w:t xml:space="preserve"> </w:t>
      </w:r>
      <w:r w:rsidR="00662EE7" w:rsidRPr="00F914F5">
        <w:t xml:space="preserve">al riparo della luce e dell’umidità </w:t>
      </w:r>
      <w:r w:rsidR="00AE7AB0">
        <w:t xml:space="preserve">ed </w:t>
      </w:r>
      <w:r w:rsidR="00662EE7" w:rsidRPr="00F914F5">
        <w:t>a una temperatura compresa tra 2 e 8°C</w:t>
      </w:r>
      <w:r w:rsidR="00662EE7">
        <w:t>,</w:t>
      </w:r>
      <w:r w:rsidRPr="00F914F5">
        <w:t xml:space="preserve"> </w:t>
      </w:r>
      <w:r w:rsidR="00FC042B" w:rsidRPr="00F914F5">
        <w:t xml:space="preserve">in </w:t>
      </w:r>
      <w:r w:rsidR="00662EE7">
        <w:t xml:space="preserve">un </w:t>
      </w:r>
      <w:r w:rsidR="00FC042B" w:rsidRPr="00F914F5">
        <w:t xml:space="preserve">contenitore </w:t>
      </w:r>
      <w:r w:rsidR="00662EE7">
        <w:t xml:space="preserve">in </w:t>
      </w:r>
      <w:r w:rsidR="00FC042B" w:rsidRPr="00F914F5">
        <w:t>triplo strato di polietilene</w:t>
      </w:r>
      <w:r w:rsidR="00662EE7">
        <w:t xml:space="preserve"> inserito</w:t>
      </w:r>
      <w:r w:rsidR="00FC042B" w:rsidRPr="00F914F5">
        <w:t xml:space="preserve"> </w:t>
      </w:r>
      <w:r w:rsidR="00662EE7">
        <w:t xml:space="preserve">in </w:t>
      </w:r>
      <w:r w:rsidR="00AE7AB0">
        <w:t xml:space="preserve">un </w:t>
      </w:r>
      <w:r w:rsidR="00662EE7">
        <w:t>contenitore di alluminio.</w:t>
      </w:r>
      <w:r w:rsidR="00AE7AB0">
        <w:t xml:space="preserve"> Per il principio attivo diluito con silice colloidale </w:t>
      </w:r>
      <w:r w:rsidR="004372D8" w:rsidRPr="00F914F5">
        <w:t xml:space="preserve">è stato approvato un periodo di </w:t>
      </w:r>
      <w:proofErr w:type="spellStart"/>
      <w:r w:rsidR="004372D8" w:rsidRPr="00F914F5">
        <w:t>retest</w:t>
      </w:r>
      <w:proofErr w:type="spellEnd"/>
      <w:r w:rsidR="004372D8" w:rsidRPr="00F914F5">
        <w:t xml:space="preserve"> </w:t>
      </w:r>
      <w:r w:rsidR="004372D8" w:rsidRPr="00F914F5">
        <w:rPr>
          <w:rFonts w:cs="Arial"/>
        </w:rPr>
        <w:t xml:space="preserve">di 3 anni </w:t>
      </w:r>
      <w:r w:rsidR="00AE7AB0">
        <w:rPr>
          <w:rFonts w:cs="Arial"/>
        </w:rPr>
        <w:t>quando</w:t>
      </w:r>
      <w:r w:rsidR="004372D8" w:rsidRPr="00F914F5">
        <w:rPr>
          <w:rFonts w:cs="Arial"/>
        </w:rPr>
        <w:t xml:space="preserve"> è conservato</w:t>
      </w:r>
      <w:r w:rsidR="00AE7AB0">
        <w:rPr>
          <w:rFonts w:cs="Arial"/>
        </w:rPr>
        <w:t>,</w:t>
      </w:r>
      <w:r w:rsidR="00AE7AB0" w:rsidRPr="00AE7AB0">
        <w:rPr>
          <w:rFonts w:cs="Arial"/>
        </w:rPr>
        <w:t xml:space="preserve"> </w:t>
      </w:r>
      <w:r w:rsidR="00AE7AB0" w:rsidRPr="00F914F5">
        <w:rPr>
          <w:rFonts w:cs="Arial"/>
        </w:rPr>
        <w:t xml:space="preserve">al riparo della luce e dell’umidità </w:t>
      </w:r>
      <w:r w:rsidR="00AE7AB0">
        <w:rPr>
          <w:rFonts w:cs="Arial"/>
        </w:rPr>
        <w:t xml:space="preserve">ed </w:t>
      </w:r>
      <w:r w:rsidR="00AE7AB0" w:rsidRPr="00F914F5">
        <w:rPr>
          <w:rFonts w:cs="Arial"/>
        </w:rPr>
        <w:t>a una temperatura non superiore a 25°C</w:t>
      </w:r>
      <w:r w:rsidR="00AE7AB0">
        <w:rPr>
          <w:rFonts w:cs="Arial"/>
        </w:rPr>
        <w:t>,</w:t>
      </w:r>
      <w:r w:rsidR="004372D8" w:rsidRPr="00F914F5">
        <w:rPr>
          <w:rFonts w:cs="Arial"/>
        </w:rPr>
        <w:t xml:space="preserve"> in contenitore</w:t>
      </w:r>
      <w:r w:rsidR="00AE7AB0">
        <w:rPr>
          <w:rFonts w:cs="Arial"/>
        </w:rPr>
        <w:t xml:space="preserve"> in</w:t>
      </w:r>
      <w:r w:rsidR="004372D8" w:rsidRPr="00F914F5">
        <w:rPr>
          <w:rFonts w:cs="Arial"/>
        </w:rPr>
        <w:t xml:space="preserve"> triplo strato di polietilene </w:t>
      </w:r>
      <w:r w:rsidR="00AE7AB0">
        <w:rPr>
          <w:rFonts w:cs="Arial"/>
        </w:rPr>
        <w:t>inserito</w:t>
      </w:r>
      <w:r w:rsidR="004372D8" w:rsidRPr="00F914F5">
        <w:rPr>
          <w:rFonts w:cs="Arial"/>
        </w:rPr>
        <w:t xml:space="preserve"> in</w:t>
      </w:r>
      <w:r w:rsidR="00AE7AB0">
        <w:rPr>
          <w:rFonts w:cs="Arial"/>
        </w:rPr>
        <w:t xml:space="preserve"> un </w:t>
      </w:r>
      <w:r w:rsidR="004372D8" w:rsidRPr="00F914F5">
        <w:rPr>
          <w:rFonts w:cs="Arial"/>
        </w:rPr>
        <w:t>contenitore di alluminio</w:t>
      </w:r>
      <w:r w:rsidR="00AE7AB0">
        <w:rPr>
          <w:rFonts w:cs="Arial"/>
        </w:rPr>
        <w:t>.</w:t>
      </w:r>
      <w:r w:rsidR="004372D8" w:rsidRPr="00F914F5">
        <w:rPr>
          <w:rFonts w:cs="Arial"/>
        </w:rPr>
        <w:t xml:space="preserve"> </w:t>
      </w:r>
    </w:p>
    <w:p w:rsidR="004372D8" w:rsidRDefault="004372D8" w:rsidP="00F914F5">
      <w:pPr>
        <w:spacing w:after="0" w:line="240" w:lineRule="auto"/>
        <w:jc w:val="both"/>
      </w:pPr>
    </w:p>
    <w:p w:rsidR="00AE7AB0" w:rsidRDefault="00AE7AB0" w:rsidP="00F914F5">
      <w:pPr>
        <w:spacing w:after="0" w:line="240" w:lineRule="auto"/>
        <w:jc w:val="both"/>
      </w:pPr>
    </w:p>
    <w:p w:rsidR="00900C91" w:rsidRPr="00F914F5" w:rsidRDefault="00900C91" w:rsidP="00F914F5">
      <w:pPr>
        <w:spacing w:after="0" w:line="240" w:lineRule="auto"/>
        <w:jc w:val="both"/>
        <w:rPr>
          <w:b/>
        </w:rPr>
      </w:pPr>
      <w:r w:rsidRPr="00F914F5">
        <w:rPr>
          <w:b/>
        </w:rPr>
        <w:lastRenderedPageBreak/>
        <w:t>II.2 PRODOTTO FINITO</w:t>
      </w:r>
    </w:p>
    <w:p w:rsidR="00900C91" w:rsidRPr="00F914F5" w:rsidRDefault="00900C91" w:rsidP="00F914F5">
      <w:pPr>
        <w:spacing w:after="0" w:line="240" w:lineRule="auto"/>
        <w:jc w:val="both"/>
        <w:rPr>
          <w:b/>
        </w:rPr>
      </w:pPr>
      <w:r w:rsidRPr="00F914F5">
        <w:rPr>
          <w:b/>
        </w:rPr>
        <w:t>Descrizione e composizione</w:t>
      </w:r>
    </w:p>
    <w:p w:rsidR="00AE7AB0" w:rsidRDefault="00DF5EEF" w:rsidP="00F914F5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F914F5">
        <w:rPr>
          <w:rFonts w:eastAsia="Calibri" w:cs="Calibri"/>
          <w:bCs/>
          <w:color w:val="000000"/>
          <w:lang w:eastAsia="it-IT"/>
        </w:rPr>
        <w:t>Amoxicillina</w:t>
      </w:r>
      <w:proofErr w:type="spellEnd"/>
      <w:r w:rsidRPr="00F914F5">
        <w:rPr>
          <w:rFonts w:eastAsia="Calibri" w:cs="Calibri"/>
          <w:bCs/>
          <w:color w:val="000000"/>
          <w:lang w:eastAsia="it-IT"/>
        </w:rPr>
        <w:t xml:space="preserve"> e </w:t>
      </w:r>
      <w:r w:rsidR="00AE7AB0">
        <w:rPr>
          <w:rFonts w:eastAsia="Calibri" w:cs="Calibri"/>
          <w:bCs/>
          <w:color w:val="000000"/>
          <w:lang w:eastAsia="it-IT"/>
        </w:rPr>
        <w:t>a</w:t>
      </w:r>
      <w:r w:rsidR="00AD7EF2" w:rsidRPr="00F914F5">
        <w:rPr>
          <w:rFonts w:eastAsia="Calibri" w:cs="Calibri"/>
          <w:bCs/>
          <w:color w:val="000000"/>
          <w:lang w:eastAsia="it-IT"/>
        </w:rPr>
        <w:t xml:space="preserve">cido </w:t>
      </w:r>
      <w:proofErr w:type="spellStart"/>
      <w:r w:rsidR="00AE7AB0">
        <w:rPr>
          <w:rFonts w:eastAsia="Calibri" w:cs="Calibri"/>
          <w:bCs/>
          <w:color w:val="000000"/>
          <w:lang w:eastAsia="it-IT"/>
        </w:rPr>
        <w:t>c</w:t>
      </w:r>
      <w:r w:rsidRPr="00F914F5">
        <w:rPr>
          <w:rFonts w:eastAsia="Calibri" w:cs="Calibri"/>
          <w:bCs/>
          <w:color w:val="000000"/>
          <w:lang w:eastAsia="it-IT"/>
        </w:rPr>
        <w:t>lavulanico</w:t>
      </w:r>
      <w:proofErr w:type="spellEnd"/>
      <w:r w:rsidRPr="00F914F5">
        <w:rPr>
          <w:rFonts w:eastAsia="Calibri" w:cs="Calibri"/>
          <w:bCs/>
          <w:color w:val="000000"/>
          <w:lang w:eastAsia="it-IT"/>
        </w:rPr>
        <w:t xml:space="preserve"> DOC </w:t>
      </w:r>
      <w:r w:rsidR="00AE7AB0" w:rsidRPr="00F914F5">
        <w:rPr>
          <w:rFonts w:eastAsia="Calibri" w:cs="Calibri"/>
          <w:color w:val="000000"/>
          <w:lang w:eastAsia="it-IT"/>
        </w:rPr>
        <w:t>è disponibile in compresse rivestite con film ed in polvere per sospensione orale</w:t>
      </w:r>
      <w:r w:rsidR="00AE7AB0">
        <w:rPr>
          <w:rFonts w:eastAsia="Calibri" w:cs="Calibri"/>
          <w:color w:val="000000"/>
          <w:lang w:eastAsia="it-IT"/>
        </w:rPr>
        <w:t xml:space="preserve"> confezionata in bustine; le compresse e le bustine contengono 875 mg di </w:t>
      </w:r>
      <w:proofErr w:type="spellStart"/>
      <w:r w:rsidR="00AE7AB0">
        <w:rPr>
          <w:rFonts w:eastAsia="Calibri" w:cs="Calibri"/>
          <w:color w:val="000000"/>
          <w:lang w:eastAsia="it-IT"/>
        </w:rPr>
        <w:t>amoxicillina</w:t>
      </w:r>
      <w:proofErr w:type="spellEnd"/>
      <w:r w:rsidR="00AE7AB0">
        <w:rPr>
          <w:rFonts w:eastAsia="Calibri" w:cs="Calibri"/>
          <w:color w:val="000000"/>
          <w:lang w:eastAsia="it-IT"/>
        </w:rPr>
        <w:t xml:space="preserve"> e 125 mg di acido </w:t>
      </w:r>
      <w:proofErr w:type="spellStart"/>
      <w:r w:rsidR="00AE7AB0">
        <w:rPr>
          <w:rFonts w:eastAsia="Calibri" w:cs="Calibri"/>
          <w:color w:val="000000"/>
          <w:lang w:eastAsia="it-IT"/>
        </w:rPr>
        <w:t>clavulanico</w:t>
      </w:r>
      <w:proofErr w:type="spellEnd"/>
      <w:r w:rsidR="00AE7AB0" w:rsidRPr="00F914F5">
        <w:rPr>
          <w:rFonts w:eastAsia="Calibri" w:cs="Calibri"/>
          <w:color w:val="000000"/>
          <w:lang w:eastAsia="it-IT"/>
        </w:rPr>
        <w:t>.</w:t>
      </w:r>
    </w:p>
    <w:p w:rsidR="00DF5EEF" w:rsidRPr="00F914F5" w:rsidRDefault="008A4633" w:rsidP="00F914F5">
      <w:pPr>
        <w:spacing w:after="0" w:line="240" w:lineRule="auto"/>
        <w:jc w:val="both"/>
      </w:pPr>
      <w:r w:rsidRPr="00F914F5">
        <w:rPr>
          <w:color w:val="000000"/>
        </w:rPr>
        <w:t xml:space="preserve">Gli eccipienti </w:t>
      </w:r>
      <w:r w:rsidR="00DF5EEF" w:rsidRPr="00F914F5">
        <w:rPr>
          <w:color w:val="000000"/>
        </w:rPr>
        <w:t xml:space="preserve">delle compresse </w:t>
      </w:r>
      <w:r w:rsidR="00AD7EF2" w:rsidRPr="00F914F5">
        <w:rPr>
          <w:color w:val="000000"/>
        </w:rPr>
        <w:t>s</w:t>
      </w:r>
      <w:r w:rsidRPr="00F914F5">
        <w:rPr>
          <w:color w:val="000000"/>
        </w:rPr>
        <w:t xml:space="preserve">ono: </w:t>
      </w:r>
      <w:r w:rsidR="00DF5EEF" w:rsidRPr="00F914F5">
        <w:t xml:space="preserve">cellulosa microcristallina, </w:t>
      </w:r>
      <w:proofErr w:type="spellStart"/>
      <w:r w:rsidR="00DF5EEF" w:rsidRPr="00F914F5">
        <w:t>crospovidone</w:t>
      </w:r>
      <w:proofErr w:type="spellEnd"/>
      <w:r w:rsidR="00DF5EEF" w:rsidRPr="00F914F5">
        <w:t xml:space="preserve">, sodio </w:t>
      </w:r>
      <w:proofErr w:type="spellStart"/>
      <w:r w:rsidR="00DF5EEF" w:rsidRPr="00F914F5">
        <w:t>croscarmellosa</w:t>
      </w:r>
      <w:proofErr w:type="spellEnd"/>
      <w:r w:rsidR="00DF5EEF" w:rsidRPr="00F914F5">
        <w:t xml:space="preserve">, silice colloidale anidra, magnesio stearato, copolimero metacrilico </w:t>
      </w:r>
      <w:proofErr w:type="spellStart"/>
      <w:r w:rsidR="00DF5EEF" w:rsidRPr="00F914F5">
        <w:t>butilato</w:t>
      </w:r>
      <w:proofErr w:type="spellEnd"/>
      <w:r w:rsidR="00DF5EEF" w:rsidRPr="00F914F5">
        <w:t xml:space="preserve"> (</w:t>
      </w:r>
      <w:proofErr w:type="spellStart"/>
      <w:r w:rsidR="00DF5EEF" w:rsidRPr="00F914F5">
        <w:t>Eudragit</w:t>
      </w:r>
      <w:proofErr w:type="spellEnd"/>
      <w:r w:rsidR="00DF5EEF" w:rsidRPr="00F914F5">
        <w:t xml:space="preserve"> E), titanio diossido, talco, macrogol 6000. </w:t>
      </w:r>
    </w:p>
    <w:p w:rsidR="00DF5EEF" w:rsidRPr="00F914F5" w:rsidRDefault="00DF5EEF" w:rsidP="00F914F5">
      <w:pPr>
        <w:spacing w:after="0" w:line="240" w:lineRule="auto"/>
        <w:jc w:val="both"/>
      </w:pPr>
      <w:r w:rsidRPr="00F914F5">
        <w:t>Gli eccipienti della polvere per sospensione orale sono:</w:t>
      </w:r>
      <w:r w:rsidRPr="00F914F5">
        <w:rPr>
          <w:rFonts w:eastAsia="Times New Roman" w:cs="Times New Roman"/>
          <w:snapToGrid w:val="0"/>
          <w:color w:val="000000"/>
          <w:lang w:eastAsia="it-IT"/>
        </w:rPr>
        <w:t xml:space="preserve"> </w:t>
      </w:r>
      <w:r w:rsidRPr="00F914F5">
        <w:t>aspartame, crospovidone, silice colloidale anidra, magnesio stearato, aroma fragola.</w:t>
      </w:r>
      <w:r w:rsidRPr="00F914F5" w:rsidDel="00E56531">
        <w:t xml:space="preserve"> </w:t>
      </w:r>
    </w:p>
    <w:p w:rsidR="00AE7AB0" w:rsidRDefault="00AE7AB0" w:rsidP="00AE7AB0">
      <w:pPr>
        <w:spacing w:after="0" w:line="240" w:lineRule="auto"/>
        <w:jc w:val="both"/>
      </w:pPr>
      <w:r w:rsidRPr="00FD655B">
        <w:t xml:space="preserve">Tutti gli eccipienti sono conformi alla relativa monografia della Farmacopea Europea, ad eccezione di </w:t>
      </w:r>
      <w:r w:rsidR="00F8588A" w:rsidRPr="00F914F5">
        <w:t xml:space="preserve">copolimero metacrilico </w:t>
      </w:r>
      <w:proofErr w:type="spellStart"/>
      <w:r w:rsidR="00F8588A" w:rsidRPr="00F914F5">
        <w:t>butilato</w:t>
      </w:r>
      <w:proofErr w:type="spellEnd"/>
      <w:r w:rsidR="00F8588A" w:rsidRPr="00F914F5">
        <w:t xml:space="preserve"> (</w:t>
      </w:r>
      <w:proofErr w:type="spellStart"/>
      <w:r w:rsidR="00F8588A" w:rsidRPr="00F914F5">
        <w:t>Eudragit</w:t>
      </w:r>
      <w:proofErr w:type="spellEnd"/>
      <w:r w:rsidR="00F8588A" w:rsidRPr="00F914F5">
        <w:t xml:space="preserve"> E)</w:t>
      </w:r>
      <w:r w:rsidR="00F8588A">
        <w:t xml:space="preserve"> e</w:t>
      </w:r>
      <w:r w:rsidRPr="00FD655B">
        <w:t xml:space="preserve"> aroma </w:t>
      </w:r>
      <w:r w:rsidR="00F8588A">
        <w:t>fragola</w:t>
      </w:r>
      <w:r w:rsidRPr="00FD655B">
        <w:t xml:space="preserve"> le cui specifiche sono state adeguatamente definite dal produttore.</w:t>
      </w:r>
    </w:p>
    <w:p w:rsidR="00AE7AB0" w:rsidRDefault="00AE7AB0" w:rsidP="00AE7AB0">
      <w:pPr>
        <w:spacing w:after="0" w:line="240" w:lineRule="auto"/>
        <w:jc w:val="both"/>
      </w:pPr>
      <w:r w:rsidRPr="00F93450">
        <w:t>Nessun eccipiente è ottenuto da organismi geneticamente modificati; non sono presenti eccipienti mai utilizzati nell’uomo.</w:t>
      </w:r>
    </w:p>
    <w:p w:rsidR="008A4633" w:rsidRPr="00F914F5" w:rsidRDefault="008A4633" w:rsidP="00F914F5">
      <w:pPr>
        <w:spacing w:after="0" w:line="240" w:lineRule="auto"/>
        <w:jc w:val="both"/>
      </w:pPr>
    </w:p>
    <w:p w:rsidR="00900C91" w:rsidRPr="00F914F5" w:rsidRDefault="00900C91" w:rsidP="00F914F5">
      <w:pPr>
        <w:spacing w:after="0" w:line="240" w:lineRule="auto"/>
        <w:jc w:val="both"/>
        <w:rPr>
          <w:b/>
        </w:rPr>
      </w:pPr>
      <w:r w:rsidRPr="00F914F5">
        <w:rPr>
          <w:b/>
        </w:rPr>
        <w:t>Sviluppo farmaceutico</w:t>
      </w:r>
    </w:p>
    <w:p w:rsidR="00DF5EEF" w:rsidRPr="00F914F5" w:rsidRDefault="00DF5EEF" w:rsidP="00F914F5">
      <w:pPr>
        <w:spacing w:after="0" w:line="240" w:lineRule="auto"/>
        <w:jc w:val="both"/>
        <w:rPr>
          <w:rFonts w:eastAsia="Calibri" w:cs="Times New Roman"/>
        </w:rPr>
      </w:pPr>
      <w:r w:rsidRPr="00F914F5">
        <w:rPr>
          <w:rFonts w:eastAsia="Calibri" w:cs="Times New Roman"/>
        </w:rPr>
        <w:t>Sono stati forniti dettagli dello sviluppo farmaceutico e questi sono stati ritenuti soddisfacenti.</w:t>
      </w:r>
    </w:p>
    <w:p w:rsidR="00DF5EEF" w:rsidRPr="00F914F5" w:rsidRDefault="00DF5EEF" w:rsidP="00F914F5">
      <w:pPr>
        <w:spacing w:after="0" w:line="240" w:lineRule="auto"/>
        <w:jc w:val="both"/>
        <w:rPr>
          <w:rFonts w:eastAsia="Calibri" w:cs="Times New Roman"/>
        </w:rPr>
      </w:pPr>
      <w:r w:rsidRPr="00F914F5">
        <w:rPr>
          <w:rFonts w:eastAsia="Calibri" w:cs="Times New Roman"/>
        </w:rPr>
        <w:t>Sono stati forniti dati comparativi relativi alle caratteristiche fisico-chimiche ed al profilo di impurezze rispetto al medicinale di riferimento. I dati sono soddisfacenti.</w:t>
      </w:r>
    </w:p>
    <w:p w:rsidR="008A4633" w:rsidRPr="00F914F5" w:rsidRDefault="008A4633" w:rsidP="00F914F5">
      <w:pPr>
        <w:spacing w:after="0" w:line="240" w:lineRule="auto"/>
        <w:jc w:val="both"/>
        <w:rPr>
          <w:rFonts w:cs="Arial"/>
        </w:rPr>
      </w:pPr>
    </w:p>
    <w:p w:rsidR="00900C91" w:rsidRPr="00F914F5" w:rsidRDefault="00900C91" w:rsidP="00F914F5">
      <w:pPr>
        <w:spacing w:after="0" w:line="240" w:lineRule="auto"/>
        <w:jc w:val="both"/>
        <w:rPr>
          <w:b/>
        </w:rPr>
      </w:pPr>
      <w:r w:rsidRPr="00F914F5">
        <w:rPr>
          <w:b/>
        </w:rPr>
        <w:t xml:space="preserve">Produzione </w:t>
      </w:r>
    </w:p>
    <w:p w:rsidR="00900C91" w:rsidRPr="00F914F5" w:rsidRDefault="00900C91" w:rsidP="00F914F5">
      <w:pPr>
        <w:spacing w:after="0" w:line="240" w:lineRule="auto"/>
        <w:jc w:val="both"/>
      </w:pPr>
      <w:r w:rsidRPr="00F914F5">
        <w:t>Sono stati forniti una descrizione del metodo di produzione e la relativa flow-chart.</w:t>
      </w:r>
    </w:p>
    <w:p w:rsidR="00900C91" w:rsidRPr="00F914F5" w:rsidRDefault="00900C91" w:rsidP="00F914F5">
      <w:pPr>
        <w:spacing w:after="0" w:line="240" w:lineRule="auto"/>
        <w:jc w:val="both"/>
      </w:pPr>
      <w:r w:rsidRPr="00F914F5">
        <w:t>I controlli effettuati nel corso della produzione sono appropriati per la natura del medicinale e del metodo di produzione. Sono stat</w:t>
      </w:r>
      <w:r w:rsidR="00D06833" w:rsidRPr="00F914F5">
        <w:t>e</w:t>
      </w:r>
      <w:r w:rsidRPr="00F914F5">
        <w:t xml:space="preserve"> fornit</w:t>
      </w:r>
      <w:r w:rsidR="00D06833" w:rsidRPr="00F914F5">
        <w:t>e</w:t>
      </w:r>
      <w:r w:rsidRPr="00F914F5">
        <w:t xml:space="preserve">, inoltre, </w:t>
      </w:r>
      <w:r w:rsidR="00D06833" w:rsidRPr="00F914F5">
        <w:t xml:space="preserve">informazioni </w:t>
      </w:r>
      <w:r w:rsidRPr="00F914F5">
        <w:t>soddisfacenti relativ</w:t>
      </w:r>
      <w:r w:rsidR="00D06833" w:rsidRPr="00F914F5">
        <w:t>e</w:t>
      </w:r>
      <w:r w:rsidRPr="00F914F5">
        <w:t xml:space="preserve"> alla convalida del metodo di produzione.</w:t>
      </w:r>
    </w:p>
    <w:p w:rsidR="00900C91" w:rsidRPr="00F914F5" w:rsidRDefault="00900C91" w:rsidP="00F914F5">
      <w:pPr>
        <w:spacing w:after="0" w:line="240" w:lineRule="auto"/>
        <w:jc w:val="both"/>
      </w:pPr>
    </w:p>
    <w:p w:rsidR="00900C91" w:rsidRPr="00F914F5" w:rsidRDefault="00900C91" w:rsidP="00F914F5">
      <w:pPr>
        <w:spacing w:after="0" w:line="240" w:lineRule="auto"/>
        <w:jc w:val="both"/>
        <w:rPr>
          <w:b/>
        </w:rPr>
      </w:pPr>
      <w:r w:rsidRPr="00F914F5">
        <w:rPr>
          <w:b/>
        </w:rPr>
        <w:t>Specifiche del prodotto finito</w:t>
      </w:r>
    </w:p>
    <w:p w:rsidR="00900C91" w:rsidRPr="00F914F5" w:rsidRDefault="00900C91" w:rsidP="00F914F5">
      <w:pPr>
        <w:spacing w:after="0" w:line="240" w:lineRule="auto"/>
        <w:jc w:val="both"/>
      </w:pPr>
      <w:r w:rsidRPr="00F914F5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D06833" w:rsidRPr="00F914F5">
        <w:t>le due formulazioni</w:t>
      </w:r>
      <w:r w:rsidRPr="00F914F5">
        <w:t xml:space="preserve"> del prodotto finito: questi dati dimostrano che i lotti prodotti sono in accordo alle specifiche proposte. Sono stati forniti, infine, certificati analitici per gli standard di riferimento utilizzati.</w:t>
      </w:r>
    </w:p>
    <w:p w:rsidR="00900C91" w:rsidRPr="00F914F5" w:rsidRDefault="00900C91" w:rsidP="00F914F5">
      <w:pPr>
        <w:spacing w:after="0" w:line="240" w:lineRule="auto"/>
        <w:jc w:val="both"/>
        <w:rPr>
          <w:b/>
        </w:rPr>
      </w:pPr>
    </w:p>
    <w:p w:rsidR="00900C91" w:rsidRPr="00F914F5" w:rsidRDefault="00900C91" w:rsidP="00F914F5">
      <w:pPr>
        <w:spacing w:after="0" w:line="240" w:lineRule="auto"/>
        <w:jc w:val="both"/>
        <w:rPr>
          <w:b/>
        </w:rPr>
      </w:pPr>
      <w:r w:rsidRPr="00F914F5">
        <w:rPr>
          <w:b/>
        </w:rPr>
        <w:t>Contenitore</w:t>
      </w:r>
    </w:p>
    <w:p w:rsidR="00D06833" w:rsidRDefault="00F8588A" w:rsidP="00F914F5">
      <w:pPr>
        <w:spacing w:after="0" w:line="240" w:lineRule="auto"/>
        <w:jc w:val="both"/>
      </w:pPr>
      <w:r>
        <w:t>Le</w:t>
      </w:r>
      <w:r w:rsidR="00D06833" w:rsidRPr="00F914F5">
        <w:t xml:space="preserve"> </w:t>
      </w:r>
      <w:r w:rsidR="005F2AC1" w:rsidRPr="00F914F5">
        <w:t>compresse</w:t>
      </w:r>
      <w:r w:rsidR="00D06833" w:rsidRPr="00F914F5">
        <w:t xml:space="preserve"> </w:t>
      </w:r>
      <w:r>
        <w:t>sono</w:t>
      </w:r>
      <w:r w:rsidR="00D06833" w:rsidRPr="00F914F5">
        <w:t xml:space="preserve"> confezionat</w:t>
      </w:r>
      <w:r>
        <w:t>e</w:t>
      </w:r>
      <w:r w:rsidR="00D06833" w:rsidRPr="00F914F5">
        <w:t xml:space="preserve"> in blisters composto da un triplo strato </w:t>
      </w:r>
      <w:r w:rsidR="005F2AC1" w:rsidRPr="00F914F5">
        <w:t xml:space="preserve">formato da </w:t>
      </w:r>
      <w:r w:rsidR="00D06833" w:rsidRPr="00F914F5">
        <w:t xml:space="preserve"> poliammide orientata (OPA), alluminio</w:t>
      </w:r>
      <w:r w:rsidR="005F2AC1" w:rsidRPr="00F914F5">
        <w:t xml:space="preserve"> (</w:t>
      </w:r>
      <w:r w:rsidR="00D06833" w:rsidRPr="00F914F5">
        <w:t>Al</w:t>
      </w:r>
      <w:r w:rsidR="005F2AC1" w:rsidRPr="00F914F5">
        <w:t>) e polivinilcloruro (</w:t>
      </w:r>
      <w:r w:rsidR="00D06833" w:rsidRPr="00F914F5">
        <w:t>PVC</w:t>
      </w:r>
      <w:r w:rsidR="005F2AC1" w:rsidRPr="00F914F5">
        <w:t>)</w:t>
      </w:r>
      <w:r w:rsidR="00D06833" w:rsidRPr="00F914F5">
        <w:t xml:space="preserve"> </w:t>
      </w:r>
      <w:r w:rsidR="005F2AC1" w:rsidRPr="00F914F5">
        <w:t>saldato con un foglio di alluminio</w:t>
      </w:r>
      <w:r w:rsidR="00D06833" w:rsidRPr="00F914F5">
        <w:t>.</w:t>
      </w:r>
    </w:p>
    <w:p w:rsidR="00F8588A" w:rsidRPr="00F914F5" w:rsidRDefault="00F8588A" w:rsidP="00F8588A">
      <w:pPr>
        <w:autoSpaceDE w:val="0"/>
        <w:autoSpaceDN w:val="0"/>
        <w:adjustRightInd w:val="0"/>
        <w:spacing w:after="0" w:line="240" w:lineRule="auto"/>
      </w:pPr>
      <w:r>
        <w:t xml:space="preserve">La </w:t>
      </w:r>
      <w:r w:rsidRPr="00F914F5">
        <w:t>povere per sospensione orale è confezionat</w:t>
      </w:r>
      <w:r>
        <w:t>a</w:t>
      </w:r>
      <w:r w:rsidRPr="00F914F5">
        <w:t xml:space="preserve">  in bustine di </w:t>
      </w:r>
      <w:proofErr w:type="spellStart"/>
      <w:r w:rsidRPr="00F914F5">
        <w:t>polietilen</w:t>
      </w:r>
      <w:r>
        <w:t>-</w:t>
      </w:r>
      <w:r w:rsidRPr="00F914F5">
        <w:t>tereftalato</w:t>
      </w:r>
      <w:proofErr w:type="spellEnd"/>
      <w:r w:rsidRPr="00F914F5">
        <w:t xml:space="preserve"> (PET), Pol</w:t>
      </w:r>
      <w:r>
        <w:t>ietilene (PE) ed alluminio (Al).</w:t>
      </w:r>
    </w:p>
    <w:p w:rsidR="00900C91" w:rsidRPr="00F914F5" w:rsidRDefault="00900C91" w:rsidP="00F914F5">
      <w:pPr>
        <w:spacing w:after="0" w:line="240" w:lineRule="auto"/>
        <w:jc w:val="both"/>
      </w:pPr>
      <w:r w:rsidRPr="00F914F5">
        <w:t>Sono state fornite specifiche e certificati analitici per tutti i componenti del confezionamento primario, che è adeguato per il medicinale.</w:t>
      </w:r>
    </w:p>
    <w:p w:rsidR="00A924CF" w:rsidRPr="00F914F5" w:rsidRDefault="00A924CF" w:rsidP="00F914F5">
      <w:pPr>
        <w:spacing w:after="0" w:line="240" w:lineRule="auto"/>
        <w:jc w:val="both"/>
      </w:pPr>
    </w:p>
    <w:p w:rsidR="00900C91" w:rsidRPr="00F914F5" w:rsidRDefault="00900C91" w:rsidP="00F914F5">
      <w:pPr>
        <w:spacing w:after="0" w:line="240" w:lineRule="auto"/>
        <w:jc w:val="both"/>
        <w:rPr>
          <w:b/>
        </w:rPr>
      </w:pPr>
      <w:r w:rsidRPr="00F914F5">
        <w:rPr>
          <w:b/>
        </w:rPr>
        <w:t>Stabilità</w:t>
      </w:r>
    </w:p>
    <w:p w:rsidR="00972CE3" w:rsidRPr="00F914F5" w:rsidRDefault="00900C91" w:rsidP="00F914F5">
      <w:pPr>
        <w:spacing w:after="0" w:line="240" w:lineRule="auto"/>
        <w:jc w:val="both"/>
      </w:pPr>
      <w:r w:rsidRPr="00F914F5">
        <w:t xml:space="preserve">Studi di stabilità sul prodotto finito sono stati condotti in accordo alle correnti linee guida e i risultati sono entro i limiti delle specifiche autorizzate. Sulla base di questi risultati, </w:t>
      </w:r>
      <w:r w:rsidR="00972CE3" w:rsidRPr="00F914F5">
        <w:t xml:space="preserve">è stato autorizzato un periodo di validità di </w:t>
      </w:r>
      <w:r w:rsidR="00A02D62" w:rsidRPr="00F914F5">
        <w:t>2 anni</w:t>
      </w:r>
      <w:r w:rsidR="00972CE3" w:rsidRPr="00F914F5">
        <w:t xml:space="preserve"> </w:t>
      </w:r>
      <w:r w:rsidR="00A02D62" w:rsidRPr="00F914F5">
        <w:t>con</w:t>
      </w:r>
      <w:r w:rsidR="00972CE3" w:rsidRPr="00F914F5">
        <w:t xml:space="preserve"> conservazione</w:t>
      </w:r>
      <w:r w:rsidR="00A02D62" w:rsidRPr="00F914F5">
        <w:t xml:space="preserve"> a temperatura non superiore a </w:t>
      </w:r>
      <w:r w:rsidR="005F2AC1" w:rsidRPr="00F914F5">
        <w:t>25</w:t>
      </w:r>
      <w:r w:rsidR="00A02D62" w:rsidRPr="00F914F5">
        <w:t>°C</w:t>
      </w:r>
      <w:r w:rsidR="005F2AC1" w:rsidRPr="00F914F5">
        <w:t xml:space="preserve"> </w:t>
      </w:r>
      <w:r w:rsidR="000F6474" w:rsidRPr="00F914F5">
        <w:t xml:space="preserve">sia </w:t>
      </w:r>
      <w:r w:rsidR="005F2AC1" w:rsidRPr="00F914F5">
        <w:t>per le compresse</w:t>
      </w:r>
      <w:r w:rsidR="000F6474" w:rsidRPr="00F914F5">
        <w:t xml:space="preserve"> che per la polvere per sospensione orale</w:t>
      </w:r>
      <w:r w:rsidR="00F8588A">
        <w:t>.</w:t>
      </w:r>
    </w:p>
    <w:p w:rsidR="005F2AC1" w:rsidRPr="00F914F5" w:rsidRDefault="005F2AC1" w:rsidP="00F914F5">
      <w:pPr>
        <w:spacing w:after="0" w:line="240" w:lineRule="auto"/>
        <w:jc w:val="both"/>
      </w:pPr>
    </w:p>
    <w:p w:rsidR="00900C91" w:rsidRPr="00F914F5" w:rsidRDefault="00900C91" w:rsidP="00F914F5">
      <w:pPr>
        <w:spacing w:after="0" w:line="240" w:lineRule="auto"/>
        <w:jc w:val="both"/>
        <w:rPr>
          <w:b/>
        </w:rPr>
      </w:pPr>
      <w:r w:rsidRPr="00F914F5">
        <w:rPr>
          <w:b/>
        </w:rPr>
        <w:t>II.3 Discussione sugli aspetti di qualità</w:t>
      </w:r>
    </w:p>
    <w:p w:rsidR="00F8588A" w:rsidRDefault="00900C91" w:rsidP="00F914F5">
      <w:pPr>
        <w:spacing w:after="0" w:line="240" w:lineRule="auto"/>
        <w:jc w:val="both"/>
      </w:pPr>
      <w:r w:rsidRPr="00F914F5">
        <w:t xml:space="preserve">Tutte le criticità evidenziate nel corso della valutazione sono state risolte e la qualità di </w:t>
      </w:r>
      <w:proofErr w:type="spellStart"/>
      <w:r w:rsidR="00075F06" w:rsidRPr="00F914F5">
        <w:t>Amoxicillina</w:t>
      </w:r>
      <w:proofErr w:type="spellEnd"/>
      <w:r w:rsidR="00075F06" w:rsidRPr="00F914F5">
        <w:t xml:space="preserve"> e </w:t>
      </w:r>
      <w:r w:rsidR="00F8588A">
        <w:t>a</w:t>
      </w:r>
      <w:r w:rsidR="00075F06" w:rsidRPr="00F914F5">
        <w:t xml:space="preserve">cido </w:t>
      </w:r>
      <w:proofErr w:type="spellStart"/>
      <w:r w:rsidR="00F8588A">
        <w:t>c</w:t>
      </w:r>
      <w:r w:rsidR="00075F06" w:rsidRPr="00F914F5">
        <w:t>lavulanico</w:t>
      </w:r>
      <w:proofErr w:type="spellEnd"/>
      <w:r w:rsidR="00075F06" w:rsidRPr="00F914F5">
        <w:t xml:space="preserve"> DOC</w:t>
      </w:r>
      <w:r w:rsidRPr="00F914F5">
        <w:t xml:space="preserve"> è considerata adeguata. </w:t>
      </w:r>
    </w:p>
    <w:p w:rsidR="00900C91" w:rsidRPr="00F914F5" w:rsidRDefault="00900C91" w:rsidP="00F914F5">
      <w:pPr>
        <w:spacing w:after="0" w:line="240" w:lineRule="auto"/>
        <w:jc w:val="both"/>
      </w:pPr>
      <w:r w:rsidRPr="00F914F5">
        <w:t xml:space="preserve">Non ci sono obiezioni per l’approvazione di </w:t>
      </w:r>
      <w:r w:rsidR="000F6474" w:rsidRPr="00F914F5">
        <w:t xml:space="preserve"> </w:t>
      </w:r>
      <w:proofErr w:type="spellStart"/>
      <w:r w:rsidR="000F6474" w:rsidRPr="00F914F5">
        <w:t>Amoxicillina</w:t>
      </w:r>
      <w:proofErr w:type="spellEnd"/>
      <w:r w:rsidR="000F6474" w:rsidRPr="00F914F5">
        <w:t xml:space="preserve"> </w:t>
      </w:r>
      <w:r w:rsidR="00075F06" w:rsidRPr="00F914F5">
        <w:t xml:space="preserve">e </w:t>
      </w:r>
      <w:r w:rsidR="00F8588A">
        <w:t>a</w:t>
      </w:r>
      <w:r w:rsidR="00075F06" w:rsidRPr="00F914F5">
        <w:t xml:space="preserve">cido </w:t>
      </w:r>
      <w:proofErr w:type="spellStart"/>
      <w:r w:rsidR="00F8588A">
        <w:t>c</w:t>
      </w:r>
      <w:r w:rsidR="00075F06" w:rsidRPr="00F914F5">
        <w:t>lavulanico</w:t>
      </w:r>
      <w:proofErr w:type="spellEnd"/>
      <w:r w:rsidR="00075F06" w:rsidRPr="00F914F5">
        <w:t xml:space="preserve"> DOC</w:t>
      </w:r>
      <w:r w:rsidRPr="00F914F5">
        <w:t xml:space="preserve"> dal punto di vista chimico-farmaceutico.</w:t>
      </w:r>
    </w:p>
    <w:p w:rsidR="00900C91" w:rsidRDefault="00900C91" w:rsidP="00F914F5">
      <w:pPr>
        <w:spacing w:after="0" w:line="240" w:lineRule="auto"/>
        <w:jc w:val="both"/>
      </w:pPr>
    </w:p>
    <w:p w:rsidR="00900C91" w:rsidRPr="00F914F5" w:rsidRDefault="00900C91" w:rsidP="00F914F5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F914F5">
        <w:rPr>
          <w:b/>
        </w:rPr>
        <w:lastRenderedPageBreak/>
        <w:t>ASPETTI NON CLINICI</w:t>
      </w:r>
    </w:p>
    <w:p w:rsidR="00E019C6" w:rsidRPr="00F914F5" w:rsidRDefault="00E019C6" w:rsidP="00F914F5">
      <w:pPr>
        <w:spacing w:after="0" w:line="240" w:lineRule="auto"/>
        <w:jc w:val="both"/>
      </w:pPr>
      <w:r w:rsidRPr="00F914F5">
        <w:t xml:space="preserve">Non sono stati condotti specifici studi non clinici, in quanto </w:t>
      </w:r>
      <w:proofErr w:type="spellStart"/>
      <w:r w:rsidRPr="00F914F5">
        <w:t>Amoxicillina</w:t>
      </w:r>
      <w:proofErr w:type="spellEnd"/>
      <w:r w:rsidRPr="00F914F5">
        <w:t xml:space="preserve"> e acido </w:t>
      </w:r>
      <w:proofErr w:type="spellStart"/>
      <w:r w:rsidRPr="00F914F5">
        <w:t>clavulanico</w:t>
      </w:r>
      <w:proofErr w:type="spellEnd"/>
      <w:r w:rsidRPr="00F914F5">
        <w:t xml:space="preserve"> DOC contiene principi attiv</w:t>
      </w:r>
      <w:r w:rsidR="00F8588A">
        <w:t>i</w:t>
      </w:r>
      <w:r w:rsidRPr="00F914F5">
        <w:t xml:space="preserve"> not</w:t>
      </w:r>
      <w:r w:rsidR="00F8588A">
        <w:t>i</w:t>
      </w:r>
      <w:r w:rsidRPr="00F914F5">
        <w:t xml:space="preserve">: questo approccio è accettabile poiché il medicinale di riferimento </w:t>
      </w:r>
      <w:proofErr w:type="spellStart"/>
      <w:r w:rsidRPr="00F914F5">
        <w:t>Augmentin</w:t>
      </w:r>
      <w:proofErr w:type="spellEnd"/>
      <w:r w:rsidRPr="00F914F5">
        <w:t xml:space="preserve"> è autorizzato in Italia da oltre 10 anni.</w:t>
      </w:r>
    </w:p>
    <w:p w:rsidR="00E019C6" w:rsidRPr="00F914F5" w:rsidRDefault="00E019C6" w:rsidP="00F914F5">
      <w:pPr>
        <w:spacing w:after="0" w:line="240" w:lineRule="auto"/>
        <w:jc w:val="both"/>
      </w:pPr>
      <w:r w:rsidRPr="00F914F5">
        <w:t>Non ci sono obiezioni per l’approvazione dal punto di vista non clinico.</w:t>
      </w:r>
    </w:p>
    <w:p w:rsidR="00900C91" w:rsidRDefault="00900C91" w:rsidP="00F914F5">
      <w:pPr>
        <w:spacing w:after="0" w:line="240" w:lineRule="auto"/>
        <w:jc w:val="both"/>
      </w:pPr>
    </w:p>
    <w:p w:rsidR="00F8588A" w:rsidRPr="00F914F5" w:rsidRDefault="00F8588A" w:rsidP="00F914F5">
      <w:pPr>
        <w:spacing w:after="0" w:line="240" w:lineRule="auto"/>
        <w:jc w:val="both"/>
      </w:pPr>
    </w:p>
    <w:p w:rsidR="00900C91" w:rsidRPr="00F914F5" w:rsidRDefault="00900C91" w:rsidP="00F914F5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F914F5">
        <w:rPr>
          <w:b/>
        </w:rPr>
        <w:t>ASPETTI CLINICI</w:t>
      </w:r>
    </w:p>
    <w:p w:rsidR="000F6474" w:rsidRPr="00F914F5" w:rsidRDefault="00075F06" w:rsidP="00F914F5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F914F5">
        <w:t>Amoxicillina</w:t>
      </w:r>
      <w:proofErr w:type="spellEnd"/>
      <w:r w:rsidRPr="00F914F5">
        <w:t xml:space="preserve"> e acido </w:t>
      </w:r>
      <w:proofErr w:type="spellStart"/>
      <w:r w:rsidRPr="00F914F5">
        <w:t>clavulanico</w:t>
      </w:r>
      <w:proofErr w:type="spellEnd"/>
      <w:r w:rsidRPr="00F914F5">
        <w:t xml:space="preserve"> DOC</w:t>
      </w:r>
      <w:r w:rsidR="00900C91" w:rsidRPr="00F914F5">
        <w:t xml:space="preserve"> è utilizzato </w:t>
      </w:r>
      <w:r w:rsidR="000F6474" w:rsidRPr="00F914F5">
        <w:t>nel trattamento delle seguenti infezioni negli adulti e nei bambini: Sinusite batterica acuta, otite media acuta, esacerbazioni acute di bronchiti croniche, polmonite acquisita in comunità, cistite, pielonefrite, infezioni della pelle e dei tessuti molli in particolare cellulite, morsi di animale, ascesso dentale grave con cellulite diffusa, infezioni ossee ed articolari, in particolare osteomielite.</w:t>
      </w:r>
    </w:p>
    <w:p w:rsidR="00E4754C" w:rsidRPr="00F914F5" w:rsidRDefault="00E4754C" w:rsidP="00F914F5">
      <w:pPr>
        <w:spacing w:after="0" w:line="240" w:lineRule="auto"/>
        <w:ind w:right="6"/>
        <w:jc w:val="both"/>
      </w:pPr>
    </w:p>
    <w:p w:rsidR="00900C91" w:rsidRPr="00F914F5" w:rsidRDefault="00900C91" w:rsidP="00F914F5">
      <w:pPr>
        <w:spacing w:after="0" w:line="240" w:lineRule="auto"/>
        <w:ind w:right="6"/>
        <w:jc w:val="both"/>
        <w:rPr>
          <w:b/>
        </w:rPr>
      </w:pPr>
      <w:r w:rsidRPr="00F914F5">
        <w:rPr>
          <w:b/>
        </w:rPr>
        <w:t>Posologia e modalità di somministrazione</w:t>
      </w:r>
    </w:p>
    <w:p w:rsidR="00900C91" w:rsidRPr="00F914F5" w:rsidRDefault="00900C91" w:rsidP="00F914F5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F914F5">
        <w:t>Le informazioni sulla posologia e sulle modalità di somministrazione sono riportate nel Riassunto delle Caratteristiche del Prodotto pubblicato sul sito dell’Agenzia Italiana del Farmaco - AIFA /</w:t>
      </w:r>
      <w:r w:rsidRPr="00F914F5">
        <w:rPr>
          <w:rFonts w:eastAsia="Calibri" w:cs="Calibri"/>
          <w:lang w:eastAsia="it-IT"/>
        </w:rPr>
        <w:t>(</w:t>
      </w:r>
      <w:hyperlink r:id="rId12" w:history="1">
        <w:r w:rsidRPr="00F914F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F914F5">
        <w:rPr>
          <w:rFonts w:eastAsia="Calibri" w:cs="Calibri"/>
          <w:lang w:eastAsia="it-IT"/>
        </w:rPr>
        <w:t>).</w:t>
      </w:r>
    </w:p>
    <w:p w:rsidR="00900C91" w:rsidRPr="00F914F5" w:rsidRDefault="00900C91" w:rsidP="00F914F5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900C91" w:rsidRPr="00F914F5" w:rsidRDefault="00900C91" w:rsidP="00F914F5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F914F5">
        <w:rPr>
          <w:rFonts w:eastAsia="Calibri" w:cs="Calibri"/>
          <w:b/>
          <w:lang w:eastAsia="it-IT"/>
        </w:rPr>
        <w:t>Tossicologia</w:t>
      </w:r>
    </w:p>
    <w:p w:rsidR="00900C91" w:rsidRPr="00F914F5" w:rsidRDefault="00900C91" w:rsidP="00F914F5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F914F5">
        <w:rPr>
          <w:rFonts w:eastAsia="Calibri" w:cs="Calibri"/>
          <w:lang w:eastAsia="it-IT"/>
        </w:rPr>
        <w:t xml:space="preserve">La tossicologia di </w:t>
      </w:r>
      <w:proofErr w:type="spellStart"/>
      <w:r w:rsidR="00F8588A">
        <w:rPr>
          <w:rFonts w:eastAsia="Calibri" w:cs="Calibri"/>
          <w:color w:val="000000"/>
          <w:lang w:eastAsia="it-IT"/>
        </w:rPr>
        <w:t>a</w:t>
      </w:r>
      <w:r w:rsidR="00C71FFE" w:rsidRPr="00F914F5">
        <w:rPr>
          <w:rFonts w:eastAsia="Calibri" w:cs="Calibri"/>
          <w:color w:val="000000"/>
          <w:lang w:eastAsia="it-IT"/>
        </w:rPr>
        <w:t>moxicillina</w:t>
      </w:r>
      <w:proofErr w:type="spellEnd"/>
      <w:r w:rsidR="00C71FFE" w:rsidRPr="00F914F5">
        <w:rPr>
          <w:rFonts w:eastAsia="Calibri" w:cs="Calibri"/>
          <w:color w:val="000000"/>
          <w:lang w:eastAsia="it-IT"/>
        </w:rPr>
        <w:t xml:space="preserve"> e </w:t>
      </w:r>
      <w:r w:rsidR="00F8588A">
        <w:rPr>
          <w:rFonts w:eastAsia="Calibri" w:cs="Calibri"/>
          <w:color w:val="000000"/>
          <w:lang w:eastAsia="it-IT"/>
        </w:rPr>
        <w:t>a</w:t>
      </w:r>
      <w:r w:rsidR="00C71FFE" w:rsidRPr="00F914F5">
        <w:rPr>
          <w:rFonts w:eastAsia="Calibri" w:cs="Calibri"/>
          <w:color w:val="000000"/>
          <w:lang w:eastAsia="it-IT"/>
        </w:rPr>
        <w:t xml:space="preserve">cido </w:t>
      </w:r>
      <w:proofErr w:type="spellStart"/>
      <w:r w:rsidR="00F8588A">
        <w:rPr>
          <w:rFonts w:eastAsia="Calibri" w:cs="Calibri"/>
          <w:color w:val="000000"/>
          <w:lang w:eastAsia="it-IT"/>
        </w:rPr>
        <w:t>c</w:t>
      </w:r>
      <w:r w:rsidR="00C71FFE" w:rsidRPr="00F914F5">
        <w:rPr>
          <w:rFonts w:eastAsia="Calibri" w:cs="Calibri"/>
          <w:color w:val="000000"/>
          <w:lang w:eastAsia="it-IT"/>
        </w:rPr>
        <w:t>lavulanico</w:t>
      </w:r>
      <w:proofErr w:type="spellEnd"/>
      <w:r w:rsidR="00C71FFE" w:rsidRPr="00F914F5">
        <w:rPr>
          <w:rFonts w:eastAsia="Calibri" w:cs="Calibri"/>
          <w:lang w:eastAsia="it-IT"/>
        </w:rPr>
        <w:t xml:space="preserve"> </w:t>
      </w:r>
      <w:r w:rsidRPr="00F914F5">
        <w:rPr>
          <w:rFonts w:eastAsia="Calibri" w:cs="Calibri"/>
          <w:lang w:eastAsia="it-IT"/>
        </w:rPr>
        <w:t>è ben conosciuta; non è stato necessario presentare ulteriori dati.</w:t>
      </w:r>
    </w:p>
    <w:p w:rsidR="00900C91" w:rsidRPr="00F914F5" w:rsidRDefault="00900C91" w:rsidP="00F914F5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900C91" w:rsidRPr="00F914F5" w:rsidRDefault="00900C91" w:rsidP="00F914F5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F914F5">
        <w:rPr>
          <w:rFonts w:eastAsia="Times New Roman" w:cs="Times New Roman"/>
          <w:b/>
        </w:rPr>
        <w:t>Farmacologia clinica</w:t>
      </w:r>
    </w:p>
    <w:p w:rsidR="00E4754C" w:rsidRPr="00F914F5" w:rsidRDefault="00E4754C" w:rsidP="00F914F5">
      <w:pPr>
        <w:spacing w:after="0" w:line="240" w:lineRule="auto"/>
        <w:jc w:val="both"/>
      </w:pPr>
      <w:r w:rsidRPr="00F914F5">
        <w:rPr>
          <w:rFonts w:eastAsia="Calibri" w:cs="Calibri"/>
          <w:lang w:eastAsia="it-IT"/>
        </w:rPr>
        <w:t xml:space="preserve">La farmacologia clinica di </w:t>
      </w:r>
      <w:proofErr w:type="spellStart"/>
      <w:r w:rsidR="00F8588A">
        <w:rPr>
          <w:rFonts w:eastAsia="Calibri" w:cs="Calibri"/>
          <w:color w:val="000000"/>
          <w:lang w:eastAsia="it-IT"/>
        </w:rPr>
        <w:t>a</w:t>
      </w:r>
      <w:r w:rsidR="00C71FFE" w:rsidRPr="00F914F5">
        <w:rPr>
          <w:rFonts w:eastAsia="Calibri" w:cs="Calibri"/>
          <w:color w:val="000000"/>
          <w:lang w:eastAsia="it-IT"/>
        </w:rPr>
        <w:t>moxicillina</w:t>
      </w:r>
      <w:proofErr w:type="spellEnd"/>
      <w:r w:rsidR="00C71FFE" w:rsidRPr="00F914F5">
        <w:rPr>
          <w:rFonts w:eastAsia="Calibri" w:cs="Calibri"/>
          <w:color w:val="000000"/>
          <w:lang w:eastAsia="it-IT"/>
        </w:rPr>
        <w:t xml:space="preserve"> e </w:t>
      </w:r>
      <w:r w:rsidR="00F8588A">
        <w:rPr>
          <w:rFonts w:eastAsia="Calibri" w:cs="Calibri"/>
          <w:color w:val="000000"/>
          <w:lang w:eastAsia="it-IT"/>
        </w:rPr>
        <w:t>a</w:t>
      </w:r>
      <w:r w:rsidR="00C71FFE" w:rsidRPr="00F914F5">
        <w:rPr>
          <w:rFonts w:eastAsia="Calibri" w:cs="Calibri"/>
          <w:color w:val="000000"/>
          <w:lang w:eastAsia="it-IT"/>
        </w:rPr>
        <w:t xml:space="preserve">cido </w:t>
      </w:r>
      <w:proofErr w:type="spellStart"/>
      <w:r w:rsidR="00F8588A">
        <w:rPr>
          <w:rFonts w:eastAsia="Calibri" w:cs="Calibri"/>
          <w:color w:val="000000"/>
          <w:lang w:eastAsia="it-IT"/>
        </w:rPr>
        <w:t>c</w:t>
      </w:r>
      <w:r w:rsidR="00C71FFE" w:rsidRPr="00F914F5">
        <w:rPr>
          <w:rFonts w:eastAsia="Calibri" w:cs="Calibri"/>
          <w:color w:val="000000"/>
          <w:lang w:eastAsia="it-IT"/>
        </w:rPr>
        <w:t>lavulanico</w:t>
      </w:r>
      <w:proofErr w:type="spellEnd"/>
      <w:r w:rsidR="00C71FFE" w:rsidRPr="00F914F5">
        <w:rPr>
          <w:rFonts w:eastAsia="Calibri" w:cs="Calibri"/>
          <w:color w:val="000000"/>
          <w:lang w:eastAsia="it-IT"/>
        </w:rPr>
        <w:t xml:space="preserve"> </w:t>
      </w:r>
      <w:r w:rsidRPr="00F914F5">
        <w:rPr>
          <w:rFonts w:eastAsia="Calibri" w:cs="Calibri"/>
          <w:lang w:eastAsia="it-IT"/>
        </w:rPr>
        <w:t>è ben conosciuta.</w:t>
      </w:r>
      <w:r w:rsidR="0084302F" w:rsidRPr="00F914F5">
        <w:t xml:space="preserve"> N</w:t>
      </w:r>
      <w:r w:rsidRPr="00F914F5">
        <w:t xml:space="preserve">on sono stati condotti nuovi studi clinici di farmacodinamica e farmacocinetica, in quanto </w:t>
      </w:r>
      <w:proofErr w:type="spellStart"/>
      <w:r w:rsidR="00075F06" w:rsidRPr="00F914F5">
        <w:t>Amoxicillina</w:t>
      </w:r>
      <w:proofErr w:type="spellEnd"/>
      <w:r w:rsidR="00075F06" w:rsidRPr="00F914F5">
        <w:t xml:space="preserve"> e acido </w:t>
      </w:r>
      <w:proofErr w:type="spellStart"/>
      <w:r w:rsidR="00075F06" w:rsidRPr="00F914F5">
        <w:t>clavulanico</w:t>
      </w:r>
      <w:proofErr w:type="spellEnd"/>
      <w:r w:rsidR="00075F06" w:rsidRPr="00F914F5">
        <w:t xml:space="preserve"> DOC</w:t>
      </w:r>
      <w:r w:rsidR="0084302F" w:rsidRPr="00F914F5">
        <w:t xml:space="preserve"> </w:t>
      </w:r>
      <w:r w:rsidR="00F8588A">
        <w:t>contiene principi</w:t>
      </w:r>
      <w:r w:rsidRPr="00F914F5">
        <w:t xml:space="preserve"> attiv</w:t>
      </w:r>
      <w:r w:rsidR="00F8588A">
        <w:t>i</w:t>
      </w:r>
      <w:r w:rsidRPr="00F914F5">
        <w:t xml:space="preserve"> not</w:t>
      </w:r>
      <w:r w:rsidR="00F8588A">
        <w:t>i</w:t>
      </w:r>
      <w:r w:rsidRPr="00F914F5">
        <w:t xml:space="preserve"> e present</w:t>
      </w:r>
      <w:r w:rsidR="00F8588A">
        <w:t>i</w:t>
      </w:r>
      <w:r w:rsidRPr="00F914F5">
        <w:t xml:space="preserve"> nel medicinale di riferimento </w:t>
      </w:r>
      <w:proofErr w:type="spellStart"/>
      <w:r w:rsidR="00075F06" w:rsidRPr="00F914F5">
        <w:t>Augmentin</w:t>
      </w:r>
      <w:proofErr w:type="spellEnd"/>
      <w:r w:rsidRPr="00F914F5">
        <w:t xml:space="preserve"> autorizzato in Italia da più di 10 anni.</w:t>
      </w:r>
    </w:p>
    <w:p w:rsidR="00900C91" w:rsidRPr="00F914F5" w:rsidRDefault="00900C91" w:rsidP="00F914F5">
      <w:pPr>
        <w:spacing w:after="0" w:line="240" w:lineRule="auto"/>
        <w:jc w:val="both"/>
      </w:pPr>
    </w:p>
    <w:p w:rsidR="00900C91" w:rsidRPr="00F914F5" w:rsidRDefault="005C3D64" w:rsidP="00F914F5">
      <w:pPr>
        <w:spacing w:after="0" w:line="240" w:lineRule="auto"/>
        <w:jc w:val="both"/>
        <w:rPr>
          <w:b/>
        </w:rPr>
      </w:pPr>
      <w:r w:rsidRPr="00F914F5">
        <w:rPr>
          <w:b/>
        </w:rPr>
        <w:t>Studi</w:t>
      </w:r>
      <w:r w:rsidR="00900C91" w:rsidRPr="00F914F5">
        <w:rPr>
          <w:b/>
        </w:rPr>
        <w:t xml:space="preserve"> di bioequivalenza</w:t>
      </w:r>
    </w:p>
    <w:p w:rsidR="00E019C6" w:rsidRPr="00F914F5" w:rsidRDefault="00E019C6" w:rsidP="00F914F5">
      <w:pPr>
        <w:spacing w:after="0" w:line="240" w:lineRule="auto"/>
        <w:jc w:val="both"/>
      </w:pPr>
      <w:r w:rsidRPr="00F914F5">
        <w:t>La richiesta di AIC</w:t>
      </w:r>
      <w:r w:rsidR="00F8588A">
        <w:t xml:space="preserve"> </w:t>
      </w:r>
      <w:r w:rsidRPr="00F914F5">
        <w:t xml:space="preserve">è supportata da </w:t>
      </w:r>
      <w:r w:rsidR="00FB00C4" w:rsidRPr="00F914F5">
        <w:t>due</w:t>
      </w:r>
      <w:r w:rsidRPr="00F914F5">
        <w:t xml:space="preserve"> studi di bioequivalenza che ha</w:t>
      </w:r>
      <w:r w:rsidR="00FB00C4" w:rsidRPr="00F914F5">
        <w:t>nno</w:t>
      </w:r>
      <w:r w:rsidRPr="00F914F5">
        <w:t xml:space="preserve"> confrontato i profili farmacocinetici di </w:t>
      </w:r>
      <w:proofErr w:type="spellStart"/>
      <w:r w:rsidR="00FB00C4" w:rsidRPr="00F914F5">
        <w:t>Amoxicillina</w:t>
      </w:r>
      <w:proofErr w:type="spellEnd"/>
      <w:r w:rsidR="00FB00C4" w:rsidRPr="00F914F5">
        <w:t xml:space="preserve"> e acido </w:t>
      </w:r>
      <w:proofErr w:type="spellStart"/>
      <w:r w:rsidR="00FB00C4" w:rsidRPr="00F914F5">
        <w:t>clavulanico</w:t>
      </w:r>
      <w:proofErr w:type="spellEnd"/>
      <w:r w:rsidR="00FB00C4" w:rsidRPr="00F914F5">
        <w:t xml:space="preserve"> DOC </w:t>
      </w:r>
      <w:r w:rsidRPr="00F914F5">
        <w:t xml:space="preserve">e quelli del medicinale di riferimento </w:t>
      </w:r>
      <w:proofErr w:type="spellStart"/>
      <w:r w:rsidR="00FB00C4" w:rsidRPr="00F914F5">
        <w:t>Augmentin</w:t>
      </w:r>
      <w:proofErr w:type="spellEnd"/>
      <w:r w:rsidRPr="00F914F5">
        <w:t>.</w:t>
      </w:r>
    </w:p>
    <w:p w:rsidR="00E019C6" w:rsidRPr="00F914F5" w:rsidRDefault="00FB00C4" w:rsidP="00F914F5">
      <w:pPr>
        <w:pStyle w:val="Paragrafoelenco"/>
        <w:spacing w:after="0" w:line="240" w:lineRule="auto"/>
        <w:ind w:left="0"/>
        <w:jc w:val="both"/>
      </w:pPr>
      <w:r w:rsidRPr="00F914F5">
        <w:t>Gli</w:t>
      </w:r>
      <w:r w:rsidR="00E019C6" w:rsidRPr="00F914F5">
        <w:t xml:space="preserve"> studi era</w:t>
      </w:r>
      <w:r w:rsidRPr="00F914F5">
        <w:t>no</w:t>
      </w:r>
      <w:r w:rsidR="00E019C6" w:rsidRPr="00F914F5">
        <w:t xml:space="preserve"> caratterizzat</w:t>
      </w:r>
      <w:r w:rsidRPr="00F914F5">
        <w:t>i da un appropriato disegno e</w:t>
      </w:r>
      <w:r w:rsidR="00E019C6" w:rsidRPr="00F914F5">
        <w:t xml:space="preserve"> </w:t>
      </w:r>
      <w:r w:rsidRPr="00F914F5">
        <w:t>sono</w:t>
      </w:r>
      <w:r w:rsidR="00E019C6" w:rsidRPr="00F914F5">
        <w:t xml:space="preserve"> stat</w:t>
      </w:r>
      <w:r w:rsidRPr="00F914F5">
        <w:t>i</w:t>
      </w:r>
      <w:r w:rsidR="00E019C6" w:rsidRPr="00F914F5">
        <w:t xml:space="preserve"> condott</w:t>
      </w:r>
      <w:r w:rsidRPr="00F914F5">
        <w:t>i</w:t>
      </w:r>
      <w:r w:rsidR="00E019C6" w:rsidRPr="00F914F5">
        <w:t xml:space="preserve"> in accordo ai principi GCP. Sono stati forniti certificati analitici per medicinal</w:t>
      </w:r>
      <w:r w:rsidRPr="00F914F5">
        <w:t>i</w:t>
      </w:r>
      <w:r w:rsidR="00E019C6" w:rsidRPr="00F914F5">
        <w:t xml:space="preserve"> test e medicinale di riferimento.</w:t>
      </w:r>
    </w:p>
    <w:p w:rsidR="00C84FC4" w:rsidRPr="00F914F5" w:rsidRDefault="00C84FC4" w:rsidP="00F914F5">
      <w:pPr>
        <w:pStyle w:val="Paragrafoelenco"/>
        <w:spacing w:after="0" w:line="240" w:lineRule="auto"/>
        <w:ind w:left="0"/>
        <w:jc w:val="both"/>
      </w:pPr>
    </w:p>
    <w:p w:rsidR="00C84FC4" w:rsidRPr="00F8588A" w:rsidRDefault="00C84FC4" w:rsidP="00F8588A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i/>
        </w:rPr>
      </w:pPr>
      <w:r w:rsidRPr="00F8588A">
        <w:rPr>
          <w:i/>
        </w:rPr>
        <w:t xml:space="preserve">Studio di bioequivalenza </w:t>
      </w:r>
      <w:r w:rsidR="00F8588A">
        <w:rPr>
          <w:i/>
        </w:rPr>
        <w:t>–</w:t>
      </w:r>
      <w:r w:rsidRPr="00F8588A">
        <w:rPr>
          <w:i/>
        </w:rPr>
        <w:t xml:space="preserve"> compresse</w:t>
      </w:r>
    </w:p>
    <w:p w:rsidR="00E019C6" w:rsidRPr="00F914F5" w:rsidRDefault="00C84FC4" w:rsidP="00F914F5">
      <w:pPr>
        <w:spacing w:after="0" w:line="240" w:lineRule="auto"/>
        <w:jc w:val="both"/>
      </w:pPr>
      <w:r w:rsidRPr="00F914F5">
        <w:t>Lo</w:t>
      </w:r>
      <w:r w:rsidR="00FB00C4" w:rsidRPr="00F914F5">
        <w:t xml:space="preserve"> studi</w:t>
      </w:r>
      <w:r w:rsidRPr="00F914F5">
        <w:t>o</w:t>
      </w:r>
      <w:r w:rsidR="00E019C6" w:rsidRPr="00F914F5">
        <w:t xml:space="preserve"> di bioequivalenza è uno studio comparativo, controllato,  randomizzato, a dose singola (</w:t>
      </w:r>
      <w:r w:rsidR="00FB00C4" w:rsidRPr="00F914F5">
        <w:rPr>
          <w:bCs/>
        </w:rPr>
        <w:t xml:space="preserve">875 mg </w:t>
      </w:r>
      <w:r w:rsidR="00FB00C4" w:rsidRPr="00F914F5">
        <w:rPr>
          <w:bCs/>
          <w:i/>
          <w:iCs/>
        </w:rPr>
        <w:t xml:space="preserve">I </w:t>
      </w:r>
      <w:r w:rsidR="00FB00C4" w:rsidRPr="00F914F5">
        <w:rPr>
          <w:bCs/>
          <w:iCs/>
        </w:rPr>
        <w:t>125</w:t>
      </w:r>
      <w:r w:rsidR="00FB00C4" w:rsidRPr="00F914F5">
        <w:rPr>
          <w:bCs/>
          <w:i/>
          <w:iCs/>
        </w:rPr>
        <w:t xml:space="preserve"> </w:t>
      </w:r>
      <w:r w:rsidR="00FB00C4" w:rsidRPr="00F914F5">
        <w:rPr>
          <w:bCs/>
        </w:rPr>
        <w:t>mg</w:t>
      </w:r>
      <w:r w:rsidR="00E019C6" w:rsidRPr="00F914F5">
        <w:t xml:space="preserve">), 2-periodi, crossover condotto in </w:t>
      </w:r>
      <w:r w:rsidRPr="00F914F5">
        <w:t>38</w:t>
      </w:r>
      <w:r w:rsidR="00E019C6" w:rsidRPr="00F914F5">
        <w:t xml:space="preserve"> volontari sani di entrambi i sessi con somministrazione a </w:t>
      </w:r>
      <w:r w:rsidRPr="00F914F5">
        <w:t>stomaco pieno</w:t>
      </w:r>
      <w:r w:rsidR="00E019C6" w:rsidRPr="00F914F5">
        <w:t>. Dopo una notte di digiuno</w:t>
      </w:r>
      <w:r w:rsidRPr="00F914F5">
        <w:t xml:space="preserve"> e 30 minuti dopo aver assunto un pasto ad alto contenuto di grassi </w:t>
      </w:r>
      <w:r w:rsidR="00E019C6" w:rsidRPr="00F914F5">
        <w:t>il medicinale è stato somministrato con acqua. Un soddisfacente periodo di wash-out di 7 giorni è stato previsto tra le somministrazioni in ogni gruppo.</w:t>
      </w:r>
    </w:p>
    <w:p w:rsidR="00E019C6" w:rsidRPr="00F914F5" w:rsidRDefault="00E019C6" w:rsidP="00F914F5">
      <w:pPr>
        <w:pStyle w:val="Paragrafoelenco"/>
        <w:spacing w:after="0" w:line="240" w:lineRule="auto"/>
        <w:ind w:left="0"/>
        <w:jc w:val="both"/>
      </w:pPr>
      <w:r w:rsidRPr="00F914F5">
        <w:t xml:space="preserve">Campioni di sangue sono stati prelevati al tempo zero (pre-dose) e a specificati tempi fino a </w:t>
      </w:r>
      <w:r w:rsidR="00C84FC4" w:rsidRPr="00F914F5">
        <w:t>1</w:t>
      </w:r>
      <w:r w:rsidRPr="00F914F5">
        <w:t xml:space="preserve">2 ore dopo la somministrazione. I livelli plasmatici </w:t>
      </w:r>
      <w:r w:rsidR="00C84FC4" w:rsidRPr="00F914F5">
        <w:t xml:space="preserve">di </w:t>
      </w:r>
      <w:proofErr w:type="spellStart"/>
      <w:r w:rsidR="00C84FC4" w:rsidRPr="00F914F5">
        <w:t>amoxicillina</w:t>
      </w:r>
      <w:proofErr w:type="spellEnd"/>
      <w:r w:rsidR="00C84FC4" w:rsidRPr="00F914F5">
        <w:t xml:space="preserve"> e acido </w:t>
      </w:r>
      <w:proofErr w:type="spellStart"/>
      <w:r w:rsidR="00C84FC4" w:rsidRPr="00F914F5">
        <w:t>clavulanico</w:t>
      </w:r>
      <w:proofErr w:type="spellEnd"/>
      <w:r w:rsidRPr="00F914F5">
        <w:t xml:space="preserve"> sono stati determinati mediante un metodo analitico HPLC-MS-MS opportunamente convalidato.</w:t>
      </w:r>
    </w:p>
    <w:p w:rsidR="00E019C6" w:rsidRPr="00F914F5" w:rsidRDefault="00E019C6" w:rsidP="00F914F5">
      <w:pPr>
        <w:pStyle w:val="Paragrafoelenco"/>
        <w:spacing w:after="0" w:line="240" w:lineRule="auto"/>
        <w:ind w:left="0"/>
        <w:jc w:val="both"/>
      </w:pPr>
      <w:r w:rsidRPr="00F914F5">
        <w:t>Le variabili farmacocinetiche definite sono state: C</w:t>
      </w:r>
      <w:r w:rsidRPr="00F914F5">
        <w:rPr>
          <w:vertAlign w:val="subscript"/>
        </w:rPr>
        <w:t>max</w:t>
      </w:r>
      <w:r w:rsidRPr="00F914F5">
        <w:t>, AUC</w:t>
      </w:r>
      <w:r w:rsidRPr="00F914F5">
        <w:rPr>
          <w:vertAlign w:val="subscript"/>
        </w:rPr>
        <w:t>0-t</w:t>
      </w:r>
      <w:r w:rsidRPr="00F914F5">
        <w:t>, AUC</w:t>
      </w:r>
      <w:r w:rsidRPr="00F914F5">
        <w:rPr>
          <w:vertAlign w:val="subscript"/>
        </w:rPr>
        <w:t>0-</w:t>
      </w:r>
      <w:r w:rsidRPr="00F914F5">
        <w:rPr>
          <w:vertAlign w:val="subscript"/>
          <w:lang w:val="en-GB"/>
        </w:rPr>
        <w:sym w:font="Symbol" w:char="00A5"/>
      </w:r>
      <w:r w:rsidRPr="00F914F5">
        <w:t>, t</w:t>
      </w:r>
      <w:r w:rsidRPr="00F914F5">
        <w:rPr>
          <w:vertAlign w:val="subscript"/>
        </w:rPr>
        <w:t>max</w:t>
      </w:r>
      <w:r w:rsidRPr="00F914F5">
        <w:t>, t½ e AUC estrapolata. La bioequivalenza tra medicinale test e medicinale di riferimento è dimostrata se gli intervalli di confidenza al 90% per la trasformata logaritmica di  C</w:t>
      </w:r>
      <w:r w:rsidRPr="00F914F5">
        <w:rPr>
          <w:vertAlign w:val="subscript"/>
        </w:rPr>
        <w:t xml:space="preserve">max </w:t>
      </w:r>
      <w:r w:rsidRPr="00F914F5">
        <w:t>e AUC</w:t>
      </w:r>
      <w:r w:rsidRPr="00F914F5">
        <w:rPr>
          <w:vertAlign w:val="subscript"/>
        </w:rPr>
        <w:t>0-t</w:t>
      </w:r>
      <w:r w:rsidRPr="00F914F5">
        <w:t>, cadono nel range di accettabilità di 0.80-1.25 (80%-125%).</w:t>
      </w:r>
    </w:p>
    <w:p w:rsidR="00E019C6" w:rsidRPr="00F914F5" w:rsidRDefault="00E019C6" w:rsidP="00F914F5">
      <w:pPr>
        <w:pStyle w:val="Paragrafoelenco"/>
        <w:spacing w:after="0" w:line="240" w:lineRule="auto"/>
        <w:ind w:left="0"/>
        <w:jc w:val="both"/>
      </w:pPr>
    </w:p>
    <w:p w:rsidR="00E019C6" w:rsidRPr="00F914F5" w:rsidRDefault="00E019C6" w:rsidP="00F914F5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F914F5">
        <w:rPr>
          <w:u w:val="single"/>
        </w:rPr>
        <w:t>Risultati</w:t>
      </w:r>
    </w:p>
    <w:p w:rsidR="00E019C6" w:rsidRDefault="00C84FC4" w:rsidP="00F914F5">
      <w:pPr>
        <w:spacing w:after="0" w:line="240" w:lineRule="auto"/>
        <w:jc w:val="both"/>
      </w:pPr>
      <w:r w:rsidRPr="00F914F5">
        <w:t>40</w:t>
      </w:r>
      <w:r w:rsidR="00E019C6" w:rsidRPr="00F914F5">
        <w:t xml:space="preserve"> volontari sani sono stati arruolati negli studi,</w:t>
      </w:r>
      <w:r w:rsidRPr="00F914F5">
        <w:t xml:space="preserve"> 3</w:t>
      </w:r>
      <w:r w:rsidR="005C3D64" w:rsidRPr="00F914F5">
        <w:t>8</w:t>
      </w:r>
      <w:r w:rsidR="00E019C6" w:rsidRPr="00F914F5">
        <w:t xml:space="preserve"> hanno completato fase clinica e sono stati analizzati.</w:t>
      </w:r>
    </w:p>
    <w:p w:rsidR="00F8588A" w:rsidRPr="00F914F5" w:rsidRDefault="00F8588A" w:rsidP="00F914F5">
      <w:pPr>
        <w:spacing w:after="0" w:line="240" w:lineRule="auto"/>
        <w:jc w:val="both"/>
      </w:pPr>
    </w:p>
    <w:p w:rsidR="00E019C6" w:rsidRPr="00F8588A" w:rsidRDefault="00E019C6" w:rsidP="00F914F5">
      <w:pPr>
        <w:pStyle w:val="Didascalia"/>
        <w:keepNext/>
        <w:spacing w:before="0" w:after="0"/>
        <w:jc w:val="both"/>
        <w:outlineLvl w:val="0"/>
        <w:rPr>
          <w:rFonts w:asciiTheme="minorHAnsi" w:hAnsiTheme="minorHAnsi"/>
          <w:b w:val="0"/>
          <w:i/>
          <w:sz w:val="22"/>
          <w:szCs w:val="22"/>
          <w:lang w:val="it-IT"/>
        </w:rPr>
      </w:pPr>
      <w:r w:rsidRPr="00F8588A">
        <w:rPr>
          <w:rFonts w:asciiTheme="minorHAnsi" w:hAnsiTheme="minorHAnsi"/>
          <w:b w:val="0"/>
          <w:i/>
          <w:sz w:val="22"/>
          <w:szCs w:val="22"/>
          <w:lang w:val="it-IT"/>
        </w:rPr>
        <w:lastRenderedPageBreak/>
        <w:t>Sicurezza</w:t>
      </w:r>
    </w:p>
    <w:p w:rsidR="00C84FC4" w:rsidRDefault="00DB5650" w:rsidP="00F914F5">
      <w:pPr>
        <w:spacing w:after="0" w:line="240" w:lineRule="auto"/>
        <w:jc w:val="both"/>
        <w:rPr>
          <w:rFonts w:cs="Arial"/>
          <w:b/>
        </w:rPr>
      </w:pPr>
      <w:r w:rsidRPr="00F914F5">
        <w:t xml:space="preserve">Nel corso dello studio </w:t>
      </w:r>
      <w:r w:rsidRPr="00F914F5">
        <w:rPr>
          <w:rFonts w:cs="Arial"/>
        </w:rPr>
        <w:t>n</w:t>
      </w:r>
      <w:r w:rsidR="00C84FC4" w:rsidRPr="00F914F5">
        <w:rPr>
          <w:rFonts w:cs="Arial"/>
        </w:rPr>
        <w:t>on sono stat</w:t>
      </w:r>
      <w:r w:rsidRPr="00F914F5">
        <w:rPr>
          <w:rFonts w:cs="Arial"/>
        </w:rPr>
        <w:t>i rilevati eventi avversi gravi, g</w:t>
      </w:r>
      <w:r w:rsidR="00C84FC4" w:rsidRPr="00F914F5">
        <w:rPr>
          <w:rFonts w:cs="Arial"/>
        </w:rPr>
        <w:t>li eventi avversi sono stati simili tra medicinale test e medicinali di riferimento.</w:t>
      </w:r>
      <w:r w:rsidR="00C84FC4" w:rsidRPr="00F914F5">
        <w:rPr>
          <w:rFonts w:cs="Arial"/>
          <w:b/>
        </w:rPr>
        <w:t xml:space="preserve"> </w:t>
      </w:r>
    </w:p>
    <w:p w:rsidR="00F8588A" w:rsidRPr="00F914F5" w:rsidRDefault="00F8588A" w:rsidP="00F914F5">
      <w:pPr>
        <w:spacing w:after="0" w:line="240" w:lineRule="auto"/>
        <w:jc w:val="both"/>
      </w:pPr>
    </w:p>
    <w:p w:rsidR="00E019C6" w:rsidRPr="00F8588A" w:rsidRDefault="00E019C6" w:rsidP="00F914F5">
      <w:pPr>
        <w:pStyle w:val="Didascalia"/>
        <w:keepNext/>
        <w:spacing w:before="0" w:after="0"/>
        <w:jc w:val="both"/>
        <w:outlineLvl w:val="0"/>
        <w:rPr>
          <w:rFonts w:asciiTheme="minorHAnsi" w:hAnsiTheme="minorHAnsi"/>
          <w:b w:val="0"/>
          <w:i/>
          <w:sz w:val="22"/>
          <w:szCs w:val="22"/>
          <w:lang w:val="it-IT"/>
        </w:rPr>
      </w:pPr>
      <w:r w:rsidRPr="00F8588A">
        <w:rPr>
          <w:rFonts w:asciiTheme="minorHAnsi" w:hAnsiTheme="minorHAnsi"/>
          <w:b w:val="0"/>
          <w:i/>
          <w:sz w:val="22"/>
          <w:szCs w:val="22"/>
          <w:lang w:val="it-IT"/>
        </w:rPr>
        <w:t>Parametri farmacocinetici</w:t>
      </w:r>
    </w:p>
    <w:p w:rsidR="00E019C6" w:rsidRPr="00F914F5" w:rsidRDefault="00E019C6" w:rsidP="00F914F5">
      <w:pPr>
        <w:pStyle w:val="Didascalia"/>
        <w:keepNext/>
        <w:spacing w:before="0" w:after="0"/>
        <w:jc w:val="both"/>
        <w:outlineLvl w:val="0"/>
        <w:rPr>
          <w:rFonts w:asciiTheme="minorHAnsi" w:hAnsiTheme="minorHAnsi"/>
          <w:b w:val="0"/>
          <w:sz w:val="22"/>
          <w:szCs w:val="22"/>
          <w:lang w:val="it-IT"/>
        </w:rPr>
      </w:pPr>
      <w:r w:rsidRPr="00F914F5">
        <w:rPr>
          <w:rFonts w:asciiTheme="minorHAnsi" w:hAnsiTheme="minorHAnsi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E019C6" w:rsidRPr="00F914F5" w:rsidRDefault="00E019C6" w:rsidP="00F914F5">
      <w:pPr>
        <w:spacing w:after="0" w:line="240" w:lineRule="auto"/>
      </w:pPr>
    </w:p>
    <w:tbl>
      <w:tblPr>
        <w:tblW w:w="46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638"/>
        <w:gridCol w:w="1754"/>
        <w:gridCol w:w="2006"/>
        <w:gridCol w:w="1906"/>
        <w:gridCol w:w="1893"/>
      </w:tblGrid>
      <w:tr w:rsidR="00E019C6" w:rsidRPr="00F914F5" w:rsidTr="00E019C6">
        <w:trPr>
          <w:jc w:val="center"/>
        </w:trPr>
        <w:tc>
          <w:tcPr>
            <w:tcW w:w="9197" w:type="dxa"/>
            <w:gridSpan w:val="5"/>
            <w:vAlign w:val="bottom"/>
          </w:tcPr>
          <w:p w:rsidR="00E019C6" w:rsidRPr="00F8588A" w:rsidRDefault="00DB5650" w:rsidP="00F8588A">
            <w:pPr>
              <w:spacing w:after="0" w:line="240" w:lineRule="auto"/>
              <w:jc w:val="center"/>
              <w:rPr>
                <w:b/>
                <w:sz w:val="20"/>
                <w:highlight w:val="lightGray"/>
              </w:rPr>
            </w:pPr>
            <w:proofErr w:type="spellStart"/>
            <w:r w:rsidRPr="00F8588A">
              <w:rPr>
                <w:b/>
                <w:sz w:val="20"/>
              </w:rPr>
              <w:t>Amoxicillina</w:t>
            </w:r>
            <w:proofErr w:type="spellEnd"/>
          </w:p>
        </w:tc>
      </w:tr>
      <w:tr w:rsidR="00E019C6" w:rsidRPr="00F914F5" w:rsidTr="00E019C6">
        <w:trPr>
          <w:jc w:val="center"/>
        </w:trPr>
        <w:tc>
          <w:tcPr>
            <w:tcW w:w="1638" w:type="dxa"/>
            <w:vAlign w:val="bottom"/>
          </w:tcPr>
          <w:p w:rsidR="00E019C6" w:rsidRPr="00F8588A" w:rsidRDefault="00E019C6" w:rsidP="00F914F5">
            <w:pPr>
              <w:spacing w:after="0" w:line="240" w:lineRule="auto"/>
              <w:rPr>
                <w:b/>
                <w:sz w:val="20"/>
              </w:rPr>
            </w:pPr>
            <w:r w:rsidRPr="00F8588A">
              <w:rPr>
                <w:b/>
                <w:sz w:val="20"/>
              </w:rPr>
              <w:t>Parametro</w:t>
            </w:r>
          </w:p>
        </w:tc>
        <w:tc>
          <w:tcPr>
            <w:tcW w:w="1754" w:type="dxa"/>
            <w:vAlign w:val="bottom"/>
          </w:tcPr>
          <w:p w:rsidR="00E019C6" w:rsidRPr="00F8588A" w:rsidRDefault="00E019C6" w:rsidP="00F914F5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F8588A">
              <w:rPr>
                <w:b/>
                <w:sz w:val="20"/>
              </w:rPr>
              <w:t xml:space="preserve">Test </w:t>
            </w:r>
          </w:p>
          <w:p w:rsidR="00E019C6" w:rsidRPr="00F8588A" w:rsidRDefault="00E019C6" w:rsidP="00F914F5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F8588A">
              <w:rPr>
                <w:b/>
                <w:sz w:val="20"/>
              </w:rPr>
              <w:t>[LSM]</w:t>
            </w:r>
          </w:p>
        </w:tc>
        <w:tc>
          <w:tcPr>
            <w:tcW w:w="2006" w:type="dxa"/>
            <w:vAlign w:val="bottom"/>
          </w:tcPr>
          <w:p w:rsidR="00E019C6" w:rsidRPr="00F8588A" w:rsidRDefault="00E019C6" w:rsidP="00F914F5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F8588A">
              <w:rPr>
                <w:b/>
                <w:sz w:val="20"/>
              </w:rPr>
              <w:t>Reference</w:t>
            </w:r>
          </w:p>
          <w:p w:rsidR="00E019C6" w:rsidRPr="00F8588A" w:rsidRDefault="00E019C6" w:rsidP="00F914F5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F8588A">
              <w:rPr>
                <w:b/>
                <w:sz w:val="20"/>
              </w:rPr>
              <w:t>[LSM]]</w:t>
            </w:r>
          </w:p>
        </w:tc>
        <w:tc>
          <w:tcPr>
            <w:tcW w:w="1906" w:type="dxa"/>
            <w:vAlign w:val="bottom"/>
          </w:tcPr>
          <w:p w:rsidR="00E019C6" w:rsidRPr="00F8588A" w:rsidRDefault="00E019C6" w:rsidP="00F914F5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F8588A">
              <w:rPr>
                <w:b/>
                <w:sz w:val="20"/>
              </w:rPr>
              <w:t>T/R Ratio</w:t>
            </w:r>
          </w:p>
        </w:tc>
        <w:tc>
          <w:tcPr>
            <w:tcW w:w="1893" w:type="dxa"/>
            <w:vAlign w:val="bottom"/>
          </w:tcPr>
          <w:p w:rsidR="00E019C6" w:rsidRPr="00F8588A" w:rsidRDefault="00E019C6" w:rsidP="00F914F5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F8588A">
              <w:rPr>
                <w:b/>
                <w:sz w:val="20"/>
              </w:rPr>
              <w:t>90% C.I.</w:t>
            </w:r>
          </w:p>
        </w:tc>
      </w:tr>
      <w:tr w:rsidR="00DB5650" w:rsidRPr="00F914F5" w:rsidTr="00DB5650">
        <w:trPr>
          <w:jc w:val="center"/>
        </w:trPr>
        <w:tc>
          <w:tcPr>
            <w:tcW w:w="1638" w:type="dxa"/>
            <w:vAlign w:val="bottom"/>
          </w:tcPr>
          <w:p w:rsidR="00DB5650" w:rsidRPr="00F8588A" w:rsidRDefault="00DB5650" w:rsidP="00F914F5">
            <w:pPr>
              <w:spacing w:after="0" w:line="240" w:lineRule="auto"/>
              <w:rPr>
                <w:b/>
                <w:sz w:val="20"/>
              </w:rPr>
            </w:pPr>
            <w:r w:rsidRPr="00F8588A">
              <w:rPr>
                <w:b/>
                <w:sz w:val="20"/>
              </w:rPr>
              <w:t>AUC0-t</w:t>
            </w:r>
          </w:p>
        </w:tc>
        <w:tc>
          <w:tcPr>
            <w:tcW w:w="1754" w:type="dxa"/>
            <w:vAlign w:val="center"/>
          </w:tcPr>
          <w:p w:rsidR="00DB5650" w:rsidRPr="00F8588A" w:rsidRDefault="00DB5650" w:rsidP="00F8588A">
            <w:pPr>
              <w:spacing w:after="0" w:line="240" w:lineRule="auto"/>
              <w:jc w:val="center"/>
              <w:rPr>
                <w:sz w:val="20"/>
              </w:rPr>
            </w:pPr>
            <w:r w:rsidRPr="00F8588A">
              <w:rPr>
                <w:rFonts w:cs="Courier New"/>
                <w:sz w:val="20"/>
              </w:rPr>
              <w:t>43459.191</w:t>
            </w:r>
          </w:p>
        </w:tc>
        <w:tc>
          <w:tcPr>
            <w:tcW w:w="2006" w:type="dxa"/>
            <w:vAlign w:val="center"/>
          </w:tcPr>
          <w:p w:rsidR="00DB5650" w:rsidRPr="00F8588A" w:rsidRDefault="00DB5650" w:rsidP="00F8588A">
            <w:pPr>
              <w:spacing w:after="0" w:line="240" w:lineRule="auto"/>
              <w:jc w:val="center"/>
              <w:rPr>
                <w:rFonts w:cs="Courier New"/>
                <w:sz w:val="20"/>
              </w:rPr>
            </w:pPr>
            <w:r w:rsidRPr="00F8588A">
              <w:rPr>
                <w:rFonts w:cs="Courier New"/>
                <w:sz w:val="20"/>
              </w:rPr>
              <w:t>44906.254</w:t>
            </w:r>
          </w:p>
        </w:tc>
        <w:tc>
          <w:tcPr>
            <w:tcW w:w="1906" w:type="dxa"/>
            <w:vAlign w:val="center"/>
          </w:tcPr>
          <w:p w:rsidR="00DB5650" w:rsidRPr="00F8588A" w:rsidRDefault="00DB5650" w:rsidP="00F8588A">
            <w:pPr>
              <w:spacing w:after="0" w:line="240" w:lineRule="auto"/>
              <w:jc w:val="center"/>
              <w:rPr>
                <w:sz w:val="20"/>
              </w:rPr>
            </w:pPr>
            <w:r w:rsidRPr="00F8588A">
              <w:rPr>
                <w:sz w:val="20"/>
              </w:rPr>
              <w:t>96.8</w:t>
            </w:r>
          </w:p>
        </w:tc>
        <w:tc>
          <w:tcPr>
            <w:tcW w:w="1893" w:type="dxa"/>
            <w:vAlign w:val="center"/>
          </w:tcPr>
          <w:p w:rsidR="00DB5650" w:rsidRPr="00F8588A" w:rsidRDefault="00DB5650" w:rsidP="00F8588A">
            <w:pPr>
              <w:spacing w:after="0" w:line="240" w:lineRule="auto"/>
              <w:jc w:val="center"/>
              <w:rPr>
                <w:sz w:val="20"/>
              </w:rPr>
            </w:pPr>
            <w:r w:rsidRPr="00F8588A">
              <w:rPr>
                <w:sz w:val="20"/>
              </w:rPr>
              <w:t>92.35-101.42</w:t>
            </w:r>
          </w:p>
        </w:tc>
      </w:tr>
      <w:tr w:rsidR="00DB5650" w:rsidRPr="00F914F5" w:rsidTr="00DB5650">
        <w:trPr>
          <w:jc w:val="center"/>
        </w:trPr>
        <w:tc>
          <w:tcPr>
            <w:tcW w:w="1638" w:type="dxa"/>
            <w:vAlign w:val="bottom"/>
          </w:tcPr>
          <w:p w:rsidR="00DB5650" w:rsidRPr="00F8588A" w:rsidRDefault="00DB5650" w:rsidP="00F914F5">
            <w:pPr>
              <w:spacing w:after="0" w:line="240" w:lineRule="auto"/>
              <w:rPr>
                <w:b/>
                <w:sz w:val="20"/>
              </w:rPr>
            </w:pPr>
            <w:r w:rsidRPr="00F8588A">
              <w:rPr>
                <w:b/>
                <w:sz w:val="20"/>
              </w:rPr>
              <w:t>AUC0-∞</w:t>
            </w:r>
          </w:p>
        </w:tc>
        <w:tc>
          <w:tcPr>
            <w:tcW w:w="1754" w:type="dxa"/>
            <w:vAlign w:val="center"/>
          </w:tcPr>
          <w:p w:rsidR="00DB5650" w:rsidRPr="00F8588A" w:rsidRDefault="00DB5650" w:rsidP="00F8588A">
            <w:pPr>
              <w:spacing w:after="0" w:line="240" w:lineRule="auto"/>
              <w:jc w:val="center"/>
              <w:rPr>
                <w:sz w:val="20"/>
              </w:rPr>
            </w:pPr>
            <w:r w:rsidRPr="00F8588A">
              <w:rPr>
                <w:rFonts w:cs="Courier New"/>
                <w:sz w:val="20"/>
              </w:rPr>
              <w:t>44256.726</w:t>
            </w:r>
          </w:p>
        </w:tc>
        <w:tc>
          <w:tcPr>
            <w:tcW w:w="2006" w:type="dxa"/>
            <w:vAlign w:val="center"/>
          </w:tcPr>
          <w:p w:rsidR="00DB5650" w:rsidRPr="00F8588A" w:rsidRDefault="00DB5650" w:rsidP="00F8588A">
            <w:pPr>
              <w:spacing w:after="0" w:line="240" w:lineRule="auto"/>
              <w:jc w:val="center"/>
              <w:rPr>
                <w:rFonts w:cs="Courier New"/>
                <w:sz w:val="20"/>
              </w:rPr>
            </w:pPr>
            <w:r w:rsidRPr="00F8588A">
              <w:rPr>
                <w:rFonts w:cs="Courier New"/>
                <w:sz w:val="20"/>
              </w:rPr>
              <w:t>45466.912</w:t>
            </w:r>
          </w:p>
        </w:tc>
        <w:tc>
          <w:tcPr>
            <w:tcW w:w="1906" w:type="dxa"/>
            <w:vAlign w:val="center"/>
          </w:tcPr>
          <w:p w:rsidR="00DB5650" w:rsidRPr="00F8588A" w:rsidRDefault="00DB5650" w:rsidP="00F8588A">
            <w:pPr>
              <w:spacing w:after="0" w:line="240" w:lineRule="auto"/>
              <w:jc w:val="center"/>
              <w:rPr>
                <w:sz w:val="20"/>
              </w:rPr>
            </w:pPr>
            <w:r w:rsidRPr="00F8588A">
              <w:rPr>
                <w:sz w:val="20"/>
              </w:rPr>
              <w:t>97.3</w:t>
            </w:r>
          </w:p>
        </w:tc>
        <w:tc>
          <w:tcPr>
            <w:tcW w:w="1893" w:type="dxa"/>
            <w:vAlign w:val="center"/>
          </w:tcPr>
          <w:p w:rsidR="00DB5650" w:rsidRPr="00F8588A" w:rsidRDefault="00DB5650" w:rsidP="00F8588A">
            <w:pPr>
              <w:spacing w:after="0" w:line="240" w:lineRule="auto"/>
              <w:jc w:val="center"/>
              <w:rPr>
                <w:sz w:val="20"/>
              </w:rPr>
            </w:pPr>
            <w:r w:rsidRPr="00F8588A">
              <w:rPr>
                <w:sz w:val="20"/>
              </w:rPr>
              <w:t>93.25-101.61</w:t>
            </w:r>
          </w:p>
        </w:tc>
      </w:tr>
      <w:tr w:rsidR="00DB5650" w:rsidRPr="00F914F5" w:rsidTr="00DB5650">
        <w:trPr>
          <w:jc w:val="center"/>
        </w:trPr>
        <w:tc>
          <w:tcPr>
            <w:tcW w:w="1638" w:type="dxa"/>
            <w:vAlign w:val="bottom"/>
          </w:tcPr>
          <w:p w:rsidR="00DB5650" w:rsidRPr="00F8588A" w:rsidRDefault="00DB5650" w:rsidP="00F914F5">
            <w:pPr>
              <w:spacing w:after="0" w:line="240" w:lineRule="auto"/>
              <w:rPr>
                <w:b/>
                <w:sz w:val="20"/>
              </w:rPr>
            </w:pPr>
            <w:r w:rsidRPr="00F8588A">
              <w:rPr>
                <w:b/>
                <w:sz w:val="20"/>
              </w:rPr>
              <w:t>Cmax</w:t>
            </w:r>
          </w:p>
        </w:tc>
        <w:tc>
          <w:tcPr>
            <w:tcW w:w="1754" w:type="dxa"/>
            <w:vAlign w:val="center"/>
          </w:tcPr>
          <w:p w:rsidR="00DB5650" w:rsidRPr="00F8588A" w:rsidRDefault="00DB5650" w:rsidP="00F8588A">
            <w:pPr>
              <w:spacing w:after="0" w:line="240" w:lineRule="auto"/>
              <w:jc w:val="center"/>
              <w:rPr>
                <w:sz w:val="20"/>
              </w:rPr>
            </w:pPr>
            <w:r w:rsidRPr="00F8588A">
              <w:rPr>
                <w:sz w:val="20"/>
              </w:rPr>
              <w:t>11989.668</w:t>
            </w:r>
          </w:p>
        </w:tc>
        <w:tc>
          <w:tcPr>
            <w:tcW w:w="2006" w:type="dxa"/>
            <w:vAlign w:val="center"/>
          </w:tcPr>
          <w:p w:rsidR="00DB5650" w:rsidRPr="00F8588A" w:rsidRDefault="00DB5650" w:rsidP="00F8588A">
            <w:pPr>
              <w:spacing w:after="0" w:line="240" w:lineRule="auto"/>
              <w:jc w:val="center"/>
              <w:rPr>
                <w:rFonts w:cs="Courier New"/>
                <w:sz w:val="20"/>
              </w:rPr>
            </w:pPr>
            <w:r w:rsidRPr="00F8588A">
              <w:rPr>
                <w:sz w:val="20"/>
              </w:rPr>
              <w:t>12747.076</w:t>
            </w:r>
          </w:p>
        </w:tc>
        <w:tc>
          <w:tcPr>
            <w:tcW w:w="1906" w:type="dxa"/>
            <w:vAlign w:val="center"/>
          </w:tcPr>
          <w:p w:rsidR="00DB5650" w:rsidRPr="00F8588A" w:rsidRDefault="00DB5650" w:rsidP="00F8588A">
            <w:pPr>
              <w:spacing w:after="0" w:line="240" w:lineRule="auto"/>
              <w:jc w:val="center"/>
              <w:rPr>
                <w:sz w:val="20"/>
              </w:rPr>
            </w:pPr>
            <w:r w:rsidRPr="00F8588A">
              <w:rPr>
                <w:sz w:val="20"/>
              </w:rPr>
              <w:t>94.1</w:t>
            </w:r>
          </w:p>
        </w:tc>
        <w:tc>
          <w:tcPr>
            <w:tcW w:w="1893" w:type="dxa"/>
            <w:vAlign w:val="center"/>
          </w:tcPr>
          <w:p w:rsidR="00DB5650" w:rsidRPr="00F8588A" w:rsidRDefault="00DB5650" w:rsidP="00F8588A">
            <w:pPr>
              <w:spacing w:after="0" w:line="240" w:lineRule="auto"/>
              <w:jc w:val="center"/>
              <w:rPr>
                <w:sz w:val="20"/>
              </w:rPr>
            </w:pPr>
            <w:r w:rsidRPr="00F8588A">
              <w:rPr>
                <w:sz w:val="20"/>
              </w:rPr>
              <w:t>85.57-103.39</w:t>
            </w:r>
          </w:p>
        </w:tc>
      </w:tr>
      <w:tr w:rsidR="00DB5650" w:rsidRPr="00F8588A" w:rsidTr="00AE7AB0">
        <w:trPr>
          <w:jc w:val="center"/>
        </w:trPr>
        <w:tc>
          <w:tcPr>
            <w:tcW w:w="9197" w:type="dxa"/>
            <w:gridSpan w:val="5"/>
            <w:vAlign w:val="bottom"/>
          </w:tcPr>
          <w:p w:rsidR="00DB5650" w:rsidRPr="00F8588A" w:rsidRDefault="00DB5650" w:rsidP="00F8588A">
            <w:pPr>
              <w:spacing w:after="0" w:line="240" w:lineRule="auto"/>
              <w:jc w:val="center"/>
              <w:rPr>
                <w:b/>
                <w:sz w:val="20"/>
                <w:highlight w:val="lightGray"/>
              </w:rPr>
            </w:pPr>
            <w:r w:rsidRPr="00F8588A">
              <w:rPr>
                <w:b/>
                <w:sz w:val="20"/>
              </w:rPr>
              <w:t xml:space="preserve">Acido </w:t>
            </w:r>
            <w:proofErr w:type="spellStart"/>
            <w:r w:rsidRPr="00F8588A">
              <w:rPr>
                <w:b/>
                <w:sz w:val="20"/>
              </w:rPr>
              <w:t>clavulanico</w:t>
            </w:r>
            <w:proofErr w:type="spellEnd"/>
          </w:p>
        </w:tc>
      </w:tr>
      <w:tr w:rsidR="00DB5650" w:rsidRPr="00F8588A" w:rsidTr="00AE7AB0">
        <w:trPr>
          <w:jc w:val="center"/>
        </w:trPr>
        <w:tc>
          <w:tcPr>
            <w:tcW w:w="1638" w:type="dxa"/>
            <w:vAlign w:val="bottom"/>
          </w:tcPr>
          <w:p w:rsidR="00DB5650" w:rsidRPr="00F8588A" w:rsidRDefault="00DB5650" w:rsidP="00F914F5">
            <w:pPr>
              <w:spacing w:after="0" w:line="240" w:lineRule="auto"/>
              <w:rPr>
                <w:b/>
                <w:sz w:val="20"/>
              </w:rPr>
            </w:pPr>
            <w:r w:rsidRPr="00F8588A">
              <w:rPr>
                <w:b/>
                <w:sz w:val="20"/>
              </w:rPr>
              <w:t>Parametro</w:t>
            </w:r>
          </w:p>
        </w:tc>
        <w:tc>
          <w:tcPr>
            <w:tcW w:w="1754" w:type="dxa"/>
            <w:vAlign w:val="bottom"/>
          </w:tcPr>
          <w:p w:rsidR="00DB5650" w:rsidRPr="00F8588A" w:rsidRDefault="00DB5650" w:rsidP="00F914F5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F8588A">
              <w:rPr>
                <w:b/>
                <w:sz w:val="20"/>
              </w:rPr>
              <w:t xml:space="preserve">Test </w:t>
            </w:r>
          </w:p>
          <w:p w:rsidR="00DB5650" w:rsidRPr="00F8588A" w:rsidRDefault="00DB5650" w:rsidP="00F914F5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F8588A">
              <w:rPr>
                <w:b/>
                <w:sz w:val="20"/>
              </w:rPr>
              <w:t>[LSM]</w:t>
            </w:r>
          </w:p>
        </w:tc>
        <w:tc>
          <w:tcPr>
            <w:tcW w:w="2006" w:type="dxa"/>
            <w:vAlign w:val="bottom"/>
          </w:tcPr>
          <w:p w:rsidR="00DB5650" w:rsidRPr="00F8588A" w:rsidRDefault="00DB5650" w:rsidP="00F914F5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F8588A">
              <w:rPr>
                <w:b/>
                <w:sz w:val="20"/>
              </w:rPr>
              <w:t>Reference</w:t>
            </w:r>
          </w:p>
          <w:p w:rsidR="00DB5650" w:rsidRPr="00F8588A" w:rsidRDefault="00DB5650" w:rsidP="00F914F5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F8588A">
              <w:rPr>
                <w:b/>
                <w:sz w:val="20"/>
              </w:rPr>
              <w:t>[LSM]]</w:t>
            </w:r>
          </w:p>
        </w:tc>
        <w:tc>
          <w:tcPr>
            <w:tcW w:w="1906" w:type="dxa"/>
            <w:vAlign w:val="bottom"/>
          </w:tcPr>
          <w:p w:rsidR="00DB5650" w:rsidRPr="00F8588A" w:rsidRDefault="00DB5650" w:rsidP="00F914F5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F8588A">
              <w:rPr>
                <w:b/>
                <w:sz w:val="20"/>
              </w:rPr>
              <w:t>T/R Ratio</w:t>
            </w:r>
          </w:p>
        </w:tc>
        <w:tc>
          <w:tcPr>
            <w:tcW w:w="1893" w:type="dxa"/>
            <w:vAlign w:val="bottom"/>
          </w:tcPr>
          <w:p w:rsidR="00DB5650" w:rsidRPr="00F8588A" w:rsidRDefault="00DB5650" w:rsidP="00F914F5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F8588A">
              <w:rPr>
                <w:b/>
                <w:sz w:val="20"/>
              </w:rPr>
              <w:t>90% C.I.</w:t>
            </w:r>
          </w:p>
        </w:tc>
      </w:tr>
      <w:tr w:rsidR="00DB5650" w:rsidRPr="00F8588A" w:rsidTr="00DB5650">
        <w:trPr>
          <w:jc w:val="center"/>
        </w:trPr>
        <w:tc>
          <w:tcPr>
            <w:tcW w:w="1638" w:type="dxa"/>
            <w:vAlign w:val="bottom"/>
          </w:tcPr>
          <w:p w:rsidR="00DB5650" w:rsidRPr="00F8588A" w:rsidRDefault="00DB5650" w:rsidP="00F914F5">
            <w:pPr>
              <w:spacing w:after="0" w:line="240" w:lineRule="auto"/>
              <w:rPr>
                <w:b/>
                <w:sz w:val="20"/>
              </w:rPr>
            </w:pPr>
            <w:r w:rsidRPr="00F8588A">
              <w:rPr>
                <w:b/>
                <w:sz w:val="20"/>
              </w:rPr>
              <w:t>AUC0-t</w:t>
            </w:r>
          </w:p>
        </w:tc>
        <w:tc>
          <w:tcPr>
            <w:tcW w:w="1754" w:type="dxa"/>
            <w:vAlign w:val="center"/>
          </w:tcPr>
          <w:p w:rsidR="00DB5650" w:rsidRPr="00F8588A" w:rsidRDefault="00DB5650" w:rsidP="00F8588A">
            <w:pPr>
              <w:spacing w:after="0" w:line="240" w:lineRule="auto"/>
              <w:jc w:val="center"/>
              <w:rPr>
                <w:sz w:val="20"/>
              </w:rPr>
            </w:pPr>
            <w:r w:rsidRPr="00F8588A">
              <w:rPr>
                <w:rFonts w:cs="Courier New"/>
                <w:sz w:val="20"/>
              </w:rPr>
              <w:t>4666.044</w:t>
            </w:r>
          </w:p>
        </w:tc>
        <w:tc>
          <w:tcPr>
            <w:tcW w:w="2006" w:type="dxa"/>
            <w:vAlign w:val="center"/>
          </w:tcPr>
          <w:p w:rsidR="00DB5650" w:rsidRPr="00F8588A" w:rsidRDefault="00DB5650" w:rsidP="00F8588A">
            <w:pPr>
              <w:spacing w:after="0" w:line="240" w:lineRule="auto"/>
              <w:jc w:val="center"/>
              <w:rPr>
                <w:rFonts w:cs="Courier New"/>
                <w:sz w:val="20"/>
              </w:rPr>
            </w:pPr>
            <w:r w:rsidRPr="00F8588A">
              <w:rPr>
                <w:rFonts w:cs="Courier New"/>
                <w:sz w:val="20"/>
              </w:rPr>
              <w:t>4614.785</w:t>
            </w:r>
          </w:p>
        </w:tc>
        <w:tc>
          <w:tcPr>
            <w:tcW w:w="1906" w:type="dxa"/>
            <w:vAlign w:val="center"/>
          </w:tcPr>
          <w:p w:rsidR="00DB5650" w:rsidRPr="00F8588A" w:rsidRDefault="00DB5650" w:rsidP="00F8588A">
            <w:pPr>
              <w:spacing w:after="0" w:line="240" w:lineRule="auto"/>
              <w:jc w:val="center"/>
              <w:rPr>
                <w:sz w:val="20"/>
              </w:rPr>
            </w:pPr>
            <w:r w:rsidRPr="00F8588A">
              <w:rPr>
                <w:sz w:val="20"/>
              </w:rPr>
              <w:t>101.1</w:t>
            </w:r>
          </w:p>
        </w:tc>
        <w:tc>
          <w:tcPr>
            <w:tcW w:w="1893" w:type="dxa"/>
            <w:vAlign w:val="center"/>
          </w:tcPr>
          <w:p w:rsidR="00DB5650" w:rsidRPr="00F8588A" w:rsidRDefault="00DB5650" w:rsidP="00F8588A">
            <w:pPr>
              <w:spacing w:after="0" w:line="240" w:lineRule="auto"/>
              <w:jc w:val="center"/>
              <w:rPr>
                <w:sz w:val="20"/>
              </w:rPr>
            </w:pPr>
            <w:r w:rsidRPr="00F8588A">
              <w:rPr>
                <w:sz w:val="20"/>
              </w:rPr>
              <w:t>86.61-118.04</w:t>
            </w:r>
          </w:p>
        </w:tc>
      </w:tr>
      <w:tr w:rsidR="00DB5650" w:rsidRPr="00F8588A" w:rsidTr="00DB5650">
        <w:trPr>
          <w:jc w:val="center"/>
        </w:trPr>
        <w:tc>
          <w:tcPr>
            <w:tcW w:w="1638" w:type="dxa"/>
            <w:vAlign w:val="bottom"/>
          </w:tcPr>
          <w:p w:rsidR="00DB5650" w:rsidRPr="00F8588A" w:rsidRDefault="00DB5650" w:rsidP="00F914F5">
            <w:pPr>
              <w:spacing w:after="0" w:line="240" w:lineRule="auto"/>
              <w:rPr>
                <w:b/>
                <w:sz w:val="20"/>
              </w:rPr>
            </w:pPr>
            <w:r w:rsidRPr="00F8588A">
              <w:rPr>
                <w:b/>
                <w:sz w:val="20"/>
              </w:rPr>
              <w:t>AUC0-∞</w:t>
            </w:r>
          </w:p>
        </w:tc>
        <w:tc>
          <w:tcPr>
            <w:tcW w:w="1754" w:type="dxa"/>
            <w:vAlign w:val="center"/>
          </w:tcPr>
          <w:p w:rsidR="00DB5650" w:rsidRPr="00F8588A" w:rsidRDefault="00DB5650" w:rsidP="00F8588A">
            <w:pPr>
              <w:spacing w:after="0" w:line="240" w:lineRule="auto"/>
              <w:jc w:val="center"/>
              <w:rPr>
                <w:sz w:val="20"/>
              </w:rPr>
            </w:pPr>
            <w:r w:rsidRPr="00F8588A">
              <w:rPr>
                <w:rFonts w:cs="Courier New"/>
                <w:sz w:val="20"/>
              </w:rPr>
              <w:t>4785.037</w:t>
            </w:r>
          </w:p>
        </w:tc>
        <w:tc>
          <w:tcPr>
            <w:tcW w:w="2006" w:type="dxa"/>
            <w:vAlign w:val="center"/>
          </w:tcPr>
          <w:p w:rsidR="00DB5650" w:rsidRPr="00F8588A" w:rsidRDefault="00DB5650" w:rsidP="00F8588A">
            <w:pPr>
              <w:spacing w:after="0" w:line="240" w:lineRule="auto"/>
              <w:jc w:val="center"/>
              <w:rPr>
                <w:rFonts w:cs="Courier New"/>
                <w:sz w:val="20"/>
              </w:rPr>
            </w:pPr>
            <w:r w:rsidRPr="00F8588A">
              <w:rPr>
                <w:rFonts w:cs="Courier New"/>
                <w:sz w:val="20"/>
              </w:rPr>
              <w:t>4713.732</w:t>
            </w:r>
          </w:p>
        </w:tc>
        <w:tc>
          <w:tcPr>
            <w:tcW w:w="1906" w:type="dxa"/>
            <w:vAlign w:val="center"/>
          </w:tcPr>
          <w:p w:rsidR="00DB5650" w:rsidRPr="00F8588A" w:rsidRDefault="00DB5650" w:rsidP="00F8588A">
            <w:pPr>
              <w:spacing w:after="0" w:line="240" w:lineRule="auto"/>
              <w:jc w:val="center"/>
              <w:rPr>
                <w:sz w:val="20"/>
              </w:rPr>
            </w:pPr>
            <w:r w:rsidRPr="00F8588A">
              <w:rPr>
                <w:sz w:val="20"/>
              </w:rPr>
              <w:t>101.5</w:t>
            </w:r>
          </w:p>
        </w:tc>
        <w:tc>
          <w:tcPr>
            <w:tcW w:w="1893" w:type="dxa"/>
            <w:vAlign w:val="center"/>
          </w:tcPr>
          <w:p w:rsidR="00DB5650" w:rsidRPr="00F8588A" w:rsidRDefault="00DB5650" w:rsidP="00F8588A">
            <w:pPr>
              <w:spacing w:after="0" w:line="240" w:lineRule="auto"/>
              <w:jc w:val="center"/>
              <w:rPr>
                <w:sz w:val="20"/>
              </w:rPr>
            </w:pPr>
            <w:r w:rsidRPr="00F8588A">
              <w:rPr>
                <w:sz w:val="20"/>
              </w:rPr>
              <w:t>87.37-117.95</w:t>
            </w:r>
          </w:p>
        </w:tc>
      </w:tr>
      <w:tr w:rsidR="00DB5650" w:rsidRPr="00F8588A" w:rsidTr="00DB5650">
        <w:trPr>
          <w:jc w:val="center"/>
        </w:trPr>
        <w:tc>
          <w:tcPr>
            <w:tcW w:w="1638" w:type="dxa"/>
            <w:vAlign w:val="bottom"/>
          </w:tcPr>
          <w:p w:rsidR="00DB5650" w:rsidRPr="00F8588A" w:rsidRDefault="00DB5650" w:rsidP="00F914F5">
            <w:pPr>
              <w:spacing w:after="0" w:line="240" w:lineRule="auto"/>
              <w:rPr>
                <w:b/>
                <w:sz w:val="20"/>
              </w:rPr>
            </w:pPr>
            <w:r w:rsidRPr="00F8588A">
              <w:rPr>
                <w:b/>
                <w:sz w:val="20"/>
              </w:rPr>
              <w:t>Cmax</w:t>
            </w:r>
          </w:p>
        </w:tc>
        <w:tc>
          <w:tcPr>
            <w:tcW w:w="1754" w:type="dxa"/>
            <w:vAlign w:val="center"/>
          </w:tcPr>
          <w:p w:rsidR="00DB5650" w:rsidRPr="00F8588A" w:rsidRDefault="00DB5650" w:rsidP="00F8588A">
            <w:pPr>
              <w:spacing w:after="0" w:line="240" w:lineRule="auto"/>
              <w:jc w:val="center"/>
              <w:rPr>
                <w:sz w:val="20"/>
              </w:rPr>
            </w:pPr>
            <w:r w:rsidRPr="00F8588A">
              <w:rPr>
                <w:sz w:val="20"/>
              </w:rPr>
              <w:t>1794.583</w:t>
            </w:r>
          </w:p>
        </w:tc>
        <w:tc>
          <w:tcPr>
            <w:tcW w:w="2006" w:type="dxa"/>
            <w:vAlign w:val="center"/>
          </w:tcPr>
          <w:p w:rsidR="00DB5650" w:rsidRPr="00F8588A" w:rsidRDefault="00DB5650" w:rsidP="00F8588A">
            <w:pPr>
              <w:spacing w:after="0" w:line="240" w:lineRule="auto"/>
              <w:jc w:val="center"/>
              <w:rPr>
                <w:rFonts w:cs="Courier New"/>
                <w:sz w:val="20"/>
              </w:rPr>
            </w:pPr>
            <w:r w:rsidRPr="00F8588A">
              <w:rPr>
                <w:sz w:val="20"/>
              </w:rPr>
              <w:t>1767.082</w:t>
            </w:r>
          </w:p>
        </w:tc>
        <w:tc>
          <w:tcPr>
            <w:tcW w:w="1906" w:type="dxa"/>
            <w:vAlign w:val="center"/>
          </w:tcPr>
          <w:p w:rsidR="00DB5650" w:rsidRPr="00F8588A" w:rsidRDefault="00DB5650" w:rsidP="00F8588A">
            <w:pPr>
              <w:spacing w:after="0" w:line="240" w:lineRule="auto"/>
              <w:jc w:val="center"/>
              <w:rPr>
                <w:sz w:val="20"/>
              </w:rPr>
            </w:pPr>
            <w:r w:rsidRPr="00F8588A">
              <w:rPr>
                <w:sz w:val="20"/>
              </w:rPr>
              <w:t>101.6</w:t>
            </w:r>
          </w:p>
        </w:tc>
        <w:tc>
          <w:tcPr>
            <w:tcW w:w="1893" w:type="dxa"/>
            <w:vAlign w:val="center"/>
          </w:tcPr>
          <w:p w:rsidR="00DB5650" w:rsidRPr="00F8588A" w:rsidRDefault="00DB5650" w:rsidP="00F8588A">
            <w:pPr>
              <w:spacing w:after="0" w:line="240" w:lineRule="auto"/>
              <w:jc w:val="center"/>
              <w:rPr>
                <w:sz w:val="20"/>
              </w:rPr>
            </w:pPr>
            <w:r w:rsidRPr="00F8588A">
              <w:rPr>
                <w:sz w:val="20"/>
              </w:rPr>
              <w:t>84.81-121.60</w:t>
            </w:r>
          </w:p>
        </w:tc>
      </w:tr>
    </w:tbl>
    <w:p w:rsidR="00DB5650" w:rsidRPr="00F914F5" w:rsidRDefault="00DB5650" w:rsidP="00F914F5">
      <w:pPr>
        <w:spacing w:after="0" w:line="240" w:lineRule="auto"/>
        <w:rPr>
          <w:highlight w:val="lightGray"/>
        </w:rPr>
      </w:pPr>
    </w:p>
    <w:p w:rsidR="00F8588A" w:rsidRDefault="00F8588A" w:rsidP="00F914F5">
      <w:pPr>
        <w:spacing w:after="0" w:line="240" w:lineRule="auto"/>
        <w:jc w:val="both"/>
        <w:rPr>
          <w:i/>
        </w:rPr>
      </w:pPr>
    </w:p>
    <w:p w:rsidR="00C84FC4" w:rsidRPr="00F8588A" w:rsidRDefault="00C84FC4" w:rsidP="00F8588A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i/>
        </w:rPr>
      </w:pPr>
      <w:r w:rsidRPr="00F8588A">
        <w:rPr>
          <w:i/>
        </w:rPr>
        <w:t xml:space="preserve">Studio di bioequivalenza </w:t>
      </w:r>
      <w:r w:rsidR="00F8588A">
        <w:rPr>
          <w:i/>
        </w:rPr>
        <w:t>– polvere per sospensione orale</w:t>
      </w:r>
    </w:p>
    <w:p w:rsidR="00C84FC4" w:rsidRPr="00F914F5" w:rsidRDefault="00C84FC4" w:rsidP="00F914F5">
      <w:pPr>
        <w:spacing w:after="0" w:line="240" w:lineRule="auto"/>
        <w:jc w:val="both"/>
      </w:pPr>
      <w:r w:rsidRPr="00F914F5">
        <w:t>Lo studio di bioequivalenza è uno studio comparativo, controllato,  randomizzato, a dose singola (</w:t>
      </w:r>
      <w:r w:rsidRPr="00F914F5">
        <w:rPr>
          <w:bCs/>
        </w:rPr>
        <w:t xml:space="preserve">875 mg </w:t>
      </w:r>
      <w:r w:rsidRPr="00F914F5">
        <w:rPr>
          <w:bCs/>
          <w:i/>
          <w:iCs/>
        </w:rPr>
        <w:t xml:space="preserve">I </w:t>
      </w:r>
      <w:r w:rsidRPr="00F914F5">
        <w:rPr>
          <w:bCs/>
          <w:iCs/>
        </w:rPr>
        <w:t>125</w:t>
      </w:r>
      <w:r w:rsidRPr="00F914F5">
        <w:rPr>
          <w:bCs/>
          <w:i/>
          <w:iCs/>
        </w:rPr>
        <w:t xml:space="preserve"> </w:t>
      </w:r>
      <w:r w:rsidRPr="00F914F5">
        <w:rPr>
          <w:bCs/>
        </w:rPr>
        <w:t>mg</w:t>
      </w:r>
      <w:r w:rsidRPr="00F914F5">
        <w:t>), 2-periodi, crossover condotto in 36 volontari sani di entrambi i sessi con somministrazione a stomaco pieno. Dopo una notte di digiuno e 30 minuti dopo aver assunto un pasto ad alto contenuto di grassi il medicinale è stato somministrato con acqua. Un soddisfacente periodo di wash-out di 7 giorni è stato previsto tra le somministrazioni in ogni gruppo.</w:t>
      </w:r>
    </w:p>
    <w:p w:rsidR="00C84FC4" w:rsidRPr="00F914F5" w:rsidRDefault="00C84FC4" w:rsidP="00F914F5">
      <w:pPr>
        <w:pStyle w:val="Paragrafoelenco"/>
        <w:spacing w:after="0" w:line="240" w:lineRule="auto"/>
        <w:ind w:left="0"/>
        <w:jc w:val="both"/>
      </w:pPr>
      <w:r w:rsidRPr="00F914F5">
        <w:t xml:space="preserve">Campioni di sangue sono stati prelevati al tempo zero (pre-dose) e a specificati tempi fino a 12 ore dopo la somministrazione. I livelli plasmatici di </w:t>
      </w:r>
      <w:proofErr w:type="spellStart"/>
      <w:r w:rsidRPr="00F914F5">
        <w:t>amoxicillina</w:t>
      </w:r>
      <w:proofErr w:type="spellEnd"/>
      <w:r w:rsidRPr="00F914F5">
        <w:t xml:space="preserve"> e acido </w:t>
      </w:r>
      <w:proofErr w:type="spellStart"/>
      <w:r w:rsidRPr="00F914F5">
        <w:t>clavulanico</w:t>
      </w:r>
      <w:proofErr w:type="spellEnd"/>
      <w:r w:rsidRPr="00F914F5">
        <w:t xml:space="preserve"> sono stati determinati mediante un metodo analitico HPLC-MS-MS opportunamente convalidato.</w:t>
      </w:r>
    </w:p>
    <w:p w:rsidR="00C84FC4" w:rsidRPr="00F914F5" w:rsidRDefault="00C84FC4" w:rsidP="00F914F5">
      <w:pPr>
        <w:pStyle w:val="Paragrafoelenco"/>
        <w:spacing w:after="0" w:line="240" w:lineRule="auto"/>
        <w:ind w:left="0"/>
        <w:jc w:val="both"/>
      </w:pPr>
      <w:r w:rsidRPr="00F914F5">
        <w:t>Le variabili farmacocinetiche definite sono state: C</w:t>
      </w:r>
      <w:r w:rsidRPr="00F914F5">
        <w:rPr>
          <w:vertAlign w:val="subscript"/>
        </w:rPr>
        <w:t>max</w:t>
      </w:r>
      <w:r w:rsidRPr="00F914F5">
        <w:t>, AUC</w:t>
      </w:r>
      <w:r w:rsidRPr="00F914F5">
        <w:rPr>
          <w:vertAlign w:val="subscript"/>
        </w:rPr>
        <w:t>0-t</w:t>
      </w:r>
      <w:r w:rsidRPr="00F914F5">
        <w:t>, AUC</w:t>
      </w:r>
      <w:r w:rsidRPr="00F914F5">
        <w:rPr>
          <w:vertAlign w:val="subscript"/>
        </w:rPr>
        <w:t>0-</w:t>
      </w:r>
      <w:r w:rsidRPr="00F914F5">
        <w:rPr>
          <w:vertAlign w:val="subscript"/>
          <w:lang w:val="en-GB"/>
        </w:rPr>
        <w:sym w:font="Symbol" w:char="00A5"/>
      </w:r>
      <w:r w:rsidRPr="00F914F5">
        <w:t>, t</w:t>
      </w:r>
      <w:r w:rsidRPr="00F914F5">
        <w:rPr>
          <w:vertAlign w:val="subscript"/>
        </w:rPr>
        <w:t>max</w:t>
      </w:r>
      <w:r w:rsidRPr="00F914F5">
        <w:t>, t½ e AUC estrapolata. La bioequivalenza tra medicinale test e medicinale di riferimento è dimostrata se gli intervalli di confidenza al 90% per la trasformata logaritmica di  C</w:t>
      </w:r>
      <w:r w:rsidRPr="00F914F5">
        <w:rPr>
          <w:vertAlign w:val="subscript"/>
        </w:rPr>
        <w:t xml:space="preserve">max </w:t>
      </w:r>
      <w:r w:rsidRPr="00F914F5">
        <w:t>e AUC</w:t>
      </w:r>
      <w:r w:rsidRPr="00F914F5">
        <w:rPr>
          <w:vertAlign w:val="subscript"/>
        </w:rPr>
        <w:t>0-t</w:t>
      </w:r>
      <w:r w:rsidRPr="00F914F5">
        <w:t>, cadono nel range di accettabilità di 0.80-1.25 (80%-125%).</w:t>
      </w:r>
    </w:p>
    <w:p w:rsidR="00C84FC4" w:rsidRPr="00F914F5" w:rsidRDefault="00C84FC4" w:rsidP="00F914F5">
      <w:pPr>
        <w:pStyle w:val="Paragrafoelenco"/>
        <w:spacing w:after="0" w:line="240" w:lineRule="auto"/>
        <w:ind w:left="0"/>
        <w:jc w:val="both"/>
        <w:rPr>
          <w:highlight w:val="lightGray"/>
        </w:rPr>
      </w:pPr>
    </w:p>
    <w:p w:rsidR="00C84FC4" w:rsidRPr="00F914F5" w:rsidRDefault="00C84FC4" w:rsidP="00F914F5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F914F5">
        <w:rPr>
          <w:u w:val="single"/>
        </w:rPr>
        <w:t>Risultati</w:t>
      </w:r>
    </w:p>
    <w:p w:rsidR="00C84FC4" w:rsidRPr="00F914F5" w:rsidRDefault="00C84FC4" w:rsidP="00F914F5">
      <w:pPr>
        <w:spacing w:after="0" w:line="240" w:lineRule="auto"/>
        <w:jc w:val="both"/>
      </w:pPr>
      <w:r w:rsidRPr="00F914F5">
        <w:t>40 volontari sani sono stati arruolati negli studi, 36 hanno completato fase clinica e sono stati analizzati.</w:t>
      </w:r>
    </w:p>
    <w:p w:rsidR="00F8588A" w:rsidRDefault="00F8588A" w:rsidP="00F914F5">
      <w:pPr>
        <w:pStyle w:val="Paragrafoelenco"/>
        <w:spacing w:after="0" w:line="240" w:lineRule="auto"/>
        <w:ind w:left="0"/>
        <w:jc w:val="both"/>
        <w:rPr>
          <w:u w:val="single"/>
        </w:rPr>
      </w:pPr>
    </w:p>
    <w:p w:rsidR="00C84FC4" w:rsidRPr="00F8588A" w:rsidRDefault="00C84FC4" w:rsidP="00F914F5">
      <w:pPr>
        <w:pStyle w:val="Paragrafoelenco"/>
        <w:spacing w:after="0" w:line="240" w:lineRule="auto"/>
        <w:ind w:left="0"/>
        <w:jc w:val="both"/>
        <w:rPr>
          <w:i/>
        </w:rPr>
      </w:pPr>
      <w:r w:rsidRPr="00F8588A">
        <w:rPr>
          <w:i/>
        </w:rPr>
        <w:t>Sicurezza</w:t>
      </w:r>
    </w:p>
    <w:p w:rsidR="00DB5650" w:rsidRDefault="00DB5650" w:rsidP="00F914F5">
      <w:pPr>
        <w:spacing w:after="0" w:line="240" w:lineRule="auto"/>
        <w:jc w:val="both"/>
        <w:rPr>
          <w:rFonts w:cs="Arial"/>
          <w:b/>
        </w:rPr>
      </w:pPr>
      <w:r w:rsidRPr="00F914F5">
        <w:t xml:space="preserve">Nel corso dello studio </w:t>
      </w:r>
      <w:r w:rsidRPr="00F914F5">
        <w:rPr>
          <w:rFonts w:cs="Arial"/>
        </w:rPr>
        <w:t>non sono stati rilevati eventi avversi gravi, gli eventi avversi sono stati simili tra medicinale test e medicinali di riferimento.</w:t>
      </w:r>
      <w:r w:rsidRPr="00F914F5">
        <w:rPr>
          <w:rFonts w:cs="Arial"/>
          <w:b/>
        </w:rPr>
        <w:t xml:space="preserve"> </w:t>
      </w:r>
    </w:p>
    <w:p w:rsidR="00F8588A" w:rsidRPr="00F914F5" w:rsidRDefault="00F8588A" w:rsidP="00F914F5">
      <w:pPr>
        <w:spacing w:after="0" w:line="240" w:lineRule="auto"/>
        <w:jc w:val="both"/>
      </w:pPr>
    </w:p>
    <w:p w:rsidR="00C84FC4" w:rsidRPr="00F8588A" w:rsidRDefault="00C84FC4" w:rsidP="00F914F5">
      <w:pPr>
        <w:pStyle w:val="Paragrafoelenco"/>
        <w:spacing w:after="0" w:line="240" w:lineRule="auto"/>
        <w:ind w:left="0"/>
        <w:jc w:val="both"/>
        <w:rPr>
          <w:i/>
        </w:rPr>
      </w:pPr>
      <w:r w:rsidRPr="00F8588A">
        <w:rPr>
          <w:i/>
        </w:rPr>
        <w:t>Parametri farmacocinetici</w:t>
      </w:r>
    </w:p>
    <w:p w:rsidR="00C84FC4" w:rsidRPr="00F914F5" w:rsidRDefault="00C84FC4" w:rsidP="00F914F5">
      <w:pPr>
        <w:pStyle w:val="Didascalia"/>
        <w:keepNext/>
        <w:spacing w:before="0" w:after="0"/>
        <w:jc w:val="both"/>
        <w:outlineLvl w:val="0"/>
        <w:rPr>
          <w:rFonts w:asciiTheme="minorHAnsi" w:hAnsiTheme="minorHAnsi"/>
          <w:b w:val="0"/>
          <w:sz w:val="22"/>
          <w:szCs w:val="22"/>
          <w:lang w:val="it-IT"/>
        </w:rPr>
      </w:pPr>
      <w:r w:rsidRPr="00F914F5">
        <w:rPr>
          <w:rFonts w:asciiTheme="minorHAnsi" w:hAnsiTheme="minorHAnsi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C84FC4" w:rsidRPr="00F914F5" w:rsidRDefault="00C84FC4" w:rsidP="00F914F5">
      <w:pPr>
        <w:pStyle w:val="Paragrafoelenco"/>
        <w:spacing w:after="0" w:line="240" w:lineRule="auto"/>
        <w:ind w:left="0"/>
        <w:jc w:val="both"/>
      </w:pPr>
    </w:p>
    <w:tbl>
      <w:tblPr>
        <w:tblW w:w="46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638"/>
        <w:gridCol w:w="1754"/>
        <w:gridCol w:w="2006"/>
        <w:gridCol w:w="1906"/>
        <w:gridCol w:w="1893"/>
      </w:tblGrid>
      <w:tr w:rsidR="00DB5650" w:rsidRPr="00F914F5" w:rsidTr="00AE7AB0">
        <w:trPr>
          <w:jc w:val="center"/>
        </w:trPr>
        <w:tc>
          <w:tcPr>
            <w:tcW w:w="9197" w:type="dxa"/>
            <w:gridSpan w:val="5"/>
            <w:vAlign w:val="bottom"/>
          </w:tcPr>
          <w:p w:rsidR="00DB5650" w:rsidRPr="00F8588A" w:rsidRDefault="00DB5650" w:rsidP="00F914F5">
            <w:pPr>
              <w:spacing w:after="0" w:line="240" w:lineRule="auto"/>
              <w:jc w:val="center"/>
              <w:rPr>
                <w:b/>
                <w:sz w:val="20"/>
                <w:highlight w:val="lightGray"/>
              </w:rPr>
            </w:pPr>
            <w:proofErr w:type="spellStart"/>
            <w:r w:rsidRPr="00F8588A">
              <w:rPr>
                <w:b/>
                <w:sz w:val="20"/>
              </w:rPr>
              <w:t>Amoxicillina</w:t>
            </w:r>
            <w:proofErr w:type="spellEnd"/>
          </w:p>
        </w:tc>
      </w:tr>
      <w:tr w:rsidR="00DB5650" w:rsidRPr="00F914F5" w:rsidTr="00AE7AB0">
        <w:trPr>
          <w:jc w:val="center"/>
        </w:trPr>
        <w:tc>
          <w:tcPr>
            <w:tcW w:w="1638" w:type="dxa"/>
            <w:vAlign w:val="bottom"/>
          </w:tcPr>
          <w:p w:rsidR="00DB5650" w:rsidRPr="00F8588A" w:rsidRDefault="00DB5650" w:rsidP="00F914F5">
            <w:pPr>
              <w:spacing w:after="0" w:line="240" w:lineRule="auto"/>
              <w:rPr>
                <w:b/>
                <w:sz w:val="20"/>
              </w:rPr>
            </w:pPr>
            <w:r w:rsidRPr="00F8588A">
              <w:rPr>
                <w:b/>
                <w:sz w:val="20"/>
              </w:rPr>
              <w:t>Parametro</w:t>
            </w:r>
          </w:p>
        </w:tc>
        <w:tc>
          <w:tcPr>
            <w:tcW w:w="1754" w:type="dxa"/>
            <w:vAlign w:val="bottom"/>
          </w:tcPr>
          <w:p w:rsidR="00DB5650" w:rsidRPr="00F8588A" w:rsidRDefault="00DB5650" w:rsidP="00F914F5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F8588A">
              <w:rPr>
                <w:b/>
                <w:sz w:val="20"/>
              </w:rPr>
              <w:t xml:space="preserve">Test </w:t>
            </w:r>
          </w:p>
          <w:p w:rsidR="00DB5650" w:rsidRPr="00F8588A" w:rsidRDefault="00DB5650" w:rsidP="00F914F5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F8588A">
              <w:rPr>
                <w:b/>
                <w:sz w:val="20"/>
              </w:rPr>
              <w:t>[LSM]</w:t>
            </w:r>
          </w:p>
        </w:tc>
        <w:tc>
          <w:tcPr>
            <w:tcW w:w="2006" w:type="dxa"/>
            <w:vAlign w:val="bottom"/>
          </w:tcPr>
          <w:p w:rsidR="00DB5650" w:rsidRPr="00F8588A" w:rsidRDefault="00DB5650" w:rsidP="00F914F5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F8588A">
              <w:rPr>
                <w:b/>
                <w:sz w:val="20"/>
              </w:rPr>
              <w:t>Reference</w:t>
            </w:r>
          </w:p>
          <w:p w:rsidR="00DB5650" w:rsidRPr="00F8588A" w:rsidRDefault="00DB5650" w:rsidP="00F914F5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F8588A">
              <w:rPr>
                <w:b/>
                <w:sz w:val="20"/>
              </w:rPr>
              <w:t>[LSM]]</w:t>
            </w:r>
          </w:p>
        </w:tc>
        <w:tc>
          <w:tcPr>
            <w:tcW w:w="1906" w:type="dxa"/>
            <w:vAlign w:val="bottom"/>
          </w:tcPr>
          <w:p w:rsidR="00DB5650" w:rsidRPr="00F8588A" w:rsidRDefault="00DB5650" w:rsidP="00F914F5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F8588A">
              <w:rPr>
                <w:b/>
                <w:sz w:val="20"/>
              </w:rPr>
              <w:t>T/R Ratio</w:t>
            </w:r>
          </w:p>
        </w:tc>
        <w:tc>
          <w:tcPr>
            <w:tcW w:w="1893" w:type="dxa"/>
            <w:vAlign w:val="bottom"/>
          </w:tcPr>
          <w:p w:rsidR="00DB5650" w:rsidRPr="00F8588A" w:rsidRDefault="00DB5650" w:rsidP="00F914F5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F8588A">
              <w:rPr>
                <w:b/>
                <w:sz w:val="20"/>
              </w:rPr>
              <w:t>90% C.I.</w:t>
            </w:r>
          </w:p>
        </w:tc>
      </w:tr>
      <w:tr w:rsidR="00DB5650" w:rsidRPr="00F914F5" w:rsidTr="00AE7AB0">
        <w:trPr>
          <w:jc w:val="center"/>
        </w:trPr>
        <w:tc>
          <w:tcPr>
            <w:tcW w:w="1638" w:type="dxa"/>
            <w:vAlign w:val="bottom"/>
          </w:tcPr>
          <w:p w:rsidR="00DB5650" w:rsidRPr="00F8588A" w:rsidRDefault="00DB5650" w:rsidP="00F914F5">
            <w:pPr>
              <w:spacing w:after="0" w:line="240" w:lineRule="auto"/>
              <w:rPr>
                <w:b/>
                <w:sz w:val="20"/>
              </w:rPr>
            </w:pPr>
            <w:r w:rsidRPr="00F8588A">
              <w:rPr>
                <w:b/>
                <w:sz w:val="20"/>
              </w:rPr>
              <w:t>AUC0-t</w:t>
            </w:r>
          </w:p>
        </w:tc>
        <w:tc>
          <w:tcPr>
            <w:tcW w:w="1754" w:type="dxa"/>
          </w:tcPr>
          <w:p w:rsidR="00DB5650" w:rsidRPr="00F8588A" w:rsidRDefault="00DB5650" w:rsidP="00F914F5">
            <w:pPr>
              <w:spacing w:after="0" w:line="240" w:lineRule="auto"/>
              <w:jc w:val="center"/>
              <w:rPr>
                <w:sz w:val="20"/>
                <w:highlight w:val="lightGray"/>
              </w:rPr>
            </w:pPr>
            <w:r w:rsidRPr="00F8588A">
              <w:rPr>
                <w:rFonts w:cs="Times New Roman"/>
                <w:sz w:val="20"/>
              </w:rPr>
              <w:t>43013.819</w:t>
            </w:r>
          </w:p>
        </w:tc>
        <w:tc>
          <w:tcPr>
            <w:tcW w:w="2006" w:type="dxa"/>
          </w:tcPr>
          <w:p w:rsidR="00DB5650" w:rsidRPr="00F8588A" w:rsidRDefault="00DB5650" w:rsidP="00F914F5">
            <w:pPr>
              <w:spacing w:after="0" w:line="240" w:lineRule="auto"/>
              <w:jc w:val="center"/>
              <w:rPr>
                <w:sz w:val="20"/>
                <w:highlight w:val="lightGray"/>
              </w:rPr>
            </w:pPr>
            <w:r w:rsidRPr="00F8588A">
              <w:rPr>
                <w:rFonts w:cs="Times New Roman"/>
                <w:sz w:val="20"/>
              </w:rPr>
              <w:t>44368.967</w:t>
            </w:r>
          </w:p>
        </w:tc>
        <w:tc>
          <w:tcPr>
            <w:tcW w:w="1906" w:type="dxa"/>
          </w:tcPr>
          <w:p w:rsidR="00DB5650" w:rsidRPr="00F8588A" w:rsidRDefault="00DB5650" w:rsidP="00F914F5">
            <w:pPr>
              <w:spacing w:after="0" w:line="240" w:lineRule="auto"/>
              <w:jc w:val="center"/>
              <w:rPr>
                <w:sz w:val="20"/>
                <w:highlight w:val="lightGray"/>
              </w:rPr>
            </w:pPr>
            <w:r w:rsidRPr="00F8588A">
              <w:rPr>
                <w:rFonts w:cs="Times New Roman"/>
                <w:sz w:val="20"/>
              </w:rPr>
              <w:t>96.9</w:t>
            </w:r>
          </w:p>
        </w:tc>
        <w:tc>
          <w:tcPr>
            <w:tcW w:w="1893" w:type="dxa"/>
          </w:tcPr>
          <w:p w:rsidR="00DB5650" w:rsidRPr="00F8588A" w:rsidRDefault="00DB5650" w:rsidP="00F914F5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F8588A">
              <w:rPr>
                <w:rFonts w:cs="Times New Roman"/>
                <w:sz w:val="20"/>
              </w:rPr>
              <w:t>93.93 - 100.06</w:t>
            </w:r>
          </w:p>
        </w:tc>
      </w:tr>
      <w:tr w:rsidR="00DB5650" w:rsidRPr="00F914F5" w:rsidTr="00AE7AB0">
        <w:trPr>
          <w:jc w:val="center"/>
        </w:trPr>
        <w:tc>
          <w:tcPr>
            <w:tcW w:w="1638" w:type="dxa"/>
            <w:vAlign w:val="bottom"/>
          </w:tcPr>
          <w:p w:rsidR="00DB5650" w:rsidRPr="00F8588A" w:rsidRDefault="00DB5650" w:rsidP="00F914F5">
            <w:pPr>
              <w:spacing w:after="0" w:line="240" w:lineRule="auto"/>
              <w:rPr>
                <w:b/>
                <w:sz w:val="20"/>
              </w:rPr>
            </w:pPr>
            <w:r w:rsidRPr="00F8588A">
              <w:rPr>
                <w:b/>
                <w:sz w:val="20"/>
              </w:rPr>
              <w:t>AUC0-∞</w:t>
            </w:r>
          </w:p>
        </w:tc>
        <w:tc>
          <w:tcPr>
            <w:tcW w:w="1754" w:type="dxa"/>
          </w:tcPr>
          <w:p w:rsidR="00DB5650" w:rsidRPr="00F8588A" w:rsidRDefault="00DB5650" w:rsidP="00F914F5">
            <w:pPr>
              <w:spacing w:after="0" w:line="240" w:lineRule="auto"/>
              <w:jc w:val="center"/>
              <w:rPr>
                <w:sz w:val="20"/>
                <w:highlight w:val="lightGray"/>
              </w:rPr>
            </w:pPr>
            <w:r w:rsidRPr="00F8588A">
              <w:rPr>
                <w:rFonts w:cs="Times New Roman"/>
                <w:sz w:val="20"/>
              </w:rPr>
              <w:t>43527.328</w:t>
            </w:r>
          </w:p>
        </w:tc>
        <w:tc>
          <w:tcPr>
            <w:tcW w:w="2006" w:type="dxa"/>
          </w:tcPr>
          <w:p w:rsidR="00DB5650" w:rsidRPr="00F8588A" w:rsidRDefault="00DB5650" w:rsidP="00F914F5">
            <w:pPr>
              <w:spacing w:after="0" w:line="240" w:lineRule="auto"/>
              <w:jc w:val="center"/>
              <w:rPr>
                <w:sz w:val="20"/>
                <w:highlight w:val="lightGray"/>
              </w:rPr>
            </w:pPr>
            <w:r w:rsidRPr="00F8588A">
              <w:rPr>
                <w:rFonts w:cs="Times New Roman"/>
                <w:sz w:val="20"/>
              </w:rPr>
              <w:t>44948.038</w:t>
            </w:r>
          </w:p>
        </w:tc>
        <w:tc>
          <w:tcPr>
            <w:tcW w:w="1906" w:type="dxa"/>
          </w:tcPr>
          <w:p w:rsidR="00DB5650" w:rsidRPr="00F8588A" w:rsidRDefault="00DB5650" w:rsidP="00F914F5">
            <w:pPr>
              <w:spacing w:after="0" w:line="240" w:lineRule="auto"/>
              <w:jc w:val="center"/>
              <w:rPr>
                <w:sz w:val="20"/>
                <w:highlight w:val="lightGray"/>
              </w:rPr>
            </w:pPr>
            <w:r w:rsidRPr="00F8588A">
              <w:rPr>
                <w:rFonts w:cs="Times New Roman"/>
                <w:sz w:val="20"/>
              </w:rPr>
              <w:t>96.8</w:t>
            </w:r>
          </w:p>
        </w:tc>
        <w:tc>
          <w:tcPr>
            <w:tcW w:w="1893" w:type="dxa"/>
          </w:tcPr>
          <w:p w:rsidR="00DB5650" w:rsidRPr="00F8588A" w:rsidRDefault="00DB5650" w:rsidP="00F914F5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F8588A">
              <w:rPr>
                <w:rFonts w:cs="Times New Roman"/>
                <w:sz w:val="20"/>
              </w:rPr>
              <w:t>93.81 - 99.97</w:t>
            </w:r>
          </w:p>
        </w:tc>
      </w:tr>
      <w:tr w:rsidR="00DB5650" w:rsidRPr="00F914F5" w:rsidTr="00AE7AB0">
        <w:trPr>
          <w:jc w:val="center"/>
        </w:trPr>
        <w:tc>
          <w:tcPr>
            <w:tcW w:w="1638" w:type="dxa"/>
            <w:vAlign w:val="bottom"/>
          </w:tcPr>
          <w:p w:rsidR="00DB5650" w:rsidRPr="00F8588A" w:rsidRDefault="00DB5650" w:rsidP="00F914F5">
            <w:pPr>
              <w:spacing w:after="0" w:line="240" w:lineRule="auto"/>
              <w:rPr>
                <w:b/>
                <w:sz w:val="20"/>
              </w:rPr>
            </w:pPr>
            <w:r w:rsidRPr="00F8588A">
              <w:rPr>
                <w:b/>
                <w:sz w:val="20"/>
              </w:rPr>
              <w:t>Cmax</w:t>
            </w:r>
          </w:p>
        </w:tc>
        <w:tc>
          <w:tcPr>
            <w:tcW w:w="1754" w:type="dxa"/>
          </w:tcPr>
          <w:p w:rsidR="00DB5650" w:rsidRPr="00F8588A" w:rsidRDefault="00DB5650" w:rsidP="00F914F5">
            <w:pPr>
              <w:spacing w:after="0" w:line="240" w:lineRule="auto"/>
              <w:jc w:val="center"/>
              <w:rPr>
                <w:sz w:val="20"/>
                <w:highlight w:val="lightGray"/>
              </w:rPr>
            </w:pPr>
            <w:r w:rsidRPr="00F8588A">
              <w:rPr>
                <w:rFonts w:cs="Times New Roman"/>
                <w:sz w:val="20"/>
              </w:rPr>
              <w:t>10297.992</w:t>
            </w:r>
          </w:p>
        </w:tc>
        <w:tc>
          <w:tcPr>
            <w:tcW w:w="2006" w:type="dxa"/>
          </w:tcPr>
          <w:p w:rsidR="00DB5650" w:rsidRPr="00F8588A" w:rsidRDefault="00DB5650" w:rsidP="00F914F5">
            <w:pPr>
              <w:spacing w:after="0" w:line="240" w:lineRule="auto"/>
              <w:jc w:val="center"/>
              <w:rPr>
                <w:sz w:val="20"/>
                <w:highlight w:val="lightGray"/>
              </w:rPr>
            </w:pPr>
            <w:r w:rsidRPr="00F8588A">
              <w:rPr>
                <w:rFonts w:cs="Times New Roman"/>
                <w:sz w:val="20"/>
              </w:rPr>
              <w:t>10609.386</w:t>
            </w:r>
          </w:p>
        </w:tc>
        <w:tc>
          <w:tcPr>
            <w:tcW w:w="1906" w:type="dxa"/>
          </w:tcPr>
          <w:p w:rsidR="00DB5650" w:rsidRPr="00F8588A" w:rsidRDefault="00DB5650" w:rsidP="00F914F5">
            <w:pPr>
              <w:spacing w:after="0" w:line="240" w:lineRule="auto"/>
              <w:jc w:val="center"/>
              <w:rPr>
                <w:sz w:val="20"/>
                <w:highlight w:val="lightGray"/>
              </w:rPr>
            </w:pPr>
            <w:r w:rsidRPr="00F8588A">
              <w:rPr>
                <w:rFonts w:cs="Times New Roman"/>
                <w:sz w:val="20"/>
              </w:rPr>
              <w:t>97.1</w:t>
            </w:r>
          </w:p>
        </w:tc>
        <w:tc>
          <w:tcPr>
            <w:tcW w:w="1893" w:type="dxa"/>
          </w:tcPr>
          <w:p w:rsidR="00DB5650" w:rsidRPr="00F8588A" w:rsidRDefault="00DB5650" w:rsidP="00F914F5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F8588A">
              <w:rPr>
                <w:rFonts w:cs="Times New Roman"/>
                <w:sz w:val="20"/>
              </w:rPr>
              <w:t>91.55 - 102.91</w:t>
            </w:r>
          </w:p>
        </w:tc>
      </w:tr>
      <w:tr w:rsidR="00DB5650" w:rsidRPr="00F914F5" w:rsidTr="00AE7AB0">
        <w:trPr>
          <w:jc w:val="center"/>
        </w:trPr>
        <w:tc>
          <w:tcPr>
            <w:tcW w:w="9197" w:type="dxa"/>
            <w:gridSpan w:val="5"/>
            <w:vAlign w:val="bottom"/>
          </w:tcPr>
          <w:p w:rsidR="00DB5650" w:rsidRPr="00F8588A" w:rsidRDefault="00DB5650" w:rsidP="00F914F5">
            <w:pPr>
              <w:spacing w:after="0" w:line="240" w:lineRule="auto"/>
              <w:jc w:val="center"/>
              <w:rPr>
                <w:b/>
                <w:sz w:val="20"/>
                <w:highlight w:val="lightGray"/>
              </w:rPr>
            </w:pPr>
            <w:r w:rsidRPr="00F8588A">
              <w:rPr>
                <w:b/>
                <w:sz w:val="20"/>
              </w:rPr>
              <w:lastRenderedPageBreak/>
              <w:t xml:space="preserve">Acido </w:t>
            </w:r>
            <w:proofErr w:type="spellStart"/>
            <w:r w:rsidRPr="00F8588A">
              <w:rPr>
                <w:b/>
                <w:sz w:val="20"/>
              </w:rPr>
              <w:t>clavulanico</w:t>
            </w:r>
            <w:proofErr w:type="spellEnd"/>
          </w:p>
        </w:tc>
      </w:tr>
      <w:tr w:rsidR="00DB5650" w:rsidRPr="00F914F5" w:rsidTr="00AE7AB0">
        <w:trPr>
          <w:jc w:val="center"/>
        </w:trPr>
        <w:tc>
          <w:tcPr>
            <w:tcW w:w="1638" w:type="dxa"/>
            <w:vAlign w:val="bottom"/>
          </w:tcPr>
          <w:p w:rsidR="00DB5650" w:rsidRPr="00F8588A" w:rsidRDefault="00DB5650" w:rsidP="00F914F5">
            <w:pPr>
              <w:spacing w:after="0" w:line="240" w:lineRule="auto"/>
              <w:rPr>
                <w:b/>
                <w:sz w:val="20"/>
              </w:rPr>
            </w:pPr>
            <w:r w:rsidRPr="00F8588A">
              <w:rPr>
                <w:b/>
                <w:sz w:val="20"/>
              </w:rPr>
              <w:t>Parametro</w:t>
            </w:r>
          </w:p>
        </w:tc>
        <w:tc>
          <w:tcPr>
            <w:tcW w:w="1754" w:type="dxa"/>
            <w:vAlign w:val="bottom"/>
          </w:tcPr>
          <w:p w:rsidR="00DB5650" w:rsidRPr="00F8588A" w:rsidRDefault="00DB5650" w:rsidP="00F914F5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F8588A">
              <w:rPr>
                <w:b/>
                <w:sz w:val="20"/>
              </w:rPr>
              <w:t xml:space="preserve">Test </w:t>
            </w:r>
          </w:p>
          <w:p w:rsidR="00DB5650" w:rsidRPr="00F8588A" w:rsidRDefault="00DB5650" w:rsidP="00F914F5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F8588A">
              <w:rPr>
                <w:b/>
                <w:sz w:val="20"/>
              </w:rPr>
              <w:t>[LSM]</w:t>
            </w:r>
          </w:p>
        </w:tc>
        <w:tc>
          <w:tcPr>
            <w:tcW w:w="2006" w:type="dxa"/>
            <w:vAlign w:val="bottom"/>
          </w:tcPr>
          <w:p w:rsidR="00DB5650" w:rsidRPr="00F8588A" w:rsidRDefault="00DB5650" w:rsidP="00F914F5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F8588A">
              <w:rPr>
                <w:b/>
                <w:sz w:val="20"/>
              </w:rPr>
              <w:t>Reference</w:t>
            </w:r>
          </w:p>
          <w:p w:rsidR="00DB5650" w:rsidRPr="00F8588A" w:rsidRDefault="00DB5650" w:rsidP="00F914F5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F8588A">
              <w:rPr>
                <w:b/>
                <w:sz w:val="20"/>
              </w:rPr>
              <w:t>[LSM]]</w:t>
            </w:r>
          </w:p>
        </w:tc>
        <w:tc>
          <w:tcPr>
            <w:tcW w:w="1906" w:type="dxa"/>
            <w:vAlign w:val="bottom"/>
          </w:tcPr>
          <w:p w:rsidR="00DB5650" w:rsidRPr="00F8588A" w:rsidRDefault="00DB5650" w:rsidP="00F914F5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F8588A">
              <w:rPr>
                <w:b/>
                <w:sz w:val="20"/>
              </w:rPr>
              <w:t>T/R Ratio</w:t>
            </w:r>
          </w:p>
        </w:tc>
        <w:tc>
          <w:tcPr>
            <w:tcW w:w="1893" w:type="dxa"/>
            <w:vAlign w:val="bottom"/>
          </w:tcPr>
          <w:p w:rsidR="00DB5650" w:rsidRPr="00F8588A" w:rsidRDefault="00DB5650" w:rsidP="00F914F5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F8588A">
              <w:rPr>
                <w:b/>
                <w:sz w:val="20"/>
              </w:rPr>
              <w:t>90% C.I.</w:t>
            </w:r>
          </w:p>
        </w:tc>
      </w:tr>
      <w:tr w:rsidR="00DB5650" w:rsidRPr="00F914F5" w:rsidTr="00AE7AB0">
        <w:trPr>
          <w:jc w:val="center"/>
        </w:trPr>
        <w:tc>
          <w:tcPr>
            <w:tcW w:w="1638" w:type="dxa"/>
            <w:vAlign w:val="bottom"/>
          </w:tcPr>
          <w:p w:rsidR="00DB5650" w:rsidRPr="00F8588A" w:rsidRDefault="00DB5650" w:rsidP="00F914F5">
            <w:pPr>
              <w:spacing w:after="0" w:line="240" w:lineRule="auto"/>
              <w:rPr>
                <w:b/>
                <w:sz w:val="20"/>
              </w:rPr>
            </w:pPr>
            <w:r w:rsidRPr="00F8588A">
              <w:rPr>
                <w:b/>
                <w:sz w:val="20"/>
              </w:rPr>
              <w:t>AUC0-t</w:t>
            </w:r>
          </w:p>
        </w:tc>
        <w:tc>
          <w:tcPr>
            <w:tcW w:w="1754" w:type="dxa"/>
          </w:tcPr>
          <w:p w:rsidR="00DB5650" w:rsidRPr="00F8588A" w:rsidRDefault="00DB5650" w:rsidP="00F914F5">
            <w:pPr>
              <w:spacing w:after="0" w:line="240" w:lineRule="auto"/>
              <w:jc w:val="center"/>
              <w:rPr>
                <w:rFonts w:cs="Times New Roman"/>
                <w:sz w:val="20"/>
                <w:highlight w:val="lightGray"/>
              </w:rPr>
            </w:pPr>
            <w:r w:rsidRPr="00F8588A">
              <w:rPr>
                <w:rFonts w:cs="Times New Roman"/>
                <w:sz w:val="20"/>
              </w:rPr>
              <w:t xml:space="preserve">4059.009 </w:t>
            </w:r>
          </w:p>
        </w:tc>
        <w:tc>
          <w:tcPr>
            <w:tcW w:w="2006" w:type="dxa"/>
          </w:tcPr>
          <w:p w:rsidR="00DB5650" w:rsidRPr="00F8588A" w:rsidRDefault="00DB5650" w:rsidP="00F914F5">
            <w:pPr>
              <w:spacing w:after="0" w:line="240" w:lineRule="auto"/>
              <w:jc w:val="center"/>
              <w:rPr>
                <w:rFonts w:cs="Times New Roman"/>
                <w:sz w:val="20"/>
                <w:highlight w:val="lightGray"/>
              </w:rPr>
            </w:pPr>
            <w:r w:rsidRPr="00F8588A">
              <w:rPr>
                <w:rFonts w:cs="Times New Roman"/>
                <w:sz w:val="20"/>
              </w:rPr>
              <w:t>3964.960</w:t>
            </w:r>
          </w:p>
        </w:tc>
        <w:tc>
          <w:tcPr>
            <w:tcW w:w="1906" w:type="dxa"/>
          </w:tcPr>
          <w:p w:rsidR="00DB5650" w:rsidRPr="00F8588A" w:rsidRDefault="00DB5650" w:rsidP="00F914F5">
            <w:pPr>
              <w:spacing w:after="0" w:line="240" w:lineRule="auto"/>
              <w:jc w:val="center"/>
              <w:rPr>
                <w:rFonts w:cs="Times New Roman"/>
                <w:sz w:val="20"/>
              </w:rPr>
            </w:pPr>
            <w:r w:rsidRPr="00F8588A">
              <w:rPr>
                <w:rFonts w:cs="Times New Roman"/>
                <w:sz w:val="20"/>
              </w:rPr>
              <w:t xml:space="preserve">102.4 </w:t>
            </w:r>
          </w:p>
        </w:tc>
        <w:tc>
          <w:tcPr>
            <w:tcW w:w="1893" w:type="dxa"/>
          </w:tcPr>
          <w:p w:rsidR="00DB5650" w:rsidRPr="00F8588A" w:rsidRDefault="00DB5650" w:rsidP="00F914F5">
            <w:pPr>
              <w:spacing w:after="0" w:line="240" w:lineRule="auto"/>
              <w:jc w:val="center"/>
              <w:rPr>
                <w:rFonts w:cs="Times New Roman"/>
                <w:sz w:val="20"/>
              </w:rPr>
            </w:pPr>
            <w:r w:rsidRPr="00F8588A">
              <w:rPr>
                <w:rFonts w:cs="Times New Roman"/>
                <w:sz w:val="20"/>
              </w:rPr>
              <w:t>92.93 - 113.89</w:t>
            </w:r>
          </w:p>
        </w:tc>
      </w:tr>
      <w:tr w:rsidR="00DB5650" w:rsidRPr="00F914F5" w:rsidTr="00AE7AB0">
        <w:trPr>
          <w:jc w:val="center"/>
        </w:trPr>
        <w:tc>
          <w:tcPr>
            <w:tcW w:w="1638" w:type="dxa"/>
            <w:vAlign w:val="bottom"/>
          </w:tcPr>
          <w:p w:rsidR="00DB5650" w:rsidRPr="00F8588A" w:rsidRDefault="00DB5650" w:rsidP="00F914F5">
            <w:pPr>
              <w:spacing w:after="0" w:line="240" w:lineRule="auto"/>
              <w:rPr>
                <w:b/>
                <w:sz w:val="20"/>
              </w:rPr>
            </w:pPr>
            <w:r w:rsidRPr="00F8588A">
              <w:rPr>
                <w:b/>
                <w:sz w:val="20"/>
              </w:rPr>
              <w:t>AUC0-∞</w:t>
            </w:r>
          </w:p>
        </w:tc>
        <w:tc>
          <w:tcPr>
            <w:tcW w:w="1754" w:type="dxa"/>
          </w:tcPr>
          <w:p w:rsidR="00DB5650" w:rsidRPr="00F8588A" w:rsidRDefault="00DB5650" w:rsidP="00F914F5">
            <w:pPr>
              <w:spacing w:after="0" w:line="240" w:lineRule="auto"/>
              <w:jc w:val="center"/>
              <w:rPr>
                <w:rFonts w:cs="Times New Roman"/>
                <w:sz w:val="20"/>
                <w:highlight w:val="lightGray"/>
              </w:rPr>
            </w:pPr>
            <w:r w:rsidRPr="00F8588A">
              <w:rPr>
                <w:rFonts w:cs="Times New Roman"/>
                <w:sz w:val="20"/>
              </w:rPr>
              <w:t xml:space="preserve">4137.621 </w:t>
            </w:r>
          </w:p>
        </w:tc>
        <w:tc>
          <w:tcPr>
            <w:tcW w:w="2006" w:type="dxa"/>
          </w:tcPr>
          <w:p w:rsidR="00DB5650" w:rsidRPr="00F8588A" w:rsidRDefault="00DB5650" w:rsidP="00F914F5">
            <w:pPr>
              <w:spacing w:after="0" w:line="240" w:lineRule="auto"/>
              <w:jc w:val="center"/>
              <w:rPr>
                <w:rFonts w:cs="Times New Roman"/>
                <w:sz w:val="20"/>
                <w:highlight w:val="lightGray"/>
              </w:rPr>
            </w:pPr>
            <w:r w:rsidRPr="00F8588A">
              <w:rPr>
                <w:rFonts w:cs="Times New Roman"/>
                <w:sz w:val="20"/>
              </w:rPr>
              <w:t>4076.220</w:t>
            </w:r>
          </w:p>
        </w:tc>
        <w:tc>
          <w:tcPr>
            <w:tcW w:w="1906" w:type="dxa"/>
          </w:tcPr>
          <w:p w:rsidR="00DB5650" w:rsidRPr="00F8588A" w:rsidRDefault="00E4592B" w:rsidP="00F914F5">
            <w:pPr>
              <w:spacing w:after="0" w:line="240" w:lineRule="auto"/>
              <w:jc w:val="center"/>
              <w:rPr>
                <w:rFonts w:cs="Times New Roman"/>
                <w:sz w:val="20"/>
              </w:rPr>
            </w:pPr>
            <w:r w:rsidRPr="00F8588A">
              <w:rPr>
                <w:rFonts w:cs="Times New Roman"/>
                <w:sz w:val="20"/>
              </w:rPr>
              <w:t>101.5</w:t>
            </w:r>
            <w:r w:rsidR="00DB5650" w:rsidRPr="00F8588A">
              <w:rPr>
                <w:rFonts w:cs="Times New Roman"/>
                <w:sz w:val="20"/>
              </w:rPr>
              <w:t xml:space="preserve"> </w:t>
            </w:r>
          </w:p>
        </w:tc>
        <w:tc>
          <w:tcPr>
            <w:tcW w:w="1893" w:type="dxa"/>
          </w:tcPr>
          <w:p w:rsidR="00DB5650" w:rsidRPr="00F8588A" w:rsidRDefault="00DB5650" w:rsidP="00F914F5">
            <w:pPr>
              <w:spacing w:after="0" w:line="240" w:lineRule="auto"/>
              <w:jc w:val="center"/>
              <w:rPr>
                <w:rFonts w:cs="Times New Roman"/>
                <w:sz w:val="20"/>
              </w:rPr>
            </w:pPr>
            <w:r w:rsidRPr="00F8588A">
              <w:rPr>
                <w:rFonts w:cs="Times New Roman"/>
                <w:sz w:val="20"/>
              </w:rPr>
              <w:t>92.47 - 111.43</w:t>
            </w:r>
          </w:p>
        </w:tc>
      </w:tr>
      <w:tr w:rsidR="00DB5650" w:rsidRPr="00F914F5" w:rsidTr="00AE7AB0">
        <w:trPr>
          <w:jc w:val="center"/>
        </w:trPr>
        <w:tc>
          <w:tcPr>
            <w:tcW w:w="1638" w:type="dxa"/>
            <w:vAlign w:val="bottom"/>
          </w:tcPr>
          <w:p w:rsidR="00DB5650" w:rsidRPr="00F8588A" w:rsidRDefault="00DB5650" w:rsidP="00F914F5">
            <w:pPr>
              <w:spacing w:after="0" w:line="240" w:lineRule="auto"/>
              <w:rPr>
                <w:b/>
                <w:sz w:val="20"/>
              </w:rPr>
            </w:pPr>
            <w:r w:rsidRPr="00F8588A">
              <w:rPr>
                <w:b/>
                <w:sz w:val="20"/>
              </w:rPr>
              <w:t>Cmax</w:t>
            </w:r>
          </w:p>
        </w:tc>
        <w:tc>
          <w:tcPr>
            <w:tcW w:w="1754" w:type="dxa"/>
          </w:tcPr>
          <w:p w:rsidR="00DB5650" w:rsidRPr="00F8588A" w:rsidRDefault="00DB5650" w:rsidP="00F914F5">
            <w:pPr>
              <w:spacing w:after="0" w:line="240" w:lineRule="auto"/>
              <w:jc w:val="center"/>
              <w:rPr>
                <w:rFonts w:cs="Times New Roman"/>
                <w:sz w:val="20"/>
                <w:highlight w:val="lightGray"/>
              </w:rPr>
            </w:pPr>
            <w:r w:rsidRPr="00F8588A">
              <w:rPr>
                <w:rFonts w:cs="Times New Roman"/>
                <w:sz w:val="20"/>
              </w:rPr>
              <w:t xml:space="preserve">1552.439 </w:t>
            </w:r>
          </w:p>
        </w:tc>
        <w:tc>
          <w:tcPr>
            <w:tcW w:w="2006" w:type="dxa"/>
          </w:tcPr>
          <w:p w:rsidR="00DB5650" w:rsidRPr="00F8588A" w:rsidRDefault="00DB5650" w:rsidP="00F914F5">
            <w:pPr>
              <w:spacing w:after="0" w:line="240" w:lineRule="auto"/>
              <w:jc w:val="center"/>
              <w:rPr>
                <w:rFonts w:cs="Times New Roman"/>
                <w:sz w:val="20"/>
                <w:highlight w:val="lightGray"/>
              </w:rPr>
            </w:pPr>
            <w:r w:rsidRPr="00F8588A">
              <w:rPr>
                <w:rFonts w:cs="Times New Roman"/>
                <w:sz w:val="20"/>
              </w:rPr>
              <w:t>1516.557</w:t>
            </w:r>
          </w:p>
        </w:tc>
        <w:tc>
          <w:tcPr>
            <w:tcW w:w="1906" w:type="dxa"/>
          </w:tcPr>
          <w:p w:rsidR="00DB5650" w:rsidRPr="00F8588A" w:rsidRDefault="00E4592B" w:rsidP="00F914F5">
            <w:pPr>
              <w:spacing w:after="0" w:line="240" w:lineRule="auto"/>
              <w:jc w:val="center"/>
              <w:rPr>
                <w:rFonts w:cs="Times New Roman"/>
                <w:sz w:val="20"/>
              </w:rPr>
            </w:pPr>
            <w:r w:rsidRPr="00F8588A">
              <w:rPr>
                <w:rFonts w:cs="Times New Roman"/>
                <w:sz w:val="20"/>
              </w:rPr>
              <w:t>102.4</w:t>
            </w:r>
            <w:r w:rsidR="00DB5650" w:rsidRPr="00F8588A">
              <w:rPr>
                <w:rFonts w:cs="Times New Roman"/>
                <w:sz w:val="20"/>
              </w:rPr>
              <w:t xml:space="preserve"> </w:t>
            </w:r>
          </w:p>
        </w:tc>
        <w:tc>
          <w:tcPr>
            <w:tcW w:w="1893" w:type="dxa"/>
          </w:tcPr>
          <w:p w:rsidR="00DB5650" w:rsidRPr="00F8588A" w:rsidRDefault="00DB5650" w:rsidP="00F914F5">
            <w:pPr>
              <w:spacing w:after="0" w:line="240" w:lineRule="auto"/>
              <w:jc w:val="center"/>
              <w:rPr>
                <w:rFonts w:cs="Times New Roman"/>
                <w:sz w:val="20"/>
              </w:rPr>
            </w:pPr>
            <w:r w:rsidRPr="00F8588A">
              <w:rPr>
                <w:rFonts w:cs="Times New Roman"/>
                <w:sz w:val="20"/>
              </w:rPr>
              <w:t>92.01 - 113.89</w:t>
            </w:r>
          </w:p>
        </w:tc>
      </w:tr>
    </w:tbl>
    <w:p w:rsidR="00DB5650" w:rsidRDefault="00DB5650" w:rsidP="00F914F5">
      <w:pPr>
        <w:spacing w:after="0" w:line="240" w:lineRule="auto"/>
        <w:jc w:val="both"/>
        <w:rPr>
          <w:rFonts w:cs="Arial"/>
          <w:b/>
        </w:rPr>
      </w:pPr>
    </w:p>
    <w:p w:rsidR="00F8588A" w:rsidRPr="00F914F5" w:rsidRDefault="00F8588A" w:rsidP="00F914F5">
      <w:pPr>
        <w:spacing w:after="0" w:line="240" w:lineRule="auto"/>
        <w:jc w:val="both"/>
        <w:rPr>
          <w:rFonts w:cs="Arial"/>
          <w:b/>
        </w:rPr>
      </w:pPr>
    </w:p>
    <w:p w:rsidR="00DB5650" w:rsidRPr="00F914F5" w:rsidRDefault="00DB5650" w:rsidP="00F914F5">
      <w:pPr>
        <w:spacing w:after="0" w:line="240" w:lineRule="auto"/>
      </w:pPr>
      <w:r w:rsidRPr="00F914F5">
        <w:rPr>
          <w:i/>
        </w:rPr>
        <w:t>Conclusioni sulla bioequivalenza</w:t>
      </w:r>
    </w:p>
    <w:p w:rsidR="00DB5650" w:rsidRPr="00F914F5" w:rsidRDefault="00DB5650" w:rsidP="00F914F5">
      <w:pPr>
        <w:spacing w:after="0" w:line="240" w:lineRule="auto"/>
        <w:jc w:val="both"/>
      </w:pPr>
      <w:r w:rsidRPr="00F914F5">
        <w:t>I risultati degli studi di bioequivalenza mostrano che gli intervalli di confidenza dei parametri farmacocinetici studiati cadono nel range di accettabilità di 80-125%, in accordo con le linee guida correnti.</w:t>
      </w:r>
    </w:p>
    <w:p w:rsidR="00C84FC4" w:rsidRPr="00F914F5" w:rsidRDefault="00C84FC4" w:rsidP="00F914F5">
      <w:pPr>
        <w:spacing w:after="0" w:line="240" w:lineRule="auto"/>
        <w:jc w:val="both"/>
        <w:rPr>
          <w:rFonts w:cs="Arial"/>
          <w:b/>
        </w:rPr>
      </w:pPr>
    </w:p>
    <w:p w:rsidR="00900C91" w:rsidRPr="00F914F5" w:rsidRDefault="00900C91" w:rsidP="00F914F5">
      <w:pPr>
        <w:spacing w:after="0" w:line="240" w:lineRule="auto"/>
        <w:jc w:val="both"/>
        <w:rPr>
          <w:rFonts w:cs="Arial"/>
          <w:b/>
        </w:rPr>
      </w:pPr>
      <w:r w:rsidRPr="00F914F5">
        <w:rPr>
          <w:rFonts w:cs="Arial"/>
          <w:b/>
        </w:rPr>
        <w:t>Efficacia e sicurezza clinica</w:t>
      </w:r>
    </w:p>
    <w:p w:rsidR="00900C91" w:rsidRPr="00F914F5" w:rsidRDefault="00900C91" w:rsidP="00F914F5">
      <w:pPr>
        <w:spacing w:after="0" w:line="240" w:lineRule="auto"/>
        <w:jc w:val="both"/>
        <w:rPr>
          <w:rFonts w:cs="Arial"/>
        </w:rPr>
      </w:pPr>
      <w:r w:rsidRPr="00F914F5">
        <w:rPr>
          <w:rFonts w:cs="Arial"/>
        </w:rPr>
        <w:t xml:space="preserve">Non sono stati presentati nuovi dati di efficacia e sicurezza clinica: il profilo di sicurezza e l’efficacia dei due principi attivi di </w:t>
      </w:r>
      <w:proofErr w:type="spellStart"/>
      <w:r w:rsidR="00075F06" w:rsidRPr="00F914F5">
        <w:rPr>
          <w:rFonts w:cs="Arial"/>
        </w:rPr>
        <w:t>Amoxicillina</w:t>
      </w:r>
      <w:proofErr w:type="spellEnd"/>
      <w:r w:rsidR="00075F06" w:rsidRPr="00F914F5">
        <w:rPr>
          <w:rFonts w:cs="Arial"/>
        </w:rPr>
        <w:t xml:space="preserve"> e </w:t>
      </w:r>
      <w:r w:rsidR="00F8588A">
        <w:rPr>
          <w:rFonts w:cs="Arial"/>
        </w:rPr>
        <w:t>a</w:t>
      </w:r>
      <w:r w:rsidR="00075F06" w:rsidRPr="00F914F5">
        <w:rPr>
          <w:rFonts w:cs="Arial"/>
        </w:rPr>
        <w:t xml:space="preserve">cido </w:t>
      </w:r>
      <w:proofErr w:type="spellStart"/>
      <w:r w:rsidR="00F8588A">
        <w:rPr>
          <w:rFonts w:cs="Arial"/>
        </w:rPr>
        <w:t>a</w:t>
      </w:r>
      <w:r w:rsidR="00075F06" w:rsidRPr="00F914F5">
        <w:rPr>
          <w:rFonts w:cs="Arial"/>
        </w:rPr>
        <w:t>lavulanico</w:t>
      </w:r>
      <w:proofErr w:type="spellEnd"/>
      <w:r w:rsidR="00075F06" w:rsidRPr="00F914F5">
        <w:rPr>
          <w:rFonts w:cs="Arial"/>
        </w:rPr>
        <w:t xml:space="preserve"> DOC</w:t>
      </w:r>
      <w:r w:rsidRPr="00F914F5">
        <w:rPr>
          <w:rFonts w:cs="Arial"/>
        </w:rPr>
        <w:t xml:space="preserve"> sono ben conosciuti. </w:t>
      </w:r>
    </w:p>
    <w:p w:rsidR="00900C91" w:rsidRPr="00F914F5" w:rsidRDefault="00900C91" w:rsidP="00F914F5">
      <w:pPr>
        <w:pStyle w:val="Paragrafoelenco"/>
        <w:spacing w:after="0" w:line="240" w:lineRule="auto"/>
        <w:ind w:left="0"/>
        <w:jc w:val="both"/>
      </w:pPr>
    </w:p>
    <w:p w:rsidR="00900C91" w:rsidRPr="00F914F5" w:rsidRDefault="00900C91" w:rsidP="00F914F5">
      <w:pPr>
        <w:pStyle w:val="Paragrafoelenco"/>
        <w:spacing w:after="0" w:line="240" w:lineRule="auto"/>
        <w:ind w:left="0"/>
        <w:jc w:val="both"/>
        <w:rPr>
          <w:b/>
        </w:rPr>
      </w:pPr>
      <w:r w:rsidRPr="00F914F5">
        <w:rPr>
          <w:b/>
        </w:rPr>
        <w:t>Piano di Valutazione del Rischio (</w:t>
      </w:r>
      <w:proofErr w:type="spellStart"/>
      <w:r w:rsidRPr="00F914F5">
        <w:rPr>
          <w:b/>
          <w:i/>
        </w:rPr>
        <w:t>Risk</w:t>
      </w:r>
      <w:proofErr w:type="spellEnd"/>
      <w:r w:rsidRPr="00F914F5">
        <w:rPr>
          <w:b/>
          <w:i/>
        </w:rPr>
        <w:t xml:space="preserve"> Management </w:t>
      </w:r>
      <w:proofErr w:type="spellStart"/>
      <w:r w:rsidRPr="00F914F5">
        <w:rPr>
          <w:b/>
          <w:i/>
        </w:rPr>
        <w:t>Plan</w:t>
      </w:r>
      <w:proofErr w:type="spellEnd"/>
      <w:r w:rsidRPr="00F914F5">
        <w:rPr>
          <w:b/>
        </w:rPr>
        <w:t xml:space="preserve"> - RMP)</w:t>
      </w:r>
    </w:p>
    <w:p w:rsidR="00900C91" w:rsidRPr="00F914F5" w:rsidRDefault="00900C91" w:rsidP="00F914F5">
      <w:pPr>
        <w:pStyle w:val="Paragrafoelenco"/>
        <w:spacing w:after="0" w:line="240" w:lineRule="auto"/>
        <w:ind w:left="0"/>
        <w:jc w:val="both"/>
      </w:pPr>
      <w:r w:rsidRPr="00F914F5">
        <w:t xml:space="preserve">E’ stato presentato un RMP in accordo a quanto previsto dalla Direttiva 2001/83/EU </w:t>
      </w:r>
      <w:proofErr w:type="spellStart"/>
      <w:r w:rsidRPr="00F914F5">
        <w:t>s.m.i.</w:t>
      </w:r>
      <w:proofErr w:type="spellEnd"/>
      <w:r w:rsidRPr="00F914F5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075F06" w:rsidRPr="00F914F5">
        <w:t>Amoxicillina</w:t>
      </w:r>
      <w:proofErr w:type="spellEnd"/>
      <w:r w:rsidR="00075F06" w:rsidRPr="00F914F5">
        <w:t xml:space="preserve"> e </w:t>
      </w:r>
      <w:r w:rsidR="00AD7EF2" w:rsidRPr="00F914F5">
        <w:t>A</w:t>
      </w:r>
      <w:r w:rsidR="00075F06" w:rsidRPr="00F914F5">
        <w:t xml:space="preserve">cido </w:t>
      </w:r>
      <w:proofErr w:type="spellStart"/>
      <w:r w:rsidR="00AD7EF2" w:rsidRPr="00F914F5">
        <w:t>C</w:t>
      </w:r>
      <w:r w:rsidR="00075F06" w:rsidRPr="00F914F5">
        <w:t>lavulanico</w:t>
      </w:r>
      <w:proofErr w:type="spellEnd"/>
      <w:r w:rsidR="00075F06" w:rsidRPr="00F914F5">
        <w:t xml:space="preserve"> DOC</w:t>
      </w:r>
      <w:r w:rsidRPr="00F914F5">
        <w:t>.</w:t>
      </w:r>
    </w:p>
    <w:p w:rsidR="00451338" w:rsidRPr="00F914F5" w:rsidRDefault="00451338" w:rsidP="00F914F5">
      <w:pPr>
        <w:pStyle w:val="Paragrafoelenco"/>
        <w:spacing w:after="0" w:line="240" w:lineRule="auto"/>
        <w:ind w:left="0"/>
        <w:jc w:val="both"/>
      </w:pPr>
      <w:r w:rsidRPr="00F914F5">
        <w:t>Il riassunto delle problematiche di sicurezza è riportato nella tabella seguente.</w:t>
      </w:r>
    </w:p>
    <w:p w:rsidR="000F6474" w:rsidRPr="00F914F5" w:rsidRDefault="000F6474" w:rsidP="00F914F5">
      <w:pPr>
        <w:pStyle w:val="Paragrafoelenco"/>
        <w:spacing w:after="0" w:line="240" w:lineRule="auto"/>
        <w:ind w:left="0"/>
        <w:jc w:val="both"/>
      </w:pP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90"/>
        <w:gridCol w:w="6040"/>
      </w:tblGrid>
      <w:tr w:rsidR="000F6474" w:rsidRPr="00F914F5" w:rsidTr="00AE7AB0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474" w:rsidRPr="00F8588A" w:rsidRDefault="000F6474" w:rsidP="00F8588A">
            <w:pPr>
              <w:pStyle w:val="Paragrafoelenco"/>
              <w:spacing w:after="0" w:line="240" w:lineRule="auto"/>
              <w:ind w:left="0"/>
              <w:jc w:val="both"/>
              <w:rPr>
                <w:rFonts w:eastAsia="Calibri" w:cs="Times New Roman"/>
                <w:sz w:val="20"/>
              </w:rPr>
            </w:pPr>
            <w:r w:rsidRPr="00F8588A">
              <w:rPr>
                <w:rFonts w:eastAsia="Calibri" w:cs="Times New Roman"/>
                <w:sz w:val="20"/>
              </w:rPr>
              <w:t>Rischi importanti identificati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88A" w:rsidRPr="008A7E3C" w:rsidRDefault="00F8588A" w:rsidP="008A7E3C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192" w:hanging="192"/>
              <w:jc w:val="both"/>
              <w:rPr>
                <w:sz w:val="20"/>
                <w:vertAlign w:val="superscript"/>
              </w:rPr>
            </w:pPr>
            <w:r w:rsidRPr="008A7E3C">
              <w:rPr>
                <w:sz w:val="20"/>
              </w:rPr>
              <w:t>A</w:t>
            </w:r>
            <w:r w:rsidR="000F6474" w:rsidRPr="008A7E3C">
              <w:rPr>
                <w:sz w:val="20"/>
              </w:rPr>
              <w:t>nafilassi</w:t>
            </w:r>
          </w:p>
          <w:p w:rsidR="00F8588A" w:rsidRPr="008A7E3C" w:rsidRDefault="000F6474" w:rsidP="008A7E3C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192" w:hanging="192"/>
              <w:jc w:val="both"/>
              <w:rPr>
                <w:sz w:val="20"/>
                <w:vertAlign w:val="superscript"/>
              </w:rPr>
            </w:pPr>
            <w:r w:rsidRPr="008A7E3C">
              <w:rPr>
                <w:sz w:val="20"/>
              </w:rPr>
              <w:t>Reazioni allergiche severe a carico della pelle (</w:t>
            </w:r>
            <w:r w:rsidR="00011949" w:rsidRPr="008A7E3C">
              <w:rPr>
                <w:sz w:val="20"/>
              </w:rPr>
              <w:t xml:space="preserve">Sindrome di Stevens-Johnson, Necrolisi epidermica tossica, Dermatite esfoliativa bollosa, Pustolosi </w:t>
            </w:r>
            <w:proofErr w:type="spellStart"/>
            <w:r w:rsidR="00011949" w:rsidRPr="008A7E3C">
              <w:rPr>
                <w:sz w:val="20"/>
              </w:rPr>
              <w:t>esantematosa</w:t>
            </w:r>
            <w:proofErr w:type="spellEnd"/>
            <w:r w:rsidR="00011949" w:rsidRPr="008A7E3C">
              <w:rPr>
                <w:sz w:val="20"/>
              </w:rPr>
              <w:t xml:space="preserve"> generalizzata </w:t>
            </w:r>
            <w:proofErr w:type="spellStart"/>
            <w:r w:rsidR="00011949" w:rsidRPr="008A7E3C">
              <w:rPr>
                <w:sz w:val="20"/>
              </w:rPr>
              <w:t>acuta</w:t>
            </w:r>
            <w:r w:rsidR="00F8588A" w:rsidRPr="008A7E3C">
              <w:rPr>
                <w:sz w:val="20"/>
              </w:rPr>
              <w:t>-</w:t>
            </w:r>
            <w:r w:rsidR="00011949" w:rsidRPr="008A7E3C">
              <w:rPr>
                <w:sz w:val="20"/>
              </w:rPr>
              <w:t>AGEP</w:t>
            </w:r>
            <w:proofErr w:type="spellEnd"/>
            <w:r w:rsidR="00011949" w:rsidRPr="008A7E3C">
              <w:rPr>
                <w:sz w:val="20"/>
              </w:rPr>
              <w:t>)</w:t>
            </w:r>
          </w:p>
          <w:p w:rsidR="00F8588A" w:rsidRPr="008A7E3C" w:rsidRDefault="00011949" w:rsidP="008A7E3C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192" w:hanging="192"/>
              <w:jc w:val="both"/>
              <w:rPr>
                <w:sz w:val="20"/>
                <w:vertAlign w:val="superscript"/>
              </w:rPr>
            </w:pPr>
            <w:r w:rsidRPr="008A7E3C">
              <w:rPr>
                <w:sz w:val="20"/>
              </w:rPr>
              <w:t>Patologie dl sistema epatico e biliare (aumento di AST e/o ALT, epatite ed ittero colestatico</w:t>
            </w:r>
            <w:r w:rsidR="00E4592B" w:rsidRPr="008A7E3C">
              <w:rPr>
                <w:sz w:val="20"/>
              </w:rPr>
              <w:t>)</w:t>
            </w:r>
          </w:p>
          <w:p w:rsidR="008A7E3C" w:rsidRPr="008A7E3C" w:rsidRDefault="00011949" w:rsidP="008A7E3C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192" w:hanging="192"/>
              <w:jc w:val="both"/>
              <w:rPr>
                <w:sz w:val="20"/>
              </w:rPr>
            </w:pPr>
            <w:r w:rsidRPr="008A7E3C">
              <w:rPr>
                <w:sz w:val="20"/>
              </w:rPr>
              <w:t>Colite associata ad antibiotici</w:t>
            </w:r>
          </w:p>
          <w:p w:rsidR="008A7E3C" w:rsidRPr="008A7E3C" w:rsidRDefault="00011949" w:rsidP="008A7E3C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192" w:hanging="192"/>
              <w:jc w:val="both"/>
              <w:rPr>
                <w:sz w:val="20"/>
              </w:rPr>
            </w:pPr>
            <w:r w:rsidRPr="008A7E3C">
              <w:rPr>
                <w:sz w:val="20"/>
              </w:rPr>
              <w:t xml:space="preserve">Patologie renali ed urinarie (Nefrite interstiziale, </w:t>
            </w:r>
            <w:proofErr w:type="spellStart"/>
            <w:r w:rsidRPr="008A7E3C">
              <w:rPr>
                <w:sz w:val="20"/>
              </w:rPr>
              <w:t>Cristalluria</w:t>
            </w:r>
            <w:proofErr w:type="spellEnd"/>
            <w:r w:rsidRPr="008A7E3C">
              <w:rPr>
                <w:sz w:val="20"/>
              </w:rPr>
              <w:t>)</w:t>
            </w:r>
          </w:p>
          <w:p w:rsidR="000F6474" w:rsidRPr="008A7E3C" w:rsidRDefault="00011949" w:rsidP="008A7E3C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192" w:hanging="192"/>
              <w:jc w:val="both"/>
              <w:rPr>
                <w:sz w:val="20"/>
              </w:rPr>
            </w:pPr>
            <w:r w:rsidRPr="008A7E3C">
              <w:rPr>
                <w:rFonts w:eastAsia="Calibri" w:cs="Times New Roman"/>
                <w:sz w:val="20"/>
              </w:rPr>
              <w:t>Infezioni (</w:t>
            </w:r>
            <w:r w:rsidRPr="008A7E3C">
              <w:rPr>
                <w:sz w:val="20"/>
              </w:rPr>
              <w:t>Candidosi muco cutanea, Sviluppo di organismi non-suscettibili)</w:t>
            </w:r>
            <w:bookmarkStart w:id="1" w:name="_GoBack"/>
            <w:bookmarkEnd w:id="1"/>
          </w:p>
        </w:tc>
      </w:tr>
      <w:tr w:rsidR="000F6474" w:rsidRPr="00F914F5" w:rsidTr="00AE7AB0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474" w:rsidRPr="00F8588A" w:rsidRDefault="000F6474" w:rsidP="00F8588A">
            <w:pPr>
              <w:pStyle w:val="Paragrafoelenco"/>
              <w:spacing w:after="0" w:line="240" w:lineRule="auto"/>
              <w:ind w:left="0"/>
              <w:jc w:val="both"/>
              <w:rPr>
                <w:rFonts w:eastAsia="Calibri" w:cs="Times New Roman"/>
                <w:sz w:val="20"/>
              </w:rPr>
            </w:pPr>
            <w:r w:rsidRPr="00F8588A">
              <w:rPr>
                <w:rFonts w:eastAsia="Calibri" w:cs="Times New Roman"/>
                <w:sz w:val="20"/>
              </w:rPr>
              <w:t>Rischi importanti potenziali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474" w:rsidRPr="00F8588A" w:rsidRDefault="00F8588A" w:rsidP="00F8588A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192" w:hanging="192"/>
              <w:jc w:val="both"/>
              <w:rPr>
                <w:rFonts w:eastAsia="Calibri" w:cs="Times New Roman"/>
                <w:sz w:val="20"/>
              </w:rPr>
            </w:pPr>
            <w:r>
              <w:rPr>
                <w:rFonts w:eastAsia="Calibri" w:cs="Times New Roman"/>
                <w:sz w:val="20"/>
              </w:rPr>
              <w:t>I</w:t>
            </w:r>
            <w:r w:rsidR="00011949" w:rsidRPr="00F8588A">
              <w:rPr>
                <w:rFonts w:eastAsia="Calibri" w:cs="Times New Roman"/>
                <w:sz w:val="20"/>
              </w:rPr>
              <w:t>nterazioni tra farmaci</w:t>
            </w:r>
          </w:p>
        </w:tc>
      </w:tr>
      <w:tr w:rsidR="000F6474" w:rsidRPr="00F914F5" w:rsidTr="00AE7AB0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474" w:rsidRPr="00F8588A" w:rsidRDefault="000F6474" w:rsidP="00F8588A">
            <w:pPr>
              <w:pStyle w:val="Paragrafoelenco"/>
              <w:spacing w:after="0" w:line="240" w:lineRule="auto"/>
              <w:ind w:left="0"/>
              <w:jc w:val="both"/>
              <w:rPr>
                <w:rFonts w:eastAsia="Calibri" w:cs="Times New Roman"/>
                <w:sz w:val="20"/>
              </w:rPr>
            </w:pPr>
            <w:r w:rsidRPr="00F8588A">
              <w:rPr>
                <w:rFonts w:eastAsia="Calibri" w:cs="Times New Roman"/>
                <w:sz w:val="20"/>
              </w:rPr>
              <w:t xml:space="preserve">Informazioni mancanti 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474" w:rsidRPr="00F8588A" w:rsidRDefault="00011949" w:rsidP="008A7E3C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192" w:hanging="192"/>
              <w:jc w:val="both"/>
              <w:rPr>
                <w:rFonts w:eastAsia="Calibri" w:cs="Times New Roman"/>
                <w:sz w:val="20"/>
              </w:rPr>
            </w:pPr>
            <w:r w:rsidRPr="00F8588A">
              <w:rPr>
                <w:rFonts w:eastAsia="Calibri" w:cs="Times New Roman"/>
                <w:sz w:val="20"/>
              </w:rPr>
              <w:t>NA</w:t>
            </w:r>
          </w:p>
        </w:tc>
      </w:tr>
    </w:tbl>
    <w:p w:rsidR="000F6474" w:rsidRPr="00F914F5" w:rsidRDefault="000F6474" w:rsidP="00F914F5">
      <w:pPr>
        <w:pStyle w:val="Paragrafoelenco"/>
        <w:spacing w:after="0" w:line="240" w:lineRule="auto"/>
        <w:ind w:left="0"/>
        <w:jc w:val="both"/>
      </w:pPr>
    </w:p>
    <w:p w:rsidR="00451338" w:rsidRPr="00F914F5" w:rsidRDefault="00451338" w:rsidP="00F914F5">
      <w:pPr>
        <w:pStyle w:val="Paragrafoelenco"/>
        <w:spacing w:after="0" w:line="240" w:lineRule="auto"/>
        <w:ind w:left="0"/>
        <w:jc w:val="both"/>
      </w:pPr>
      <w:r w:rsidRPr="00F914F5">
        <w:t>Azioni routinarie di farmacovigilanza e di minimizzazione del rischio sono proposte per tutte le problematiche di sicurezza.</w:t>
      </w:r>
    </w:p>
    <w:p w:rsidR="00451338" w:rsidRPr="00F914F5" w:rsidRDefault="00451338" w:rsidP="00F914F5">
      <w:pPr>
        <w:pStyle w:val="Paragrafoelenco"/>
        <w:spacing w:after="0" w:line="240" w:lineRule="auto"/>
        <w:ind w:left="0"/>
        <w:jc w:val="both"/>
      </w:pPr>
      <w:r w:rsidRPr="00F914F5">
        <w:t>Oltre le misure previste nel Riassunto delle caratteristiche del prodotto non sono previste attività addizionali di minimizzazione del rischio</w:t>
      </w:r>
      <w:r w:rsidR="0084302F" w:rsidRPr="00F914F5">
        <w:t>.</w:t>
      </w:r>
    </w:p>
    <w:p w:rsidR="005D6E10" w:rsidRPr="00F914F5" w:rsidRDefault="005D6E10" w:rsidP="00F914F5">
      <w:pPr>
        <w:pStyle w:val="Paragrafoelenco"/>
        <w:spacing w:after="0" w:line="240" w:lineRule="auto"/>
        <w:ind w:left="0"/>
        <w:jc w:val="both"/>
      </w:pPr>
    </w:p>
    <w:p w:rsidR="00900C91" w:rsidRPr="00F914F5" w:rsidRDefault="00900C91" w:rsidP="00F914F5">
      <w:pPr>
        <w:pStyle w:val="Paragrafoelenco"/>
        <w:spacing w:after="0" w:line="240" w:lineRule="auto"/>
        <w:ind w:left="0"/>
        <w:jc w:val="both"/>
        <w:rPr>
          <w:b/>
        </w:rPr>
      </w:pPr>
      <w:r w:rsidRPr="00F914F5">
        <w:rPr>
          <w:b/>
        </w:rPr>
        <w:t>Conclusioni</w:t>
      </w:r>
    </w:p>
    <w:p w:rsidR="00900C91" w:rsidRPr="00F914F5" w:rsidRDefault="0084302F" w:rsidP="00F914F5">
      <w:pPr>
        <w:pStyle w:val="Paragrafoelenco"/>
        <w:spacing w:after="0" w:line="240" w:lineRule="auto"/>
        <w:ind w:left="0"/>
        <w:jc w:val="both"/>
      </w:pPr>
      <w:r w:rsidRPr="00F914F5">
        <w:t xml:space="preserve">Le informazioni cliniche relative alla </w:t>
      </w:r>
      <w:r w:rsidR="00693C6C" w:rsidRPr="00F914F5">
        <w:t xml:space="preserve"> </w:t>
      </w:r>
      <w:proofErr w:type="spellStart"/>
      <w:r w:rsidR="00075F06" w:rsidRPr="00F914F5">
        <w:t>Amoxicillina</w:t>
      </w:r>
      <w:proofErr w:type="spellEnd"/>
      <w:r w:rsidR="00075F06" w:rsidRPr="00F914F5">
        <w:t xml:space="preserve"> e </w:t>
      </w:r>
      <w:r w:rsidR="008A7E3C">
        <w:t>a</w:t>
      </w:r>
      <w:r w:rsidR="00075F06" w:rsidRPr="00F914F5">
        <w:t xml:space="preserve">cido </w:t>
      </w:r>
      <w:proofErr w:type="spellStart"/>
      <w:r w:rsidR="008A7E3C">
        <w:t>c</w:t>
      </w:r>
      <w:r w:rsidR="00075F06" w:rsidRPr="00F914F5">
        <w:t>lavulanico</w:t>
      </w:r>
      <w:proofErr w:type="spellEnd"/>
      <w:r w:rsidR="00075F06" w:rsidRPr="00F914F5">
        <w:t xml:space="preserve"> DOC</w:t>
      </w:r>
      <w:r w:rsidR="00900C91" w:rsidRPr="00F914F5">
        <w:t xml:space="preserve"> </w:t>
      </w:r>
      <w:r w:rsidRPr="00F914F5">
        <w:t xml:space="preserve">sono sufficienti per rilasciare la AIC. </w:t>
      </w:r>
    </w:p>
    <w:p w:rsidR="00900C91" w:rsidRPr="00F914F5" w:rsidRDefault="00900C91" w:rsidP="00F914F5">
      <w:pPr>
        <w:pStyle w:val="Paragrafoelenco"/>
        <w:spacing w:after="0" w:line="240" w:lineRule="auto"/>
        <w:ind w:left="0"/>
        <w:jc w:val="both"/>
      </w:pPr>
      <w:r w:rsidRPr="00F914F5">
        <w:t xml:space="preserve">Il rapporto beneficio/rischio di </w:t>
      </w:r>
      <w:r w:rsidR="00693C6C" w:rsidRPr="00F914F5">
        <w:t xml:space="preserve"> </w:t>
      </w:r>
      <w:proofErr w:type="spellStart"/>
      <w:r w:rsidR="00075F06" w:rsidRPr="00F914F5">
        <w:t>Amoxicillina</w:t>
      </w:r>
      <w:proofErr w:type="spellEnd"/>
      <w:r w:rsidR="00075F06" w:rsidRPr="00F914F5">
        <w:t xml:space="preserve"> e </w:t>
      </w:r>
      <w:r w:rsidR="008A7E3C">
        <w:t>a</w:t>
      </w:r>
      <w:r w:rsidR="00075F06" w:rsidRPr="00F914F5">
        <w:t xml:space="preserve">cido </w:t>
      </w:r>
      <w:proofErr w:type="spellStart"/>
      <w:r w:rsidR="008A7E3C">
        <w:t>c</w:t>
      </w:r>
      <w:r w:rsidR="00075F06" w:rsidRPr="00F914F5">
        <w:t>lavulanico</w:t>
      </w:r>
      <w:proofErr w:type="spellEnd"/>
      <w:r w:rsidR="00075F06" w:rsidRPr="00F914F5">
        <w:t xml:space="preserve"> DOC</w:t>
      </w:r>
      <w:r w:rsidRPr="00F914F5">
        <w:t xml:space="preserve"> è considerato favorevole dal punto di vista clinico.</w:t>
      </w:r>
    </w:p>
    <w:p w:rsidR="00900C91" w:rsidRPr="00F914F5" w:rsidRDefault="00900C91" w:rsidP="00F914F5">
      <w:pPr>
        <w:pStyle w:val="Paragrafoelenco"/>
        <w:spacing w:after="0" w:line="240" w:lineRule="auto"/>
        <w:ind w:left="0"/>
        <w:jc w:val="both"/>
      </w:pPr>
    </w:p>
    <w:p w:rsidR="00900C91" w:rsidRPr="00F914F5" w:rsidRDefault="00900C91" w:rsidP="00F914F5">
      <w:pPr>
        <w:pStyle w:val="Paragrafoelenco"/>
        <w:spacing w:after="0" w:line="240" w:lineRule="auto"/>
        <w:ind w:left="0"/>
        <w:jc w:val="both"/>
      </w:pPr>
    </w:p>
    <w:p w:rsidR="00900C91" w:rsidRPr="00F914F5" w:rsidRDefault="00900C91" w:rsidP="00F914F5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F914F5">
        <w:rPr>
          <w:b/>
        </w:rPr>
        <w:t>CONSULTAZIONE SUL FOGLIO ILLUSTRATIVO</w:t>
      </w:r>
    </w:p>
    <w:p w:rsidR="008F1154" w:rsidRPr="00F914F5" w:rsidRDefault="008F1154" w:rsidP="00F914F5">
      <w:pPr>
        <w:spacing w:after="0" w:line="240" w:lineRule="auto"/>
        <w:jc w:val="both"/>
      </w:pPr>
      <w:r w:rsidRPr="00F914F5">
        <w:t xml:space="preserve">In accordo alla normativa vigente, il foglio Illustrativo è redatto in conformità al modello (modello QRD) secondo il formato europeo leggibile per il paziente, confermato dai risultati del test di leggibilità condotto in accordo ai requisiti dell’art. 59(3) e 61(1) della direttiva 2001/83/EU </w:t>
      </w:r>
      <w:proofErr w:type="spellStart"/>
      <w:r w:rsidRPr="00F914F5">
        <w:t>s.m.i.</w:t>
      </w:r>
      <w:proofErr w:type="spellEnd"/>
    </w:p>
    <w:p w:rsidR="008F1154" w:rsidRPr="00F914F5" w:rsidRDefault="008F1154" w:rsidP="00F914F5">
      <w:pPr>
        <w:spacing w:after="0" w:line="240" w:lineRule="auto"/>
        <w:jc w:val="both"/>
      </w:pPr>
    </w:p>
    <w:p w:rsidR="00900C91" w:rsidRPr="00F914F5" w:rsidRDefault="00900C91" w:rsidP="00F914F5">
      <w:pPr>
        <w:spacing w:after="0" w:line="240" w:lineRule="auto"/>
        <w:jc w:val="both"/>
      </w:pPr>
    </w:p>
    <w:p w:rsidR="00900C91" w:rsidRPr="00F914F5" w:rsidRDefault="00900C91" w:rsidP="00F914F5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F914F5">
        <w:rPr>
          <w:b/>
        </w:rPr>
        <w:lastRenderedPageBreak/>
        <w:t>CONCLUSIONI, VALUTAZIONE DEL RAPPORTO BENEFICIO/RISCHIO E RACCOMANDAZIONI</w:t>
      </w:r>
    </w:p>
    <w:p w:rsidR="00900C91" w:rsidRPr="00F914F5" w:rsidRDefault="00900C91" w:rsidP="00F914F5">
      <w:pPr>
        <w:spacing w:after="0" w:line="240" w:lineRule="auto"/>
        <w:jc w:val="both"/>
      </w:pPr>
      <w:r w:rsidRPr="00F914F5">
        <w:t xml:space="preserve">La qualità di </w:t>
      </w:r>
      <w:proofErr w:type="spellStart"/>
      <w:r w:rsidR="00075F06" w:rsidRPr="00F914F5">
        <w:t>Amoxicillina</w:t>
      </w:r>
      <w:proofErr w:type="spellEnd"/>
      <w:r w:rsidR="00075F06" w:rsidRPr="00F914F5">
        <w:t xml:space="preserve"> e </w:t>
      </w:r>
      <w:r w:rsidR="008A7E3C">
        <w:t>a</w:t>
      </w:r>
      <w:r w:rsidR="00075F06" w:rsidRPr="00F914F5">
        <w:t xml:space="preserve">cido </w:t>
      </w:r>
      <w:proofErr w:type="spellStart"/>
      <w:r w:rsidR="008A7E3C">
        <w:t>c</w:t>
      </w:r>
      <w:r w:rsidR="00075F06" w:rsidRPr="00F914F5">
        <w:t>lavulanico</w:t>
      </w:r>
      <w:proofErr w:type="spellEnd"/>
      <w:r w:rsidR="00075F06" w:rsidRPr="00F914F5">
        <w:t xml:space="preserve"> DOC</w:t>
      </w:r>
      <w:r w:rsidRPr="00F914F5">
        <w:t xml:space="preserve"> è accettabile e non sono state rilevate criticità da un punto di vista non clinico e clinico.</w:t>
      </w:r>
    </w:p>
    <w:p w:rsidR="00900C91" w:rsidRPr="00F914F5" w:rsidRDefault="00900C91" w:rsidP="00F914F5">
      <w:pPr>
        <w:spacing w:after="0" w:line="240" w:lineRule="auto"/>
        <w:jc w:val="both"/>
      </w:pPr>
      <w:r w:rsidRPr="00F914F5">
        <w:t>Il rapporto beneficio/rischio è considerato positivo.</w:t>
      </w:r>
    </w:p>
    <w:p w:rsidR="009A260F" w:rsidRPr="00880DE6" w:rsidRDefault="00900C91" w:rsidP="00F914F5">
      <w:pPr>
        <w:spacing w:after="0" w:line="240" w:lineRule="auto"/>
        <w:jc w:val="both"/>
      </w:pPr>
      <w:r w:rsidRPr="00F914F5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F914F5">
        <w:rPr>
          <w:rFonts w:eastAsia="Calibri" w:cs="Calibri"/>
          <w:lang w:eastAsia="it-IT"/>
        </w:rPr>
        <w:t>(</w:t>
      </w:r>
      <w:hyperlink r:id="rId13" w:history="1">
        <w:r w:rsidRPr="00F914F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880DE6">
        <w:rPr>
          <w:rFonts w:eastAsia="Calibri" w:cs="Calibri"/>
          <w:lang w:eastAsia="it-IT"/>
        </w:rPr>
        <w:t>).</w:t>
      </w:r>
    </w:p>
    <w:sectPr w:rsidR="009A260F" w:rsidRPr="00880DE6" w:rsidSect="00097B06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8279D"/>
    <w:multiLevelType w:val="multilevel"/>
    <w:tmpl w:val="B6F8F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D316C8"/>
    <w:multiLevelType w:val="hybridMultilevel"/>
    <w:tmpl w:val="56CAF636"/>
    <w:lvl w:ilvl="0" w:tplc="C55014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B40B87A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5BE8ECA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917C0C"/>
    <w:multiLevelType w:val="hybridMultilevel"/>
    <w:tmpl w:val="3B0A6B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5B0909"/>
    <w:multiLevelType w:val="hybridMultilevel"/>
    <w:tmpl w:val="CA468D7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8B250B"/>
    <w:multiLevelType w:val="hybridMultilevel"/>
    <w:tmpl w:val="B426C51E"/>
    <w:lvl w:ilvl="0" w:tplc="C55014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14B6CC0"/>
    <w:multiLevelType w:val="hybridMultilevel"/>
    <w:tmpl w:val="A2F8762A"/>
    <w:lvl w:ilvl="0" w:tplc="919813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086DFF"/>
    <w:multiLevelType w:val="hybridMultilevel"/>
    <w:tmpl w:val="54FCBC66"/>
    <w:lvl w:ilvl="0" w:tplc="C55014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ED5733"/>
    <w:multiLevelType w:val="hybridMultilevel"/>
    <w:tmpl w:val="6A166A58"/>
    <w:lvl w:ilvl="0" w:tplc="257201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8625169"/>
    <w:multiLevelType w:val="hybridMultilevel"/>
    <w:tmpl w:val="9ABCB9E6"/>
    <w:lvl w:ilvl="0" w:tplc="1CC40608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1638D5"/>
    <w:multiLevelType w:val="hybridMultilevel"/>
    <w:tmpl w:val="1792847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C7E3A53"/>
    <w:multiLevelType w:val="hybridMultilevel"/>
    <w:tmpl w:val="5E3EE94A"/>
    <w:lvl w:ilvl="0" w:tplc="C55014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55014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0"/>
  </w:num>
  <w:num w:numId="6">
    <w:abstractNumId w:val="9"/>
  </w:num>
  <w:num w:numId="7">
    <w:abstractNumId w:val="3"/>
  </w:num>
  <w:num w:numId="8">
    <w:abstractNumId w:val="11"/>
  </w:num>
  <w:num w:numId="9">
    <w:abstractNumId w:val="4"/>
  </w:num>
  <w:num w:numId="10">
    <w:abstractNumId w:val="8"/>
  </w:num>
  <w:num w:numId="11">
    <w:abstractNumId w:val="12"/>
  </w:num>
  <w:num w:numId="12">
    <w:abstractNumId w:val="1"/>
  </w:num>
  <w:num w:numId="13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ongiu">
    <w15:presenceInfo w15:providerId="None" w15:userId="bongiu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oofState w:spelling="clean"/>
  <w:defaultTabStop w:val="708"/>
  <w:hyphenationZone w:val="283"/>
  <w:characterSpacingControl w:val="doNotCompress"/>
  <w:compat/>
  <w:rsids>
    <w:rsidRoot w:val="004241AC"/>
    <w:rsid w:val="00010B82"/>
    <w:rsid w:val="00011949"/>
    <w:rsid w:val="00013020"/>
    <w:rsid w:val="0002134A"/>
    <w:rsid w:val="00031BAD"/>
    <w:rsid w:val="000340BB"/>
    <w:rsid w:val="000405B5"/>
    <w:rsid w:val="00051116"/>
    <w:rsid w:val="00061BF7"/>
    <w:rsid w:val="00062636"/>
    <w:rsid w:val="00065F49"/>
    <w:rsid w:val="00072257"/>
    <w:rsid w:val="00075F06"/>
    <w:rsid w:val="0007649A"/>
    <w:rsid w:val="000808E7"/>
    <w:rsid w:val="00086E62"/>
    <w:rsid w:val="00097B06"/>
    <w:rsid w:val="000F6474"/>
    <w:rsid w:val="001262C3"/>
    <w:rsid w:val="0012738A"/>
    <w:rsid w:val="0013000E"/>
    <w:rsid w:val="00150887"/>
    <w:rsid w:val="001533E8"/>
    <w:rsid w:val="00160237"/>
    <w:rsid w:val="00161722"/>
    <w:rsid w:val="001878BF"/>
    <w:rsid w:val="001A71F6"/>
    <w:rsid w:val="001B35A4"/>
    <w:rsid w:val="001C3C46"/>
    <w:rsid w:val="001E5CC6"/>
    <w:rsid w:val="0021251B"/>
    <w:rsid w:val="00230EA5"/>
    <w:rsid w:val="00242171"/>
    <w:rsid w:val="0025796C"/>
    <w:rsid w:val="00275C20"/>
    <w:rsid w:val="002863C7"/>
    <w:rsid w:val="00290E26"/>
    <w:rsid w:val="002A3520"/>
    <w:rsid w:val="002A5D64"/>
    <w:rsid w:val="002C0793"/>
    <w:rsid w:val="002D52D4"/>
    <w:rsid w:val="002D7C59"/>
    <w:rsid w:val="002F1DEB"/>
    <w:rsid w:val="002F3D3B"/>
    <w:rsid w:val="003002BC"/>
    <w:rsid w:val="00307A67"/>
    <w:rsid w:val="00311EA2"/>
    <w:rsid w:val="00322BF5"/>
    <w:rsid w:val="00333888"/>
    <w:rsid w:val="00341525"/>
    <w:rsid w:val="00352616"/>
    <w:rsid w:val="00354339"/>
    <w:rsid w:val="003935D9"/>
    <w:rsid w:val="003B1985"/>
    <w:rsid w:val="003C0A28"/>
    <w:rsid w:val="003C0C76"/>
    <w:rsid w:val="003C6D99"/>
    <w:rsid w:val="003F1B6D"/>
    <w:rsid w:val="004023A8"/>
    <w:rsid w:val="0040434A"/>
    <w:rsid w:val="004057B4"/>
    <w:rsid w:val="00406819"/>
    <w:rsid w:val="00411E57"/>
    <w:rsid w:val="00412C0E"/>
    <w:rsid w:val="004171F6"/>
    <w:rsid w:val="004241AC"/>
    <w:rsid w:val="00424C85"/>
    <w:rsid w:val="00425D6D"/>
    <w:rsid w:val="004349A2"/>
    <w:rsid w:val="00436398"/>
    <w:rsid w:val="004372D8"/>
    <w:rsid w:val="00451338"/>
    <w:rsid w:val="004546EF"/>
    <w:rsid w:val="0046211A"/>
    <w:rsid w:val="00482527"/>
    <w:rsid w:val="004B20A8"/>
    <w:rsid w:val="004F01AD"/>
    <w:rsid w:val="005072B8"/>
    <w:rsid w:val="00512512"/>
    <w:rsid w:val="00517852"/>
    <w:rsid w:val="00525CBA"/>
    <w:rsid w:val="005362F6"/>
    <w:rsid w:val="00571C17"/>
    <w:rsid w:val="005820A7"/>
    <w:rsid w:val="005825CE"/>
    <w:rsid w:val="005C3D64"/>
    <w:rsid w:val="005D6E10"/>
    <w:rsid w:val="005E7275"/>
    <w:rsid w:val="005F2AC1"/>
    <w:rsid w:val="005F62FE"/>
    <w:rsid w:val="00612382"/>
    <w:rsid w:val="006324DD"/>
    <w:rsid w:val="00644AE9"/>
    <w:rsid w:val="0064750D"/>
    <w:rsid w:val="006555D4"/>
    <w:rsid w:val="0066234C"/>
    <w:rsid w:val="00662EE7"/>
    <w:rsid w:val="006760D9"/>
    <w:rsid w:val="006876E1"/>
    <w:rsid w:val="00693C6C"/>
    <w:rsid w:val="006C418A"/>
    <w:rsid w:val="006E4C1D"/>
    <w:rsid w:val="00716EE9"/>
    <w:rsid w:val="00726687"/>
    <w:rsid w:val="007301DA"/>
    <w:rsid w:val="007461B9"/>
    <w:rsid w:val="00752C3F"/>
    <w:rsid w:val="00762D88"/>
    <w:rsid w:val="00763AB0"/>
    <w:rsid w:val="0078172E"/>
    <w:rsid w:val="00782132"/>
    <w:rsid w:val="00791481"/>
    <w:rsid w:val="007A0314"/>
    <w:rsid w:val="007A4BFE"/>
    <w:rsid w:val="007B76A3"/>
    <w:rsid w:val="007D1092"/>
    <w:rsid w:val="007E00D8"/>
    <w:rsid w:val="0082749E"/>
    <w:rsid w:val="008348A8"/>
    <w:rsid w:val="00842BAC"/>
    <w:rsid w:val="0084302F"/>
    <w:rsid w:val="008543F6"/>
    <w:rsid w:val="00880DE6"/>
    <w:rsid w:val="00897FDC"/>
    <w:rsid w:val="008A0C5C"/>
    <w:rsid w:val="008A33EC"/>
    <w:rsid w:val="008A4633"/>
    <w:rsid w:val="008A59E9"/>
    <w:rsid w:val="008A7E3C"/>
    <w:rsid w:val="008B14A9"/>
    <w:rsid w:val="008D710E"/>
    <w:rsid w:val="008F1154"/>
    <w:rsid w:val="00900C91"/>
    <w:rsid w:val="00903109"/>
    <w:rsid w:val="00903359"/>
    <w:rsid w:val="009246CB"/>
    <w:rsid w:val="0093250A"/>
    <w:rsid w:val="0093412B"/>
    <w:rsid w:val="009404E8"/>
    <w:rsid w:val="00947EF5"/>
    <w:rsid w:val="009514E0"/>
    <w:rsid w:val="00972CE3"/>
    <w:rsid w:val="00997165"/>
    <w:rsid w:val="009A260F"/>
    <w:rsid w:val="009A33E4"/>
    <w:rsid w:val="009B2047"/>
    <w:rsid w:val="009B2D88"/>
    <w:rsid w:val="009D1B3F"/>
    <w:rsid w:val="009F52E6"/>
    <w:rsid w:val="00A02D62"/>
    <w:rsid w:val="00A17247"/>
    <w:rsid w:val="00A2685C"/>
    <w:rsid w:val="00A26EA1"/>
    <w:rsid w:val="00A30604"/>
    <w:rsid w:val="00A32D93"/>
    <w:rsid w:val="00A41EA1"/>
    <w:rsid w:val="00A442A3"/>
    <w:rsid w:val="00A6285A"/>
    <w:rsid w:val="00A72D8A"/>
    <w:rsid w:val="00A75FB8"/>
    <w:rsid w:val="00A838FE"/>
    <w:rsid w:val="00A924CF"/>
    <w:rsid w:val="00A97CE3"/>
    <w:rsid w:val="00AA44EA"/>
    <w:rsid w:val="00AC512A"/>
    <w:rsid w:val="00AD09BE"/>
    <w:rsid w:val="00AD6B65"/>
    <w:rsid w:val="00AD7EF2"/>
    <w:rsid w:val="00AE5976"/>
    <w:rsid w:val="00AE7AB0"/>
    <w:rsid w:val="00B164AB"/>
    <w:rsid w:val="00B27283"/>
    <w:rsid w:val="00B34E18"/>
    <w:rsid w:val="00B60E6E"/>
    <w:rsid w:val="00B73716"/>
    <w:rsid w:val="00B8237B"/>
    <w:rsid w:val="00BC5021"/>
    <w:rsid w:val="00BC6EC6"/>
    <w:rsid w:val="00BE6799"/>
    <w:rsid w:val="00C24649"/>
    <w:rsid w:val="00C26420"/>
    <w:rsid w:val="00C26606"/>
    <w:rsid w:val="00C71FFE"/>
    <w:rsid w:val="00C8171A"/>
    <w:rsid w:val="00C84FC4"/>
    <w:rsid w:val="00C85D26"/>
    <w:rsid w:val="00CB1115"/>
    <w:rsid w:val="00CC1017"/>
    <w:rsid w:val="00CC63E4"/>
    <w:rsid w:val="00CC7AFF"/>
    <w:rsid w:val="00CE3AC9"/>
    <w:rsid w:val="00D06833"/>
    <w:rsid w:val="00D1430D"/>
    <w:rsid w:val="00D20170"/>
    <w:rsid w:val="00D33431"/>
    <w:rsid w:val="00D45E67"/>
    <w:rsid w:val="00DB5650"/>
    <w:rsid w:val="00DC5920"/>
    <w:rsid w:val="00DC63A4"/>
    <w:rsid w:val="00DD285F"/>
    <w:rsid w:val="00DD45D7"/>
    <w:rsid w:val="00DF2F37"/>
    <w:rsid w:val="00DF5EEF"/>
    <w:rsid w:val="00DF6B92"/>
    <w:rsid w:val="00E019C6"/>
    <w:rsid w:val="00E159A3"/>
    <w:rsid w:val="00E24E1C"/>
    <w:rsid w:val="00E35FFF"/>
    <w:rsid w:val="00E43089"/>
    <w:rsid w:val="00E4592B"/>
    <w:rsid w:val="00E4754C"/>
    <w:rsid w:val="00E61BC3"/>
    <w:rsid w:val="00E62CF4"/>
    <w:rsid w:val="00E67D9F"/>
    <w:rsid w:val="00E7486A"/>
    <w:rsid w:val="00E92263"/>
    <w:rsid w:val="00E95CA3"/>
    <w:rsid w:val="00EA483A"/>
    <w:rsid w:val="00EB32F9"/>
    <w:rsid w:val="00EC57E6"/>
    <w:rsid w:val="00ED287E"/>
    <w:rsid w:val="00EF5C38"/>
    <w:rsid w:val="00F147C1"/>
    <w:rsid w:val="00F1554A"/>
    <w:rsid w:val="00F559F7"/>
    <w:rsid w:val="00F64D6F"/>
    <w:rsid w:val="00F8588A"/>
    <w:rsid w:val="00F86982"/>
    <w:rsid w:val="00F8799A"/>
    <w:rsid w:val="00F914F5"/>
    <w:rsid w:val="00FA2702"/>
    <w:rsid w:val="00FA55B0"/>
    <w:rsid w:val="00FB00C4"/>
    <w:rsid w:val="00FB071E"/>
    <w:rsid w:val="00FC011D"/>
    <w:rsid w:val="00FC042B"/>
    <w:rsid w:val="00FC6B2F"/>
    <w:rsid w:val="00FD0C63"/>
    <w:rsid w:val="00FD1D5D"/>
    <w:rsid w:val="00FE7080"/>
    <w:rsid w:val="00FE73D6"/>
    <w:rsid w:val="00FF0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C0C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E679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00C91"/>
    <w:pPr>
      <w:ind w:left="720"/>
      <w:contextualSpacing/>
    </w:pPr>
  </w:style>
  <w:style w:type="character" w:customStyle="1" w:styleId="s1">
    <w:name w:val="s1"/>
    <w:basedOn w:val="Carpredefinitoparagrafo"/>
    <w:rsid w:val="00900C91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900C91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5D6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C0C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Rimandocommento">
    <w:name w:val="annotation reference"/>
    <w:basedOn w:val="Carpredefinitoparagrafo"/>
    <w:uiPriority w:val="99"/>
    <w:semiHidden/>
    <w:unhideWhenUsed/>
    <w:rsid w:val="00AE597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E597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E597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597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5976"/>
    <w:rPr>
      <w:b/>
      <w:bCs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525CBA"/>
    <w:rPr>
      <w:b/>
      <w:bCs/>
    </w:rPr>
  </w:style>
  <w:style w:type="character" w:customStyle="1" w:styleId="xbe">
    <w:name w:val="_xbe"/>
    <w:basedOn w:val="Carpredefinitoparagrafo"/>
    <w:rsid w:val="00097B06"/>
  </w:style>
  <w:style w:type="character" w:styleId="Collegamentovisitato">
    <w:name w:val="FollowedHyperlink"/>
    <w:basedOn w:val="Carpredefinitoparagrafo"/>
    <w:uiPriority w:val="99"/>
    <w:semiHidden/>
    <w:unhideWhenUsed/>
    <w:rsid w:val="008A7E3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4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hyperlink" Target="https://farmaci.agenziafarmaco.gov.it/bancadatifarmaci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gov.uk/government/organisations/medicines-and-healthcare-products-regulatory-agency" TargetMode="External"/><Relationship Id="rId12" Type="http://schemas.openxmlformats.org/officeDocument/2006/relationships/hyperlink" Target="https://farmaci.agenziafarmaco.gov.it/bancadatifarmaci" TargetMode="Externa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3.gi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5ADF68-297D-434F-8F4E-85D6FC2D2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11</Pages>
  <Words>3674</Words>
  <Characters>20948</Characters>
  <Application>Microsoft Office Word</Application>
  <DocSecurity>0</DocSecurity>
  <Lines>174</Lines>
  <Paragraphs>49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33</cp:revision>
  <cp:lastPrinted>2015-09-30T13:09:00Z</cp:lastPrinted>
  <dcterms:created xsi:type="dcterms:W3CDTF">2015-09-30T16:09:00Z</dcterms:created>
  <dcterms:modified xsi:type="dcterms:W3CDTF">2017-02-27T14:50:00Z</dcterms:modified>
</cp:coreProperties>
</file>