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B32D81" w:rsidRDefault="00B32D81" w:rsidP="00B32D81">
      <w:pPr>
        <w:spacing w:after="0" w:line="240" w:lineRule="auto"/>
        <w:jc w:val="center"/>
        <w:rPr>
          <w:b/>
          <w:sz w:val="24"/>
        </w:rPr>
      </w:pPr>
      <w:r w:rsidRPr="00B32D81">
        <w:rPr>
          <w:b/>
          <w:sz w:val="24"/>
        </w:rPr>
        <w:t>R</w:t>
      </w:r>
      <w:r w:rsidR="004241AC" w:rsidRPr="00B32D81">
        <w:rPr>
          <w:b/>
          <w:sz w:val="24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3A0AA5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ARQUETA</w:t>
      </w:r>
    </w:p>
    <w:p w:rsidR="00502AB1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3A0AA5">
        <w:rPr>
          <w:snapToGrid w:val="0"/>
        </w:rPr>
        <w:t>Netilmicina</w:t>
      </w:r>
      <w:proofErr w:type="spellEnd"/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Pr="002833EC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2833EC" w:rsidRDefault="00DA1945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2833EC">
        <w:rPr>
          <w:b/>
        </w:rPr>
        <w:t>Genetic</w:t>
      </w:r>
      <w:proofErr w:type="spellEnd"/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DA1945" w:rsidRPr="00B32D81">
        <w:rPr>
          <w:b/>
        </w:rPr>
        <w:t>042865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B32D8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B32D8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A0AA5">
        <w:rPr>
          <w:rFonts w:cs="Times New Roman"/>
          <w:bCs/>
          <w:color w:val="000000"/>
        </w:rPr>
        <w:t>Arqueta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A0AA5">
        <w:rPr>
          <w:rFonts w:eastAsia="Calibri" w:cs="Calibri"/>
          <w:color w:val="000000"/>
          <w:lang w:eastAsia="it-IT"/>
        </w:rPr>
        <w:t>Arqueta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3A0AA5">
        <w:rPr>
          <w:rFonts w:eastAsia="Calibri" w:cs="Calibri"/>
          <w:color w:val="000000"/>
          <w:lang w:eastAsia="it-IT"/>
        </w:rPr>
        <w:t>Arqueta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A0AA5">
        <w:rPr>
          <w:rFonts w:eastAsia="Calibri" w:cs="Calibri"/>
          <w:color w:val="000000"/>
          <w:lang w:eastAsia="it-IT"/>
        </w:rPr>
        <w:t>Arqueta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A0AA5">
        <w:rPr>
          <w:rFonts w:eastAsia="Calibri" w:cs="Calibri"/>
          <w:b/>
          <w:color w:val="000000"/>
          <w:lang w:eastAsia="it-IT"/>
        </w:rPr>
        <w:t>Arqueta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3A0AA5" w:rsidP="00B32D8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Arqueta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520FDC" w:rsidRPr="00B32D81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netilmicina</w:t>
      </w:r>
      <w:proofErr w:type="spellEnd"/>
      <w:r w:rsidR="00B75EA4" w:rsidRPr="00B32D81">
        <w:rPr>
          <w:rFonts w:eastAsia="Calibri" w:cs="Calibri"/>
          <w:color w:val="000000"/>
          <w:lang w:eastAsia="it-IT"/>
        </w:rPr>
        <w:t xml:space="preserve"> ed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="00DA1945" w:rsidRPr="00B32D81">
        <w:rPr>
          <w:rFonts w:eastAsia="Calibri" w:cs="Calibri"/>
          <w:color w:val="000000"/>
          <w:lang w:eastAsia="it-IT"/>
        </w:rPr>
        <w:t>collirio</w:t>
      </w:r>
      <w:r w:rsidR="007935FE">
        <w:rPr>
          <w:rFonts w:eastAsia="Calibri" w:cs="Calibri"/>
          <w:color w:val="000000"/>
          <w:lang w:eastAsia="it-IT"/>
        </w:rPr>
        <w:t>,</w:t>
      </w:r>
      <w:r w:rsidR="00DA1945" w:rsidRPr="00B32D81">
        <w:rPr>
          <w:rFonts w:eastAsia="Calibri" w:cs="Calibri"/>
          <w:color w:val="000000"/>
          <w:lang w:eastAsia="it-IT"/>
        </w:rPr>
        <w:t xml:space="preserve"> soluzione </w:t>
      </w:r>
      <w:r w:rsidR="004241AC" w:rsidRPr="00B32D81">
        <w:rPr>
          <w:rFonts w:eastAsia="Calibri" w:cs="Calibri"/>
          <w:color w:val="000000"/>
          <w:lang w:eastAsia="it-IT"/>
        </w:rPr>
        <w:t>contenent</w:t>
      </w:r>
      <w:r w:rsidR="007935FE">
        <w:rPr>
          <w:rFonts w:eastAsia="Calibri" w:cs="Calibri"/>
          <w:color w:val="000000"/>
          <w:lang w:eastAsia="it-IT"/>
        </w:rPr>
        <w:t>e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502AB1">
        <w:rPr>
          <w:rFonts w:cs="Arial"/>
        </w:rPr>
        <w:t>il</w:t>
      </w:r>
      <w:r w:rsidR="00520FDC" w:rsidRPr="00B32D81">
        <w:rPr>
          <w:rFonts w:eastAsia="Calibri" w:cs="Calibri"/>
          <w:color w:val="000000"/>
          <w:lang w:eastAsia="it-IT"/>
        </w:rPr>
        <w:t xml:space="preserve"> principio attivo</w:t>
      </w:r>
      <w:r w:rsidR="00502AB1">
        <w:rPr>
          <w:rFonts w:eastAsia="Calibri" w:cs="Calibri"/>
          <w:color w:val="000000"/>
          <w:lang w:eastAsia="it-IT"/>
        </w:rPr>
        <w:t xml:space="preserve"> alla concentrazione dello 0,3%</w:t>
      </w:r>
      <w:r w:rsidR="004241AC" w:rsidRPr="00B32D81">
        <w:t>.</w:t>
      </w:r>
    </w:p>
    <w:p w:rsidR="00B32D81" w:rsidRPr="003A0AA5" w:rsidRDefault="003A0AA5" w:rsidP="006959E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 w:rsidRPr="003A0AA5">
        <w:rPr>
          <w:rFonts w:eastAsia="Calibri" w:cs="Calibri"/>
          <w:color w:val="000000"/>
          <w:lang w:eastAsia="it-IT"/>
        </w:rPr>
        <w:t>Arqueta</w:t>
      </w:r>
      <w:proofErr w:type="spellEnd"/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 w:rsidRPr="003A0AA5">
        <w:rPr>
          <w:rFonts w:eastAsia="Calibri" w:cs="Calibri"/>
          <w:color w:val="000000"/>
          <w:lang w:eastAsia="it-IT"/>
        </w:rPr>
        <w:t>Nettacin</w:t>
      </w:r>
      <w:proofErr w:type="spellEnd"/>
      <w:r w:rsidR="00A52DC4">
        <w:rPr>
          <w:rFonts w:eastAsia="Calibri" w:cs="Calibri"/>
          <w:color w:val="000000"/>
          <w:lang w:eastAsia="it-IT"/>
        </w:rPr>
        <w:t xml:space="preserve"> collirio</w:t>
      </w:r>
      <w:r w:rsidRPr="003A0AA5">
        <w:rPr>
          <w:rFonts w:eastAsia="Calibri" w:cs="Calibri"/>
          <w:color w:val="000000"/>
          <w:lang w:eastAsia="it-IT"/>
        </w:rPr>
        <w:t>.</w:t>
      </w:r>
    </w:p>
    <w:p w:rsidR="00E22AEF" w:rsidRPr="003A0AA5" w:rsidRDefault="003A0AA5" w:rsidP="006959E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A0AA5">
        <w:rPr>
          <w:rFonts w:eastAsia="Calibri" w:cs="Calibri"/>
          <w:color w:val="000000"/>
          <w:lang w:eastAsia="it-IT"/>
        </w:rPr>
        <w:t>Arqueta</w:t>
      </w:r>
      <w:proofErr w:type="spellEnd"/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4241AC" w:rsidRPr="003A0AA5">
        <w:rPr>
          <w:rFonts w:eastAsia="Calibri" w:cs="Calibri"/>
          <w:color w:val="000000"/>
          <w:lang w:eastAsia="it-IT"/>
        </w:rPr>
        <w:t xml:space="preserve">si usa </w:t>
      </w:r>
      <w:r w:rsidRPr="003A0AA5">
        <w:rPr>
          <w:rFonts w:cs="Times New Roman"/>
          <w:bCs/>
        </w:rPr>
        <w:t xml:space="preserve">per trattare le infezioni esterne dell’occhio causate da microrganismi (germi) sensibili alla </w:t>
      </w:r>
      <w:proofErr w:type="spellStart"/>
      <w:r w:rsidR="006959E3">
        <w:rPr>
          <w:rFonts w:cs="Times New Roman"/>
          <w:bCs/>
        </w:rPr>
        <w:t>n</w:t>
      </w:r>
      <w:r w:rsidRPr="003A0AA5">
        <w:rPr>
          <w:rFonts w:cs="Times New Roman"/>
          <w:bCs/>
        </w:rPr>
        <w:t>etilmicina</w:t>
      </w:r>
      <w:proofErr w:type="spellEnd"/>
      <w:r w:rsidR="00E22AEF" w:rsidRPr="003A0AA5">
        <w:rPr>
          <w:rFonts w:eastAsia="Calibri" w:cs="Calibri"/>
          <w:color w:val="000000"/>
          <w:lang w:eastAsia="it-IT"/>
        </w:rPr>
        <w:t>.</w:t>
      </w:r>
    </w:p>
    <w:p w:rsidR="004241AC" w:rsidRPr="00502AB1" w:rsidRDefault="004241AC" w:rsidP="006959E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A0AA5" w:rsidRPr="00502AB1">
        <w:rPr>
          <w:rFonts w:eastAsia="Calibri" w:cs="Calibri"/>
          <w:b/>
          <w:color w:val="000000"/>
          <w:lang w:eastAsia="it-IT"/>
        </w:rPr>
        <w:t>Arqueta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3A0AA5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02AB1">
        <w:rPr>
          <w:rFonts w:eastAsia="Calibri" w:cs="Calibri"/>
          <w:color w:val="000000"/>
          <w:lang w:eastAsia="it-IT"/>
        </w:rPr>
        <w:t>Arqueta</w:t>
      </w:r>
      <w:proofErr w:type="spellEnd"/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A0AA5" w:rsidRPr="00502AB1" w:rsidRDefault="003A0AA5" w:rsidP="00B32D81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dose raccomandata è una o due gocce nell’occhio o </w:t>
      </w:r>
      <w:r w:rsidR="003A5C70">
        <w:rPr>
          <w:rFonts w:cs="Times New Roman"/>
        </w:rPr>
        <w:t xml:space="preserve">nel </w:t>
      </w:r>
      <w:r w:rsidRPr="00502AB1">
        <w:rPr>
          <w:rFonts w:cs="Times New Roman"/>
        </w:rPr>
        <w:t>sacco congiuntivale tre volte al giorno</w:t>
      </w:r>
      <w:r w:rsidR="003A5C70">
        <w:t>.</w:t>
      </w:r>
    </w:p>
    <w:p w:rsidR="00B32D81" w:rsidRPr="00502AB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502AB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A0AA5" w:rsidRPr="00502AB1">
        <w:rPr>
          <w:rFonts w:eastAsia="Calibri" w:cs="Calibri"/>
          <w:b/>
          <w:color w:val="000000"/>
          <w:lang w:eastAsia="it-IT"/>
        </w:rPr>
        <w:t>Arqueta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02AB1" w:rsidRDefault="003A0AA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502AB1">
        <w:rPr>
          <w:rFonts w:eastAsia="Calibri" w:cs="Calibri"/>
          <w:color w:val="000000"/>
          <w:lang w:eastAsia="it-IT"/>
        </w:rPr>
        <w:t>Arqueta</w:t>
      </w:r>
      <w:proofErr w:type="spellEnd"/>
      <w:r w:rsidR="00502AB1" w:rsidRPr="00502AB1">
        <w:rPr>
          <w:snapToGrid w:val="0"/>
        </w:rPr>
        <w:t xml:space="preserve">, il cui codice ATC è </w:t>
      </w:r>
      <w:r w:rsidR="00502AB1" w:rsidRPr="00502AB1">
        <w:rPr>
          <w:rFonts w:cs="Times New Roman"/>
          <w:bCs/>
        </w:rPr>
        <w:t>S01AA23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A2741" w:rsidRPr="00502AB1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502AB1">
        <w:rPr>
          <w:snapToGrid w:val="0"/>
        </w:rPr>
        <w:t>netilmicina</w:t>
      </w:r>
      <w:proofErr w:type="spellEnd"/>
      <w:r w:rsidR="00F01FB3" w:rsidRPr="00502AB1">
        <w:t xml:space="preserve"> che </w:t>
      </w:r>
      <w:r w:rsidR="00E43089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antibiotico </w:t>
      </w:r>
      <w:proofErr w:type="spellStart"/>
      <w:r w:rsidR="00502AB1" w:rsidRPr="00502AB1">
        <w:rPr>
          <w:rFonts w:cs="Times New Roman"/>
        </w:rPr>
        <w:t>aminoglicosidico</w:t>
      </w:r>
      <w:proofErr w:type="spellEnd"/>
      <w:r w:rsidR="00502AB1" w:rsidRPr="00502AB1">
        <w:rPr>
          <w:rFonts w:cs="Times New Roman"/>
        </w:rPr>
        <w:t xml:space="preserve"> semisintetico ad ampio spettro. E’ attivo, a basse concentrazioni, nei confronti di diversi batteri patogeni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negativi e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positivi</w:t>
      </w:r>
      <w:r w:rsidR="00F01FB3" w:rsidRPr="00502AB1">
        <w:t>.</w:t>
      </w:r>
    </w:p>
    <w:p w:rsidR="004241AC" w:rsidRPr="00502AB1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F01FB3" w:rsidRPr="00502AB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A0AA5" w:rsidRPr="00502AB1">
        <w:rPr>
          <w:rFonts w:eastAsia="Calibri" w:cs="Calibri"/>
          <w:b/>
          <w:color w:val="000000"/>
          <w:lang w:eastAsia="it-IT"/>
        </w:rPr>
        <w:t>Arqueta</w:t>
      </w:r>
      <w:proofErr w:type="spellEnd"/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3A0AA5">
        <w:rPr>
          <w:rFonts w:eastAsia="Calibri" w:cs="Calibri"/>
          <w:color w:val="000000"/>
          <w:lang w:eastAsia="it-IT"/>
        </w:rPr>
        <w:t>Arqueta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F01FB3">
        <w:rPr>
          <w:rFonts w:cs="Arial"/>
        </w:rPr>
        <w:t>collirio (</w:t>
      </w:r>
      <w:r w:rsidR="00F01FB3" w:rsidRPr="0023693E">
        <w:rPr>
          <w:rFonts w:cs="Arial"/>
        </w:rPr>
        <w:t>soluzione</w:t>
      </w:r>
      <w:r w:rsidR="00F01FB3">
        <w:rPr>
          <w:rFonts w:cs="Arial"/>
        </w:rPr>
        <w:t xml:space="preserve"> oftalmica)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A0AA5">
        <w:rPr>
          <w:rFonts w:eastAsia="Calibri" w:cs="Calibri"/>
          <w:b/>
          <w:color w:val="000000"/>
          <w:lang w:eastAsia="it-IT"/>
        </w:rPr>
        <w:t>Arqueta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3A0AA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Arqueta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B32D81">
        <w:rPr>
          <w:rFonts w:eastAsia="Calibri" w:cs="Calibri"/>
          <w:lang w:eastAsia="it-IT"/>
        </w:rPr>
        <w:t>bioequivale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</w:t>
      </w:r>
      <w:proofErr w:type="spellEnd"/>
      <w:r w:rsidR="00013020" w:rsidRPr="00B32D81">
        <w:rPr>
          <w:rFonts w:eastAsia="Calibri" w:cs="Calibri"/>
          <w:lang w:eastAsia="it-IT"/>
        </w:rPr>
        <w:t xml:space="preserve">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A0AA5">
        <w:rPr>
          <w:rFonts w:eastAsia="Calibri" w:cs="Calibri"/>
          <w:b/>
          <w:color w:val="000000"/>
          <w:lang w:eastAsia="it-IT"/>
        </w:rPr>
        <w:t>Arqueta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CA29BF">
        <w:rPr>
          <w:rFonts w:eastAsia="Calibri" w:cs="Calibri"/>
          <w:lang w:eastAsia="it-IT"/>
        </w:rPr>
        <w:t>10-12 maggio 2017</w:t>
      </w:r>
      <w:r w:rsidR="005B446C" w:rsidRPr="00B32D81">
        <w:rPr>
          <w:rFonts w:eastAsia="Calibri" w:cs="Calibri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3A0AA5">
        <w:rPr>
          <w:rFonts w:eastAsia="Calibri" w:cs="Calibri"/>
          <w:color w:val="000000"/>
          <w:lang w:eastAsia="it-IT"/>
        </w:rPr>
        <w:t>Nettacin</w:t>
      </w:r>
      <w:proofErr w:type="spellEnd"/>
      <w:r w:rsidR="00A52DC4">
        <w:rPr>
          <w:rFonts w:eastAsia="Calibri" w:cs="Calibri"/>
          <w:color w:val="000000"/>
          <w:lang w:eastAsia="it-IT"/>
        </w:rPr>
        <w:t xml:space="preserve"> collirio</w:t>
      </w:r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3A0AA5">
        <w:rPr>
          <w:rFonts w:eastAsia="Calibri" w:cs="Calibri"/>
          <w:color w:val="000000"/>
          <w:lang w:eastAsia="it-IT"/>
        </w:rPr>
        <w:t>Arqueta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D57567">
        <w:rPr>
          <w:rFonts w:eastAsia="Calibri" w:cs="Calibri"/>
          <w:lang w:eastAsia="it-IT"/>
        </w:rPr>
        <w:t>(</w:t>
      </w:r>
      <w:r w:rsidR="00CA29BF">
        <w:rPr>
          <w:rFonts w:eastAsia="Calibri" w:cs="Calibri"/>
          <w:lang w:eastAsia="it-IT"/>
        </w:rPr>
        <w:t>classificazione provvisoria Cnn</w:t>
      </w:r>
      <w:r w:rsidR="007935FE" w:rsidRPr="00D57567">
        <w:rPr>
          <w:rFonts w:eastAsia="Calibri" w:cs="Calibri"/>
          <w:lang w:eastAsia="it-IT"/>
        </w:rPr>
        <w:t>)</w:t>
      </w:r>
      <w:r w:rsidRPr="00D57567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A0AA5">
        <w:rPr>
          <w:rFonts w:eastAsia="Calibri" w:cs="Calibri"/>
          <w:b/>
          <w:color w:val="000000"/>
          <w:lang w:eastAsia="it-IT"/>
        </w:rPr>
        <w:t>Arqueta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3A0AA5">
        <w:rPr>
          <w:rFonts w:eastAsia="Calibri" w:cs="Calibri"/>
          <w:color w:val="000000"/>
          <w:lang w:eastAsia="it-IT"/>
        </w:rPr>
        <w:t>Arqueta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A0AA5">
        <w:rPr>
          <w:rFonts w:eastAsia="Calibri" w:cs="Calibri"/>
          <w:b/>
          <w:color w:val="000000"/>
          <w:lang w:eastAsia="it-IT"/>
        </w:rPr>
        <w:t>Arqueta</w:t>
      </w:r>
      <w:proofErr w:type="spellEnd"/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Il </w:t>
      </w:r>
      <w:r w:rsidR="00CA29BF">
        <w:rPr>
          <w:rFonts w:eastAsia="Calibri" w:cs="Calibri"/>
          <w:bCs/>
          <w:iCs/>
          <w:lang w:eastAsia="it-IT"/>
        </w:rPr>
        <w:t>1 agosto 2017</w:t>
      </w:r>
      <w:r w:rsidRPr="00B32D81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3A0AA5">
        <w:rPr>
          <w:rFonts w:eastAsia="Calibri" w:cs="Calibri"/>
          <w:color w:val="000000"/>
          <w:lang w:eastAsia="it-IT"/>
        </w:rPr>
        <w:t>Arqueta</w:t>
      </w:r>
      <w:proofErr w:type="spellEnd"/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3A0AA5">
        <w:rPr>
          <w:rFonts w:eastAsia="Calibri" w:cs="Calibri"/>
          <w:color w:val="000000"/>
          <w:lang w:eastAsia="it-IT"/>
        </w:rPr>
        <w:t>Arqueta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CA29BF">
        <w:rPr>
          <w:rFonts w:eastAsia="Calibri" w:cs="Calibri"/>
          <w:lang w:eastAsia="it-IT"/>
        </w:rPr>
        <w:t>11.09.2017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5943DC" w:rsidRPr="00B32D81" w:rsidRDefault="005943DC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</w:t>
      </w:r>
      <w:r w:rsidRPr="00CA29BF">
        <w:t xml:space="preserve">all’immissione in commercio (AIC) per il medicinale </w:t>
      </w:r>
      <w:proofErr w:type="spellStart"/>
      <w:r w:rsidR="003A0AA5" w:rsidRPr="00CA29BF">
        <w:t>Arqueta</w:t>
      </w:r>
      <w:proofErr w:type="spellEnd"/>
      <w:r w:rsidRPr="00CA29BF">
        <w:t xml:space="preserve"> </w:t>
      </w:r>
      <w:r w:rsidRPr="00CA29BF">
        <w:rPr>
          <w:rFonts w:eastAsia="Calibri" w:cs="Calibri"/>
          <w:bCs/>
          <w:iCs/>
          <w:lang w:eastAsia="it-IT"/>
        </w:rPr>
        <w:t xml:space="preserve">il </w:t>
      </w:r>
      <w:r w:rsidR="00CA29BF" w:rsidRPr="00CA29BF">
        <w:rPr>
          <w:rFonts w:eastAsia="Calibri" w:cs="Calibri"/>
          <w:bCs/>
          <w:iCs/>
          <w:lang w:eastAsia="it-IT"/>
        </w:rPr>
        <w:t>1 agosto 2017</w:t>
      </w:r>
      <w:r w:rsidRPr="00CA29BF">
        <w:t>.</w:t>
      </w:r>
      <w:r w:rsidRPr="00B32D81">
        <w:t xml:space="preserve"> 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3A0AA5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02AB1">
        <w:rPr>
          <w:rFonts w:eastAsia="Calibri" w:cs="Calibri"/>
          <w:color w:val="000000"/>
          <w:lang w:eastAsia="it-IT"/>
        </w:rPr>
        <w:t>Arqueta</w:t>
      </w:r>
      <w:proofErr w:type="spellEnd"/>
      <w:r w:rsidR="007935FE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dell’art. 10(3) della Direttiva 2001/83/EU </w:t>
      </w:r>
      <w:proofErr w:type="spellStart"/>
      <w:r w:rsidRPr="00502AB1">
        <w:t>s.m.i.</w:t>
      </w:r>
      <w:proofErr w:type="spellEnd"/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502AB1" w:rsidRDefault="003A0AA5" w:rsidP="00502AB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02AB1">
        <w:rPr>
          <w:rFonts w:eastAsia="Calibri" w:cs="Calibri"/>
          <w:bCs/>
          <w:color w:val="000000"/>
          <w:lang w:eastAsia="it-IT"/>
        </w:rPr>
        <w:t>Arqueta</w:t>
      </w:r>
      <w:proofErr w:type="spellEnd"/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proofErr w:type="spellStart"/>
      <w:r w:rsidRPr="00502AB1">
        <w:rPr>
          <w:rFonts w:eastAsia="Calibri" w:cs="Calibri"/>
          <w:color w:val="000000"/>
          <w:lang w:eastAsia="it-IT"/>
        </w:rPr>
        <w:t>netilmicina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Pr="00502AB1">
        <w:rPr>
          <w:rFonts w:eastAsia="Calibri" w:cs="Calibri"/>
          <w:color w:val="000000"/>
          <w:lang w:eastAsia="it-IT"/>
        </w:rPr>
        <w:t>Nettacin</w:t>
      </w:r>
      <w:proofErr w:type="spellEnd"/>
      <w:r w:rsidR="00A52DC4">
        <w:rPr>
          <w:rFonts w:eastAsia="Calibri" w:cs="Calibri"/>
          <w:color w:val="000000"/>
          <w:lang w:eastAsia="it-IT"/>
        </w:rPr>
        <w:t xml:space="preserve"> collirio</w:t>
      </w:r>
      <w:r w:rsidR="007C68D2" w:rsidRPr="00502AB1">
        <w:rPr>
          <w:rFonts w:eastAsia="Calibri" w:cs="Calibri"/>
          <w:color w:val="000000"/>
          <w:lang w:eastAsia="it-IT"/>
        </w:rPr>
        <w:t>, autorizzato in Italia da più di 10 anni.</w:t>
      </w:r>
    </w:p>
    <w:p w:rsidR="007C68D2" w:rsidRPr="00502AB1" w:rsidRDefault="007C68D2" w:rsidP="00502AB1">
      <w:pPr>
        <w:spacing w:after="0" w:line="240" w:lineRule="auto"/>
        <w:jc w:val="both"/>
        <w:rPr>
          <w:highlight w:val="yellow"/>
        </w:rPr>
      </w:pPr>
    </w:p>
    <w:p w:rsidR="00502AB1" w:rsidRPr="00502AB1" w:rsidRDefault="00502AB1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 w:rsidRPr="00502AB1">
        <w:rPr>
          <w:rFonts w:eastAsia="Calibri" w:cs="Calibri"/>
          <w:color w:val="000000"/>
          <w:lang w:eastAsia="it-IT"/>
        </w:rPr>
        <w:t>Arqueta</w:t>
      </w:r>
      <w:proofErr w:type="spellEnd"/>
      <w:r w:rsidRPr="00502AB1">
        <w:rPr>
          <w:snapToGrid w:val="0"/>
        </w:rPr>
        <w:t xml:space="preserve">, il cui codice ATC è </w:t>
      </w:r>
      <w:r w:rsidRPr="00502AB1">
        <w:rPr>
          <w:rFonts w:cs="Times New Roman"/>
          <w:bCs/>
        </w:rPr>
        <w:t>S01AA23</w:t>
      </w:r>
      <w:r w:rsidRPr="00502AB1">
        <w:t>,</w:t>
      </w:r>
      <w:r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Pr="00502AB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502AB1">
        <w:rPr>
          <w:snapToGrid w:val="0"/>
        </w:rPr>
        <w:t>netilmicina</w:t>
      </w:r>
      <w:proofErr w:type="spellEnd"/>
      <w:r w:rsidRPr="00502AB1">
        <w:t xml:space="preserve"> che </w:t>
      </w:r>
      <w:r w:rsidRPr="00502AB1">
        <w:rPr>
          <w:rFonts w:eastAsia="DejaVuSans" w:cs="DejaVuSans"/>
        </w:rPr>
        <w:t xml:space="preserve">è </w:t>
      </w:r>
      <w:r w:rsidRPr="00502AB1">
        <w:rPr>
          <w:rFonts w:cs="Times New Roman"/>
        </w:rPr>
        <w:t xml:space="preserve">un antibiotico </w:t>
      </w:r>
      <w:proofErr w:type="spellStart"/>
      <w:r w:rsidRPr="00502AB1">
        <w:rPr>
          <w:rFonts w:cs="Times New Roman"/>
        </w:rPr>
        <w:t>aminoglicosidico</w:t>
      </w:r>
      <w:proofErr w:type="spellEnd"/>
      <w:r w:rsidRPr="00502AB1">
        <w:rPr>
          <w:rFonts w:cs="Times New Roman"/>
        </w:rPr>
        <w:t xml:space="preserve"> semisintetico ad ampio spettro. E’ attivo, a basse concentrazioni, nei confronti di diversi batteri patogeni </w:t>
      </w:r>
      <w:proofErr w:type="spellStart"/>
      <w:r w:rsidRPr="00502AB1">
        <w:rPr>
          <w:rFonts w:cs="Times New Roman"/>
        </w:rPr>
        <w:t>Gram</w:t>
      </w:r>
      <w:proofErr w:type="spellEnd"/>
      <w:r w:rsidRPr="00502AB1">
        <w:rPr>
          <w:rFonts w:cs="Times New Roman"/>
        </w:rPr>
        <w:t xml:space="preserve"> negativi e </w:t>
      </w:r>
      <w:proofErr w:type="spellStart"/>
      <w:r w:rsidRPr="00502AB1">
        <w:rPr>
          <w:rFonts w:cs="Times New Roman"/>
        </w:rPr>
        <w:t>Gram</w:t>
      </w:r>
      <w:proofErr w:type="spellEnd"/>
      <w:r w:rsidRPr="00502AB1">
        <w:rPr>
          <w:rFonts w:cs="Times New Roman"/>
        </w:rPr>
        <w:t xml:space="preserve"> positivi, compresi i ceppi </w:t>
      </w:r>
      <w:proofErr w:type="spellStart"/>
      <w:r w:rsidRPr="00502AB1">
        <w:rPr>
          <w:rFonts w:cs="Times New Roman"/>
        </w:rPr>
        <w:t>gentamicino-resistenti</w:t>
      </w:r>
      <w:proofErr w:type="spellEnd"/>
      <w:r w:rsidRPr="00502AB1">
        <w:rPr>
          <w:rFonts w:cs="Times New Roman"/>
        </w:rPr>
        <w:t xml:space="preserve">. L’antibiotico è infatti, a differenza della </w:t>
      </w:r>
      <w:proofErr w:type="spellStart"/>
      <w:r w:rsidRPr="00502AB1">
        <w:rPr>
          <w:rFonts w:cs="Times New Roman"/>
        </w:rPr>
        <w:t>gentamicina</w:t>
      </w:r>
      <w:proofErr w:type="spellEnd"/>
      <w:r w:rsidRPr="00502AB1">
        <w:rPr>
          <w:rFonts w:cs="Times New Roman"/>
        </w:rPr>
        <w:t xml:space="preserve">, insensibile all’azione degli enzimi batterici inattivanti fosforilanti e </w:t>
      </w:r>
      <w:proofErr w:type="spellStart"/>
      <w:r w:rsidRPr="00502AB1">
        <w:rPr>
          <w:rFonts w:cs="Times New Roman"/>
        </w:rPr>
        <w:t>adenilanti</w:t>
      </w:r>
      <w:proofErr w:type="spellEnd"/>
      <w:r w:rsidRPr="00502AB1">
        <w:rPr>
          <w:rFonts w:cs="Times New Roman"/>
        </w:rPr>
        <w:t>.</w:t>
      </w:r>
    </w:p>
    <w:p w:rsidR="00502AB1" w:rsidRPr="00502AB1" w:rsidRDefault="00502AB1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502AB1">
        <w:rPr>
          <w:rFonts w:cs="Times New Roman"/>
        </w:rPr>
        <w:t xml:space="preserve">La </w:t>
      </w:r>
      <w:proofErr w:type="spellStart"/>
      <w:r>
        <w:rPr>
          <w:rFonts w:cs="Times New Roman"/>
        </w:rPr>
        <w:t>n</w:t>
      </w:r>
      <w:r w:rsidRPr="00502AB1">
        <w:rPr>
          <w:rFonts w:cs="Times New Roman"/>
        </w:rPr>
        <w:t>etilmicina</w:t>
      </w:r>
      <w:proofErr w:type="spellEnd"/>
      <w:r w:rsidRPr="00502AB1">
        <w:rPr>
          <w:rFonts w:cs="Times New Roman"/>
        </w:rPr>
        <w:t xml:space="preserve"> esplica un effetto battericida rapido, determinando errori nella traduzione dell’mRNA e quindi l’inserimento di aminoacidi sbagliati nella catena </w:t>
      </w:r>
      <w:proofErr w:type="spellStart"/>
      <w:r w:rsidRPr="00502AB1">
        <w:rPr>
          <w:rFonts w:cs="Times New Roman"/>
        </w:rPr>
        <w:t>polipeptidica</w:t>
      </w:r>
      <w:proofErr w:type="spellEnd"/>
      <w:r w:rsidRPr="00502AB1">
        <w:rPr>
          <w:rFonts w:cs="Times New Roman"/>
        </w:rPr>
        <w:t xml:space="preserve"> in formazione</w:t>
      </w:r>
      <w:r w:rsidRPr="00502AB1">
        <w:t>.</w:t>
      </w:r>
    </w:p>
    <w:p w:rsidR="007935FE" w:rsidRPr="00502AB1" w:rsidRDefault="007935FE" w:rsidP="00502AB1">
      <w:pPr>
        <w:spacing w:after="0" w:line="240" w:lineRule="auto"/>
        <w:jc w:val="both"/>
        <w:rPr>
          <w:iCs/>
          <w:highlight w:val="yellow"/>
        </w:rPr>
      </w:pPr>
    </w:p>
    <w:p w:rsidR="00502AB1" w:rsidRPr="00502AB1" w:rsidRDefault="003A0AA5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 w:rsidRPr="00502AB1">
        <w:rPr>
          <w:rFonts w:eastAsia="Calibri" w:cs="Calibri"/>
          <w:color w:val="000000"/>
          <w:lang w:eastAsia="it-IT"/>
        </w:rPr>
        <w:t>Arqueta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>è utilizzato per il t</w:t>
      </w:r>
      <w:r w:rsidR="00502AB1" w:rsidRPr="00502AB1">
        <w:rPr>
          <w:rFonts w:cs="Times New Roman"/>
        </w:rPr>
        <w:t xml:space="preserve">rattamento topico delle infezioni oculari esterne e degli annessi causate da germi sensibili alla </w:t>
      </w:r>
      <w:proofErr w:type="spellStart"/>
      <w:r w:rsidR="00502AB1">
        <w:rPr>
          <w:rFonts w:cs="Times New Roman"/>
        </w:rPr>
        <w:t>n</w:t>
      </w:r>
      <w:r w:rsidR="00502AB1" w:rsidRPr="00502AB1">
        <w:rPr>
          <w:rFonts w:cs="Times New Roman"/>
        </w:rPr>
        <w:t>etilmicina</w:t>
      </w:r>
      <w:proofErr w:type="spellEnd"/>
      <w:r w:rsidR="00502AB1" w:rsidRPr="00502AB1">
        <w:rPr>
          <w:rFonts w:cs="Times New Roman"/>
        </w:rPr>
        <w:t xml:space="preserve">, inclusi i germi produttori di enzimi </w:t>
      </w:r>
      <w:proofErr w:type="spellStart"/>
      <w:r w:rsidR="00502AB1" w:rsidRPr="00502AB1">
        <w:rPr>
          <w:rFonts w:cs="Times New Roman"/>
        </w:rPr>
        <w:t>adenilanti</w:t>
      </w:r>
      <w:proofErr w:type="spellEnd"/>
      <w:r w:rsidR="00502AB1" w:rsidRPr="00502AB1">
        <w:rPr>
          <w:rFonts w:cs="Times New Roman"/>
        </w:rPr>
        <w:t xml:space="preserve"> e fosforilanti.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7C68D2" w:rsidP="00502AB1">
      <w:pPr>
        <w:spacing w:after="0" w:line="240" w:lineRule="auto"/>
        <w:jc w:val="both"/>
        <w:rPr>
          <w:rFonts w:cs="Arial"/>
        </w:rPr>
      </w:pPr>
      <w:r w:rsidRPr="00502AB1">
        <w:t xml:space="preserve">Poiché </w:t>
      </w:r>
      <w:proofErr w:type="spellStart"/>
      <w:r w:rsidR="003A0AA5" w:rsidRPr="00502AB1">
        <w:t>Arqueta</w:t>
      </w:r>
      <w:proofErr w:type="spellEnd"/>
      <w:r w:rsidRPr="00502AB1">
        <w:t xml:space="preserve"> 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3A0AA5" w:rsidRPr="00502AB1">
        <w:t>Nettacin</w:t>
      </w:r>
      <w:proofErr w:type="spellEnd"/>
      <w:r w:rsidR="00A52DC4">
        <w:t xml:space="preserve"> collirio</w:t>
      </w:r>
      <w:r w:rsidRPr="00502AB1">
        <w:t xml:space="preserve"> è autorizzato in Italia da oltre 10 anni</w:t>
      </w:r>
      <w:r w:rsidR="007935FE" w:rsidRPr="00502AB1">
        <w:t xml:space="preserve">; poiché </w:t>
      </w:r>
      <w:proofErr w:type="spellStart"/>
      <w:r w:rsidR="003A0AA5" w:rsidRPr="00502AB1">
        <w:t>Arqueta</w:t>
      </w:r>
      <w:proofErr w:type="spellEnd"/>
      <w:r w:rsidR="007935FE" w:rsidRPr="00502AB1">
        <w:t xml:space="preserve"> </w:t>
      </w:r>
      <w:r w:rsidR="007935FE" w:rsidRPr="00502AB1">
        <w:rPr>
          <w:rFonts w:cs="Arial"/>
        </w:rPr>
        <w:t>è somministrato come collirio (soluzione oftalmica), è stata concessa l’esenzione dalla conduzione di studi clinici di confronto con il medicinale di riferimento.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3A0AA5">
        <w:t>Arqueta</w:t>
      </w:r>
      <w:proofErr w:type="spellEnd"/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14380">
        <w:rPr>
          <w:b/>
        </w:rPr>
        <w:t>ASPETTI DI QUALITA’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b/>
        </w:rPr>
        <w:t xml:space="preserve">II.1 PRINCIPIO ATTIVO </w:t>
      </w:r>
      <w:r w:rsidR="003A0AA5" w:rsidRPr="00E14380">
        <w:rPr>
          <w:b/>
        </w:rPr>
        <w:t>NETILMICINA</w:t>
      </w:r>
      <w:r w:rsidR="00E14380" w:rsidRPr="00E14380">
        <w:rPr>
          <w:b/>
        </w:rPr>
        <w:t xml:space="preserve"> SOLFATO</w:t>
      </w:r>
    </w:p>
    <w:p w:rsidR="007C68D2" w:rsidRPr="00E14380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E14380">
        <w:rPr>
          <w:u w:val="single"/>
        </w:rPr>
        <w:t>Nome chimico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Bis[2-deoxy-6-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-[3-deoxy-4-</w:t>
      </w:r>
      <w:r w:rsidR="00E14380" w:rsidRPr="00E14380">
        <w:rPr>
          <w:rStyle w:val="s1"/>
          <w:rFonts w:asciiTheme="minorHAnsi" w:hAnsiTheme="minorHAnsi"/>
          <w:i/>
          <w:iCs/>
        </w:rPr>
        <w:t>C</w:t>
      </w:r>
      <w:r w:rsidR="00E14380" w:rsidRPr="00E14380">
        <w:rPr>
          <w:rStyle w:val="s1"/>
          <w:rFonts w:asciiTheme="minorHAnsi" w:hAnsiTheme="minorHAnsi"/>
        </w:rPr>
        <w:t>-methyl-3-(methylamino)-β-</w:t>
      </w:r>
      <w:r w:rsidR="00E14380" w:rsidRPr="00E14380">
        <w:rPr>
          <w:rStyle w:val="s1"/>
          <w:rFonts w:asciiTheme="minorHAnsi" w:hAnsiTheme="minorHAnsi"/>
          <w:caps/>
        </w:rPr>
        <w:t>l</w:t>
      </w:r>
      <w:r w:rsidR="00E14380" w:rsidRPr="00E14380">
        <w:rPr>
          <w:rStyle w:val="s1"/>
          <w:rFonts w:asciiTheme="minorHAnsi" w:hAnsiTheme="minorHAnsi"/>
        </w:rPr>
        <w:t>-arabinopyranosyl]-4-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-(2,6-diamino-2,3,4,6-tetradeoxy-α-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>-</w:t>
      </w:r>
      <w:r w:rsidR="00E14380" w:rsidRPr="00E14380">
        <w:rPr>
          <w:rStyle w:val="s1"/>
          <w:rFonts w:asciiTheme="minorHAnsi" w:hAnsiTheme="minorHAnsi"/>
          <w:i/>
          <w:iCs/>
        </w:rPr>
        <w:t>glycero</w:t>
      </w:r>
      <w:r w:rsidR="00E14380" w:rsidRPr="00E14380">
        <w:rPr>
          <w:rStyle w:val="s1"/>
          <w:rFonts w:asciiTheme="minorHAnsi" w:hAnsiTheme="minorHAnsi"/>
        </w:rPr>
        <w:t>-hex-4-enopyranosyl)-1-</w:t>
      </w:r>
      <w:r w:rsidR="00E14380" w:rsidRPr="00E14380">
        <w:rPr>
          <w:rStyle w:val="s1"/>
          <w:rFonts w:asciiTheme="minorHAnsi" w:hAnsiTheme="minorHAnsi"/>
          <w:i/>
          <w:iCs/>
        </w:rPr>
        <w:t>N</w:t>
      </w:r>
      <w:r w:rsidR="00E14380" w:rsidRPr="00E14380">
        <w:rPr>
          <w:rStyle w:val="s1"/>
          <w:rFonts w:asciiTheme="minorHAnsi" w:hAnsiTheme="minorHAnsi"/>
        </w:rPr>
        <w:t>-ethyl-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 xml:space="preserve">-streptamine] </w:t>
      </w:r>
      <w:proofErr w:type="spellStart"/>
      <w:r w:rsidR="00E14380" w:rsidRPr="00E14380">
        <w:rPr>
          <w:rStyle w:val="s1"/>
          <w:rFonts w:asciiTheme="minorHAnsi" w:hAnsiTheme="minorHAnsi"/>
        </w:rPr>
        <w:t>pentasulfate</w:t>
      </w:r>
      <w:proofErr w:type="spellEnd"/>
    </w:p>
    <w:p w:rsidR="007C68D2" w:rsidRPr="00E14380" w:rsidRDefault="007C68D2" w:rsidP="00B32D81">
      <w:pPr>
        <w:spacing w:after="0" w:line="240" w:lineRule="auto"/>
        <w:jc w:val="both"/>
        <w:rPr>
          <w:noProof/>
          <w:lang w:eastAsia="it-IT"/>
        </w:rPr>
      </w:pPr>
      <w:r w:rsidRPr="00E14380">
        <w:rPr>
          <w:u w:val="single"/>
        </w:rPr>
        <w:t>Struttura</w:t>
      </w:r>
      <w:r w:rsidRPr="00E14380">
        <w:t>:</w:t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1536522" cy="812800"/>
            <wp:effectExtent l="19050" t="0" r="6528" b="0"/>
            <wp:docPr id="3" name="Immagine 1" descr="P:\_dp\903\XML-IN\Images\CF1351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1351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259" cy="812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E14380">
        <w:rPr>
          <w:rFonts w:asciiTheme="minorHAnsi" w:hAnsiTheme="minorHAnsi"/>
          <w:b w:val="0"/>
          <w:sz w:val="22"/>
          <w:szCs w:val="22"/>
        </w:rPr>
        <w:t>: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 xml:space="preserve"> C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42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H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92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N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10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O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34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S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5</w:t>
      </w:r>
    </w:p>
    <w:p w:rsidR="00E14380" w:rsidRPr="00E14380" w:rsidRDefault="00E14380" w:rsidP="00E14380">
      <w:pPr>
        <w:spacing w:after="0" w:line="240" w:lineRule="auto"/>
        <w:jc w:val="both"/>
      </w:pPr>
      <w:r w:rsidRPr="00E14380">
        <w:rPr>
          <w:u w:val="single"/>
        </w:rPr>
        <w:t>Peso molecolare</w:t>
      </w:r>
      <w:r w:rsidRPr="00E14380">
        <w:t>:</w:t>
      </w:r>
      <w:r w:rsidRPr="00E14380">
        <w:rPr>
          <w:rFonts w:cs="Arial"/>
          <w:color w:val="252525"/>
          <w:shd w:val="clear" w:color="auto" w:fill="F9F9F9"/>
        </w:rPr>
        <w:t xml:space="preserve"> </w:t>
      </w:r>
      <w:r w:rsidRPr="00E14380">
        <w:rPr>
          <w:rStyle w:val="s1"/>
          <w:rFonts w:asciiTheme="minorHAnsi" w:hAnsiTheme="minorHAnsi"/>
        </w:rPr>
        <w:t>1442</w:t>
      </w:r>
      <w:r w:rsidRPr="00E14380">
        <w:rPr>
          <w:rFonts w:cs="Times New Roman"/>
        </w:rPr>
        <w:t xml:space="preserve"> g/mol </w:t>
      </w:r>
    </w:p>
    <w:p w:rsidR="007C68D2" w:rsidRPr="00E14380" w:rsidRDefault="007C68D2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lastRenderedPageBreak/>
        <w:t>CAS</w:t>
      </w:r>
      <w:r w:rsidRPr="00E14380">
        <w:rPr>
          <w:rFonts w:asciiTheme="minorHAnsi" w:hAnsiTheme="minorHAnsi"/>
          <w:b w:val="0"/>
          <w:sz w:val="22"/>
          <w:szCs w:val="22"/>
        </w:rPr>
        <w:t xml:space="preserve">: </w:t>
      </w:r>
      <w:r w:rsidR="00E14380" w:rsidRPr="00E14380">
        <w:rPr>
          <w:rStyle w:val="s1"/>
          <w:rFonts w:asciiTheme="minorHAnsi" w:hAnsiTheme="minorHAnsi"/>
          <w:b w:val="0"/>
          <w:sz w:val="22"/>
          <w:szCs w:val="22"/>
        </w:rPr>
        <w:t>[56391-57-2]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u w:val="single"/>
        </w:rPr>
        <w:t>Aspetto</w:t>
      </w:r>
      <w:r w:rsidRPr="00E14380">
        <w:t>:</w:t>
      </w:r>
      <w:r w:rsidR="00E14380" w:rsidRPr="00E14380">
        <w:t xml:space="preserve"> polvere molto igroscopica, bianca o giallo-bianca</w:t>
      </w:r>
    </w:p>
    <w:p w:rsidR="007C68D2" w:rsidRPr="00E14380" w:rsidRDefault="007C68D2" w:rsidP="00E14380">
      <w:pPr>
        <w:spacing w:after="0" w:line="240" w:lineRule="auto"/>
        <w:jc w:val="both"/>
      </w:pPr>
      <w:r w:rsidRPr="00E14380">
        <w:rPr>
          <w:u w:val="single"/>
        </w:rPr>
        <w:t>Solubilità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molto solubile in acqua, praticamente insolubile in acetone e in etanolo (96 per cento).</w:t>
      </w:r>
    </w:p>
    <w:p w:rsidR="007C68D2" w:rsidRPr="00E14380" w:rsidRDefault="007C68D2" w:rsidP="00E14380">
      <w:pPr>
        <w:spacing w:after="0" w:line="240" w:lineRule="auto"/>
        <w:jc w:val="both"/>
      </w:pPr>
    </w:p>
    <w:p w:rsidR="00502AB1" w:rsidRPr="00E14380" w:rsidRDefault="00502AB1" w:rsidP="00E14380">
      <w:pPr>
        <w:spacing w:after="0" w:line="240" w:lineRule="auto"/>
        <w:jc w:val="both"/>
      </w:pPr>
      <w:r w:rsidRPr="00E14380">
        <w:t xml:space="preserve">Il principio attivo </w:t>
      </w:r>
      <w:r w:rsidR="00DC0AB6">
        <w:t>netilmicina</w:t>
      </w:r>
      <w:r w:rsidRPr="00E14380">
        <w:t xml:space="preserve"> è presente in Farmacopea Europea e il </w:t>
      </w:r>
      <w:proofErr w:type="spellStart"/>
      <w:r w:rsidRPr="00E14380">
        <w:t>Direttorato</w:t>
      </w:r>
      <w:proofErr w:type="spellEnd"/>
      <w:r w:rsidRPr="00E14380">
        <w:t xml:space="preserve"> Europeo per la Qualità dei Medicinali (</w:t>
      </w:r>
      <w:proofErr w:type="spellStart"/>
      <w:r w:rsidRPr="00E14380">
        <w:rPr>
          <w:i/>
        </w:rPr>
        <w:t>European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Directorate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for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Quality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of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Medicinals</w:t>
      </w:r>
      <w:proofErr w:type="spellEnd"/>
      <w:r w:rsidRPr="00E14380">
        <w:t xml:space="preserve"> – EDQM) ha rilasciato al  produttore  il certificato di conformità alla Farmacopea Europea (CEP).</w:t>
      </w:r>
    </w:p>
    <w:p w:rsidR="00E14380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E14380">
        <w:t>Tutti gli aspetti di produzione e controllo sono coperti dal certificato di conformità alla Farmacopea</w:t>
      </w:r>
      <w:r w:rsidRPr="00F914F5">
        <w:t xml:space="preserve"> Europea. Il periodo di </w:t>
      </w:r>
      <w:proofErr w:type="spellStart"/>
      <w:r w:rsidRPr="00F914F5">
        <w:t>retest</w:t>
      </w:r>
      <w:proofErr w:type="spellEnd"/>
      <w:r w:rsidRPr="00F914F5">
        <w:t xml:space="preserve"> </w:t>
      </w:r>
      <w:r>
        <w:t xml:space="preserve">è </w:t>
      </w:r>
      <w:r w:rsidRPr="00F914F5">
        <w:t xml:space="preserve">di </w:t>
      </w:r>
      <w:r w:rsidR="00E14380">
        <w:t>2 anni</w:t>
      </w:r>
      <w:r w:rsidRPr="00F914F5">
        <w:t xml:space="preserve"> </w:t>
      </w:r>
      <w:r>
        <w:t xml:space="preserve">quando il principio attivo è </w:t>
      </w:r>
      <w:r w:rsidRPr="00F914F5">
        <w:t>conservat</w:t>
      </w:r>
      <w:r>
        <w:t>o</w:t>
      </w:r>
      <w:r w:rsidR="00E14380">
        <w:t xml:space="preserve"> a temperatura non superiore a 5°C</w:t>
      </w:r>
      <w:r w:rsidRPr="00F914F5">
        <w:t xml:space="preserve"> in contenitore di </w:t>
      </w:r>
      <w:r w:rsidR="00E14380">
        <w:rPr>
          <w:rFonts w:ascii="Calibri" w:hAnsi="Calibri" w:cs="Arial"/>
        </w:rPr>
        <w:t>poliestere/alluminio/polietilene contenuto in buste di polietilene e successivamente in scatole di cartone.</w:t>
      </w:r>
    </w:p>
    <w:p w:rsidR="00502AB1" w:rsidRDefault="00502AB1" w:rsidP="00E14380">
      <w:pPr>
        <w:spacing w:after="0" w:line="240" w:lineRule="auto"/>
        <w:jc w:val="both"/>
        <w:rPr>
          <w:highlight w:val="yellow"/>
        </w:rPr>
      </w:pPr>
    </w:p>
    <w:p w:rsidR="00E14380" w:rsidRPr="003A0AA5" w:rsidRDefault="00E14380" w:rsidP="00E14380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502AB1" w:rsidRDefault="003A0AA5" w:rsidP="00E14380">
      <w:pPr>
        <w:widowControl w:val="0"/>
        <w:spacing w:after="0" w:line="240" w:lineRule="auto"/>
        <w:jc w:val="both"/>
      </w:pPr>
      <w:proofErr w:type="spellStart"/>
      <w:r w:rsidRPr="00502AB1">
        <w:rPr>
          <w:rFonts w:eastAsia="Calibri" w:cs="Calibri"/>
          <w:color w:val="000000"/>
          <w:lang w:eastAsia="it-IT"/>
        </w:rPr>
        <w:t>Arqueta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è disponibile come </w:t>
      </w:r>
      <w:r w:rsidR="007935FE" w:rsidRPr="00502AB1">
        <w:rPr>
          <w:rFonts w:eastAsia="Calibri" w:cs="Calibri"/>
          <w:color w:val="000000"/>
          <w:lang w:eastAsia="it-IT"/>
        </w:rPr>
        <w:t>c</w:t>
      </w:r>
      <w:r w:rsidR="00502AB1" w:rsidRPr="00502AB1">
        <w:rPr>
          <w:rFonts w:eastAsia="Calibri" w:cs="Calibri"/>
          <w:color w:val="000000"/>
          <w:lang w:eastAsia="it-IT"/>
        </w:rPr>
        <w:t xml:space="preserve">ollirio, </w:t>
      </w:r>
      <w:r w:rsidR="00C31AF0" w:rsidRPr="00502AB1">
        <w:rPr>
          <w:rFonts w:eastAsia="Calibri" w:cs="Calibri"/>
          <w:color w:val="000000"/>
          <w:lang w:eastAsia="it-IT"/>
        </w:rPr>
        <w:t>soluzione contenente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 xml:space="preserve">il </w:t>
      </w:r>
      <w:r w:rsidR="00502AB1">
        <w:rPr>
          <w:rFonts w:eastAsia="Calibri" w:cs="Calibri"/>
          <w:color w:val="000000"/>
          <w:lang w:eastAsia="it-IT"/>
        </w:rPr>
        <w:t>principio a</w:t>
      </w:r>
      <w:r w:rsidR="00502AB1" w:rsidRPr="00502AB1">
        <w:rPr>
          <w:rFonts w:eastAsia="Calibri" w:cs="Calibri"/>
          <w:color w:val="000000"/>
          <w:lang w:eastAsia="it-IT"/>
        </w:rPr>
        <w:t>ttivo alla concentrazione dello 0,3%</w:t>
      </w:r>
      <w:r w:rsidR="00502AB1">
        <w:rPr>
          <w:rFonts w:eastAsia="Calibri" w:cs="Calibri"/>
          <w:color w:val="000000"/>
          <w:lang w:eastAsia="it-IT"/>
        </w:rPr>
        <w:t xml:space="preserve">; </w:t>
      </w:r>
      <w:r w:rsidR="00502AB1" w:rsidRPr="00502AB1">
        <w:rPr>
          <w:rFonts w:eastAsia="Calibri" w:cs="Calibri"/>
          <w:color w:val="000000"/>
          <w:lang w:eastAsia="it-IT"/>
        </w:rPr>
        <w:t xml:space="preserve">il collirio è </w:t>
      </w:r>
      <w:r w:rsidR="00D745C6">
        <w:rPr>
          <w:rFonts w:eastAsia="Calibri" w:cs="Calibri"/>
          <w:color w:val="000000"/>
          <w:lang w:eastAsia="it-IT"/>
        </w:rPr>
        <w:t>confezionato</w:t>
      </w:r>
      <w:r w:rsidR="00D745C6" w:rsidRPr="00502AB1">
        <w:rPr>
          <w:rFonts w:eastAsia="Calibri" w:cs="Calibri"/>
          <w:color w:val="000000"/>
          <w:lang w:eastAsia="it-IT"/>
        </w:rPr>
        <w:t xml:space="preserve"> in un flacone </w:t>
      </w:r>
      <w:proofErr w:type="spellStart"/>
      <w:r w:rsidR="00D745C6">
        <w:rPr>
          <w:rFonts w:eastAsia="Calibri" w:cs="Calibri"/>
          <w:color w:val="000000"/>
          <w:lang w:eastAsia="it-IT"/>
        </w:rPr>
        <w:t>multidose</w:t>
      </w:r>
      <w:proofErr w:type="spellEnd"/>
      <w:r w:rsidR="00D745C6">
        <w:rPr>
          <w:rFonts w:eastAsia="Calibri" w:cs="Calibri"/>
          <w:color w:val="000000"/>
          <w:lang w:eastAsia="it-IT"/>
        </w:rPr>
        <w:t xml:space="preserve"> con conservante</w:t>
      </w:r>
      <w:r w:rsidR="00D745C6" w:rsidRPr="00502AB1">
        <w:rPr>
          <w:rFonts w:eastAsia="Calibri" w:cs="Calibri"/>
          <w:color w:val="000000"/>
          <w:lang w:eastAsia="it-IT"/>
        </w:rPr>
        <w:t xml:space="preserve"> e i</w:t>
      </w:r>
      <w:r w:rsidR="00D745C6">
        <w:rPr>
          <w:rFonts w:eastAsia="Calibri" w:cs="Calibri"/>
          <w:color w:val="000000"/>
          <w:lang w:eastAsia="it-IT"/>
        </w:rPr>
        <w:t>n</w:t>
      </w:r>
      <w:r w:rsidR="00D745C6" w:rsidRPr="00502AB1">
        <w:rPr>
          <w:rFonts w:eastAsia="Calibri" w:cs="Calibri"/>
          <w:color w:val="000000"/>
          <w:lang w:eastAsia="it-IT"/>
        </w:rPr>
        <w:t xml:space="preserve"> contenitori monodose senza conservante</w:t>
      </w:r>
      <w:r w:rsidR="00502AB1" w:rsidRPr="00502AB1">
        <w:rPr>
          <w:rFonts w:eastAsia="Calibri" w:cs="Calibri"/>
          <w:color w:val="000000"/>
          <w:lang w:eastAsia="it-IT"/>
        </w:rPr>
        <w:t>.</w:t>
      </w:r>
    </w:p>
    <w:p w:rsidR="00502AB1" w:rsidRPr="00502AB1" w:rsidRDefault="007C68D2" w:rsidP="00E143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02AB1">
        <w:t>Gli eccipienti</w:t>
      </w:r>
      <w:r w:rsidR="00C31AF0" w:rsidRPr="00502AB1">
        <w:t xml:space="preserve"> del </w:t>
      </w:r>
      <w:r w:rsidR="007935FE" w:rsidRPr="00502AB1">
        <w:t>medicinale in contenitore</w:t>
      </w:r>
      <w:r w:rsidR="00C31AF0" w:rsidRPr="00502AB1">
        <w:t xml:space="preserve"> monodose</w:t>
      </w:r>
      <w:r w:rsidRPr="00502AB1">
        <w:t xml:space="preserve"> sono i seguenti: </w:t>
      </w:r>
      <w:r w:rsidR="00502AB1">
        <w:rPr>
          <w:rFonts w:cs="Times New Roman"/>
        </w:rPr>
        <w:t>s</w:t>
      </w:r>
      <w:r w:rsidR="00502AB1" w:rsidRPr="00502AB1">
        <w:rPr>
          <w:rFonts w:cs="Times New Roman"/>
        </w:rPr>
        <w:t>odio cloruro, sodio</w:t>
      </w:r>
      <w:r w:rsidR="00502AB1">
        <w:rPr>
          <w:rFonts w:cs="Times New Roman"/>
        </w:rPr>
        <w:t xml:space="preserve"> idrossido</w:t>
      </w:r>
      <w:r w:rsidR="00502AB1" w:rsidRPr="00502AB1">
        <w:rPr>
          <w:rFonts w:cs="Times New Roman"/>
        </w:rPr>
        <w:t>, acqua per preparazioni iniettabili.</w:t>
      </w:r>
    </w:p>
    <w:p w:rsidR="00502AB1" w:rsidRPr="00502AB1" w:rsidRDefault="00C31AF0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Times New Roman"/>
        </w:rPr>
      </w:pPr>
      <w:r w:rsidRPr="00502AB1">
        <w:t xml:space="preserve">Gli eccipienti del </w:t>
      </w:r>
      <w:r w:rsidR="00F22BED" w:rsidRPr="00502AB1">
        <w:t>medicinale in flacone</w:t>
      </w:r>
      <w:r w:rsidRPr="00502AB1">
        <w:t xml:space="preserve"> </w:t>
      </w:r>
      <w:proofErr w:type="spellStart"/>
      <w:r w:rsidRPr="00502AB1">
        <w:t>multidose</w:t>
      </w:r>
      <w:proofErr w:type="spellEnd"/>
      <w:r w:rsidRPr="00502AB1">
        <w:t xml:space="preserve"> sono i seguenti:</w:t>
      </w:r>
      <w:r w:rsidR="009A1E3E" w:rsidRPr="00502AB1">
        <w:rPr>
          <w:rFonts w:cs="Arial"/>
        </w:rPr>
        <w:t xml:space="preserve"> </w:t>
      </w:r>
      <w:r w:rsidR="00502AB1">
        <w:rPr>
          <w:rFonts w:cs="Times New Roman"/>
        </w:rPr>
        <w:t>s</w:t>
      </w:r>
      <w:r w:rsidR="00502AB1" w:rsidRPr="00502AB1">
        <w:rPr>
          <w:rFonts w:cs="Times New Roman"/>
        </w:rPr>
        <w:t xml:space="preserve">odio cloruro, </w:t>
      </w:r>
      <w:proofErr w:type="spellStart"/>
      <w:r w:rsidR="00502AB1" w:rsidRPr="00502AB1">
        <w:rPr>
          <w:rFonts w:cs="Times New Roman"/>
        </w:rPr>
        <w:t>benzalconio</w:t>
      </w:r>
      <w:proofErr w:type="spellEnd"/>
      <w:r w:rsidR="00502AB1" w:rsidRPr="00502AB1">
        <w:rPr>
          <w:rFonts w:cs="Times New Roman"/>
        </w:rPr>
        <w:t xml:space="preserve"> cloruro, s</w:t>
      </w:r>
      <w:r w:rsidR="00502AB1">
        <w:rPr>
          <w:rFonts w:cs="Times New Roman"/>
        </w:rPr>
        <w:t xml:space="preserve">odio </w:t>
      </w:r>
      <w:r w:rsidR="00502AB1" w:rsidRPr="00502AB1">
        <w:rPr>
          <w:rFonts w:cs="Times New Roman"/>
        </w:rPr>
        <w:t>idrossido, acqua per preparazioni iniettabili.</w:t>
      </w:r>
    </w:p>
    <w:p w:rsidR="007C68D2" w:rsidRPr="00502AB1" w:rsidRDefault="007C68D2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502AB1">
        <w:t>Tutti gli eccipienti sono conformi alla relativa monografia di Farmacopea Europea.</w:t>
      </w:r>
    </w:p>
    <w:p w:rsidR="007C68D2" w:rsidRPr="00B32D81" w:rsidRDefault="007C68D2" w:rsidP="00E14380">
      <w:pPr>
        <w:spacing w:after="0" w:line="240" w:lineRule="auto"/>
        <w:jc w:val="both"/>
      </w:pPr>
      <w:r w:rsidRPr="00502AB1">
        <w:t>Nessun eccipiente è ottenuto da organismi geneticamente modificati; non sono presenti eccipienti mai utilizzati nell’uomo.</w:t>
      </w:r>
    </w:p>
    <w:p w:rsidR="00F01FB3" w:rsidRDefault="00F01FB3" w:rsidP="00E14380">
      <w:pPr>
        <w:spacing w:after="0" w:line="240" w:lineRule="auto"/>
        <w:jc w:val="both"/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3A0AA5" w:rsidP="00B32D81">
      <w:pPr>
        <w:spacing w:after="0" w:line="240" w:lineRule="auto"/>
        <w:jc w:val="both"/>
      </w:pPr>
      <w:proofErr w:type="spellStart"/>
      <w:r>
        <w:t>Arqueta</w:t>
      </w:r>
      <w:proofErr w:type="spellEnd"/>
      <w:r w:rsidR="007C68D2"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F22BED">
        <w:rPr>
          <w:rFonts w:cs="Arial"/>
        </w:rPr>
        <w:t xml:space="preserve">e </w:t>
      </w:r>
      <w:r w:rsidR="002C389F" w:rsidRPr="00B32D81">
        <w:rPr>
          <w:rFonts w:cs="Arial"/>
        </w:rPr>
        <w:t xml:space="preserve">in </w:t>
      </w:r>
      <w:r w:rsidR="006831C7" w:rsidRPr="00B32D81">
        <w:rPr>
          <w:rFonts w:cs="Arial"/>
        </w:rPr>
        <w:t>flacon</w:t>
      </w:r>
      <w:r w:rsidR="002C389F" w:rsidRPr="00B32D81">
        <w:rPr>
          <w:rFonts w:cs="Arial"/>
        </w:rPr>
        <w:t>e</w:t>
      </w:r>
      <w:r w:rsidR="006831C7" w:rsidRPr="00B32D81">
        <w:rPr>
          <w:rFonts w:cs="Arial"/>
        </w:rPr>
        <w:t xml:space="preserve"> </w:t>
      </w:r>
      <w:proofErr w:type="spellStart"/>
      <w:r w:rsidR="00F22BED">
        <w:rPr>
          <w:rFonts w:cs="Arial"/>
        </w:rPr>
        <w:t>multidose</w:t>
      </w:r>
      <w:proofErr w:type="spellEnd"/>
      <w:r w:rsidR="00F22BED">
        <w:rPr>
          <w:rFonts w:cs="Arial"/>
        </w:rPr>
        <w:t xml:space="preserve"> </w:t>
      </w:r>
      <w:r w:rsidR="006831C7" w:rsidRPr="00502AB1">
        <w:rPr>
          <w:rFonts w:cs="Arial"/>
        </w:rPr>
        <w:t xml:space="preserve">di </w:t>
      </w:r>
      <w:r w:rsidR="007C68D2" w:rsidRPr="00502AB1">
        <w:t>polietilene</w:t>
      </w:r>
      <w:r w:rsidR="006831C7" w:rsidRPr="00502AB1">
        <w:t xml:space="preserve"> a bassa densità</w:t>
      </w:r>
      <w:r w:rsidR="007C68D2" w:rsidRPr="00502AB1">
        <w:t>.</w:t>
      </w:r>
      <w:r w:rsidR="007C68D2" w:rsidRPr="00B32D81">
        <w:t xml:space="preserve"> Sono state fornite specifiche e certificati analitici per tutti i componenti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 xml:space="preserve">entro i limiti delle specifiche autorizzate. Sulla base di questi risultati, è stato autorizzato un periodo di validità di 2 anni  </w:t>
      </w:r>
      <w:r w:rsidR="00502AB1" w:rsidRPr="00502AB1">
        <w:t xml:space="preserve">con conservazione a temperatura non superiore a 30°C; dopo la prima apertura del flacone </w:t>
      </w:r>
      <w:proofErr w:type="spellStart"/>
      <w:r w:rsidR="00502AB1" w:rsidRPr="00502AB1">
        <w:t>multi</w:t>
      </w:r>
      <w:r w:rsidR="00B362D7">
        <w:t>dose</w:t>
      </w:r>
      <w:proofErr w:type="spellEnd"/>
      <w:r w:rsidR="00502AB1" w:rsidRPr="00502AB1">
        <w:t>, il medicinale deve essere utilizzato entro 28 giorni</w:t>
      </w:r>
      <w:r w:rsidRPr="00502AB1">
        <w:t>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3A0AA5">
        <w:t>Arqueta</w:t>
      </w:r>
      <w:proofErr w:type="spellEnd"/>
      <w:r w:rsidRPr="00B32D81">
        <w:t xml:space="preserve"> è considerata adeguata. Non ci sono obiezioni per l’approvazione di </w:t>
      </w:r>
      <w:proofErr w:type="spellStart"/>
      <w:r w:rsidR="003A0AA5">
        <w:t>Arqueta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3A0AA5">
        <w:t>Arqueta</w:t>
      </w:r>
      <w:proofErr w:type="spellEnd"/>
      <w:r w:rsidRPr="00B32D81">
        <w:t xml:space="preserve"> contiene un principio attivo noto: questo approccio è accettabile poiché il medicinale di riferimento </w:t>
      </w:r>
      <w:proofErr w:type="spellStart"/>
      <w:r w:rsidR="003A0AA5">
        <w:t>Nettacin</w:t>
      </w:r>
      <w:proofErr w:type="spellEnd"/>
      <w:r w:rsidRPr="00B32D81">
        <w:t xml:space="preserve"> </w:t>
      </w:r>
      <w:r w:rsidR="00A52DC4">
        <w:t xml:space="preserve">collirio </w:t>
      </w:r>
      <w:r w:rsidRPr="00B32D81">
        <w:t>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02AB1" w:rsidRPr="00502AB1" w:rsidRDefault="00502AB1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 w:rsidRPr="00502AB1">
        <w:rPr>
          <w:rFonts w:eastAsia="Calibri" w:cs="Calibri"/>
          <w:color w:val="000000"/>
          <w:lang w:eastAsia="it-IT"/>
        </w:rPr>
        <w:t>Arqueta</w:t>
      </w:r>
      <w:proofErr w:type="spellEnd"/>
      <w:r w:rsidRPr="00502AB1">
        <w:rPr>
          <w:rFonts w:eastAsia="Calibri" w:cs="Calibri"/>
          <w:color w:val="000000"/>
          <w:lang w:eastAsia="it-IT"/>
        </w:rPr>
        <w:t xml:space="preserve"> è utilizzato per il t</w:t>
      </w:r>
      <w:r w:rsidRPr="00502AB1">
        <w:rPr>
          <w:rFonts w:cs="Times New Roman"/>
        </w:rPr>
        <w:t xml:space="preserve">rattamento topico delle infezioni oculari esterne e degli annessi causate da germi sensibili alla </w:t>
      </w:r>
      <w:proofErr w:type="spellStart"/>
      <w:r>
        <w:rPr>
          <w:rFonts w:cs="Times New Roman"/>
        </w:rPr>
        <w:t>n</w:t>
      </w:r>
      <w:r w:rsidRPr="00502AB1">
        <w:rPr>
          <w:rFonts w:cs="Times New Roman"/>
        </w:rPr>
        <w:t>etilmicina</w:t>
      </w:r>
      <w:proofErr w:type="spellEnd"/>
      <w:r w:rsidRPr="00502AB1">
        <w:rPr>
          <w:rFonts w:cs="Times New Roman"/>
        </w:rPr>
        <w:t xml:space="preserve">, inclusi i germi produttori di enzimi </w:t>
      </w:r>
      <w:proofErr w:type="spellStart"/>
      <w:r w:rsidRPr="00502AB1">
        <w:rPr>
          <w:rFonts w:cs="Times New Roman"/>
        </w:rPr>
        <w:t>adenilanti</w:t>
      </w:r>
      <w:proofErr w:type="spellEnd"/>
      <w:r w:rsidRPr="00502AB1">
        <w:rPr>
          <w:rFonts w:cs="Times New Roman"/>
        </w:rPr>
        <w:t xml:space="preserve"> e fosforilanti.</w:t>
      </w:r>
    </w:p>
    <w:p w:rsidR="007C68D2" w:rsidRPr="00B32D81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8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="003A0AA5">
        <w:t>netilmicina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="003A0AA5">
        <w:t>netilmicina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3A0AA5">
        <w:t>Arqueta</w:t>
      </w:r>
      <w:proofErr w:type="spellEnd"/>
      <w:r w:rsidRPr="00B32D81">
        <w:t xml:space="preserve"> contiene un principio attivo noto e presente nel medicinale </w:t>
      </w:r>
      <w:proofErr w:type="spellStart"/>
      <w:r w:rsidR="003A0AA5">
        <w:t>Nettacin</w:t>
      </w:r>
      <w:proofErr w:type="spellEnd"/>
      <w:r w:rsidRPr="00B32D81">
        <w:t xml:space="preserve"> </w:t>
      </w:r>
      <w:r w:rsidR="00A52DC4">
        <w:t xml:space="preserve">collirio </w:t>
      </w:r>
      <w:r w:rsidRPr="00B32D81">
        <w:t>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3A0AA5">
        <w:rPr>
          <w:rFonts w:cs="Arial"/>
        </w:rPr>
        <w:t>Arqueta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3A0AA5">
        <w:rPr>
          <w:rFonts w:cs="Arial"/>
        </w:rPr>
        <w:t>Arqueta</w:t>
      </w:r>
      <w:proofErr w:type="spellEnd"/>
      <w:r>
        <w:rPr>
          <w:rFonts w:cs="Arial"/>
        </w:rPr>
        <w:t xml:space="preserve"> è somministrato come collirio (soluzione oftalmica) con 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3A0AA5">
        <w:t>Arqueta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6298"/>
      </w:tblGrid>
      <w:tr w:rsidR="00F22BED" w:rsidRPr="00D07C5C" w:rsidTr="005943DC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5943D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943DC" w:rsidRPr="005943DC" w:rsidRDefault="005943DC" w:rsidP="005943D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Reazioni di ipersensibilità</w:t>
            </w:r>
          </w:p>
          <w:p w:rsidR="00D07C5C" w:rsidRPr="005943DC" w:rsidRDefault="005943DC" w:rsidP="005943D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Fenomeni di resistenza per uso prolungato</w:t>
            </w:r>
          </w:p>
        </w:tc>
      </w:tr>
      <w:tr w:rsidR="00F22BED" w:rsidRPr="00D07C5C" w:rsidTr="005943DC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5943D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943DC" w:rsidRPr="005943DC" w:rsidRDefault="005943DC" w:rsidP="005943D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Fenomeni di irritazione/ipersensibilità per uso</w:t>
            </w:r>
            <w:r>
              <w:rPr>
                <w:sz w:val="20"/>
                <w:szCs w:val="20"/>
                <w:lang w:eastAsia="en-GB"/>
              </w:rPr>
              <w:t xml:space="preserve"> </w:t>
            </w:r>
            <w:r w:rsidRPr="005943DC">
              <w:rPr>
                <w:sz w:val="20"/>
                <w:szCs w:val="20"/>
                <w:lang w:eastAsia="en-GB"/>
              </w:rPr>
              <w:t>prolungato</w:t>
            </w:r>
          </w:p>
          <w:p w:rsidR="005943DC" w:rsidRPr="005943DC" w:rsidRDefault="005943DC" w:rsidP="005943D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 xml:space="preserve">Rischio di </w:t>
            </w:r>
            <w:proofErr w:type="spellStart"/>
            <w:r w:rsidRPr="005943DC">
              <w:rPr>
                <w:sz w:val="20"/>
                <w:szCs w:val="20"/>
                <w:lang w:eastAsia="en-GB"/>
              </w:rPr>
              <w:t>nefro-</w:t>
            </w:r>
            <w:proofErr w:type="spellEnd"/>
            <w:r w:rsidRPr="005943DC">
              <w:rPr>
                <w:sz w:val="20"/>
                <w:szCs w:val="20"/>
                <w:lang w:eastAsia="en-GB"/>
              </w:rPr>
              <w:t xml:space="preserve"> e oto-tossicità per somministrazione</w:t>
            </w:r>
            <w:r w:rsidRPr="005943DC">
              <w:rPr>
                <w:sz w:val="20"/>
                <w:szCs w:val="20"/>
                <w:lang w:eastAsia="en-GB"/>
              </w:rPr>
              <w:t xml:space="preserve"> </w:t>
            </w:r>
            <w:r w:rsidRPr="005943DC">
              <w:rPr>
                <w:sz w:val="20"/>
                <w:szCs w:val="20"/>
                <w:lang w:eastAsia="en-GB"/>
              </w:rPr>
              <w:t xml:space="preserve">concomitante con antibiotici </w:t>
            </w:r>
            <w:proofErr w:type="spellStart"/>
            <w:r w:rsidRPr="005943DC">
              <w:rPr>
                <w:sz w:val="20"/>
                <w:szCs w:val="20"/>
                <w:lang w:eastAsia="en-GB"/>
              </w:rPr>
              <w:t>nefro-</w:t>
            </w:r>
            <w:proofErr w:type="spellEnd"/>
            <w:r w:rsidRPr="005943DC">
              <w:rPr>
                <w:sz w:val="20"/>
                <w:szCs w:val="20"/>
                <w:lang w:eastAsia="en-GB"/>
              </w:rPr>
              <w:t xml:space="preserve"> e ototossico</w:t>
            </w:r>
          </w:p>
          <w:p w:rsidR="005943DC" w:rsidRPr="005943DC" w:rsidRDefault="005943DC" w:rsidP="005943D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gravidanza</w:t>
            </w:r>
          </w:p>
          <w:p w:rsidR="005943DC" w:rsidRPr="005943DC" w:rsidRDefault="005943DC" w:rsidP="005943D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allattamento</w:t>
            </w:r>
          </w:p>
          <w:p w:rsidR="00D07C5C" w:rsidRPr="005943DC" w:rsidRDefault="005943DC" w:rsidP="005943D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 xml:space="preserve">Reazioni di ipersensibilità al conservante </w:t>
            </w:r>
            <w:proofErr w:type="spellStart"/>
            <w:r w:rsidRPr="005943DC"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 w:rsidRPr="005943DC">
              <w:rPr>
                <w:sz w:val="20"/>
                <w:szCs w:val="20"/>
                <w:lang w:eastAsia="en-GB"/>
              </w:rPr>
              <w:t xml:space="preserve"> (confezione </w:t>
            </w:r>
            <w:proofErr w:type="spellStart"/>
            <w:r w:rsidRPr="005943DC">
              <w:rPr>
                <w:sz w:val="20"/>
                <w:szCs w:val="20"/>
                <w:lang w:eastAsia="en-GB"/>
              </w:rPr>
              <w:t>multidose</w:t>
            </w:r>
            <w:proofErr w:type="spellEnd"/>
            <w:r w:rsidRPr="005943DC">
              <w:rPr>
                <w:sz w:val="20"/>
                <w:szCs w:val="20"/>
                <w:lang w:eastAsia="en-GB"/>
              </w:rPr>
              <w:t>)</w:t>
            </w:r>
          </w:p>
        </w:tc>
      </w:tr>
      <w:tr w:rsidR="00F22BED" w:rsidRPr="00D07C5C" w:rsidTr="005943DC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5943D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C" w:rsidRPr="005943DC" w:rsidRDefault="005943DC" w:rsidP="005943DC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pazienti con insufficienza epatica</w:t>
            </w:r>
          </w:p>
          <w:p w:rsidR="005943DC" w:rsidRPr="005943DC" w:rsidRDefault="005943DC" w:rsidP="005943DC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lastRenderedPageBreak/>
              <w:t>Uso in pazienti con insufficienza renale</w:t>
            </w:r>
          </w:p>
          <w:p w:rsidR="00D07C5C" w:rsidRPr="005943DC" w:rsidRDefault="005943DC" w:rsidP="005943DC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età pediatrica</w:t>
            </w:r>
          </w:p>
        </w:tc>
      </w:tr>
    </w:tbl>
    <w:p w:rsidR="005943DC" w:rsidRDefault="005943DC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3A0AA5">
        <w:t>Arqueta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3A0AA5">
        <w:t>Arqueta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3A0AA5">
        <w:t>Arqueta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72F24"/>
    <w:multiLevelType w:val="hybridMultilevel"/>
    <w:tmpl w:val="707CD30E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BE4C21"/>
    <w:multiLevelType w:val="hybridMultilevel"/>
    <w:tmpl w:val="A07A01A2"/>
    <w:lvl w:ilvl="0" w:tplc="136C61DC">
      <w:numFmt w:val="bullet"/>
      <w:lvlText w:val="-"/>
      <w:lvlJc w:val="left"/>
      <w:pPr>
        <w:ind w:left="70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306FF"/>
    <w:rsid w:val="00062636"/>
    <w:rsid w:val="000725FF"/>
    <w:rsid w:val="000B6CEA"/>
    <w:rsid w:val="000E0C85"/>
    <w:rsid w:val="00156285"/>
    <w:rsid w:val="00240F4C"/>
    <w:rsid w:val="002833EC"/>
    <w:rsid w:val="00283953"/>
    <w:rsid w:val="002C389F"/>
    <w:rsid w:val="003167B4"/>
    <w:rsid w:val="00322BF5"/>
    <w:rsid w:val="00356C29"/>
    <w:rsid w:val="0036781E"/>
    <w:rsid w:val="003A0AA5"/>
    <w:rsid w:val="003A5C70"/>
    <w:rsid w:val="003A6FA1"/>
    <w:rsid w:val="004171F6"/>
    <w:rsid w:val="004241AC"/>
    <w:rsid w:val="004349A2"/>
    <w:rsid w:val="0045169D"/>
    <w:rsid w:val="00494CCF"/>
    <w:rsid w:val="004B20A8"/>
    <w:rsid w:val="004B69C4"/>
    <w:rsid w:val="004C2B07"/>
    <w:rsid w:val="00502AB1"/>
    <w:rsid w:val="00520FDC"/>
    <w:rsid w:val="005276B9"/>
    <w:rsid w:val="005368CE"/>
    <w:rsid w:val="00556648"/>
    <w:rsid w:val="00564F57"/>
    <w:rsid w:val="005820A7"/>
    <w:rsid w:val="005943DC"/>
    <w:rsid w:val="005A2741"/>
    <w:rsid w:val="005A2B9B"/>
    <w:rsid w:val="005B446C"/>
    <w:rsid w:val="005D53B9"/>
    <w:rsid w:val="005D6060"/>
    <w:rsid w:val="006063E6"/>
    <w:rsid w:val="006106D5"/>
    <w:rsid w:val="00633428"/>
    <w:rsid w:val="00665921"/>
    <w:rsid w:val="006831C7"/>
    <w:rsid w:val="006959E3"/>
    <w:rsid w:val="00716EE9"/>
    <w:rsid w:val="0073182A"/>
    <w:rsid w:val="00762D88"/>
    <w:rsid w:val="007935FE"/>
    <w:rsid w:val="007C68D2"/>
    <w:rsid w:val="007D68A8"/>
    <w:rsid w:val="0083545D"/>
    <w:rsid w:val="00852838"/>
    <w:rsid w:val="0087132D"/>
    <w:rsid w:val="00874568"/>
    <w:rsid w:val="00900DAA"/>
    <w:rsid w:val="009A1E3E"/>
    <w:rsid w:val="009A260F"/>
    <w:rsid w:val="00A52DC4"/>
    <w:rsid w:val="00A642C7"/>
    <w:rsid w:val="00A664C0"/>
    <w:rsid w:val="00AE7A98"/>
    <w:rsid w:val="00B07EF8"/>
    <w:rsid w:val="00B27FD9"/>
    <w:rsid w:val="00B329D4"/>
    <w:rsid w:val="00B32D81"/>
    <w:rsid w:val="00B362D7"/>
    <w:rsid w:val="00B75D1D"/>
    <w:rsid w:val="00B75EA4"/>
    <w:rsid w:val="00B96D89"/>
    <w:rsid w:val="00BD1173"/>
    <w:rsid w:val="00C00425"/>
    <w:rsid w:val="00C31AF0"/>
    <w:rsid w:val="00C33A16"/>
    <w:rsid w:val="00C630E2"/>
    <w:rsid w:val="00C8171A"/>
    <w:rsid w:val="00CA29BF"/>
    <w:rsid w:val="00CC7AFF"/>
    <w:rsid w:val="00D07C5C"/>
    <w:rsid w:val="00D103AB"/>
    <w:rsid w:val="00D172B7"/>
    <w:rsid w:val="00D20170"/>
    <w:rsid w:val="00D47411"/>
    <w:rsid w:val="00D57567"/>
    <w:rsid w:val="00D745C6"/>
    <w:rsid w:val="00D92C93"/>
    <w:rsid w:val="00DA1945"/>
    <w:rsid w:val="00DC0AB6"/>
    <w:rsid w:val="00DC5BE2"/>
    <w:rsid w:val="00E14380"/>
    <w:rsid w:val="00E21095"/>
    <w:rsid w:val="00E22AEF"/>
    <w:rsid w:val="00E43089"/>
    <w:rsid w:val="00E7486A"/>
    <w:rsid w:val="00E95CA3"/>
    <w:rsid w:val="00F01FB3"/>
    <w:rsid w:val="00F22BED"/>
    <w:rsid w:val="00F4168A"/>
    <w:rsid w:val="00F9209F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20</cp:revision>
  <dcterms:created xsi:type="dcterms:W3CDTF">2015-12-17T16:39:00Z</dcterms:created>
  <dcterms:modified xsi:type="dcterms:W3CDTF">2017-10-09T07:16:00Z</dcterms:modified>
</cp:coreProperties>
</file>