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73" w:rsidRPr="002A3F14" w:rsidRDefault="00AE2073" w:rsidP="00AE2073">
      <w:pPr>
        <w:spacing w:after="0" w:line="240" w:lineRule="auto"/>
        <w:jc w:val="center"/>
        <w:rPr>
          <w:lang w:val="en-US"/>
        </w:rPr>
      </w:pPr>
      <w:bookmarkStart w:id="0" w:name="_GoBack"/>
      <w:bookmarkEnd w:id="0"/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bookmarkStart w:id="1" w:name="Text15"/>
      <w:r>
        <w:rPr>
          <w:b/>
          <w:sz w:val="28"/>
        </w:rPr>
        <w:t>Relazione Pubblica di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E2073" w:rsidRPr="00C146E5" w:rsidRDefault="00CB2F24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BOTINERO</w:t>
      </w:r>
    </w:p>
    <w:p w:rsidR="00AE2073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</w:p>
    <w:p w:rsidR="00AE2073" w:rsidRPr="003A3FEB" w:rsidRDefault="00AE2073" w:rsidP="00AE2073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>
        <w:rPr>
          <w:snapToGrid w:val="0"/>
        </w:rPr>
        <w:t>perindopril</w:t>
      </w:r>
      <w:proofErr w:type="spellEnd"/>
      <w:r>
        <w:rPr>
          <w:snapToGrid w:val="0"/>
        </w:rPr>
        <w:t xml:space="preserve"> </w:t>
      </w:r>
      <w:r w:rsidRPr="003A3FEB">
        <w:rPr>
          <w:snapToGrid w:val="0"/>
        </w:rPr>
        <w:t xml:space="preserve">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>)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bookmarkEnd w:id="1"/>
    <w:p w:rsidR="00AE2073" w:rsidRPr="003A3FEB" w:rsidRDefault="00CB2F24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Cipros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  <w:r w:rsidRPr="00761981">
        <w:rPr>
          <w:b/>
        </w:rPr>
        <w:t xml:space="preserve">Numero di AIC: </w:t>
      </w:r>
      <w:r w:rsidR="00CB2F24" w:rsidRPr="00CB2F24">
        <w:rPr>
          <w:b/>
        </w:rPr>
        <w:t>045200</w:t>
      </w:r>
    </w:p>
    <w:p w:rsidR="00AE2073" w:rsidRPr="002A3F14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33523E" w:rsidRDefault="00AE2073" w:rsidP="00AE20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="00387B5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9F1B70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387B5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AE2073" w:rsidRDefault="00CB2F24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>è un medicinale contenente</w:t>
      </w:r>
      <w:r w:rsidR="00AE2073">
        <w:rPr>
          <w:rFonts w:eastAsia="Calibri" w:cs="Calibri"/>
          <w:color w:val="000000"/>
          <w:lang w:eastAsia="it-IT"/>
        </w:rPr>
        <w:t xml:space="preserve"> in associazione</w:t>
      </w:r>
      <w:r w:rsidR="00AE2073" w:rsidRPr="009F1B70">
        <w:rPr>
          <w:rFonts w:eastAsia="Calibri" w:cs="Calibri"/>
          <w:color w:val="000000"/>
          <w:lang w:eastAsia="it-IT"/>
        </w:rPr>
        <w:t xml:space="preserve"> </w:t>
      </w:r>
      <w:r w:rsidR="00AE2073">
        <w:rPr>
          <w:rFonts w:eastAsia="Calibri" w:cs="Calibri"/>
          <w:color w:val="000000"/>
          <w:lang w:eastAsia="it-IT"/>
        </w:rPr>
        <w:t xml:space="preserve">due </w:t>
      </w:r>
      <w:r w:rsidR="00AE2073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AE2073">
        <w:rPr>
          <w:rFonts w:eastAsia="Calibri" w:cs="Calibri"/>
          <w:color w:val="000000"/>
          <w:lang w:eastAsia="it-IT"/>
        </w:rPr>
        <w:t>noti (</w:t>
      </w:r>
      <w:proofErr w:type="spellStart"/>
      <w:r w:rsidR="00AE2073">
        <w:rPr>
          <w:rFonts w:eastAsia="Calibri" w:cs="Calibri"/>
          <w:color w:val="000000"/>
          <w:lang w:eastAsia="it-IT"/>
        </w:rPr>
        <w:t>perindopril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AE2073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AE2073">
        <w:rPr>
          <w:rFonts w:eastAsia="Calibri" w:cs="Calibri"/>
          <w:color w:val="000000"/>
          <w:lang w:eastAsia="it-IT"/>
        </w:rPr>
        <w:t>) e presenti separatamente in altri medicinali già autorizzati</w:t>
      </w:r>
      <w:r w:rsidR="00AE2073" w:rsidRPr="009F1B70">
        <w:rPr>
          <w:rFonts w:eastAsia="Calibri" w:cs="Calibri"/>
          <w:color w:val="000000"/>
          <w:lang w:eastAsia="it-IT"/>
        </w:rPr>
        <w:t xml:space="preserve">. </w:t>
      </w:r>
    </w:p>
    <w:p w:rsidR="00AE2073" w:rsidRPr="009F1B70" w:rsidRDefault="00CB2F24" w:rsidP="00AE207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>
        <w:rPr>
          <w:rFonts w:eastAsia="Calibri" w:cs="Calibri"/>
          <w:color w:val="000000"/>
        </w:rPr>
        <w:t xml:space="preserve"> è</w:t>
      </w:r>
      <w:r w:rsidR="00AE2073" w:rsidRPr="009F1B70">
        <w:rPr>
          <w:rFonts w:eastAsia="Calibri" w:cs="Calibri"/>
          <w:color w:val="000000"/>
        </w:rPr>
        <w:t xml:space="preserve"> disponibile in </w:t>
      </w:r>
      <w:r w:rsidR="00AE2073">
        <w:rPr>
          <w:rFonts w:eastAsia="Calibri" w:cs="Calibri"/>
          <w:color w:val="000000"/>
        </w:rPr>
        <w:t>compresse</w:t>
      </w:r>
      <w:r w:rsidR="00AE2073" w:rsidRPr="009F1B70">
        <w:rPr>
          <w:rFonts w:eastAsia="Calibri" w:cs="Calibri"/>
          <w:color w:val="000000"/>
        </w:rPr>
        <w:t xml:space="preserve"> con</w:t>
      </w:r>
      <w:r w:rsidR="00AE2073">
        <w:rPr>
          <w:rFonts w:eastAsia="Calibri" w:cs="Calibri"/>
          <w:color w:val="000000"/>
        </w:rPr>
        <w:t>tenenti</w:t>
      </w:r>
      <w:r w:rsidR="00AE2073" w:rsidRPr="009F1B70">
        <w:rPr>
          <w:rFonts w:eastAsia="Calibri" w:cs="Calibri"/>
          <w:color w:val="000000"/>
        </w:rPr>
        <w:t xml:space="preserve"> diversi dosaggi dei due principi attivi:</w:t>
      </w:r>
      <w:r w:rsidR="00AE2073" w:rsidRPr="009F1B70">
        <w:t xml:space="preserve"> </w:t>
      </w:r>
      <w:r w:rsidR="00AE2073">
        <w:t>4</w:t>
      </w:r>
      <w:r w:rsidR="00AE2073" w:rsidRPr="009F1B70">
        <w:t xml:space="preserve"> mg</w:t>
      </w:r>
      <w:r w:rsidR="00AE2073">
        <w:t xml:space="preserve"> </w:t>
      </w:r>
      <w:r w:rsidR="00AE2073" w:rsidRPr="009F1B70">
        <w:t xml:space="preserve">+ 5 mg, </w:t>
      </w:r>
      <w:r w:rsidR="00AE2073">
        <w:t>4</w:t>
      </w:r>
      <w:r w:rsidR="00AE2073" w:rsidRPr="009F1B70">
        <w:t xml:space="preserve"> mg + </w:t>
      </w:r>
      <w:r w:rsidR="00AE2073">
        <w:t>10</w:t>
      </w:r>
      <w:r w:rsidR="00AE2073" w:rsidRPr="009F1B70">
        <w:t xml:space="preserve"> mg, </w:t>
      </w:r>
      <w:r w:rsidR="00AE2073">
        <w:t>8</w:t>
      </w:r>
      <w:r w:rsidR="00AE2073" w:rsidRPr="009F1B70">
        <w:t xml:space="preserve"> mg</w:t>
      </w:r>
      <w:r w:rsidR="00AE2073">
        <w:t xml:space="preserve"> </w:t>
      </w:r>
      <w:r w:rsidR="000544DE">
        <w:t xml:space="preserve">+ 5 mg, </w:t>
      </w:r>
      <w:r w:rsidR="00AE2073">
        <w:t>8</w:t>
      </w:r>
      <w:r w:rsidR="00AE2073" w:rsidRPr="009F1B70">
        <w:t xml:space="preserve"> mg</w:t>
      </w:r>
      <w:r w:rsidR="00AE2073">
        <w:t xml:space="preserve"> </w:t>
      </w:r>
      <w:r w:rsidR="00AE2073" w:rsidRPr="009F1B70">
        <w:t xml:space="preserve">+ </w:t>
      </w:r>
      <w:r w:rsidR="00AE2073">
        <w:t xml:space="preserve"> </w:t>
      </w:r>
      <w:r w:rsidR="00AE2073" w:rsidRPr="009F1B70">
        <w:t>10 mg.</w:t>
      </w:r>
    </w:p>
    <w:p w:rsidR="00AE2073" w:rsidRPr="0038657A" w:rsidRDefault="00CB2F24" w:rsidP="00AE2073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EF59EE">
        <w:t xml:space="preserve"> </w:t>
      </w:r>
      <w:r w:rsidR="00AE2073">
        <w:t>è utilizzato</w:t>
      </w:r>
      <w:r w:rsidR="00AE2073" w:rsidRPr="00EF59EE">
        <w:t xml:space="preserve"> per il trattamento della pressione alta (ipertensione) e/o per il trattamento della</w:t>
      </w:r>
      <w:r w:rsidR="00AE2073">
        <w:t xml:space="preserve"> </w:t>
      </w:r>
      <w:r w:rsidR="00AE2073" w:rsidRPr="0038657A">
        <w:t xml:space="preserve">coronaropatia arteriosa stabile (una condizione in cui il sangue fornito al cuore è ridotto o bloccato). </w:t>
      </w:r>
    </w:p>
    <w:p w:rsidR="00AE2073" w:rsidRPr="0038657A" w:rsidRDefault="00AE2073" w:rsidP="00AE2073">
      <w:pPr>
        <w:spacing w:after="0" w:line="240" w:lineRule="auto"/>
        <w:jc w:val="both"/>
      </w:pPr>
      <w:r w:rsidRPr="0038657A">
        <w:t xml:space="preserve">I pazienti che già prendono </w:t>
      </w:r>
      <w:proofErr w:type="spellStart"/>
      <w:r w:rsidRPr="0038657A">
        <w:t>perindopril</w:t>
      </w:r>
      <w:proofErr w:type="spellEnd"/>
      <w:r w:rsidRPr="0038657A">
        <w:t xml:space="preserve"> e </w:t>
      </w:r>
      <w:proofErr w:type="spellStart"/>
      <w:r w:rsidRPr="0038657A">
        <w:t>amlodipina</w:t>
      </w:r>
      <w:proofErr w:type="spellEnd"/>
      <w:r w:rsidRPr="0038657A">
        <w:t xml:space="preserve"> in compresse separate possono prendere al loro posto una compressa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38657A">
        <w:t xml:space="preserve"> che contiene entrambi i principi attivi.</w:t>
      </w: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38657A">
        <w:rPr>
          <w:rFonts w:cs="Arial"/>
        </w:rPr>
        <w:t xml:space="preserve">Il medicinale di riferimento contenente </w:t>
      </w:r>
      <w:proofErr w:type="spellStart"/>
      <w:r w:rsidRPr="0038657A">
        <w:rPr>
          <w:rFonts w:cs="Arial"/>
        </w:rPr>
        <w:t>amlodipina</w:t>
      </w:r>
      <w:proofErr w:type="spellEnd"/>
      <w:r w:rsidRPr="0038657A">
        <w:rPr>
          <w:rFonts w:cs="Arial"/>
        </w:rPr>
        <w:t xml:space="preserve"> è </w:t>
      </w:r>
      <w:proofErr w:type="spellStart"/>
      <w:r w:rsidRPr="0038657A">
        <w:rPr>
          <w:rFonts w:cs="Arial"/>
        </w:rPr>
        <w:t>Norvasc</w:t>
      </w:r>
      <w:proofErr w:type="spellEnd"/>
      <w:r w:rsidRPr="0038657A">
        <w:rPr>
          <w:rFonts w:cs="Arial"/>
        </w:rPr>
        <w:t xml:space="preserve">; il medicinale di riferimento contenente </w:t>
      </w:r>
      <w:proofErr w:type="spellStart"/>
      <w:r w:rsidRPr="0038657A">
        <w:rPr>
          <w:rFonts w:cs="Arial"/>
        </w:rPr>
        <w:t>perindopril</w:t>
      </w:r>
      <w:proofErr w:type="spellEnd"/>
      <w:r w:rsidRPr="0038657A">
        <w:rPr>
          <w:rFonts w:cs="Arial"/>
        </w:rPr>
        <w:t xml:space="preserve"> è </w:t>
      </w:r>
      <w:proofErr w:type="spellStart"/>
      <w:r w:rsidRPr="0038657A">
        <w:rPr>
          <w:rFonts w:cs="Arial"/>
        </w:rPr>
        <w:t>Coversyl</w:t>
      </w:r>
      <w:proofErr w:type="spellEnd"/>
      <w:r w:rsidRPr="0038657A">
        <w:rPr>
          <w:rFonts w:cs="Arial"/>
        </w:rPr>
        <w:t xml:space="preserve">; quest’ultimo </w:t>
      </w:r>
      <w:r w:rsidRPr="0038657A">
        <w:rPr>
          <w:rFonts w:eastAsia="Calibri" w:cs="Calibri"/>
          <w:color w:val="000000"/>
          <w:lang w:eastAsia="it-IT"/>
        </w:rPr>
        <w:t xml:space="preserve">è stato autorizzato con procedura decentrata con la </w:t>
      </w:r>
      <w:r w:rsidRPr="00761981">
        <w:rPr>
          <w:rFonts w:eastAsia="Calibri" w:cs="Calibri"/>
          <w:color w:val="000000"/>
          <w:lang w:eastAsia="it-IT"/>
        </w:rPr>
        <w:t>Francia come stato di riferimento (</w:t>
      </w:r>
      <w:hyperlink r:id="rId6" w:history="1">
        <w:r w:rsidRPr="006803AD">
          <w:rPr>
            <w:rStyle w:val="Collegamentoipertestuale"/>
          </w:rPr>
          <w:t>http://www.ansm.sante.fr</w:t>
        </w:r>
      </w:hyperlink>
      <w:r w:rsidRPr="00761981">
        <w:rPr>
          <w:rFonts w:eastAsia="Calibri" w:cs="Calibri"/>
          <w:color w:val="000000"/>
          <w:lang w:eastAsia="it-IT"/>
        </w:rPr>
        <w:t>). Sul sito dell’Agenzia Italiana del Farmaco (AIFA)</w:t>
      </w:r>
      <w:r w:rsidRPr="0038657A">
        <w:rPr>
          <w:rFonts w:eastAsia="Calibri" w:cs="Calibri"/>
          <w:color w:val="000000"/>
          <w:lang w:eastAsia="it-IT"/>
        </w:rPr>
        <w:t xml:space="preserve"> (</w:t>
      </w:r>
      <w:hyperlink r:id="rId7" w:history="1">
        <w:r w:rsidRPr="0038657A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38657A">
        <w:rPr>
          <w:rFonts w:eastAsia="Calibri" w:cs="Calibri"/>
          <w:lang w:eastAsia="it-IT"/>
        </w:rPr>
        <w:t>)</w:t>
      </w:r>
      <w:r w:rsidRPr="0038657A">
        <w:t xml:space="preserve"> </w:t>
      </w:r>
      <w:r w:rsidRPr="0038657A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38657A">
        <w:rPr>
          <w:rFonts w:eastAsia="Calibri" w:cs="Calibri"/>
          <w:color w:val="000000"/>
          <w:lang w:eastAsia="it-IT"/>
        </w:rPr>
        <w:t>Norvasc</w:t>
      </w:r>
      <w:proofErr w:type="spellEnd"/>
      <w:r w:rsidRPr="0038657A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38657A">
        <w:rPr>
          <w:rFonts w:eastAsia="Calibri" w:cs="Calibri"/>
          <w:color w:val="000000"/>
          <w:lang w:eastAsia="it-IT"/>
        </w:rPr>
        <w:t>Coversyl</w:t>
      </w:r>
      <w:proofErr w:type="spellEnd"/>
      <w:r w:rsidRPr="0038657A">
        <w:rPr>
          <w:rFonts w:eastAsia="Calibri" w:cs="Calibri"/>
          <w:color w:val="000000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B52C0" w:rsidRPr="0038657A" w:rsidRDefault="007B52C0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387B54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38657A" w:rsidRDefault="00CB2F24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38657A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Pr="0038657A" w:rsidRDefault="00AE2073" w:rsidP="00AE2073">
      <w:pPr>
        <w:tabs>
          <w:tab w:val="left" w:pos="0"/>
        </w:tabs>
        <w:spacing w:after="0" w:line="240" w:lineRule="auto"/>
        <w:jc w:val="both"/>
      </w:pPr>
      <w:r w:rsidRPr="0038657A">
        <w:t>La dose raccomandata è di una compressa al giorno; il dosaggio della compressa da assumere è definito dal medico per ciascun paziente.</w:t>
      </w:r>
    </w:p>
    <w:p w:rsidR="00AE2073" w:rsidRPr="0038657A" w:rsidRDefault="00AE2073" w:rsidP="00AE2073">
      <w:pPr>
        <w:tabs>
          <w:tab w:val="left" w:pos="0"/>
        </w:tabs>
        <w:spacing w:after="0" w:line="240" w:lineRule="auto"/>
        <w:jc w:val="both"/>
      </w:pPr>
      <w:r w:rsidRPr="0038657A">
        <w:t>Nei pazienti con problemi ai reni o al fegato e ai pazienti anziani potrebbe essere prescritto un dosaggio minore.</w:t>
      </w:r>
    </w:p>
    <w:p w:rsidR="00AE2073" w:rsidRPr="0038657A" w:rsidRDefault="00AE2073" w:rsidP="00AE2073">
      <w:pPr>
        <w:tabs>
          <w:tab w:val="left" w:pos="0"/>
        </w:tabs>
        <w:spacing w:after="0" w:line="240" w:lineRule="auto"/>
        <w:jc w:val="both"/>
      </w:pPr>
      <w:r w:rsidRPr="0038657A">
        <w:t>Questo medicinale non deve essere assunto dai bambini e dagli adolescenti (età inferiore a 18 anni)</w:t>
      </w:r>
      <w:r w:rsidRPr="0038657A">
        <w:rPr>
          <w:rFonts w:cs="Times New Roman"/>
        </w:rPr>
        <w:t xml:space="preserve"> poiché la sicurezza e l’efficacia non sono state stabilite per questa fascia di età.</w:t>
      </w:r>
    </w:p>
    <w:p w:rsidR="00AE2073" w:rsidRPr="00974FCC" w:rsidRDefault="00AE2073" w:rsidP="00AE2073">
      <w:pPr>
        <w:spacing w:after="0" w:line="240" w:lineRule="auto"/>
        <w:jc w:val="both"/>
      </w:pPr>
      <w:r w:rsidRPr="0038657A">
        <w:t xml:space="preserve">Le compresse vanno assunte intere con un po’ di acqua, da assumere preferibilmente al mattino e </w:t>
      </w:r>
      <w:r w:rsidRPr="00974FCC">
        <w:t>comunque prima di un pasto.</w:t>
      </w:r>
    </w:p>
    <w:p w:rsidR="00AE2073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974FCC" w:rsidRDefault="00AE2073" w:rsidP="00AE2073">
      <w:pPr>
        <w:tabs>
          <w:tab w:val="left" w:pos="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387B5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E2073" w:rsidRPr="00974FCC" w:rsidRDefault="00CB2F24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974FCC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974FCC">
        <w:rPr>
          <w:color w:val="000000"/>
        </w:rPr>
        <w:t>il cui c</w:t>
      </w:r>
      <w:r w:rsidR="00AE2073" w:rsidRPr="00974FCC">
        <w:rPr>
          <w:iCs/>
        </w:rPr>
        <w:t xml:space="preserve">odice ATC è </w:t>
      </w:r>
      <w:r w:rsidR="00AE2073" w:rsidRPr="00974FCC">
        <w:rPr>
          <w:rFonts w:cs="Times New Roman"/>
        </w:rPr>
        <w:t>C09BB04</w:t>
      </w:r>
      <w:r w:rsidR="00AE2073" w:rsidRPr="00974FCC">
        <w:rPr>
          <w:rFonts w:eastAsia="DejaVuSans" w:cs="DejaVuSans"/>
        </w:rPr>
        <w:t>,</w:t>
      </w:r>
      <w:r w:rsidR="00AE2073" w:rsidRPr="00974FCC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974FCC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AE2073" w:rsidRPr="00974FCC">
        <w:rPr>
          <w:rFonts w:eastAsia="Calibri" w:cs="Calibri"/>
          <w:color w:val="000000"/>
          <w:lang w:eastAsia="it-IT"/>
        </w:rPr>
        <w:t>perindopril</w:t>
      </w:r>
      <w:proofErr w:type="spellEnd"/>
      <w:r w:rsidR="00AE2073" w:rsidRPr="00974FC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974FCC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974FCC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="00AE2073" w:rsidRPr="00974FCC">
        <w:t xml:space="preserve">parte della categoria farmaco-terapeutica </w:t>
      </w:r>
      <w:r w:rsidR="00AE2073" w:rsidRPr="00974FCC">
        <w:rPr>
          <w:iCs/>
        </w:rPr>
        <w:t xml:space="preserve">degli </w:t>
      </w:r>
      <w:r w:rsidR="00AE2073" w:rsidRPr="00974FCC">
        <w:rPr>
          <w:color w:val="000000"/>
        </w:rPr>
        <w:t>antipertensivi</w:t>
      </w:r>
      <w:r w:rsidR="00AE2073" w:rsidRPr="00974FCC">
        <w:rPr>
          <w:iCs/>
        </w:rPr>
        <w:t>.</w:t>
      </w:r>
    </w:p>
    <w:p w:rsidR="00AE2073" w:rsidRPr="00974FCC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974FCC">
        <w:rPr>
          <w:rFonts w:eastAsia="DejaVuSans" w:cs="DejaVuSans"/>
        </w:rPr>
        <w:t>L’</w:t>
      </w:r>
      <w:proofErr w:type="spellStart"/>
      <w:r w:rsidRPr="00974FCC">
        <w:rPr>
          <w:rFonts w:eastAsia="DejaVuSans" w:cs="DejaVuSans"/>
        </w:rPr>
        <w:t>amlodipina</w:t>
      </w:r>
      <w:proofErr w:type="spellEnd"/>
      <w:r w:rsidRPr="00974FCC">
        <w:rPr>
          <w:rFonts w:eastAsia="DejaVuSans" w:cs="DejaVuSans"/>
        </w:rPr>
        <w:t xml:space="preserve"> è un bloccante dei canali del calcio nelle fibre muscolari lisce e provoca il rilassamento della muscolatura liscia dei vasi sanguigni</w:t>
      </w:r>
      <w:r w:rsidRPr="00974FCC">
        <w:rPr>
          <w:rFonts w:eastAsia="Calibri" w:cs="Times New Roman"/>
        </w:rPr>
        <w:t xml:space="preserve"> in modo che il sangue possa defluire più facilmente</w:t>
      </w:r>
      <w:r w:rsidRPr="00974FCC">
        <w:rPr>
          <w:rFonts w:eastAsia="DejaVuSans" w:cs="DejaVuSans"/>
        </w:rPr>
        <w:t>, con conseguente azione antipertensiva.</w:t>
      </w: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974FCC">
        <w:rPr>
          <w:rFonts w:eastAsia="DejaVuSans" w:cs="DejaVuSans"/>
        </w:rPr>
        <w:t xml:space="preserve">Il </w:t>
      </w:r>
      <w:proofErr w:type="spellStart"/>
      <w:r w:rsidRPr="00974FCC">
        <w:rPr>
          <w:rFonts w:eastAsia="DejaVuSans" w:cs="DejaVuSans"/>
        </w:rPr>
        <w:t>perind</w:t>
      </w:r>
      <w:r>
        <w:rPr>
          <w:rFonts w:eastAsia="DejaVuSans" w:cs="DejaVuSans"/>
        </w:rPr>
        <w:t>o</w:t>
      </w:r>
      <w:r w:rsidRPr="00974FCC">
        <w:rPr>
          <w:rFonts w:eastAsia="DejaVuSans" w:cs="DejaVuSans"/>
        </w:rPr>
        <w:t>pril</w:t>
      </w:r>
      <w:proofErr w:type="spellEnd"/>
      <w:r w:rsidRPr="00974FCC">
        <w:rPr>
          <w:rFonts w:eastAsia="DejaVuSans" w:cs="DejaVuSans"/>
        </w:rPr>
        <w:t xml:space="preserve"> è un inibitore di un enzima che determina la conversione di angiotensina I in angiotensina II, sostanza ad attività</w:t>
      </w:r>
      <w:r w:rsidRPr="0038657A">
        <w:rPr>
          <w:rFonts w:eastAsia="DejaVuSans" w:cs="DejaVuSans"/>
        </w:rPr>
        <w:t xml:space="preserve"> vasocostrittrice, e la degradazione della bradichinina, una sostanza ad azione vasodilatatrice: la ridotta formazione di angiotensina II e livelli più elevati di bradichinina  comportano vasodilatazione e un abbassamento della pressione del sangue.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AE2073" w:rsidRPr="0038657A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bCs/>
          <w:lang w:eastAsia="it-IT"/>
        </w:rPr>
        <w:t xml:space="preserve">?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rPr>
          <w:rFonts w:ascii="Calibri" w:hAnsi="Calibri" w:cs="Arial"/>
        </w:rPr>
        <w:t xml:space="preserve"> 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due medicinali di riferimento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) e </w:t>
      </w:r>
      <w:proofErr w:type="spellStart"/>
      <w:r>
        <w:rPr>
          <w:rFonts w:ascii="Calibri" w:hAnsi="Calibri" w:cs="Arial"/>
        </w:rPr>
        <w:t>Prestarium</w:t>
      </w:r>
      <w:proofErr w:type="spellEnd"/>
      <w:r>
        <w:rPr>
          <w:rFonts w:ascii="Calibri" w:hAnsi="Calibri" w:cs="Arial"/>
        </w:rPr>
        <w:t xml:space="preserve"> corrispondente al medicinale </w:t>
      </w:r>
      <w:proofErr w:type="spellStart"/>
      <w:r>
        <w:rPr>
          <w:rFonts w:ascii="Calibri" w:hAnsi="Calibri" w:cs="Arial"/>
        </w:rPr>
        <w:t>Coversyl</w:t>
      </w:r>
      <w:proofErr w:type="spellEnd"/>
      <w:r>
        <w:rPr>
          <w:rFonts w:ascii="Calibri" w:hAnsi="Calibri" w:cs="Arial"/>
        </w:rPr>
        <w:t xml:space="preserve"> (</w:t>
      </w:r>
      <w:proofErr w:type="spellStart"/>
      <w:r>
        <w:rPr>
          <w:rFonts w:ascii="Calibri" w:hAnsi="Calibri" w:cs="Arial"/>
        </w:rPr>
        <w:t>perindopril</w:t>
      </w:r>
      <w:proofErr w:type="spellEnd"/>
      <w:r>
        <w:rPr>
          <w:rFonts w:ascii="Calibri" w:hAnsi="Calibri" w:cs="Arial"/>
        </w:rPr>
        <w:t>) autorizzato in Italia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387B54">
        <w:rPr>
          <w:rFonts w:eastAsia="Calibri" w:cs="Calibri"/>
          <w:b/>
          <w:bCs/>
          <w:lang w:eastAsia="it-IT"/>
        </w:rPr>
        <w:t>DI</w:t>
      </w:r>
      <w:proofErr w:type="spellEnd"/>
      <w:r w:rsidRPr="00387B5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lang w:eastAsia="it-IT"/>
        </w:rPr>
        <w:t xml:space="preserve">? </w:t>
      </w:r>
    </w:p>
    <w:p w:rsidR="00AE2073" w:rsidRPr="002A3F14" w:rsidRDefault="00CB2F24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AE2073">
        <w:rPr>
          <w:rFonts w:eastAsia="Calibri" w:cs="Calibri"/>
          <w:lang w:eastAsia="it-IT"/>
        </w:rPr>
        <w:t xml:space="preserve"> riferimento;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 xml:space="preserve">pertanto, </w:t>
      </w:r>
      <w:r w:rsidR="00AE2073" w:rsidRPr="002A3F14">
        <w:rPr>
          <w:rFonts w:eastAsia="Calibri" w:cs="Calibri"/>
          <w:lang w:eastAsia="it-IT"/>
        </w:rPr>
        <w:t>i benefici e rischi ad esso associati sono sovrapponibili a quelli de</w:t>
      </w:r>
      <w:r w:rsidR="00AE2073">
        <w:rPr>
          <w:rFonts w:eastAsia="Calibri" w:cs="Calibri"/>
          <w:lang w:eastAsia="it-IT"/>
        </w:rPr>
        <w:t>i</w:t>
      </w:r>
      <w:r w:rsidR="00AE2073" w:rsidRPr="002A3F14">
        <w:rPr>
          <w:rFonts w:eastAsia="Calibri" w:cs="Calibri"/>
          <w:lang w:eastAsia="it-IT"/>
        </w:rPr>
        <w:t xml:space="preserve"> </w:t>
      </w:r>
      <w:r w:rsidR="00AE2073">
        <w:rPr>
          <w:rFonts w:eastAsia="Calibri" w:cs="Calibri"/>
          <w:lang w:eastAsia="it-IT"/>
        </w:rPr>
        <w:t>due medicinali</w:t>
      </w:r>
      <w:r w:rsidR="00AE2073" w:rsidRPr="002A3F14">
        <w:rPr>
          <w:rFonts w:eastAsia="Calibri" w:cs="Calibri"/>
          <w:lang w:eastAsia="it-IT"/>
        </w:rPr>
        <w:t xml:space="preserve"> di riferimento.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87B54">
        <w:rPr>
          <w:rFonts w:eastAsia="Calibri" w:cs="Calibri"/>
          <w:b/>
          <w:bCs/>
          <w:lang w:eastAsia="it-IT"/>
        </w:rPr>
        <w:t xml:space="preserve">E’ STATO APPROVATO?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1981">
        <w:rPr>
          <w:rFonts w:eastAsia="Calibri" w:cs="Calibri"/>
          <w:lang w:eastAsia="it-IT"/>
        </w:rPr>
        <w:t>La Commissione Tecnico Scientifica (CTS), nella seduta di 12-14 luglio 2017,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Coversyl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rPr>
          <w:rFonts w:eastAsia="Calibri" w:cs="Calibri"/>
          <w:lang w:eastAsia="it-IT"/>
        </w:rPr>
        <w:t xml:space="preserve"> sono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  <w:r w:rsidRPr="00387B54">
        <w:rPr>
          <w:rFonts w:eastAsia="Calibri" w:cs="Calibri"/>
          <w:b/>
          <w:bCs/>
          <w:color w:val="000000"/>
          <w:lang w:eastAsia="it-IT"/>
        </w:rPr>
        <w:t>?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387B5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387B5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B2F24">
        <w:rPr>
          <w:rFonts w:eastAsia="Calibri" w:cs="Calibri"/>
          <w:b/>
          <w:color w:val="000000"/>
          <w:lang w:eastAsia="it-IT"/>
        </w:rPr>
        <w:t>Botinero</w:t>
      </w:r>
      <w:proofErr w:type="spellEnd"/>
    </w:p>
    <w:p w:rsidR="00AE2073" w:rsidRPr="00CA3A1E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47D56">
        <w:rPr>
          <w:rFonts w:eastAsia="Calibri" w:cs="Calibri"/>
          <w:bCs/>
          <w:iCs/>
          <w:lang w:eastAsia="it-IT"/>
        </w:rPr>
        <w:t xml:space="preserve">Il </w:t>
      </w:r>
      <w:r w:rsidR="00E47D56" w:rsidRPr="00E47D56">
        <w:rPr>
          <w:rFonts w:eastAsia="Calibri" w:cs="Calibri"/>
          <w:bCs/>
          <w:iCs/>
          <w:lang w:eastAsia="it-IT"/>
        </w:rPr>
        <w:t>15 novembre</w:t>
      </w:r>
      <w:r w:rsidRPr="00E47D56">
        <w:rPr>
          <w:rFonts w:eastAsia="Calibri" w:cs="Calibri"/>
          <w:bCs/>
          <w:iCs/>
          <w:lang w:eastAsia="it-IT"/>
        </w:rPr>
        <w:t xml:space="preserve"> 2017 l’AIFA ha rilasciato l’autorizzazione all’immissione in commercio di </w:t>
      </w:r>
      <w:proofErr w:type="spellStart"/>
      <w:r w:rsidR="00CB2F24" w:rsidRPr="00E47D56">
        <w:rPr>
          <w:rFonts w:eastAsia="Calibri" w:cs="Calibri"/>
          <w:color w:val="000000"/>
          <w:lang w:eastAsia="it-IT"/>
        </w:rPr>
        <w:t>Botinero</w:t>
      </w:r>
      <w:proofErr w:type="spellEnd"/>
      <w:r w:rsidRPr="00E47D56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AE2073" w:rsidRPr="002A3F14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AE2073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E2073" w:rsidRPr="00FA7C92" w:rsidRDefault="00AE2073" w:rsidP="00AE207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B2F24">
        <w:rPr>
          <w:rFonts w:eastAsia="Calibri" w:cs="Calibri"/>
          <w:lang w:eastAsia="it-IT"/>
        </w:rPr>
        <w:t>22.09</w:t>
      </w:r>
      <w:r>
        <w:rPr>
          <w:rFonts w:eastAsia="Calibri" w:cs="Calibri"/>
          <w:lang w:eastAsia="it-IT"/>
        </w:rPr>
        <w:t>.2017</w:t>
      </w:r>
      <w:r>
        <w:rPr>
          <w:b/>
          <w:sz w:val="28"/>
        </w:rPr>
        <w:br w:type="page"/>
      </w: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</w:p>
    <w:p w:rsidR="00AE2073" w:rsidRDefault="00AE2073" w:rsidP="00AE207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Default="00AE2073" w:rsidP="00AE2073">
      <w:pPr>
        <w:spacing w:after="0" w:line="240" w:lineRule="auto"/>
        <w:jc w:val="center"/>
        <w:rPr>
          <w:b/>
        </w:rPr>
      </w:pPr>
    </w:p>
    <w:p w:rsidR="00AE2073" w:rsidRPr="0033523E" w:rsidRDefault="00AE2073" w:rsidP="00AE207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8206E7" w:rsidRDefault="00AE2073" w:rsidP="00AE2073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E2073" w:rsidRPr="002A3F14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E2073" w:rsidRPr="0033523E" w:rsidRDefault="00AE2073" w:rsidP="00AE2073">
      <w:pPr>
        <w:pStyle w:val="Paragrafoelenco"/>
        <w:rPr>
          <w:b/>
        </w:rPr>
      </w:pPr>
    </w:p>
    <w:p w:rsidR="00AE2073" w:rsidRPr="002E4DCB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E2073" w:rsidRPr="00BC23ED" w:rsidRDefault="00AE2073" w:rsidP="00AE207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Default="00AE2073" w:rsidP="00AE2073"/>
    <w:p w:rsidR="00AE2073" w:rsidRPr="008206E7" w:rsidRDefault="00AE2073" w:rsidP="00AE2073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CB2F24">
        <w:t>Cipros</w:t>
      </w:r>
      <w:r w:rsidRPr="007B52C0">
        <w:t xml:space="preserve"> </w:t>
      </w:r>
      <w:r>
        <w:t xml:space="preserve">l’autorizzazione </w:t>
      </w:r>
      <w:r w:rsidRPr="00E47D56">
        <w:t xml:space="preserve">all’immissione in commercio (AIC) per il medicinale </w:t>
      </w:r>
      <w:proofErr w:type="spellStart"/>
      <w:r w:rsidR="00CB2F24" w:rsidRPr="00E47D56">
        <w:rPr>
          <w:rFonts w:eastAsia="Calibri" w:cs="Calibri"/>
          <w:color w:val="000000"/>
          <w:lang w:eastAsia="it-IT"/>
        </w:rPr>
        <w:t>Botinero</w:t>
      </w:r>
      <w:proofErr w:type="spellEnd"/>
      <w:r w:rsidRPr="00E47D56">
        <w:t xml:space="preserve"> il </w:t>
      </w:r>
      <w:r w:rsidR="00E47D56" w:rsidRPr="00E47D56">
        <w:rPr>
          <w:rFonts w:eastAsia="Calibri" w:cs="Calibri"/>
          <w:bCs/>
          <w:iCs/>
          <w:lang w:eastAsia="it-IT"/>
        </w:rPr>
        <w:t>15 novembre 2017.</w:t>
      </w:r>
      <w:r>
        <w:t xml:space="preserve"> 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A3F14" w:rsidRDefault="00CB2F24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AE2073" w:rsidRDefault="00CB2F24" w:rsidP="00AE207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>è un medicinale contenente</w:t>
      </w:r>
      <w:r w:rsidR="00AE2073">
        <w:rPr>
          <w:rFonts w:eastAsia="Calibri" w:cs="Calibri"/>
          <w:color w:val="000000"/>
          <w:lang w:eastAsia="it-IT"/>
        </w:rPr>
        <w:t xml:space="preserve"> in associazione</w:t>
      </w:r>
      <w:r w:rsidR="00AE2073" w:rsidRPr="009F1B70">
        <w:rPr>
          <w:rFonts w:eastAsia="Calibri" w:cs="Calibri"/>
          <w:color w:val="000000"/>
          <w:lang w:eastAsia="it-IT"/>
        </w:rPr>
        <w:t xml:space="preserve"> </w:t>
      </w:r>
      <w:r w:rsidR="00AE2073">
        <w:rPr>
          <w:rFonts w:eastAsia="Calibri" w:cs="Calibri"/>
          <w:color w:val="000000"/>
          <w:lang w:eastAsia="it-IT"/>
        </w:rPr>
        <w:t xml:space="preserve">due </w:t>
      </w:r>
      <w:r w:rsidR="00AE2073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AE2073">
        <w:rPr>
          <w:rFonts w:eastAsia="Calibri" w:cs="Calibri"/>
          <w:color w:val="000000"/>
          <w:lang w:eastAsia="it-IT"/>
        </w:rPr>
        <w:t>noti (</w:t>
      </w:r>
      <w:proofErr w:type="spellStart"/>
      <w:r w:rsidR="00AE2073">
        <w:rPr>
          <w:rFonts w:eastAsia="Calibri" w:cs="Calibri"/>
          <w:color w:val="000000"/>
          <w:lang w:eastAsia="it-IT"/>
        </w:rPr>
        <w:t>perindopril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 </w:t>
      </w:r>
      <w:r w:rsidR="00AE2073" w:rsidRPr="009F1B70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AE2073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AE2073">
        <w:rPr>
          <w:rFonts w:eastAsia="Calibri" w:cs="Calibri"/>
          <w:color w:val="000000"/>
          <w:lang w:eastAsia="it-IT"/>
        </w:rPr>
        <w:t xml:space="preserve">) e presenti separatamente in altri medicinali già autorizzati in Italia, </w:t>
      </w:r>
      <w:proofErr w:type="spellStart"/>
      <w:r w:rsidR="00AE2073">
        <w:rPr>
          <w:rFonts w:ascii="Calibri" w:hAnsi="Calibri" w:cs="Arial"/>
        </w:rPr>
        <w:t>Norvasc</w:t>
      </w:r>
      <w:proofErr w:type="spellEnd"/>
      <w:r w:rsidR="00AE2073">
        <w:rPr>
          <w:rFonts w:ascii="Calibri" w:hAnsi="Calibri" w:cs="Arial"/>
        </w:rPr>
        <w:t xml:space="preserve"> (</w:t>
      </w:r>
      <w:proofErr w:type="spellStart"/>
      <w:r w:rsidR="00AE2073">
        <w:rPr>
          <w:rFonts w:ascii="Calibri" w:hAnsi="Calibri" w:cs="Arial"/>
        </w:rPr>
        <w:t>amlodipina</w:t>
      </w:r>
      <w:proofErr w:type="spellEnd"/>
      <w:r w:rsidR="00AE2073">
        <w:rPr>
          <w:rFonts w:ascii="Calibri" w:hAnsi="Calibri" w:cs="Arial"/>
        </w:rPr>
        <w:t xml:space="preserve">) e </w:t>
      </w:r>
      <w:proofErr w:type="spellStart"/>
      <w:r w:rsidR="00AE2073">
        <w:rPr>
          <w:rFonts w:ascii="Calibri" w:hAnsi="Calibri" w:cs="Arial"/>
        </w:rPr>
        <w:t>Coversyl</w:t>
      </w:r>
      <w:proofErr w:type="spellEnd"/>
      <w:r w:rsidR="00AE2073">
        <w:rPr>
          <w:rFonts w:ascii="Calibri" w:hAnsi="Calibri" w:cs="Arial"/>
        </w:rPr>
        <w:t xml:space="preserve"> (</w:t>
      </w:r>
      <w:proofErr w:type="spellStart"/>
      <w:r w:rsidR="00AE2073">
        <w:rPr>
          <w:rFonts w:ascii="Calibri" w:hAnsi="Calibri" w:cs="Arial"/>
        </w:rPr>
        <w:t>perindopril</w:t>
      </w:r>
      <w:proofErr w:type="spellEnd"/>
      <w:r w:rsidR="00AE2073">
        <w:rPr>
          <w:rFonts w:ascii="Calibri" w:hAnsi="Calibri" w:cs="Arial"/>
        </w:rPr>
        <w:t>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CB2F24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AE2073" w:rsidRPr="0066243B">
        <w:rPr>
          <w:color w:val="000000"/>
        </w:rPr>
        <w:t>il cui c</w:t>
      </w:r>
      <w:r w:rsidR="00AE2073" w:rsidRPr="0066243B">
        <w:rPr>
          <w:iCs/>
        </w:rPr>
        <w:t xml:space="preserve">odice ATC è </w:t>
      </w:r>
      <w:r w:rsidR="00AE2073" w:rsidRPr="00974FCC">
        <w:rPr>
          <w:rFonts w:cs="Times New Roman"/>
        </w:rPr>
        <w:t>C09BB04</w:t>
      </w:r>
      <w:r w:rsidR="00AE2073" w:rsidRPr="0066243B">
        <w:rPr>
          <w:rFonts w:eastAsia="DejaVuSans" w:cs="DejaVuSans"/>
        </w:rPr>
        <w:t>,</w:t>
      </w:r>
      <w:r w:rsidR="00AE2073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AE2073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AE2073">
        <w:rPr>
          <w:rFonts w:eastAsia="Calibri" w:cs="Calibri"/>
          <w:color w:val="000000"/>
          <w:lang w:eastAsia="it-IT"/>
        </w:rPr>
        <w:t>perindopril</w:t>
      </w:r>
      <w:proofErr w:type="spellEnd"/>
      <w:r w:rsidR="00AE2073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AE2073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AE2073" w:rsidRPr="0066243B">
        <w:rPr>
          <w:rFonts w:eastAsia="Calibri" w:cs="Calibri"/>
          <w:color w:val="000000"/>
          <w:lang w:eastAsia="it-IT"/>
        </w:rPr>
        <w:t xml:space="preserve"> in associazione, due principi attivi che fanno </w:t>
      </w:r>
      <w:r w:rsidR="00AE2073" w:rsidRPr="0066243B">
        <w:t xml:space="preserve">parte della categoria farmaco-terapeutica </w:t>
      </w:r>
      <w:r w:rsidR="00AE2073" w:rsidRPr="0066243B">
        <w:rPr>
          <w:iCs/>
        </w:rPr>
        <w:t xml:space="preserve">degli </w:t>
      </w:r>
      <w:r w:rsidR="00AE2073" w:rsidRPr="0066243B">
        <w:rPr>
          <w:color w:val="000000"/>
        </w:rPr>
        <w:t>antipertensivi</w:t>
      </w:r>
      <w:r w:rsidR="00AE2073" w:rsidRPr="0066243B">
        <w:rPr>
          <w:iCs/>
        </w:rPr>
        <w:t>.</w:t>
      </w:r>
    </w:p>
    <w:p w:rsidR="00AE2073" w:rsidRPr="0066243B" w:rsidRDefault="00AE2073" w:rsidP="00AE20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E2073" w:rsidRPr="0066243B" w:rsidRDefault="00AE2073" w:rsidP="00AE2073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AE2073" w:rsidRPr="0066243B" w:rsidRDefault="00AE2073" w:rsidP="00AE2073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AE2073" w:rsidRPr="0066243B" w:rsidRDefault="00AE2073" w:rsidP="00AE207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AE2073" w:rsidRDefault="00AE2073" w:rsidP="00AE2073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AE2073" w:rsidRPr="0066243B" w:rsidRDefault="00AE2073" w:rsidP="00AE2073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AE2073" w:rsidRPr="0066243B" w:rsidRDefault="00AE2073" w:rsidP="00AE2073">
      <w:pPr>
        <w:spacing w:after="0" w:line="240" w:lineRule="auto"/>
        <w:jc w:val="both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Perindopril</w:t>
      </w:r>
      <w:proofErr w:type="spellEnd"/>
      <w:r w:rsidRPr="0066243B">
        <w:rPr>
          <w:rFonts w:eastAsia="Times New Roman" w:cs="Times New Roman"/>
          <w:szCs w:val="20"/>
        </w:rPr>
        <w:t xml:space="preserve">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angiotensina I nella sostanza ad attività vasocostrittrice angiotensina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angiotensina II e l'inibizione della degradazione della bradichinina portano a vasodilatazione.</w:t>
      </w:r>
    </w:p>
    <w:p w:rsidR="00AE2073" w:rsidRPr="00231543" w:rsidRDefault="00AE2073" w:rsidP="00AE2073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231543">
        <w:rPr>
          <w:rFonts w:eastAsia="Times New Roman" w:cs="Times New Roman"/>
          <w:szCs w:val="20"/>
        </w:rPr>
        <w:t xml:space="preserve">Poiché l'angiotensina II stimola anche il rilascio di </w:t>
      </w:r>
      <w:proofErr w:type="spellStart"/>
      <w:r w:rsidRPr="00231543">
        <w:rPr>
          <w:rFonts w:eastAsia="Times New Roman" w:cs="Times New Roman"/>
          <w:szCs w:val="20"/>
        </w:rPr>
        <w:t>aldosterone</w:t>
      </w:r>
      <w:proofErr w:type="spellEnd"/>
      <w:r w:rsidRPr="00231543">
        <w:rPr>
          <w:rFonts w:eastAsia="Times New Roman" w:cs="Times New Roman"/>
          <w:szCs w:val="20"/>
        </w:rPr>
        <w:t xml:space="preserve">, </w:t>
      </w:r>
      <w:proofErr w:type="spellStart"/>
      <w:r w:rsidRPr="00231543">
        <w:rPr>
          <w:rFonts w:eastAsia="Times New Roman" w:cs="Times New Roman"/>
          <w:szCs w:val="20"/>
        </w:rPr>
        <w:t>perindopril</w:t>
      </w:r>
      <w:proofErr w:type="spellEnd"/>
      <w:r w:rsidRPr="00231543">
        <w:rPr>
          <w:rFonts w:eastAsia="Times New Roman" w:cs="Times New Roman"/>
          <w:szCs w:val="20"/>
        </w:rPr>
        <w:t xml:space="preserve"> causa una riduzione nella secrezione dell'aldosterone.</w:t>
      </w:r>
    </w:p>
    <w:p w:rsidR="00AE2073" w:rsidRPr="0023154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E2073" w:rsidRPr="00231543" w:rsidRDefault="00CB2F24" w:rsidP="00AE2073">
      <w:pPr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231543">
        <w:rPr>
          <w:rFonts w:eastAsia="Calibri" w:cs="Calibri"/>
          <w:color w:val="000000"/>
          <w:lang w:eastAsia="it-IT"/>
        </w:rPr>
        <w:t xml:space="preserve"> </w:t>
      </w:r>
      <w:r w:rsidR="00AE2073" w:rsidRPr="00231543">
        <w:rPr>
          <w:rFonts w:cs="Times New Roman"/>
        </w:rPr>
        <w:t>è indicato come terapia di sostituzione per il trattamento dell’ipertensione essenziale e/o per la</w:t>
      </w:r>
      <w:r w:rsidR="00AE2073">
        <w:rPr>
          <w:rFonts w:cs="Times New Roman"/>
        </w:rPr>
        <w:t xml:space="preserve"> </w:t>
      </w:r>
      <w:r w:rsidR="00AE2073" w:rsidRPr="00231543">
        <w:rPr>
          <w:rFonts w:cs="Times New Roman"/>
        </w:rPr>
        <w:t xml:space="preserve">coronaropatia arteriosa stabile in pazienti già controllati con </w:t>
      </w:r>
      <w:proofErr w:type="spellStart"/>
      <w:r w:rsidR="00AE2073" w:rsidRPr="00231543">
        <w:rPr>
          <w:rFonts w:cs="Times New Roman"/>
        </w:rPr>
        <w:t>perindopril</w:t>
      </w:r>
      <w:proofErr w:type="spellEnd"/>
      <w:r w:rsidR="00AE2073" w:rsidRPr="00231543">
        <w:rPr>
          <w:rFonts w:cs="Times New Roman"/>
        </w:rPr>
        <w:t xml:space="preserve"> e </w:t>
      </w:r>
      <w:proofErr w:type="spellStart"/>
      <w:r w:rsidR="00AE2073" w:rsidRPr="00231543">
        <w:rPr>
          <w:rFonts w:cs="Times New Roman"/>
        </w:rPr>
        <w:t>amlodipina</w:t>
      </w:r>
      <w:proofErr w:type="spellEnd"/>
      <w:r w:rsidR="00AE2073" w:rsidRPr="00231543">
        <w:rPr>
          <w:rFonts w:cs="Times New Roman"/>
        </w:rPr>
        <w:t xml:space="preserve"> somministrati contemporaneamente alla stessa dose</w:t>
      </w:r>
      <w:r w:rsidR="00AE2073" w:rsidRPr="00231543">
        <w:rPr>
          <w:rFonts w:cs="Helvetica"/>
        </w:rPr>
        <w:t>.</w:t>
      </w:r>
    </w:p>
    <w:p w:rsidR="00AE2073" w:rsidRPr="0023154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spacing w:after="0" w:line="240" w:lineRule="auto"/>
        <w:jc w:val="both"/>
      </w:pPr>
      <w:r w:rsidRPr="00231543">
        <w:t>Poiché</w:t>
      </w:r>
      <w:r w:rsidR="00387B54">
        <w:t xml:space="preserve">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231543">
        <w:t xml:space="preserve"> contiene due principi attivi noti già usati contemporaneamente nella terapia dell’ipertensione, non sono stati forniti nuovi dati non clinici e clinici: questo approccio è accettabile poiché i medicinali </w:t>
      </w:r>
      <w:proofErr w:type="spellStart"/>
      <w:r w:rsidRPr="00231543">
        <w:t>Norvasc</w:t>
      </w:r>
      <w:proofErr w:type="spellEnd"/>
      <w:r w:rsidRPr="00231543">
        <w:t xml:space="preserve"> (</w:t>
      </w:r>
      <w:proofErr w:type="spellStart"/>
      <w:r w:rsidRPr="00231543">
        <w:t>amlodipina</w:t>
      </w:r>
      <w:proofErr w:type="spellEnd"/>
      <w:r w:rsidRPr="00231543">
        <w:t>)</w:t>
      </w:r>
      <w:r>
        <w:t xml:space="preserve"> e </w:t>
      </w:r>
      <w:proofErr w:type="spellStart"/>
      <w:r>
        <w:t>Coversyl</w:t>
      </w:r>
      <w:proofErr w:type="spellEnd"/>
      <w:r w:rsidRPr="00231543">
        <w:t xml:space="preserve"> (</w:t>
      </w:r>
      <w:proofErr w:type="spellStart"/>
      <w:r>
        <w:t>perindopril</w:t>
      </w:r>
      <w:proofErr w:type="spellEnd"/>
      <w:r>
        <w:t xml:space="preserve">) </w:t>
      </w:r>
      <w:r w:rsidRPr="00231543">
        <w:t xml:space="preserve"> sono autorizzati da oltre 10 anni.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t xml:space="preserve">La richiesta di AIC è supportata da uno studio di bioequivalenza che ha confrontato i profili farmacocinetici del medicinale test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231543">
        <w:t xml:space="preserve"> e quelli dei medicinali </w:t>
      </w:r>
      <w:proofErr w:type="spellStart"/>
      <w:r w:rsidRPr="00231543">
        <w:t>Norvasc</w:t>
      </w:r>
      <w:proofErr w:type="spellEnd"/>
      <w:r w:rsidRPr="00231543">
        <w:t xml:space="preserve"> e </w:t>
      </w:r>
      <w:proofErr w:type="spellStart"/>
      <w:r>
        <w:t>Prestarium</w:t>
      </w:r>
      <w:proofErr w:type="spellEnd"/>
      <w:r>
        <w:t xml:space="preserve"> corrispondente al medicinale </w:t>
      </w:r>
      <w:proofErr w:type="spellStart"/>
      <w:r>
        <w:t>Coversyl</w:t>
      </w:r>
      <w:proofErr w:type="spellEnd"/>
      <w:r>
        <w:t xml:space="preserve"> autorizzato in Italia</w:t>
      </w:r>
      <w:r w:rsidRPr="00231543">
        <w:t>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t>Lo studio di bioequivalenza è stato condotto in conformità alle linee guida di Buona Pratica Clinica (</w:t>
      </w:r>
      <w:proofErr w:type="spellStart"/>
      <w:r w:rsidRPr="00231543">
        <w:rPr>
          <w:i/>
        </w:rPr>
        <w:t>Good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Clinical</w:t>
      </w:r>
      <w:proofErr w:type="spellEnd"/>
      <w:r w:rsidRPr="00231543">
        <w:rPr>
          <w:i/>
        </w:rPr>
        <w:t xml:space="preserve"> </w:t>
      </w:r>
      <w:proofErr w:type="spellStart"/>
      <w:r w:rsidRPr="00231543">
        <w:rPr>
          <w:i/>
        </w:rPr>
        <w:t>Practice</w:t>
      </w:r>
      <w:proofErr w:type="spellEnd"/>
      <w:r w:rsidRPr="00231543">
        <w:t xml:space="preserve"> - GCP).</w:t>
      </w:r>
    </w:p>
    <w:p w:rsidR="00AE2073" w:rsidRPr="0023154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Le autorità regolatorie europee competenti hanno rilasciato i certificati GMP per i siti di produzione.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r w:rsidRPr="00785643">
        <w:rPr>
          <w:i/>
        </w:rPr>
        <w:t>Risk Management Plan</w:t>
      </w:r>
      <w:r>
        <w:t xml:space="preserve"> – RMP) accettabile.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spacing w:after="0" w:line="240" w:lineRule="auto"/>
        <w:jc w:val="both"/>
      </w:pPr>
    </w:p>
    <w:p w:rsidR="00AE2073" w:rsidRPr="00231543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31543">
        <w:rPr>
          <w:b/>
        </w:rPr>
        <w:t>ASPETTI DI QUALITA’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b/>
        </w:rPr>
        <w:t>II.1a PRINCIPIO ATTIVO PERINDOPRIL TERT-BUTILAMINA</w:t>
      </w:r>
    </w:p>
    <w:p w:rsidR="00AE2073" w:rsidRPr="0023154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lang w:val="en-US" w:eastAsia="it-IT"/>
        </w:rPr>
      </w:pPr>
      <w:r w:rsidRPr="00231543">
        <w:rPr>
          <w:u w:val="single"/>
          <w:lang w:val="en-US"/>
        </w:rPr>
        <w:t xml:space="preserve">Nome </w:t>
      </w:r>
      <w:proofErr w:type="spellStart"/>
      <w:r w:rsidRPr="00231543">
        <w:rPr>
          <w:u w:val="single"/>
          <w:lang w:val="en-US"/>
        </w:rPr>
        <w:t>chimico</w:t>
      </w:r>
      <w:proofErr w:type="spellEnd"/>
      <w:r w:rsidRPr="00231543">
        <w:rPr>
          <w:lang w:val="en-US"/>
        </w:rPr>
        <w:t xml:space="preserve">: </w:t>
      </w:r>
      <w:r w:rsidRPr="00231543">
        <w:rPr>
          <w:lang w:val="en-US" w:eastAsia="it-IT"/>
        </w:rPr>
        <w:t>2-Methylpropan-2-amine (2S,3aS,7aS)-1-[(2S)-2-[[(1S)-1-(</w:t>
      </w:r>
      <w:proofErr w:type="spellStart"/>
      <w:r w:rsidRPr="00231543">
        <w:rPr>
          <w:lang w:val="en-US" w:eastAsia="it-IT"/>
        </w:rPr>
        <w:t>ethoxycarbonyl</w:t>
      </w:r>
      <w:proofErr w:type="spellEnd"/>
      <w:r w:rsidRPr="00231543">
        <w:rPr>
          <w:lang w:val="en-US" w:eastAsia="it-IT"/>
        </w:rPr>
        <w:t>)butyl] amino]</w:t>
      </w:r>
      <w:proofErr w:type="spellStart"/>
      <w:r w:rsidRPr="00231543">
        <w:rPr>
          <w:lang w:val="en-US" w:eastAsia="it-IT"/>
        </w:rPr>
        <w:t>propanoyl</w:t>
      </w:r>
      <w:proofErr w:type="spellEnd"/>
      <w:r w:rsidRPr="00231543">
        <w:rPr>
          <w:lang w:val="en-US" w:eastAsia="it-IT"/>
        </w:rPr>
        <w:t>]octahydro-1H-indole-2-</w:t>
      </w:r>
    </w:p>
    <w:p w:rsidR="00AE2073" w:rsidRPr="0023154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lang w:val="en-US" w:eastAsia="it-IT"/>
        </w:rPr>
      </w:pPr>
      <w:r w:rsidRPr="00231543">
        <w:rPr>
          <w:lang w:val="en-US" w:eastAsia="it-IT"/>
        </w:rPr>
        <w:t>carboxylate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Struttura</w:t>
      </w:r>
      <w:r w:rsidRPr="00231543">
        <w:t>:</w:t>
      </w:r>
    </w:p>
    <w:p w:rsidR="00AE2073" w:rsidRPr="00231543" w:rsidRDefault="00AE2073" w:rsidP="00AE2073">
      <w:pPr>
        <w:spacing w:after="0" w:line="240" w:lineRule="auto"/>
        <w:jc w:val="center"/>
      </w:pPr>
      <w:r w:rsidRPr="00231543">
        <w:rPr>
          <w:noProof/>
          <w:lang w:eastAsia="it-IT"/>
        </w:rPr>
        <w:drawing>
          <wp:inline distT="0" distB="0" distL="0" distR="0">
            <wp:extent cx="1996031" cy="617034"/>
            <wp:effectExtent l="19050" t="0" r="4219" b="0"/>
            <wp:docPr id="1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594" cy="61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Formula molecolare</w:t>
      </w:r>
      <w:r w:rsidRPr="00231543">
        <w:t>:</w:t>
      </w:r>
      <w:r w:rsidRPr="00231543">
        <w:rPr>
          <w:rStyle w:val="s1"/>
          <w:rFonts w:asciiTheme="minorHAnsi" w:hAnsiTheme="minorHAnsi"/>
        </w:rPr>
        <w:t xml:space="preserve"> </w:t>
      </w:r>
      <w:r w:rsidRPr="00761981">
        <w:rPr>
          <w:lang w:eastAsia="it-IT"/>
        </w:rPr>
        <w:t>C</w:t>
      </w:r>
      <w:r w:rsidRPr="00761981">
        <w:rPr>
          <w:vertAlign w:val="subscript"/>
          <w:lang w:eastAsia="it-IT"/>
        </w:rPr>
        <w:t>23</w:t>
      </w:r>
      <w:r w:rsidRPr="00761981">
        <w:rPr>
          <w:lang w:eastAsia="it-IT"/>
        </w:rPr>
        <w:t>H</w:t>
      </w:r>
      <w:r w:rsidRPr="00761981">
        <w:rPr>
          <w:vertAlign w:val="subscript"/>
          <w:lang w:eastAsia="it-IT"/>
        </w:rPr>
        <w:t>43</w:t>
      </w:r>
      <w:r w:rsidRPr="00761981">
        <w:rPr>
          <w:lang w:eastAsia="it-IT"/>
        </w:rPr>
        <w:t>N</w:t>
      </w:r>
      <w:r w:rsidRPr="00761981">
        <w:rPr>
          <w:vertAlign w:val="subscript"/>
          <w:lang w:eastAsia="it-IT"/>
        </w:rPr>
        <w:t>3</w:t>
      </w:r>
      <w:r w:rsidRPr="00761981">
        <w:rPr>
          <w:lang w:eastAsia="it-IT"/>
        </w:rPr>
        <w:t>O</w:t>
      </w:r>
      <w:r w:rsidRPr="00761981">
        <w:rPr>
          <w:vertAlign w:val="subscript"/>
          <w:lang w:eastAsia="it-IT"/>
        </w:rPr>
        <w:t>5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Peso molecolare</w:t>
      </w:r>
      <w:r w:rsidRPr="00231543">
        <w:t>:</w:t>
      </w:r>
      <w:r w:rsidRPr="00231543">
        <w:rPr>
          <w:rFonts w:cs="Arial"/>
          <w:color w:val="252525"/>
          <w:shd w:val="clear" w:color="auto" w:fill="F9F9F9"/>
        </w:rPr>
        <w:t xml:space="preserve"> </w:t>
      </w:r>
      <w:r w:rsidRPr="00231543">
        <w:rPr>
          <w:lang w:eastAsia="it-IT"/>
        </w:rPr>
        <w:t xml:space="preserve">441.6 </w:t>
      </w:r>
      <w:r w:rsidRPr="00231543">
        <w:rPr>
          <w:rStyle w:val="s1"/>
          <w:rFonts w:asciiTheme="minorHAnsi" w:hAnsiTheme="minorHAnsi"/>
        </w:rPr>
        <w:t>g/mol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CAS</w:t>
      </w:r>
      <w:r w:rsidRPr="00231543">
        <w:t xml:space="preserve">: </w:t>
      </w:r>
      <w:r w:rsidRPr="00231543">
        <w:rPr>
          <w:rStyle w:val="s1"/>
          <w:rFonts w:asciiTheme="minorHAnsi" w:hAnsiTheme="minorHAnsi"/>
        </w:rPr>
        <w:t>[</w:t>
      </w:r>
      <w:r w:rsidRPr="00297B23">
        <w:rPr>
          <w:lang w:eastAsia="it-IT"/>
        </w:rPr>
        <w:t>107133-36-8</w:t>
      </w:r>
      <w:r w:rsidRPr="00231543">
        <w:rPr>
          <w:rStyle w:val="s1"/>
          <w:rFonts w:asciiTheme="minorHAnsi" w:hAnsiTheme="minorHAnsi"/>
        </w:rPr>
        <w:t>]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Aspetto</w:t>
      </w:r>
      <w:r w:rsidRPr="00231543">
        <w:t>: polvere cristallina</w:t>
      </w:r>
      <w:r>
        <w:t xml:space="preserve"> leggermente igroscopica</w:t>
      </w:r>
      <w:r w:rsidRPr="00231543">
        <w:t xml:space="preserve"> bianca o quasi bianca</w:t>
      </w:r>
      <w:r w:rsidRPr="00297B23">
        <w:rPr>
          <w:sz w:val="16"/>
          <w:szCs w:val="16"/>
          <w:lang w:eastAsia="it-IT"/>
        </w:rPr>
        <w:t xml:space="preserve"> 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Solubilità</w:t>
      </w:r>
      <w:r w:rsidRPr="00231543">
        <w:t xml:space="preserve">: </w:t>
      </w:r>
      <w:r>
        <w:t>molto</w:t>
      </w:r>
      <w:r w:rsidRPr="00231543">
        <w:t xml:space="preserve"> solubile in acqua</w:t>
      </w:r>
      <w:r>
        <w:t xml:space="preserve"> e in alcool etilico</w:t>
      </w:r>
      <w:r w:rsidRPr="00231543">
        <w:t xml:space="preserve">, molto solubile in </w:t>
      </w:r>
      <w:r>
        <w:t>metilene cloruro</w:t>
      </w:r>
      <w:r w:rsidRPr="00231543">
        <w:t>.</w:t>
      </w:r>
    </w:p>
    <w:p w:rsidR="00AE2073" w:rsidRPr="00231543" w:rsidRDefault="00AE2073" w:rsidP="00AE2073">
      <w:pPr>
        <w:spacing w:after="0" w:line="240" w:lineRule="auto"/>
        <w:jc w:val="both"/>
      </w:pPr>
      <w:r w:rsidRPr="00231543">
        <w:rPr>
          <w:u w:val="single"/>
        </w:rPr>
        <w:t>Polimorfismo</w:t>
      </w:r>
      <w:r w:rsidRPr="00231543">
        <w:t xml:space="preserve">: </w:t>
      </w:r>
      <w:proofErr w:type="spellStart"/>
      <w:r>
        <w:rPr>
          <w:lang w:eastAsia="it-IT"/>
        </w:rPr>
        <w:t>perindipril</w:t>
      </w:r>
      <w:proofErr w:type="spellEnd"/>
      <w:r w:rsidRPr="00231543">
        <w:rPr>
          <w:lang w:eastAsia="it-IT"/>
        </w:rPr>
        <w:t xml:space="preserve"> mostra polimorfismo</w:t>
      </w:r>
      <w:r w:rsidRPr="00231543">
        <w:t>.</w:t>
      </w:r>
    </w:p>
    <w:p w:rsidR="00AE2073" w:rsidRPr="00231543" w:rsidRDefault="00AE2073" w:rsidP="00AE2073">
      <w:pPr>
        <w:spacing w:after="0" w:line="240" w:lineRule="auto"/>
        <w:jc w:val="both"/>
      </w:pPr>
    </w:p>
    <w:p w:rsidR="00AE2073" w:rsidRPr="006C0B0D" w:rsidRDefault="00AE2073" w:rsidP="00AE2073">
      <w:pPr>
        <w:spacing w:after="0" w:line="240" w:lineRule="auto"/>
        <w:jc w:val="both"/>
      </w:pPr>
      <w:r w:rsidRPr="00231543">
        <w:t xml:space="preserve">Il principio attivo </w:t>
      </w:r>
      <w:proofErr w:type="spellStart"/>
      <w:r>
        <w:t>perindopril</w:t>
      </w:r>
      <w:proofErr w:type="spellEnd"/>
      <w:r w:rsidRPr="00231543">
        <w:t xml:space="preserve"> è presente in Farmacopea Europea e il </w:t>
      </w:r>
      <w:proofErr w:type="spellStart"/>
      <w:r w:rsidRPr="00231543">
        <w:t>Direttorato</w:t>
      </w:r>
      <w:proofErr w:type="spellEnd"/>
      <w:r w:rsidRPr="00231543">
        <w:t xml:space="preserve"> Europeo per la Qualità dei</w:t>
      </w:r>
      <w:r w:rsidRPr="00BE62FE">
        <w:t xml:space="preserve"> Medicinali (</w:t>
      </w:r>
      <w:proofErr w:type="spellStart"/>
      <w:r w:rsidRPr="00BE62FE">
        <w:rPr>
          <w:i/>
        </w:rPr>
        <w:t>European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Directorate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for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Quality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of</w:t>
      </w:r>
      <w:proofErr w:type="spellEnd"/>
      <w:r w:rsidRPr="00BE62FE">
        <w:rPr>
          <w:i/>
        </w:rPr>
        <w:t xml:space="preserve"> </w:t>
      </w:r>
      <w:proofErr w:type="spellStart"/>
      <w:r w:rsidRPr="00BE62FE">
        <w:rPr>
          <w:i/>
        </w:rPr>
        <w:t>Medicnals</w:t>
      </w:r>
      <w:proofErr w:type="spellEnd"/>
      <w:r w:rsidRPr="00BE62FE">
        <w:t xml:space="preserve"> – EDQM) ha rilasciato </w:t>
      </w:r>
      <w:r>
        <w:t xml:space="preserve">al produttore </w:t>
      </w:r>
      <w:r w:rsidRPr="00BE62FE">
        <w:t>il certificato di</w:t>
      </w:r>
      <w:r w:rsidRPr="006C0B0D">
        <w:t xml:space="preserve"> conformità alla Farmacopea Europea</w:t>
      </w:r>
      <w:r>
        <w:t>.</w:t>
      </w:r>
    </w:p>
    <w:p w:rsidR="00AE2073" w:rsidRDefault="00AE2073" w:rsidP="00AE2073">
      <w:pPr>
        <w:spacing w:after="0" w:line="240" w:lineRule="auto"/>
        <w:jc w:val="both"/>
      </w:pPr>
      <w:r>
        <w:t>T</w:t>
      </w:r>
      <w:r w:rsidRPr="006C0B0D">
        <w:t>utti gli aspetti di produzione e controllo sono coperti dal certificato di conformità alla Farmacopea Europea.</w:t>
      </w:r>
      <w:r>
        <w:t xml:space="preserve"> </w:t>
      </w:r>
      <w:r w:rsidRPr="006C0B0D">
        <w:t xml:space="preserve">Il principio attivo è confezionato in </w:t>
      </w:r>
      <w:r>
        <w:t xml:space="preserve">sacche di polietilene inserite in sacche di alluminio; il periodo di </w:t>
      </w:r>
      <w:proofErr w:type="spellStart"/>
      <w:r>
        <w:t>retest</w:t>
      </w:r>
      <w:proofErr w:type="spellEnd"/>
      <w:r>
        <w:t xml:space="preserve"> è stato stabilito in 36 mesi.</w:t>
      </w:r>
    </w:p>
    <w:p w:rsidR="00AE2073" w:rsidRPr="006C0B0D" w:rsidRDefault="00AE2073" w:rsidP="00AE2073">
      <w:pPr>
        <w:spacing w:after="0" w:line="240" w:lineRule="auto"/>
        <w:jc w:val="both"/>
      </w:pPr>
    </w:p>
    <w:p w:rsidR="00AE2073" w:rsidRPr="006C0B0D" w:rsidRDefault="00AE2073" w:rsidP="00AE2073">
      <w:pPr>
        <w:spacing w:after="0" w:line="240" w:lineRule="auto"/>
        <w:jc w:val="both"/>
      </w:pPr>
      <w:r w:rsidRPr="006C0B0D">
        <w:rPr>
          <w:b/>
        </w:rPr>
        <w:t>II.1b PRINCIPIO ATTIVO AMLODIPINA BESILATO</w:t>
      </w:r>
    </w:p>
    <w:p w:rsidR="00AE2073" w:rsidRPr="006C0B0D" w:rsidRDefault="00AE2073" w:rsidP="00AE2073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Pr="006C0B0D">
        <w:rPr>
          <w:lang w:eastAsia="it-IT"/>
        </w:rPr>
        <w:t>benzenesulfonate</w:t>
      </w:r>
      <w:proofErr w:type="spellEnd"/>
      <w:r w:rsidRPr="006C0B0D">
        <w:t xml:space="preserve"> </w:t>
      </w:r>
    </w:p>
    <w:p w:rsidR="00AE2073" w:rsidRPr="006C0B0D" w:rsidRDefault="00AE2073" w:rsidP="00AE2073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AE2073" w:rsidRPr="006C0B0D" w:rsidRDefault="00AE2073" w:rsidP="00AE2073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947389" cy="1114618"/>
            <wp:effectExtent l="19050" t="0" r="5111" b="0"/>
            <wp:docPr id="11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1" cy="112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12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C</w:t>
      </w:r>
      <w:r w:rsidRPr="00BE62FE">
        <w:rPr>
          <w:rStyle w:val="s1"/>
          <w:rFonts w:asciiTheme="minorHAnsi" w:hAnsiTheme="minorHAnsi"/>
          <w:vertAlign w:val="subscript"/>
        </w:rPr>
        <w:t>26</w:t>
      </w:r>
      <w:r w:rsidRPr="00BE62FE">
        <w:rPr>
          <w:rStyle w:val="s1"/>
          <w:rFonts w:asciiTheme="minorHAnsi" w:hAnsiTheme="minorHAnsi"/>
        </w:rPr>
        <w:t>H</w:t>
      </w:r>
      <w:r w:rsidRPr="00BE62FE">
        <w:rPr>
          <w:rStyle w:val="s1"/>
          <w:rFonts w:asciiTheme="minorHAnsi" w:hAnsiTheme="minorHAnsi"/>
          <w:vertAlign w:val="subscript"/>
        </w:rPr>
        <w:t>31</w:t>
      </w:r>
      <w:r w:rsidRPr="00BE62FE">
        <w:rPr>
          <w:rStyle w:val="s1"/>
          <w:rFonts w:asciiTheme="minorHAnsi" w:hAnsiTheme="minorHAnsi"/>
        </w:rPr>
        <w:t>ClN</w:t>
      </w:r>
      <w:r w:rsidRPr="00BE62FE">
        <w:rPr>
          <w:rStyle w:val="s1"/>
          <w:rFonts w:asciiTheme="minorHAnsi" w:hAnsiTheme="minorHAnsi"/>
          <w:vertAlign w:val="subscript"/>
        </w:rPr>
        <w:t>2</w:t>
      </w:r>
      <w:r w:rsidRPr="00BE62FE">
        <w:rPr>
          <w:rStyle w:val="s1"/>
          <w:rFonts w:asciiTheme="minorHAnsi" w:hAnsiTheme="minorHAnsi"/>
        </w:rPr>
        <w:t>O</w:t>
      </w:r>
      <w:r w:rsidRPr="00BE62FE">
        <w:rPr>
          <w:rStyle w:val="s1"/>
          <w:rFonts w:asciiTheme="minorHAnsi" w:hAnsiTheme="minorHAnsi"/>
          <w:vertAlign w:val="subscript"/>
        </w:rPr>
        <w:t>8</w:t>
      </w:r>
      <w:r w:rsidRPr="00BE62FE">
        <w:rPr>
          <w:rStyle w:val="s1"/>
          <w:rFonts w:asciiTheme="minorHAnsi" w:hAnsiTheme="minorHAnsi"/>
        </w:rPr>
        <w:t>S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 xml:space="preserve">: </w:t>
      </w:r>
      <w:r w:rsidRPr="00BE62FE">
        <w:rPr>
          <w:rStyle w:val="s1"/>
          <w:rFonts w:asciiTheme="minorHAnsi" w:hAnsiTheme="minorHAnsi"/>
        </w:rPr>
        <w:t>567.1</w:t>
      </w:r>
      <w:r>
        <w:rPr>
          <w:rStyle w:val="s1"/>
          <w:rFonts w:asciiTheme="minorHAnsi" w:hAnsiTheme="minorHAnsi"/>
        </w:rPr>
        <w:t xml:space="preserve"> g/mol</w:t>
      </w:r>
    </w:p>
    <w:p w:rsidR="00AE2073" w:rsidRPr="0078557E" w:rsidRDefault="00AE2073" w:rsidP="00AE2073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Pr="0078557E">
        <w:rPr>
          <w:rStyle w:val="s1"/>
          <w:rFonts w:asciiTheme="minorHAnsi" w:hAnsiTheme="minorHAnsi"/>
        </w:rPr>
        <w:t>[111470-99-6]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Pr="00BE62FE">
        <w:t>: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 poco solubile in acqua</w:t>
      </w:r>
      <w:r w:rsidRPr="00BE62FE">
        <w:rPr>
          <w:rStyle w:val="s1"/>
          <w:rFonts w:asciiTheme="minorHAnsi" w:hAnsiTheme="minorHAnsi"/>
        </w:rPr>
        <w:t xml:space="preserve"> e 2-propanolo</w:t>
      </w:r>
      <w:r w:rsidRPr="00BE62FE">
        <w:t>, molto solubile in metanolo, moderatamente solubile in etanolo anidro</w:t>
      </w:r>
    </w:p>
    <w:p w:rsidR="00AE2073" w:rsidRPr="00BE62FE" w:rsidRDefault="00AE2073" w:rsidP="00AE2073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Pr="00BE62FE">
        <w:rPr>
          <w:lang w:eastAsia="it-IT"/>
        </w:rPr>
        <w:t>amlodipina</w:t>
      </w:r>
      <w:proofErr w:type="spellEnd"/>
      <w:r w:rsidRPr="00BE62FE">
        <w:rPr>
          <w:lang w:eastAsia="it-IT"/>
        </w:rPr>
        <w:t xml:space="preserve"> </w:t>
      </w:r>
      <w:proofErr w:type="spellStart"/>
      <w:r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AE2073" w:rsidRPr="006C0B0D" w:rsidRDefault="00AE2073" w:rsidP="00AE2073">
      <w:pPr>
        <w:spacing w:after="0" w:line="240" w:lineRule="auto"/>
        <w:jc w:val="both"/>
      </w:pPr>
    </w:p>
    <w:p w:rsidR="00AE2073" w:rsidRPr="006C0B0D" w:rsidRDefault="00AE2073" w:rsidP="00AE2073">
      <w:pPr>
        <w:spacing w:after="0" w:line="240" w:lineRule="auto"/>
        <w:jc w:val="both"/>
      </w:pPr>
      <w:r w:rsidRPr="006C0B0D">
        <w:lastRenderedPageBreak/>
        <w:t xml:space="preserve">Il principio attivo </w:t>
      </w:r>
      <w:proofErr w:type="spellStart"/>
      <w:r w:rsidRPr="006C0B0D">
        <w:t>Amlodipina</w:t>
      </w:r>
      <w:proofErr w:type="spellEnd"/>
      <w:r w:rsidRPr="006C0B0D">
        <w:t xml:space="preserve"> </w:t>
      </w:r>
      <w:proofErr w:type="spellStart"/>
      <w:r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>
        <w:t xml:space="preserve"> al produttore</w:t>
      </w:r>
      <w:r w:rsidRPr="006C0B0D">
        <w:t xml:space="preserve"> il certificato di conformità alla Farmacopea Europea</w:t>
      </w:r>
    </w:p>
    <w:p w:rsidR="00AE2073" w:rsidRDefault="00AE2073" w:rsidP="00AE2073">
      <w:pPr>
        <w:spacing w:after="0" w:line="240" w:lineRule="auto"/>
        <w:jc w:val="both"/>
      </w:pPr>
      <w:r w:rsidRPr="006C0B0D">
        <w:t xml:space="preserve">Tutti gli aspetti di produzione e controllo sono coperti dal certificato di conformità alla Farmacopea Europea. Il principio attivo è confezionato in doppia sacca in polietilene.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532E32" w:rsidRDefault="00AE2073" w:rsidP="00AE2073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AE2073" w:rsidRPr="00297B23" w:rsidRDefault="00AE2073" w:rsidP="00AE2073">
      <w:pPr>
        <w:spacing w:after="0" w:line="240" w:lineRule="auto"/>
        <w:jc w:val="both"/>
        <w:rPr>
          <w:b/>
        </w:rPr>
      </w:pPr>
      <w:r w:rsidRPr="00297B23">
        <w:rPr>
          <w:b/>
        </w:rPr>
        <w:t>Descrizione e composizione</w:t>
      </w:r>
    </w:p>
    <w:p w:rsidR="00AE2073" w:rsidRPr="00297B23" w:rsidRDefault="00CB2F24" w:rsidP="00AE207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297B23">
        <w:rPr>
          <w:rFonts w:eastAsia="Calibri" w:cs="Calibri"/>
          <w:color w:val="000000"/>
        </w:rPr>
        <w:t xml:space="preserve"> è disponibile in compresse contenenti diversi dosaggi dei due principi attivi:</w:t>
      </w:r>
      <w:r w:rsidR="00AE2073" w:rsidRPr="00297B23">
        <w:t xml:space="preserve"> 4 mg + 5 mg, 8 mg + 5 mg, 8 mg + 5 mg, 8 mg + 10 mg.</w:t>
      </w:r>
    </w:p>
    <w:p w:rsidR="00AE2073" w:rsidRPr="00297B2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297B23">
        <w:t xml:space="preserve">Gli eccipienti sono </w:t>
      </w:r>
      <w:r>
        <w:t>c</w:t>
      </w:r>
      <w:r>
        <w:rPr>
          <w:lang w:eastAsia="it-IT"/>
        </w:rPr>
        <w:t>ellulosa</w:t>
      </w:r>
      <w:r w:rsidRPr="00297B23">
        <w:rPr>
          <w:lang w:eastAsia="it-IT"/>
        </w:rPr>
        <w:t xml:space="preserve"> </w:t>
      </w:r>
      <w:r>
        <w:rPr>
          <w:lang w:eastAsia="it-IT"/>
        </w:rPr>
        <w:t>microcristallina, sodio amido glicolato, silice colloidale anidra, m</w:t>
      </w:r>
      <w:r w:rsidRPr="00297B23">
        <w:rPr>
          <w:lang w:eastAsia="it-IT"/>
        </w:rPr>
        <w:t>agnesi</w:t>
      </w:r>
      <w:r>
        <w:rPr>
          <w:lang w:eastAsia="it-IT"/>
        </w:rPr>
        <w:t>o s</w:t>
      </w:r>
      <w:r w:rsidRPr="00297B23">
        <w:rPr>
          <w:lang w:eastAsia="it-IT"/>
        </w:rPr>
        <w:t>tearat</w:t>
      </w:r>
      <w:r>
        <w:rPr>
          <w:lang w:eastAsia="it-IT"/>
        </w:rPr>
        <w:t>o.</w:t>
      </w:r>
    </w:p>
    <w:p w:rsidR="00AE2073" w:rsidRPr="00297B23" w:rsidRDefault="00AE2073" w:rsidP="00AE2073">
      <w:pPr>
        <w:spacing w:after="0" w:line="240" w:lineRule="auto"/>
        <w:ind w:right="13"/>
        <w:jc w:val="both"/>
      </w:pPr>
      <w:r w:rsidRPr="00297B23">
        <w:t>Tutti gli eccipienti sono conformi alla relativa monografia di Farmacopea Europea.</w:t>
      </w:r>
    </w:p>
    <w:p w:rsidR="00AE2073" w:rsidRPr="005702AF" w:rsidRDefault="00AE2073" w:rsidP="00AE2073">
      <w:pPr>
        <w:spacing w:after="0" w:line="240" w:lineRule="auto"/>
        <w:jc w:val="both"/>
      </w:pPr>
      <w:r w:rsidRPr="00297B23">
        <w:t xml:space="preserve">Il solo eccipiente di originale animale è </w:t>
      </w:r>
      <w:r>
        <w:t>il magnesio stearato</w:t>
      </w:r>
      <w:r w:rsidRPr="00297B23">
        <w:t>; è stata fornita una dichiarazione che nella sua</w:t>
      </w:r>
      <w:r w:rsidRPr="005702AF">
        <w:t xml:space="preserve"> produzione sono utilizzati animali sani della stessa qualità utilizzata per il consumo umano.</w:t>
      </w:r>
    </w:p>
    <w:p w:rsidR="00AE2073" w:rsidRDefault="00AE2073" w:rsidP="00AE2073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9320D1" w:rsidRDefault="00AE2073" w:rsidP="00AE2073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AE2073" w:rsidRDefault="00AE2073" w:rsidP="00AE2073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AE2073" w:rsidRDefault="00AE2073" w:rsidP="00AE2073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ai due medicinali di riferimento contenenti i due principi attivi: </w:t>
      </w:r>
      <w:proofErr w:type="spellStart"/>
      <w:r>
        <w:t>Norvasc</w:t>
      </w:r>
      <w:proofErr w:type="spellEnd"/>
      <w:r>
        <w:t xml:space="preserve"> (</w:t>
      </w:r>
      <w:proofErr w:type="spellStart"/>
      <w:r>
        <w:t>amlodipina</w:t>
      </w:r>
      <w:proofErr w:type="spellEnd"/>
      <w:r>
        <w:t xml:space="preserve">) e </w:t>
      </w:r>
      <w:proofErr w:type="spellStart"/>
      <w:r>
        <w:t>Coversyl</w:t>
      </w:r>
      <w:proofErr w:type="spellEnd"/>
      <w:r>
        <w:t xml:space="preserve"> (</w:t>
      </w:r>
      <w:proofErr w:type="spellStart"/>
      <w:r>
        <w:t>perindopril</w:t>
      </w:r>
      <w:proofErr w:type="spellEnd"/>
      <w:r>
        <w:t>).</w:t>
      </w:r>
    </w:p>
    <w:p w:rsidR="00AE2073" w:rsidRDefault="00AE2073" w:rsidP="00AE2073">
      <w:pPr>
        <w:spacing w:after="0" w:line="240" w:lineRule="auto"/>
        <w:jc w:val="both"/>
      </w:pPr>
      <w:r>
        <w:t>Sono stati forniti dati comparatici relativi al profilo di dissoluzione e al profilo di impurezze rispetto ai medicinali di riferimento. I dati sono soddisfacenti.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2626E" w:rsidRDefault="00AE2073" w:rsidP="00AE2073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AE2073" w:rsidRDefault="00AE2073" w:rsidP="00AE2073">
      <w:pPr>
        <w:spacing w:after="0" w:line="240" w:lineRule="auto"/>
        <w:jc w:val="both"/>
      </w:pPr>
      <w:r w:rsidRPr="00AD5841">
        <w:t xml:space="preserve">Sono stati forniti una descrizione del metodo di produzione e </w:t>
      </w:r>
      <w:r w:rsidR="00DF248A" w:rsidRPr="00AD5841">
        <w:t>il relativo</w:t>
      </w:r>
      <w:r w:rsidRPr="00AD5841">
        <w:t xml:space="preserve"> flow-chart.</w:t>
      </w:r>
    </w:p>
    <w:p w:rsidR="00AE2073" w:rsidRDefault="00AE2073" w:rsidP="00AE2073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2626E" w:rsidRDefault="00AE2073" w:rsidP="00AE2073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AE2073" w:rsidRPr="005702AF" w:rsidRDefault="00AE2073" w:rsidP="00AE2073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AE2073" w:rsidRDefault="00AE2073" w:rsidP="00AE2073">
      <w:pPr>
        <w:spacing w:after="0" w:line="240" w:lineRule="auto"/>
        <w:jc w:val="both"/>
        <w:rPr>
          <w:b/>
        </w:rPr>
      </w:pPr>
    </w:p>
    <w:p w:rsidR="00AE2073" w:rsidRPr="005702AF" w:rsidRDefault="00AE2073" w:rsidP="00AE2073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AE2073" w:rsidRPr="005702AF" w:rsidRDefault="00CB2F24" w:rsidP="00AE2073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5702AF">
        <w:t xml:space="preserve"> è confezionato in blister di </w:t>
      </w:r>
      <w:r w:rsidR="00AE2073">
        <w:rPr>
          <w:rFonts w:ascii="Calibri" w:hAnsi="Calibri"/>
        </w:rPr>
        <w:t xml:space="preserve">PA/Alluminio/PVC </w:t>
      </w:r>
      <w:r w:rsidR="00AE2073" w:rsidRPr="005702AF">
        <w:t>e Alluminio</w:t>
      </w:r>
      <w:r w:rsidR="00AE2073">
        <w:t>.</w:t>
      </w:r>
      <w:r w:rsidR="00AE2073" w:rsidRPr="005702AF">
        <w:t xml:space="preserve"> Sono state fornite specifiche e certificati analitici per tutti i componenti del confezionamento primario, che è adeguato per il medicinale.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5702AF" w:rsidRDefault="00AE2073" w:rsidP="00AE2073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AE2073" w:rsidRDefault="00AE2073" w:rsidP="00AE2073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è stato autorizzato un period</w:t>
      </w:r>
      <w:r>
        <w:t>o</w:t>
      </w:r>
      <w:r w:rsidRPr="005702AF">
        <w:t xml:space="preserve"> di</w:t>
      </w:r>
      <w:r>
        <w:t xml:space="preserve"> validità di 2 anni con conservazione al riparo da luce e umidità.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DF7B22" w:rsidRDefault="00AE2073" w:rsidP="00AE207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E2073" w:rsidRDefault="00AE2073" w:rsidP="00AE207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è considerata adeguata. Non ci sono obiezioni per l’approvazione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dal punto di vista chimico-farmaceutico.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DF7B22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lastRenderedPageBreak/>
        <w:t>ASPETTI NON CLINICI</w:t>
      </w:r>
    </w:p>
    <w:p w:rsidR="00AE2073" w:rsidRDefault="00AE2073" w:rsidP="00AE207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contiene due principi attivi noti già usati contemporaneamente nella terapia dell’ipertensione: questo approccio è accettabile poiché i medicinali di riferimento </w:t>
      </w:r>
      <w:proofErr w:type="spellStart"/>
      <w:r>
        <w:t>Norvasc</w:t>
      </w:r>
      <w:proofErr w:type="spellEnd"/>
      <w:r>
        <w:t xml:space="preserve"> e </w:t>
      </w:r>
      <w:proofErr w:type="spellStart"/>
      <w:r>
        <w:t>Coversyl</w:t>
      </w:r>
      <w:proofErr w:type="spellEnd"/>
      <w:r>
        <w:t xml:space="preserve"> sono autorizzati da oltre 10 anni.</w:t>
      </w:r>
    </w:p>
    <w:p w:rsidR="00AE2073" w:rsidRDefault="00AE2073" w:rsidP="00AE2073">
      <w:pPr>
        <w:spacing w:after="0" w:line="240" w:lineRule="auto"/>
        <w:jc w:val="both"/>
      </w:pPr>
      <w:r>
        <w:t>Non ci sono obiezioni per l’approvazione dal punto di vista non clinico.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5A38F5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E2073" w:rsidRDefault="00CB2F24" w:rsidP="00AE2073">
      <w:pPr>
        <w:spacing w:after="0" w:line="240" w:lineRule="auto"/>
        <w:ind w:right="6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Botinero</w:t>
      </w:r>
      <w:proofErr w:type="spellEnd"/>
      <w:r w:rsidR="00AE2073" w:rsidRPr="00A34141">
        <w:t xml:space="preserve"> </w:t>
      </w:r>
      <w:r w:rsidR="00AE2073" w:rsidRPr="00231543">
        <w:rPr>
          <w:rFonts w:cs="Times New Roman"/>
        </w:rPr>
        <w:t>è indicato come terapia di sostituzione per il trattamento dell’ipertensione essenziale e/o per la</w:t>
      </w:r>
      <w:r w:rsidR="00AE2073">
        <w:rPr>
          <w:rFonts w:cs="Times New Roman"/>
        </w:rPr>
        <w:t xml:space="preserve"> </w:t>
      </w:r>
      <w:r w:rsidR="00AE2073" w:rsidRPr="00231543">
        <w:rPr>
          <w:rFonts w:cs="Times New Roman"/>
        </w:rPr>
        <w:t xml:space="preserve">coronaropatia arteriosa stabile in pazienti già controllati con </w:t>
      </w:r>
      <w:proofErr w:type="spellStart"/>
      <w:r w:rsidR="00AE2073" w:rsidRPr="00231543">
        <w:rPr>
          <w:rFonts w:cs="Times New Roman"/>
        </w:rPr>
        <w:t>perindopril</w:t>
      </w:r>
      <w:proofErr w:type="spellEnd"/>
      <w:r w:rsidR="00AE2073" w:rsidRPr="00231543">
        <w:rPr>
          <w:rFonts w:cs="Times New Roman"/>
        </w:rPr>
        <w:t xml:space="preserve"> e </w:t>
      </w:r>
      <w:proofErr w:type="spellStart"/>
      <w:r w:rsidR="00AE2073" w:rsidRPr="00231543">
        <w:rPr>
          <w:rFonts w:cs="Times New Roman"/>
        </w:rPr>
        <w:t>amlodipina</w:t>
      </w:r>
      <w:proofErr w:type="spellEnd"/>
      <w:r w:rsidR="00AE2073" w:rsidRPr="00231543">
        <w:rPr>
          <w:rFonts w:cs="Times New Roman"/>
        </w:rPr>
        <w:t xml:space="preserve"> somministrati contemporaneamente alla stessa dose</w:t>
      </w:r>
      <w:r w:rsidR="00AE2073" w:rsidRPr="00231543">
        <w:rPr>
          <w:rFonts w:cs="Helvetica"/>
        </w:rPr>
        <w:t>.</w:t>
      </w:r>
    </w:p>
    <w:p w:rsidR="00AE2073" w:rsidRDefault="00AE2073" w:rsidP="00AE2073">
      <w:pPr>
        <w:spacing w:after="0" w:line="240" w:lineRule="auto"/>
        <w:ind w:right="6"/>
        <w:jc w:val="both"/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2B6D26" w:rsidRDefault="00AE2073" w:rsidP="00AE207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rPr>
          <w:rFonts w:eastAsia="Calibri" w:cs="Calibri"/>
          <w:lang w:eastAsia="it-IT"/>
        </w:rPr>
        <w:t>perindopril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AE2073" w:rsidRDefault="00AE2073" w:rsidP="00AE207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E2073" w:rsidRPr="006556D6" w:rsidRDefault="00AE2073" w:rsidP="00AE207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E2073" w:rsidRDefault="00AE2073" w:rsidP="00AE207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perindopril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A34141">
        <w:t xml:space="preserve"> contiene due principi attivi noti già usati contemporaneamente nella terapia dell’ipertensione e presenti in due medicinali </w:t>
      </w:r>
      <w:proofErr w:type="spellStart"/>
      <w:r w:rsidRPr="00A34141">
        <w:t>Norvasc</w:t>
      </w:r>
      <w:proofErr w:type="spellEnd"/>
      <w:r w:rsidRPr="00A34141">
        <w:t xml:space="preserve"> (</w:t>
      </w:r>
      <w:proofErr w:type="spellStart"/>
      <w:r w:rsidRPr="00A34141">
        <w:t>amlodipina</w:t>
      </w:r>
      <w:proofErr w:type="spellEnd"/>
      <w:r w:rsidRPr="00A34141">
        <w:t xml:space="preserve">) e </w:t>
      </w:r>
      <w:proofErr w:type="spellStart"/>
      <w:r>
        <w:t>Coversyl</w:t>
      </w:r>
      <w:proofErr w:type="spellEnd"/>
      <w:r>
        <w:t xml:space="preserve"> </w:t>
      </w:r>
      <w:r w:rsidRPr="00A34141">
        <w:t>(</w:t>
      </w:r>
      <w:proofErr w:type="spellStart"/>
      <w:r>
        <w:t>perindo</w:t>
      </w:r>
      <w:r w:rsidRPr="00A34141">
        <w:t>pril</w:t>
      </w:r>
      <w:proofErr w:type="spellEnd"/>
      <w:r w:rsidRPr="00A34141">
        <w:t>) autorizzati da più di 10 anni.</w:t>
      </w:r>
    </w:p>
    <w:p w:rsidR="00AE2073" w:rsidRDefault="00AE2073" w:rsidP="00AE2073">
      <w:pPr>
        <w:spacing w:after="0" w:line="240" w:lineRule="auto"/>
        <w:jc w:val="both"/>
      </w:pPr>
    </w:p>
    <w:p w:rsidR="00AE2073" w:rsidRPr="006556D6" w:rsidRDefault="00AE2073" w:rsidP="00AE207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AE2073" w:rsidRPr="00FA7C92" w:rsidRDefault="00AE2073" w:rsidP="00AE2073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A34141">
        <w:t xml:space="preserve"> e quelli dei medicinali di riferimento </w:t>
      </w:r>
      <w:proofErr w:type="spellStart"/>
      <w:r w:rsidRPr="00A34141">
        <w:t>Norvasc</w:t>
      </w:r>
      <w:proofErr w:type="spellEnd"/>
      <w:r w:rsidRPr="00A34141">
        <w:t xml:space="preserve"> (</w:t>
      </w:r>
      <w:proofErr w:type="spellStart"/>
      <w:r w:rsidRPr="00A34141">
        <w:t>amlodipina</w:t>
      </w:r>
      <w:proofErr w:type="spellEnd"/>
      <w:r w:rsidRPr="00A34141">
        <w:t xml:space="preserve">) e </w:t>
      </w:r>
      <w:proofErr w:type="spellStart"/>
      <w:r>
        <w:t>Prestarium</w:t>
      </w:r>
      <w:proofErr w:type="spellEnd"/>
      <w:r>
        <w:t xml:space="preserve"> corrispondente al </w:t>
      </w:r>
      <w:r w:rsidRPr="00FA7C92">
        <w:t xml:space="preserve">medicinale </w:t>
      </w:r>
      <w:proofErr w:type="spellStart"/>
      <w:r w:rsidRPr="00FA7C92">
        <w:t>Coversyl</w:t>
      </w:r>
      <w:proofErr w:type="spellEnd"/>
      <w:r w:rsidRPr="00FA7C92">
        <w:t xml:space="preserve"> autorizzato in Italia (</w:t>
      </w:r>
      <w:proofErr w:type="spellStart"/>
      <w:r w:rsidRPr="00FA7C92">
        <w:t>perindoipril</w:t>
      </w:r>
      <w:proofErr w:type="spellEnd"/>
      <w:r w:rsidRPr="00FA7C92">
        <w:t xml:space="preserve">). </w:t>
      </w:r>
    </w:p>
    <w:p w:rsidR="00AE2073" w:rsidRPr="00FA7C92" w:rsidRDefault="00AE2073" w:rsidP="00AE2073">
      <w:pPr>
        <w:pStyle w:val="Paragrafoelenco"/>
        <w:spacing w:after="0" w:line="240" w:lineRule="auto"/>
        <w:ind w:left="0"/>
        <w:jc w:val="both"/>
      </w:pPr>
      <w:r w:rsidRPr="00FA7C92">
        <w:t>Lo studio era caratterizzato da un appropriato disegno ed è stato condotto in accordo ai principi GCP. Sono stati forniti certificati analitici per medicinale test e medicinali di riferimento.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>Lo studio di bioequivalenza è uno studio comparativo, aperto, randomizzato, a dose singola, replicato, 2-periodi, crossover condotto in 42 volontari sani con somministrazione a digiuno. Un soddisfacente periodo di wash-out di 28 giorni è stato previsto tra le somministrazioni in ogni gruppo.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>Campioni di sangue sono stati prelevati al tempo zero (</w:t>
      </w:r>
      <w:proofErr w:type="spellStart"/>
      <w:r w:rsidRPr="00FA7C92">
        <w:rPr>
          <w:rFonts w:cs="Helvetica"/>
        </w:rPr>
        <w:t>pre-dose</w:t>
      </w:r>
      <w:proofErr w:type="spellEnd"/>
      <w:r w:rsidRPr="00FA7C92">
        <w:rPr>
          <w:rFonts w:cs="Helvetica"/>
        </w:rPr>
        <w:t>) e a specificati tempi fino a 12 ore (</w:t>
      </w:r>
      <w:proofErr w:type="spellStart"/>
      <w:r w:rsidRPr="00FA7C92">
        <w:rPr>
          <w:rFonts w:cs="Helvetica"/>
        </w:rPr>
        <w:t>perindopril</w:t>
      </w:r>
      <w:proofErr w:type="spellEnd"/>
      <w:r w:rsidRPr="00FA7C92">
        <w:rPr>
          <w:rFonts w:cs="Helvetica"/>
        </w:rPr>
        <w:t>) e 72 ore (</w:t>
      </w:r>
      <w:proofErr w:type="spellStart"/>
      <w:r w:rsidRPr="00FA7C92">
        <w:rPr>
          <w:rFonts w:cs="Helvetica"/>
        </w:rPr>
        <w:t>amlodipina</w:t>
      </w:r>
      <w:proofErr w:type="spellEnd"/>
      <w:r w:rsidRPr="00FA7C92">
        <w:rPr>
          <w:rFonts w:cs="Helvetica"/>
        </w:rPr>
        <w:t xml:space="preserve">) dopo la somministrazione. I livelli plasmatici di </w:t>
      </w:r>
      <w:proofErr w:type="spellStart"/>
      <w:r w:rsidRPr="00FA7C92">
        <w:rPr>
          <w:rFonts w:cs="Helvetica"/>
        </w:rPr>
        <w:t>perindopril</w:t>
      </w:r>
      <w:proofErr w:type="spellEnd"/>
      <w:r w:rsidRPr="00FA7C92">
        <w:rPr>
          <w:rFonts w:cs="Helvetica"/>
        </w:rPr>
        <w:t xml:space="preserve"> e </w:t>
      </w:r>
      <w:proofErr w:type="spellStart"/>
      <w:r w:rsidRPr="00FA7C92">
        <w:rPr>
          <w:rFonts w:cs="Helvetica"/>
        </w:rPr>
        <w:t>amlodipina</w:t>
      </w:r>
      <w:proofErr w:type="spellEnd"/>
      <w:r w:rsidRPr="00FA7C92">
        <w:rPr>
          <w:rFonts w:cs="Helvetica"/>
        </w:rPr>
        <w:t xml:space="preserve"> sono stati determinati mediante un metodo analitico HPLC-MS opportunamente convalidato.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>Le variabili farmacocinetiche definite sono state AUC</w:t>
      </w:r>
      <w:r w:rsidRPr="00FA7C92">
        <w:rPr>
          <w:rFonts w:cs="Helvetica"/>
          <w:vertAlign w:val="subscript"/>
        </w:rPr>
        <w:t>0-t</w:t>
      </w:r>
      <w:r w:rsidRPr="00FA7C92">
        <w:rPr>
          <w:rFonts w:cs="Helvetica"/>
        </w:rPr>
        <w:t>, AUC</w:t>
      </w:r>
      <w:r w:rsidRPr="00FA7C92">
        <w:rPr>
          <w:rFonts w:cs="Helvetica"/>
          <w:vertAlign w:val="subscript"/>
        </w:rPr>
        <w:t>0-</w:t>
      </w:r>
      <w:r w:rsidRPr="00FA7C92">
        <w:rPr>
          <w:rFonts w:cs="Helvetica"/>
          <w:vertAlign w:val="subscript"/>
        </w:rPr>
        <w:sym w:font="Symbol" w:char="F0A5"/>
      </w:r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C</w:t>
      </w:r>
      <w:r w:rsidRPr="00FA7C92">
        <w:rPr>
          <w:rFonts w:cs="Helvetica"/>
          <w:vertAlign w:val="subscript"/>
        </w:rPr>
        <w:t>max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t</w:t>
      </w:r>
      <w:r w:rsidRPr="00FA7C92">
        <w:rPr>
          <w:rFonts w:cs="Helvetica"/>
          <w:vertAlign w:val="subscript"/>
        </w:rPr>
        <w:t>max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K</w:t>
      </w:r>
      <w:r w:rsidRPr="00FA7C92">
        <w:rPr>
          <w:rFonts w:cs="Helvetica"/>
          <w:vertAlign w:val="subscript"/>
        </w:rPr>
        <w:t>el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t</w:t>
      </w:r>
      <w:r w:rsidRPr="00FA7C92">
        <w:rPr>
          <w:rFonts w:cs="Helvetica"/>
          <w:vertAlign w:val="subscript"/>
        </w:rPr>
        <w:t>½</w:t>
      </w:r>
      <w:proofErr w:type="spellEnd"/>
      <w:r w:rsidRPr="00FA7C92">
        <w:rPr>
          <w:rFonts w:cs="Helvetica"/>
          <w:vertAlign w:val="subscript"/>
        </w:rPr>
        <w:t xml:space="preserve"> </w:t>
      </w:r>
      <w:r w:rsidRPr="00FA7C92">
        <w:rPr>
          <w:rFonts w:cs="Helvetica"/>
        </w:rPr>
        <w:t xml:space="preserve">per </w:t>
      </w:r>
      <w:proofErr w:type="spellStart"/>
      <w:r w:rsidRPr="00FA7C92">
        <w:rPr>
          <w:rFonts w:cs="Helvetica"/>
        </w:rPr>
        <w:t>perindopril</w:t>
      </w:r>
      <w:proofErr w:type="spellEnd"/>
      <w:r w:rsidRPr="00FA7C92">
        <w:rPr>
          <w:rFonts w:cs="Helvetica"/>
        </w:rPr>
        <w:t xml:space="preserve"> e</w:t>
      </w:r>
      <w:r w:rsidRPr="00FA7C92">
        <w:rPr>
          <w:rFonts w:cs="Helvetica"/>
          <w:vertAlign w:val="subscript"/>
        </w:rPr>
        <w:t xml:space="preserve"> </w:t>
      </w:r>
      <w:r w:rsidRPr="00FA7C92">
        <w:rPr>
          <w:rFonts w:cs="Helvetica"/>
        </w:rPr>
        <w:t>AUC</w:t>
      </w:r>
      <w:r w:rsidRPr="00FA7C92">
        <w:rPr>
          <w:rFonts w:cs="Helvetica"/>
          <w:vertAlign w:val="subscript"/>
        </w:rPr>
        <w:t>0-72h</w:t>
      </w:r>
      <w:r w:rsidRPr="00FA7C92">
        <w:rPr>
          <w:rFonts w:cs="Helvetica"/>
        </w:rPr>
        <w:t xml:space="preserve">,  </w:t>
      </w:r>
      <w:proofErr w:type="spellStart"/>
      <w:r w:rsidRPr="00FA7C92">
        <w:rPr>
          <w:rFonts w:cs="Helvetica"/>
        </w:rPr>
        <w:t>C</w:t>
      </w:r>
      <w:r w:rsidRPr="00FA7C92">
        <w:rPr>
          <w:rFonts w:cs="Helvetica"/>
          <w:vertAlign w:val="subscript"/>
        </w:rPr>
        <w:t>max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t</w:t>
      </w:r>
      <w:r w:rsidRPr="00FA7C92">
        <w:rPr>
          <w:rFonts w:cs="Helvetica"/>
          <w:vertAlign w:val="subscript"/>
        </w:rPr>
        <w:t>max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K</w:t>
      </w:r>
      <w:r w:rsidRPr="00FA7C92">
        <w:rPr>
          <w:rFonts w:cs="Helvetica"/>
          <w:vertAlign w:val="subscript"/>
        </w:rPr>
        <w:t>el</w:t>
      </w:r>
      <w:proofErr w:type="spellEnd"/>
      <w:r w:rsidRPr="00FA7C92">
        <w:rPr>
          <w:rFonts w:cs="Helvetica"/>
        </w:rPr>
        <w:t xml:space="preserve">, </w:t>
      </w:r>
      <w:proofErr w:type="spellStart"/>
      <w:r w:rsidRPr="00FA7C92">
        <w:rPr>
          <w:rFonts w:cs="Helvetica"/>
        </w:rPr>
        <w:t>t</w:t>
      </w:r>
      <w:r w:rsidRPr="00FA7C92">
        <w:rPr>
          <w:rFonts w:cs="Helvetica"/>
          <w:vertAlign w:val="subscript"/>
        </w:rPr>
        <w:t>½</w:t>
      </w:r>
      <w:proofErr w:type="spellEnd"/>
      <w:r w:rsidRPr="00FA7C92">
        <w:rPr>
          <w:rFonts w:cs="Helvetica"/>
          <w:vertAlign w:val="subscript"/>
        </w:rPr>
        <w:t xml:space="preserve"> </w:t>
      </w:r>
      <w:r w:rsidRPr="00FA7C92">
        <w:rPr>
          <w:rFonts w:cs="Helvetica"/>
        </w:rPr>
        <w:t xml:space="preserve">per </w:t>
      </w:r>
      <w:proofErr w:type="spellStart"/>
      <w:r w:rsidRPr="00FA7C92">
        <w:rPr>
          <w:rFonts w:cs="Helvetica"/>
        </w:rPr>
        <w:t>amlodipina</w:t>
      </w:r>
      <w:proofErr w:type="spellEnd"/>
      <w:r w:rsidRPr="00FA7C92">
        <w:rPr>
          <w:rFonts w:cs="Helvetica"/>
        </w:rPr>
        <w:t xml:space="preserve">. La bioequivalenza tra medicinale test e medicinale di riferimento è dimostrata se gli intervalli di confidenza al 90% per la trasformata logaritmica di </w:t>
      </w:r>
      <w:proofErr w:type="spellStart"/>
      <w:r w:rsidRPr="00FA7C92">
        <w:rPr>
          <w:rFonts w:cs="Helvetica"/>
        </w:rPr>
        <w:t>C</w:t>
      </w:r>
      <w:r w:rsidRPr="00FA7C92">
        <w:rPr>
          <w:rFonts w:cs="Helvetica"/>
          <w:vertAlign w:val="subscript"/>
        </w:rPr>
        <w:t>max</w:t>
      </w:r>
      <w:proofErr w:type="spellEnd"/>
      <w:r w:rsidRPr="00FA7C92">
        <w:rPr>
          <w:rFonts w:cs="Helvetica"/>
        </w:rPr>
        <w:t>, e AUC</w:t>
      </w:r>
      <w:r w:rsidRPr="00FA7C92">
        <w:rPr>
          <w:rFonts w:cs="Helvetica"/>
          <w:vertAlign w:val="subscript"/>
        </w:rPr>
        <w:t>0-t</w:t>
      </w:r>
      <w:r w:rsidRPr="00FA7C92">
        <w:rPr>
          <w:rFonts w:cs="Helvetica"/>
        </w:rPr>
        <w:t xml:space="preserve"> cadono nel range di accettabilità di 0.80-1.25 (80%-125%).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u w:val="single"/>
        </w:rPr>
      </w:pPr>
      <w:r w:rsidRPr="00FA7C92">
        <w:rPr>
          <w:rFonts w:cs="Helvetica"/>
          <w:u w:val="single"/>
        </w:rPr>
        <w:t>Risultati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 xml:space="preserve">42 volontari sani sono stati arruolati negli studi. 40 soggetti hanno completato la fase clinica e sono stati analizzati per il principio attivo </w:t>
      </w:r>
      <w:proofErr w:type="spellStart"/>
      <w:r w:rsidRPr="00FA7C92">
        <w:rPr>
          <w:rFonts w:cs="Helvetica"/>
        </w:rPr>
        <w:t>perindopril</w:t>
      </w:r>
      <w:proofErr w:type="spellEnd"/>
      <w:r w:rsidRPr="00FA7C92">
        <w:rPr>
          <w:rFonts w:cs="Helvetica"/>
        </w:rPr>
        <w:t xml:space="preserve"> e 38 soggetti </w:t>
      </w:r>
      <w:proofErr w:type="spellStart"/>
      <w:r w:rsidRPr="00FA7C92">
        <w:rPr>
          <w:rFonts w:cs="Helvetica"/>
        </w:rPr>
        <w:t>soggetti</w:t>
      </w:r>
      <w:proofErr w:type="spellEnd"/>
      <w:r w:rsidRPr="00FA7C92">
        <w:rPr>
          <w:rFonts w:cs="Helvetica"/>
        </w:rPr>
        <w:t xml:space="preserve"> hanno completato la fase clinica e sono stati analizzati per il principio attivo </w:t>
      </w:r>
      <w:proofErr w:type="spellStart"/>
      <w:r w:rsidRPr="00FA7C92">
        <w:rPr>
          <w:rFonts w:cs="Helvetica"/>
        </w:rPr>
        <w:t>amlodipina</w:t>
      </w:r>
      <w:proofErr w:type="spellEnd"/>
      <w:r w:rsidRPr="00FA7C92">
        <w:rPr>
          <w:rFonts w:cs="Helvetica"/>
        </w:rPr>
        <w:t>.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b/>
          <w:i/>
        </w:rPr>
      </w:pP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  <w:i/>
        </w:rPr>
        <w:t>Sicurezza</w:t>
      </w: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>Sono stati rilevati sei eventi avversi (mal di testa, nausea, vomito, mialgia, ipotensione, capogiro). Non veniva osservato alcun evento avverso grave durante lo studio.</w:t>
      </w:r>
    </w:p>
    <w:p w:rsidR="00AE2073" w:rsidRPr="00223547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highlight w:val="cyan"/>
        </w:rPr>
      </w:pPr>
    </w:p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  <w:i/>
        </w:rPr>
        <w:lastRenderedPageBreak/>
        <w:t>Parametri farmacocinetici</w:t>
      </w:r>
      <w:r w:rsidRPr="00FA7C92">
        <w:rPr>
          <w:rFonts w:cs="Helvetica"/>
        </w:rPr>
        <w:t xml:space="preserve">. 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FA7C92">
        <w:rPr>
          <w:rFonts w:cs="Helvetica"/>
        </w:rPr>
        <w:t>La sintesi dei risultati dello studio di bioequivalenza è riportata nella tabella che segue.</w:t>
      </w:r>
    </w:p>
    <w:p w:rsidR="00AE2073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2089"/>
        <w:gridCol w:w="1769"/>
        <w:gridCol w:w="1954"/>
        <w:gridCol w:w="1418"/>
        <w:gridCol w:w="2409"/>
      </w:tblGrid>
      <w:tr w:rsidR="00AE2073" w:rsidRPr="00FA7C92" w:rsidTr="00AE2073">
        <w:trPr>
          <w:trHeight w:val="278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  <w:sz w:val="20"/>
              </w:rPr>
            </w:pPr>
            <w:proofErr w:type="spellStart"/>
            <w:r w:rsidRPr="00CB2F24">
              <w:rPr>
                <w:rFonts w:cs="Helvetica"/>
                <w:b/>
                <w:bCs/>
                <w:sz w:val="20"/>
              </w:rPr>
              <w:t>Perindopril</w:t>
            </w:r>
            <w:proofErr w:type="spellEnd"/>
            <w:r w:rsidRPr="00CB2F24">
              <w:rPr>
                <w:rFonts w:cs="Helvetica"/>
                <w:b/>
                <w:bCs/>
                <w:sz w:val="20"/>
              </w:rPr>
              <w:t xml:space="preserve"> dose (</w:t>
            </w:r>
            <w:r w:rsidRPr="00CB2F24">
              <w:rPr>
                <w:rFonts w:cs="Helvetica"/>
                <w:b/>
                <w:sz w:val="20"/>
              </w:rPr>
              <w:t>8 mg</w:t>
            </w:r>
            <w:r w:rsidRPr="00CB2F24">
              <w:rPr>
                <w:rFonts w:cs="Helvetica"/>
                <w:b/>
                <w:bCs/>
                <w:sz w:val="20"/>
              </w:rPr>
              <w:t>)</w:t>
            </w:r>
          </w:p>
        </w:tc>
      </w:tr>
      <w:tr w:rsidR="00AE2073" w:rsidRPr="00FA7C92" w:rsidTr="00AE2073">
        <w:trPr>
          <w:trHeight w:val="266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  <w:sz w:val="20"/>
              </w:rPr>
            </w:pPr>
            <w:r w:rsidRPr="00CB2F24">
              <w:rPr>
                <w:rFonts w:cs="Helvetica"/>
                <w:b/>
                <w:bCs/>
                <w:sz w:val="20"/>
              </w:rPr>
              <w:t>Studio di BE a digiuno</w:t>
            </w:r>
          </w:p>
        </w:tc>
      </w:tr>
      <w:tr w:rsidR="00AE2073" w:rsidRPr="00FA7C92" w:rsidTr="00AE2073">
        <w:trPr>
          <w:trHeight w:val="332"/>
          <w:jc w:val="center"/>
        </w:trPr>
        <w:tc>
          <w:tcPr>
            <w:tcW w:w="208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proofErr w:type="spellStart"/>
            <w:r w:rsidRPr="00CB2F24">
              <w:rPr>
                <w:rFonts w:cs="Helvetica"/>
                <w:b/>
                <w:sz w:val="20"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Test[LSM]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Reference [LSM]]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90% C.I.</w:t>
            </w:r>
          </w:p>
        </w:tc>
      </w:tr>
      <w:tr w:rsidR="00AE2073" w:rsidRPr="00FA7C92" w:rsidTr="00AE2073">
        <w:trPr>
          <w:trHeight w:val="266"/>
          <w:jc w:val="center"/>
        </w:trPr>
        <w:tc>
          <w:tcPr>
            <w:tcW w:w="2089" w:type="dxa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AUC0-t</w:t>
            </w:r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  <w:lang w:val="en-US"/>
              </w:rPr>
            </w:pPr>
            <w:r w:rsidRPr="00CB2F24">
              <w:rPr>
                <w:rFonts w:cs="Helvetica"/>
                <w:sz w:val="20"/>
              </w:rPr>
              <w:t>114.25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  <w:lang w:val="en-US"/>
              </w:rPr>
            </w:pPr>
            <w:r w:rsidRPr="00CB2F24">
              <w:rPr>
                <w:rFonts w:cs="Helvetica"/>
                <w:sz w:val="20"/>
              </w:rPr>
              <w:t>114.56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  <w:lang w:val="en-US"/>
              </w:rPr>
            </w:pPr>
            <w:r w:rsidRPr="00CB2F24">
              <w:rPr>
                <w:rFonts w:cs="Helvetica"/>
                <w:sz w:val="20"/>
              </w:rPr>
              <w:t>0.9958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0.9673 - 1.0253</w:t>
            </w:r>
          </w:p>
        </w:tc>
      </w:tr>
      <w:tr w:rsidR="00AE2073" w:rsidRPr="00FA7C92" w:rsidTr="00AE2073">
        <w:trPr>
          <w:trHeight w:val="255"/>
          <w:jc w:val="center"/>
        </w:trPr>
        <w:tc>
          <w:tcPr>
            <w:tcW w:w="2089" w:type="dxa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sz w:val="20"/>
              </w:rPr>
            </w:pPr>
            <w:r w:rsidRPr="00CB2F24">
              <w:rPr>
                <w:rFonts w:cs="Helvetica"/>
                <w:b/>
                <w:sz w:val="20"/>
              </w:rPr>
              <w:t>AUC0-∞</w:t>
            </w:r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115.15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115.45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0.9960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0.9674 - 1.0255</w:t>
            </w:r>
          </w:p>
        </w:tc>
      </w:tr>
      <w:tr w:rsidR="00AE2073" w:rsidRPr="00FA7C92" w:rsidTr="00AE2073">
        <w:trPr>
          <w:trHeight w:val="255"/>
          <w:jc w:val="center"/>
        </w:trPr>
        <w:tc>
          <w:tcPr>
            <w:tcW w:w="2089" w:type="dxa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sz w:val="20"/>
              </w:rPr>
            </w:pPr>
            <w:proofErr w:type="spellStart"/>
            <w:r w:rsidRPr="00CB2F24">
              <w:rPr>
                <w:rFonts w:cs="Helvetica"/>
                <w:b/>
                <w:sz w:val="20"/>
              </w:rPr>
              <w:t>Cmax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98.06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89.39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1.0948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1.0092 - 1.1877</w:t>
            </w:r>
          </w:p>
        </w:tc>
      </w:tr>
      <w:tr w:rsidR="00AE2073" w:rsidRPr="00FA7C92" w:rsidTr="00AE2073">
        <w:trPr>
          <w:trHeight w:val="252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  <w:sz w:val="20"/>
              </w:rPr>
            </w:pPr>
            <w:proofErr w:type="spellStart"/>
            <w:r w:rsidRPr="00CB2F24">
              <w:rPr>
                <w:rFonts w:cs="Helvetica"/>
                <w:b/>
                <w:bCs/>
                <w:sz w:val="20"/>
              </w:rPr>
              <w:t>Amlodipina</w:t>
            </w:r>
            <w:proofErr w:type="spellEnd"/>
            <w:r w:rsidRPr="00CB2F24">
              <w:rPr>
                <w:rFonts w:cs="Helvetica"/>
                <w:b/>
                <w:bCs/>
                <w:sz w:val="20"/>
              </w:rPr>
              <w:t xml:space="preserve"> dose (</w:t>
            </w:r>
            <w:r w:rsidRPr="00CB2F24">
              <w:rPr>
                <w:rFonts w:cs="Helvetica"/>
                <w:b/>
                <w:sz w:val="20"/>
              </w:rPr>
              <w:t>10 mg</w:t>
            </w:r>
            <w:r w:rsidRPr="00CB2F24">
              <w:rPr>
                <w:rFonts w:cs="Helvetica"/>
                <w:b/>
                <w:bCs/>
                <w:sz w:val="20"/>
              </w:rPr>
              <w:t>)</w:t>
            </w:r>
          </w:p>
        </w:tc>
      </w:tr>
      <w:tr w:rsidR="00AE2073" w:rsidRPr="00FA7C92" w:rsidTr="00AE2073">
        <w:trPr>
          <w:trHeight w:val="255"/>
          <w:jc w:val="center"/>
        </w:trPr>
        <w:tc>
          <w:tcPr>
            <w:tcW w:w="9639" w:type="dxa"/>
            <w:gridSpan w:val="5"/>
            <w:shd w:val="clear" w:color="auto" w:fill="E6E6E6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bCs/>
                <w:sz w:val="20"/>
              </w:rPr>
            </w:pPr>
            <w:r w:rsidRPr="00CB2F24">
              <w:rPr>
                <w:rFonts w:cs="Helvetica"/>
                <w:b/>
                <w:bCs/>
                <w:sz w:val="20"/>
              </w:rPr>
              <w:t>Studio di BE a digiuno</w:t>
            </w:r>
          </w:p>
        </w:tc>
      </w:tr>
      <w:tr w:rsidR="00AE2073" w:rsidRPr="00FA7C92" w:rsidTr="00AE2073">
        <w:trPr>
          <w:trHeight w:val="318"/>
          <w:jc w:val="center"/>
        </w:trPr>
        <w:tc>
          <w:tcPr>
            <w:tcW w:w="208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proofErr w:type="spellStart"/>
            <w:r w:rsidRPr="00CB2F24">
              <w:rPr>
                <w:rFonts w:cs="Helvetica"/>
                <w:b/>
                <w:sz w:val="20"/>
                <w:lang w:val="en-US"/>
              </w:rPr>
              <w:t>Parametro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Test [LSM]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Reference[LSM]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T/R Ratio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90% C.I.</w:t>
            </w:r>
          </w:p>
        </w:tc>
      </w:tr>
      <w:tr w:rsidR="00AE2073" w:rsidRPr="00FA7C92" w:rsidTr="00AE2073">
        <w:trPr>
          <w:trHeight w:val="255"/>
          <w:jc w:val="center"/>
        </w:trPr>
        <w:tc>
          <w:tcPr>
            <w:tcW w:w="2089" w:type="dxa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sz w:val="20"/>
                <w:lang w:val="en-US"/>
              </w:rPr>
            </w:pPr>
            <w:r w:rsidRPr="00CB2F24">
              <w:rPr>
                <w:rFonts w:cs="Helvetica"/>
                <w:b/>
                <w:sz w:val="20"/>
                <w:lang w:val="en-US"/>
              </w:rPr>
              <w:t>AUC0-72</w:t>
            </w:r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  <w:lang w:val="en-US"/>
              </w:rPr>
            </w:pPr>
            <w:r w:rsidRPr="00CB2F24">
              <w:rPr>
                <w:rFonts w:cs="Helvetica"/>
                <w:sz w:val="20"/>
              </w:rPr>
              <w:t>264.957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260.009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1.0190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0.9905 - 1.0484</w:t>
            </w:r>
          </w:p>
        </w:tc>
      </w:tr>
      <w:tr w:rsidR="00AE2073" w:rsidRPr="00FA7C92" w:rsidTr="00AE2073">
        <w:trPr>
          <w:trHeight w:val="266"/>
          <w:jc w:val="center"/>
        </w:trPr>
        <w:tc>
          <w:tcPr>
            <w:tcW w:w="2089" w:type="dxa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b/>
                <w:sz w:val="20"/>
              </w:rPr>
            </w:pPr>
            <w:proofErr w:type="spellStart"/>
            <w:r w:rsidRPr="00CB2F24">
              <w:rPr>
                <w:rFonts w:cs="Helvetica"/>
                <w:b/>
                <w:sz w:val="20"/>
              </w:rPr>
              <w:t>Cmax</w:t>
            </w:r>
            <w:proofErr w:type="spellEnd"/>
          </w:p>
        </w:tc>
        <w:tc>
          <w:tcPr>
            <w:tcW w:w="176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260.009</w:t>
            </w:r>
          </w:p>
        </w:tc>
        <w:tc>
          <w:tcPr>
            <w:tcW w:w="1954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6.689</w:t>
            </w:r>
          </w:p>
        </w:tc>
        <w:tc>
          <w:tcPr>
            <w:tcW w:w="1418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1.0450</w:t>
            </w:r>
          </w:p>
        </w:tc>
        <w:tc>
          <w:tcPr>
            <w:tcW w:w="2409" w:type="dxa"/>
            <w:vAlign w:val="center"/>
          </w:tcPr>
          <w:p w:rsidR="00AE2073" w:rsidRPr="00CB2F24" w:rsidRDefault="00AE2073" w:rsidP="0033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Helvetica"/>
                <w:sz w:val="20"/>
              </w:rPr>
            </w:pPr>
            <w:r w:rsidRPr="00CB2F24">
              <w:rPr>
                <w:rFonts w:cs="Helvetica"/>
                <w:sz w:val="20"/>
              </w:rPr>
              <w:t>1.0050 - 1.0865</w:t>
            </w:r>
          </w:p>
        </w:tc>
      </w:tr>
    </w:tbl>
    <w:p w:rsidR="00AE2073" w:rsidRPr="00FA7C92" w:rsidRDefault="00AE2073" w:rsidP="00AE2073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</w:p>
    <w:p w:rsidR="00AE2073" w:rsidRPr="00FA7C92" w:rsidRDefault="00AE2073" w:rsidP="00AE2073">
      <w:pPr>
        <w:spacing w:after="0" w:line="240" w:lineRule="auto"/>
        <w:rPr>
          <w:rFonts w:cs="Arial"/>
        </w:rPr>
      </w:pPr>
      <w:r w:rsidRPr="00FA7C92">
        <w:rPr>
          <w:rFonts w:cs="Arial"/>
          <w:i/>
        </w:rPr>
        <w:t>Conclusioni sulla bioequivalenza</w:t>
      </w:r>
      <w:r w:rsidRPr="00FA7C92">
        <w:rPr>
          <w:rFonts w:cs="Arial"/>
        </w:rPr>
        <w:t>.</w:t>
      </w:r>
    </w:p>
    <w:p w:rsidR="00AE2073" w:rsidRPr="00D1324F" w:rsidRDefault="00AE2073" w:rsidP="00AE2073">
      <w:pPr>
        <w:spacing w:after="0" w:line="240" w:lineRule="auto"/>
        <w:jc w:val="both"/>
        <w:rPr>
          <w:rFonts w:cs="Arial"/>
        </w:rPr>
      </w:pPr>
      <w:r w:rsidRPr="00FA7C92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AE2073" w:rsidRPr="00D1324F" w:rsidRDefault="00AE2073" w:rsidP="00AE2073">
      <w:pPr>
        <w:spacing w:after="0" w:line="240" w:lineRule="auto"/>
        <w:jc w:val="both"/>
        <w:rPr>
          <w:rFonts w:cs="Arial"/>
        </w:rPr>
      </w:pPr>
    </w:p>
    <w:p w:rsidR="00AE2073" w:rsidRPr="000B3C59" w:rsidRDefault="00AE2073" w:rsidP="00AE207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E2073" w:rsidRPr="00D1324F" w:rsidRDefault="00AE2073" w:rsidP="00AE2073">
      <w:pPr>
        <w:spacing w:after="0" w:line="240" w:lineRule="auto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rPr>
          <w:rFonts w:cs="Arial"/>
        </w:rPr>
        <w:t xml:space="preserve"> (</w:t>
      </w:r>
      <w:proofErr w:type="spellStart"/>
      <w:r>
        <w:rPr>
          <w:rFonts w:eastAsia="Calibri" w:cs="Calibri"/>
          <w:lang w:eastAsia="it-IT"/>
        </w:rPr>
        <w:t>perindopril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amlodipina</w:t>
      </w:r>
      <w:proofErr w:type="spellEnd"/>
      <w:r>
        <w:rPr>
          <w:rFonts w:cs="Arial"/>
        </w:rPr>
        <w:t xml:space="preserve">) sono ben conosciuti. </w:t>
      </w: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AE2073" w:rsidRPr="00D1324F" w:rsidRDefault="00AE2073" w:rsidP="00AE207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 w:rsidRPr="00D1324F">
        <w:t>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5843"/>
      </w:tblGrid>
      <w:tr w:rsidR="00AE2073" w:rsidRPr="007B1628" w:rsidTr="00336861">
        <w:trPr>
          <w:jc w:val="center"/>
        </w:trPr>
        <w:tc>
          <w:tcPr>
            <w:tcW w:w="2748" w:type="dxa"/>
          </w:tcPr>
          <w:p w:rsidR="00AE2073" w:rsidRPr="00E52A18" w:rsidRDefault="00AE2073" w:rsidP="00336861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dentificati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AE2073" w:rsidRPr="00761981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761981">
              <w:rPr>
                <w:sz w:val="20"/>
              </w:rPr>
              <w:t>Reazioni di ipersensibilità (compreso angioedema, soprattutto per uso in pazienti di colore)</w:t>
            </w:r>
          </w:p>
          <w:p w:rsidR="00AE2073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761981">
              <w:rPr>
                <w:sz w:val="20"/>
              </w:rPr>
              <w:t xml:space="preserve">Grave ipotensione </w:t>
            </w:r>
          </w:p>
          <w:p w:rsidR="00AE2073" w:rsidRPr="00761981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Iperpotassiemia</w:t>
            </w:r>
            <w:proofErr w:type="spellEnd"/>
            <w:r>
              <w:rPr>
                <w:sz w:val="20"/>
              </w:rPr>
              <w:t xml:space="preserve"> </w:t>
            </w:r>
          </w:p>
          <w:p w:rsidR="00AE2073" w:rsidRPr="00761981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761981">
              <w:rPr>
                <w:sz w:val="20"/>
              </w:rPr>
              <w:t>Uso in pazienti in stato di shock (compreso shock cardiogeno)</w:t>
            </w:r>
          </w:p>
          <w:p w:rsidR="00AE2073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761981">
              <w:rPr>
                <w:sz w:val="20"/>
              </w:rPr>
              <w:t>Neutropenia/agranulocitosi/trombocitopenia/anemia</w:t>
            </w:r>
          </w:p>
          <w:p w:rsidR="00AE2073" w:rsidRPr="00761981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761981">
              <w:rPr>
                <w:sz w:val="20"/>
              </w:rPr>
              <w:t xml:space="preserve">Ipotensione, </w:t>
            </w:r>
            <w:proofErr w:type="spellStart"/>
            <w:r w:rsidRPr="00761981">
              <w:rPr>
                <w:sz w:val="20"/>
              </w:rPr>
              <w:t>iperpotassiemia</w:t>
            </w:r>
            <w:proofErr w:type="spellEnd"/>
            <w:r w:rsidRPr="00761981">
              <w:rPr>
                <w:sz w:val="20"/>
              </w:rPr>
              <w:t>, possibile danno del rene dovuta al doppio blocco del sistema renina-angiotensina-aldosterone</w:t>
            </w:r>
          </w:p>
          <w:p w:rsidR="00AE2073" w:rsidRPr="00761981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Feto tossicità per uso nel secondo e terzo trimestre di gravidanza</w:t>
            </w:r>
          </w:p>
        </w:tc>
      </w:tr>
      <w:tr w:rsidR="00AE2073" w:rsidRPr="007B1628" w:rsidTr="00336861">
        <w:trPr>
          <w:jc w:val="center"/>
        </w:trPr>
        <w:tc>
          <w:tcPr>
            <w:tcW w:w="2748" w:type="dxa"/>
          </w:tcPr>
          <w:p w:rsidR="00AE2073" w:rsidRPr="00E52A18" w:rsidRDefault="00AE2073" w:rsidP="00336861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52A18">
              <w:rPr>
                <w:sz w:val="20"/>
                <w:lang w:val="en-US"/>
              </w:rPr>
              <w:t>Rischi</w:t>
            </w:r>
            <w:proofErr w:type="spellEnd"/>
            <w:r w:rsidRPr="00E52A18"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p</w:t>
            </w:r>
            <w:r w:rsidRPr="00E52A18">
              <w:rPr>
                <w:sz w:val="20"/>
                <w:lang w:val="en-US"/>
              </w:rPr>
              <w:t>otenziali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i</w:t>
            </w:r>
            <w:r w:rsidRPr="00E52A18">
              <w:rPr>
                <w:sz w:val="20"/>
                <w:lang w:val="en-US"/>
              </w:rPr>
              <w:t>mportanti</w:t>
            </w:r>
            <w:proofErr w:type="spellEnd"/>
          </w:p>
        </w:tc>
        <w:tc>
          <w:tcPr>
            <w:tcW w:w="5843" w:type="dxa"/>
          </w:tcPr>
          <w:p w:rsidR="00AE2073" w:rsidRPr="00EC06ED" w:rsidRDefault="00AE2073" w:rsidP="00336861">
            <w:pPr>
              <w:pStyle w:val="Paragrafoelenco"/>
              <w:ind w:left="0"/>
              <w:jc w:val="both"/>
              <w:rPr>
                <w:sz w:val="20"/>
                <w:highlight w:val="cyan"/>
              </w:rPr>
            </w:pPr>
            <w:r>
              <w:rPr>
                <w:sz w:val="20"/>
              </w:rPr>
              <w:t>Uso nel primo trimestre di gravidanza</w:t>
            </w:r>
          </w:p>
        </w:tc>
      </w:tr>
      <w:tr w:rsidR="00AE2073" w:rsidRPr="007B1628" w:rsidTr="00336861">
        <w:trPr>
          <w:jc w:val="center"/>
        </w:trPr>
        <w:tc>
          <w:tcPr>
            <w:tcW w:w="2748" w:type="dxa"/>
          </w:tcPr>
          <w:p w:rsidR="00AE2073" w:rsidRPr="00E82C24" w:rsidRDefault="00AE2073" w:rsidP="00336861">
            <w:pPr>
              <w:pStyle w:val="Paragrafoelenco"/>
              <w:ind w:left="0"/>
              <w:jc w:val="both"/>
              <w:rPr>
                <w:sz w:val="20"/>
                <w:lang w:val="en-US"/>
              </w:rPr>
            </w:pPr>
            <w:proofErr w:type="spellStart"/>
            <w:r w:rsidRPr="00E82C24">
              <w:rPr>
                <w:sz w:val="20"/>
                <w:lang w:val="en-US"/>
              </w:rPr>
              <w:t>Informazioni</w:t>
            </w:r>
            <w:proofErr w:type="spellEnd"/>
            <w:r w:rsidRPr="00E82C24">
              <w:rPr>
                <w:sz w:val="20"/>
                <w:lang w:val="en-US"/>
              </w:rPr>
              <w:t xml:space="preserve"> </w:t>
            </w:r>
            <w:proofErr w:type="spellStart"/>
            <w:r w:rsidRPr="00E82C24">
              <w:rPr>
                <w:sz w:val="20"/>
                <w:lang w:val="en-US"/>
              </w:rPr>
              <w:t>mancanti</w:t>
            </w:r>
            <w:proofErr w:type="spellEnd"/>
          </w:p>
        </w:tc>
        <w:tc>
          <w:tcPr>
            <w:tcW w:w="5843" w:type="dxa"/>
          </w:tcPr>
          <w:p w:rsidR="00AE2073" w:rsidRPr="00E82C24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E82C24">
              <w:rPr>
                <w:sz w:val="20"/>
              </w:rPr>
              <w:t>Uso in bambini e adolescenti di età inferiore a 18 anni</w:t>
            </w:r>
          </w:p>
          <w:p w:rsidR="00AE2073" w:rsidRPr="00E82C24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E82C24">
              <w:rPr>
                <w:sz w:val="20"/>
              </w:rPr>
              <w:t>Uso durante l’allattamento</w:t>
            </w:r>
          </w:p>
          <w:p w:rsidR="00AE2073" w:rsidRPr="00E82C24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E82C24">
              <w:rPr>
                <w:sz w:val="20"/>
              </w:rPr>
              <w:t>Uso in pazienti in grave compromissione renale</w:t>
            </w:r>
          </w:p>
          <w:p w:rsidR="00AE2073" w:rsidRPr="00E82C24" w:rsidRDefault="00AE2073" w:rsidP="00336861">
            <w:pPr>
              <w:pStyle w:val="Paragrafoelenco"/>
              <w:ind w:left="0"/>
              <w:jc w:val="both"/>
              <w:rPr>
                <w:sz w:val="20"/>
              </w:rPr>
            </w:pPr>
            <w:r w:rsidRPr="00E82C24">
              <w:rPr>
                <w:sz w:val="20"/>
              </w:rPr>
              <w:t>Uso in pazienti in grave compromissione epatica</w:t>
            </w:r>
          </w:p>
        </w:tc>
      </w:tr>
    </w:tbl>
    <w:p w:rsidR="00AE2073" w:rsidRPr="007D3507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sono state presentate sufficienti informazioni cliniche.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è considerato favorevole dal punto di vista clinico.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Pr="002E4DCB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E2073" w:rsidRDefault="00AE2073" w:rsidP="00AE207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E2073" w:rsidRDefault="00AE2073" w:rsidP="00AE2073">
      <w:pPr>
        <w:pStyle w:val="Paragrafoelenco"/>
        <w:spacing w:after="0" w:line="240" w:lineRule="auto"/>
        <w:ind w:left="0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Pr="00BC23ED" w:rsidRDefault="00AE2073" w:rsidP="00AE207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E2073" w:rsidRDefault="00AE2073" w:rsidP="00AE2073">
      <w:pPr>
        <w:spacing w:after="0" w:line="240" w:lineRule="auto"/>
        <w:jc w:val="both"/>
      </w:pPr>
      <w:r>
        <w:t xml:space="preserve">La qualità di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è accettabile e non sono state rilevate criticità da un punto di vista non clinico e clinico.</w:t>
      </w:r>
    </w:p>
    <w:p w:rsidR="00AE2073" w:rsidRDefault="00AE2073" w:rsidP="00AE207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CB2F24">
        <w:rPr>
          <w:rFonts w:eastAsia="Calibri" w:cs="Calibri"/>
          <w:color w:val="000000"/>
          <w:lang w:eastAsia="it-IT"/>
        </w:rPr>
        <w:t>Botinero</w:t>
      </w:r>
      <w:proofErr w:type="spellEnd"/>
      <w:r>
        <w:t xml:space="preserve"> e i medicinali </w:t>
      </w:r>
      <w:proofErr w:type="spellStart"/>
      <w:r>
        <w:t>Norvasc</w:t>
      </w:r>
      <w:proofErr w:type="spellEnd"/>
      <w:r>
        <w:t xml:space="preserve"> e </w:t>
      </w:r>
      <w:proofErr w:type="spellStart"/>
      <w:r>
        <w:t>Coversyl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E2073" w:rsidRDefault="00AE2073" w:rsidP="00AE2073">
      <w:pPr>
        <w:spacing w:after="0" w:line="240" w:lineRule="auto"/>
        <w:jc w:val="both"/>
      </w:pPr>
      <w:r>
        <w:t>Il rapporto beneficio/rischio è considerato positivo.</w:t>
      </w:r>
    </w:p>
    <w:p w:rsidR="00AE2073" w:rsidRDefault="00AE2073" w:rsidP="00AE207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3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AE2073" w:rsidRDefault="00AE2073" w:rsidP="00AE2073">
      <w:pPr>
        <w:spacing w:after="0" w:line="240" w:lineRule="auto"/>
        <w:jc w:val="both"/>
      </w:pPr>
    </w:p>
    <w:p w:rsidR="0033523E" w:rsidRPr="00AE2073" w:rsidRDefault="0033523E" w:rsidP="00AE2073"/>
    <w:sectPr w:rsidR="0033523E" w:rsidRPr="00AE2073" w:rsidSect="004A7CB3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2C6A"/>
    <w:rsid w:val="00032756"/>
    <w:rsid w:val="00034823"/>
    <w:rsid w:val="00052C1C"/>
    <w:rsid w:val="000544DE"/>
    <w:rsid w:val="00072A40"/>
    <w:rsid w:val="000A18C9"/>
    <w:rsid w:val="000B3C59"/>
    <w:rsid w:val="001014EB"/>
    <w:rsid w:val="00137DF5"/>
    <w:rsid w:val="00146C38"/>
    <w:rsid w:val="00152878"/>
    <w:rsid w:val="0017122C"/>
    <w:rsid w:val="00186802"/>
    <w:rsid w:val="00193951"/>
    <w:rsid w:val="001B615B"/>
    <w:rsid w:val="001C00DB"/>
    <w:rsid w:val="001E4D72"/>
    <w:rsid w:val="001E7644"/>
    <w:rsid w:val="0020264C"/>
    <w:rsid w:val="00231543"/>
    <w:rsid w:val="00236AB7"/>
    <w:rsid w:val="0025203E"/>
    <w:rsid w:val="002807B9"/>
    <w:rsid w:val="00297B23"/>
    <w:rsid w:val="002A6CD9"/>
    <w:rsid w:val="002B6D26"/>
    <w:rsid w:val="002E7E72"/>
    <w:rsid w:val="00321DD7"/>
    <w:rsid w:val="003264FC"/>
    <w:rsid w:val="0033523E"/>
    <w:rsid w:val="00352598"/>
    <w:rsid w:val="0036135B"/>
    <w:rsid w:val="0038657A"/>
    <w:rsid w:val="00387B54"/>
    <w:rsid w:val="00393F9D"/>
    <w:rsid w:val="003B58C4"/>
    <w:rsid w:val="0040042A"/>
    <w:rsid w:val="00413A35"/>
    <w:rsid w:val="004241AC"/>
    <w:rsid w:val="004265F3"/>
    <w:rsid w:val="00441AC2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00BBA"/>
    <w:rsid w:val="00635C28"/>
    <w:rsid w:val="00636934"/>
    <w:rsid w:val="00650900"/>
    <w:rsid w:val="006556D6"/>
    <w:rsid w:val="0066243B"/>
    <w:rsid w:val="006703B0"/>
    <w:rsid w:val="006B0D5F"/>
    <w:rsid w:val="006C0B0D"/>
    <w:rsid w:val="006D3554"/>
    <w:rsid w:val="00705CC6"/>
    <w:rsid w:val="0072390B"/>
    <w:rsid w:val="00752B41"/>
    <w:rsid w:val="00761981"/>
    <w:rsid w:val="00775715"/>
    <w:rsid w:val="0078557E"/>
    <w:rsid w:val="007B52C0"/>
    <w:rsid w:val="007D3E7F"/>
    <w:rsid w:val="007F2996"/>
    <w:rsid w:val="00813113"/>
    <w:rsid w:val="00821F69"/>
    <w:rsid w:val="00830F2F"/>
    <w:rsid w:val="00843757"/>
    <w:rsid w:val="00844A73"/>
    <w:rsid w:val="00864166"/>
    <w:rsid w:val="00877699"/>
    <w:rsid w:val="008808DD"/>
    <w:rsid w:val="00892CB6"/>
    <w:rsid w:val="008E4B02"/>
    <w:rsid w:val="008F03D8"/>
    <w:rsid w:val="00973F56"/>
    <w:rsid w:val="00974FCC"/>
    <w:rsid w:val="009A260F"/>
    <w:rsid w:val="009A2805"/>
    <w:rsid w:val="009A6F68"/>
    <w:rsid w:val="009C454A"/>
    <w:rsid w:val="009F059B"/>
    <w:rsid w:val="00A26C84"/>
    <w:rsid w:val="00A34141"/>
    <w:rsid w:val="00A366FC"/>
    <w:rsid w:val="00A650DA"/>
    <w:rsid w:val="00A70042"/>
    <w:rsid w:val="00AA345B"/>
    <w:rsid w:val="00AC1EE2"/>
    <w:rsid w:val="00AD5841"/>
    <w:rsid w:val="00AE2073"/>
    <w:rsid w:val="00B35DC7"/>
    <w:rsid w:val="00BB474A"/>
    <w:rsid w:val="00BC7022"/>
    <w:rsid w:val="00BE62FE"/>
    <w:rsid w:val="00C146E5"/>
    <w:rsid w:val="00C2155B"/>
    <w:rsid w:val="00C2335D"/>
    <w:rsid w:val="00C418E6"/>
    <w:rsid w:val="00C8635B"/>
    <w:rsid w:val="00CB2F24"/>
    <w:rsid w:val="00CD61E5"/>
    <w:rsid w:val="00D06658"/>
    <w:rsid w:val="00D1324F"/>
    <w:rsid w:val="00D20DD6"/>
    <w:rsid w:val="00D33BDA"/>
    <w:rsid w:val="00D51E45"/>
    <w:rsid w:val="00D55B9F"/>
    <w:rsid w:val="00DB0D16"/>
    <w:rsid w:val="00DB5D69"/>
    <w:rsid w:val="00DE0CAB"/>
    <w:rsid w:val="00DF248A"/>
    <w:rsid w:val="00E22A1C"/>
    <w:rsid w:val="00E23B92"/>
    <w:rsid w:val="00E40E59"/>
    <w:rsid w:val="00E41B66"/>
    <w:rsid w:val="00E46CC1"/>
    <w:rsid w:val="00E47D56"/>
    <w:rsid w:val="00E567F2"/>
    <w:rsid w:val="00E62234"/>
    <w:rsid w:val="00E63332"/>
    <w:rsid w:val="00E652AC"/>
    <w:rsid w:val="00E70340"/>
    <w:rsid w:val="00E82C24"/>
    <w:rsid w:val="00E82D80"/>
    <w:rsid w:val="00EB07B5"/>
    <w:rsid w:val="00EC06ED"/>
    <w:rsid w:val="00EE5206"/>
    <w:rsid w:val="00F6665C"/>
    <w:rsid w:val="00F7180D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0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sm.sante.fr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2017-10-05T11:00:00Z</dcterms:created>
  <dcterms:modified xsi:type="dcterms:W3CDTF">2017-12-22T10:34:00Z</dcterms:modified>
</cp:coreProperties>
</file>