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D45CCB" w:rsidRDefault="00B32D81" w:rsidP="00B32D81">
      <w:pPr>
        <w:spacing w:after="0" w:line="240" w:lineRule="auto"/>
        <w:jc w:val="center"/>
        <w:rPr>
          <w:b/>
          <w:sz w:val="28"/>
        </w:rPr>
      </w:pPr>
      <w:r w:rsidRPr="00D45CCB">
        <w:rPr>
          <w:b/>
          <w:sz w:val="28"/>
        </w:rPr>
        <w:t>R</w:t>
      </w:r>
      <w:r w:rsidR="004241AC" w:rsidRPr="00D45CCB">
        <w:rPr>
          <w:b/>
          <w:sz w:val="28"/>
        </w:rPr>
        <w:t xml:space="preserve">elazione </w:t>
      </w:r>
      <w:r w:rsidR="0038385F">
        <w:rPr>
          <w:b/>
          <w:sz w:val="28"/>
        </w:rPr>
        <w:t xml:space="preserve">Pubblica </w:t>
      </w:r>
      <w:r w:rsidR="004241AC" w:rsidRPr="00D45CCB">
        <w:rPr>
          <w:b/>
          <w:sz w:val="28"/>
        </w:rPr>
        <w:t>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9F2963" w:rsidRPr="00B32D81" w:rsidRDefault="009F2963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A1945" w:rsidRPr="00B32D81" w:rsidRDefault="002513BA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BUTAPRAL</w:t>
      </w: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2513BA">
        <w:rPr>
          <w:snapToGrid w:val="0"/>
        </w:rPr>
        <w:t>ipratropio</w:t>
      </w:r>
      <w:proofErr w:type="spellEnd"/>
      <w:r w:rsidR="002513BA">
        <w:rPr>
          <w:snapToGrid w:val="0"/>
        </w:rPr>
        <w:t xml:space="preserve"> bromuro e </w:t>
      </w:r>
      <w:proofErr w:type="spellStart"/>
      <w:r w:rsidR="002513BA">
        <w:rPr>
          <w:snapToGrid w:val="0"/>
        </w:rPr>
        <w:t>salbutamolo</w:t>
      </w:r>
      <w:proofErr w:type="spellEnd"/>
      <w:r w:rsidR="004241AC" w:rsidRPr="00B32D81">
        <w:rPr>
          <w:snapToGrid w:val="0"/>
        </w:rPr>
        <w:t>)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640F3C" w:rsidRDefault="00DA1945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640F3C">
        <w:rPr>
          <w:b/>
        </w:rPr>
        <w:t>Genetic</w:t>
      </w:r>
      <w:proofErr w:type="spellEnd"/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center"/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DA1945" w:rsidRPr="00B32D81">
        <w:rPr>
          <w:b/>
        </w:rPr>
        <w:t>04</w:t>
      </w:r>
      <w:r w:rsidR="002513BA">
        <w:rPr>
          <w:b/>
        </w:rPr>
        <w:t>4646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3A3507" w:rsidRPr="00B32D81" w:rsidRDefault="003A3507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B32D81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B32D81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4C730F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2513BA">
        <w:rPr>
          <w:rFonts w:cs="Times New Roman"/>
          <w:bCs/>
          <w:color w:val="000000"/>
        </w:rPr>
        <w:t>Butapral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2513BA">
        <w:rPr>
          <w:rFonts w:eastAsia="Calibri" w:cs="Calibri"/>
          <w:color w:val="000000"/>
          <w:lang w:eastAsia="it-IT"/>
        </w:rPr>
        <w:t>Butapral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le </w:t>
      </w:r>
      <w:r w:rsidR="00BF119F" w:rsidRPr="00B32D81">
        <w:rPr>
          <w:rFonts w:eastAsia="Calibri" w:cs="Calibri"/>
          <w:color w:val="000000"/>
          <w:lang w:eastAsia="it-IT"/>
        </w:rPr>
        <w:t xml:space="preserve">sue </w:t>
      </w:r>
      <w:r w:rsidRPr="00B32D81">
        <w:rPr>
          <w:rFonts w:eastAsia="Calibri" w:cs="Calibri"/>
          <w:color w:val="000000"/>
          <w:lang w:eastAsia="it-IT"/>
        </w:rPr>
        <w:t xml:space="preserve">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2513BA">
        <w:rPr>
          <w:rFonts w:eastAsia="Calibri" w:cs="Calibri"/>
          <w:color w:val="000000"/>
          <w:lang w:eastAsia="it-IT"/>
        </w:rPr>
        <w:t>Butapral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2513BA">
        <w:rPr>
          <w:rFonts w:eastAsia="Calibri" w:cs="Calibri"/>
          <w:color w:val="000000"/>
          <w:lang w:eastAsia="it-IT"/>
        </w:rPr>
        <w:t>Butapral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2513BA">
        <w:rPr>
          <w:rFonts w:eastAsia="Calibri" w:cs="Calibri"/>
          <w:b/>
          <w:color w:val="000000"/>
          <w:lang w:eastAsia="it-IT"/>
        </w:rPr>
        <w:t>Butapral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57253D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513BA" w:rsidRDefault="002513BA" w:rsidP="004C730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Butapral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</w:t>
      </w:r>
      <w:r w:rsidR="003A3507" w:rsidRPr="00B32D81">
        <w:rPr>
          <w:rFonts w:eastAsia="Calibri" w:cs="Calibri"/>
          <w:color w:val="000000"/>
          <w:lang w:eastAsia="it-IT"/>
        </w:rPr>
        <w:t xml:space="preserve">disponibile in </w:t>
      </w:r>
      <w:r w:rsidR="003A3507">
        <w:rPr>
          <w:rFonts w:eastAsia="Calibri" w:cs="Calibri"/>
          <w:color w:val="000000"/>
          <w:lang w:eastAsia="it-IT"/>
        </w:rPr>
        <w:t>soluzione da nebulizzare</w:t>
      </w:r>
      <w:r w:rsidR="003A3507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 attiv</w:t>
      </w:r>
      <w:r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ipratropio</w:t>
      </w:r>
      <w:proofErr w:type="spellEnd"/>
      <w:r>
        <w:rPr>
          <w:snapToGrid w:val="0"/>
        </w:rPr>
        <w:t xml:space="preserve"> bromuro e </w:t>
      </w:r>
      <w:proofErr w:type="spellStart"/>
      <w:r>
        <w:rPr>
          <w:snapToGrid w:val="0"/>
        </w:rPr>
        <w:t>salbutamolo</w:t>
      </w:r>
      <w:proofErr w:type="spellEnd"/>
      <w:r>
        <w:rPr>
          <w:snapToGrid w:val="0"/>
        </w:rPr>
        <w:t xml:space="preserve"> </w:t>
      </w:r>
      <w:r>
        <w:rPr>
          <w:rFonts w:eastAsia="Calibri" w:cs="Calibri"/>
          <w:color w:val="000000"/>
          <w:lang w:eastAsia="it-IT"/>
        </w:rPr>
        <w:t>alla concentrazione di 0,5 mg/2,5 ml e 2,5 mg/2,5 ml rispettivamente.</w:t>
      </w:r>
    </w:p>
    <w:p w:rsidR="00BF119F" w:rsidRDefault="002513BA" w:rsidP="004C730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4C730F">
        <w:rPr>
          <w:rFonts w:eastAsia="Calibri" w:cs="Calibri"/>
          <w:color w:val="000000"/>
          <w:lang w:eastAsia="it-IT"/>
        </w:rPr>
        <w:t>Butapral</w:t>
      </w:r>
      <w:proofErr w:type="spellEnd"/>
      <w:r w:rsidR="00520FDC" w:rsidRPr="004C730F">
        <w:rPr>
          <w:rFonts w:eastAsia="Calibri" w:cs="Calibri"/>
          <w:color w:val="000000"/>
          <w:lang w:eastAsia="it-IT"/>
        </w:rPr>
        <w:t xml:space="preserve"> </w:t>
      </w:r>
      <w:r w:rsidR="00013020" w:rsidRPr="004C730F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B32D81" w:rsidRPr="004C730F">
        <w:rPr>
          <w:rFonts w:eastAsia="Calibri" w:cs="Calibri"/>
          <w:color w:val="000000"/>
          <w:lang w:eastAsia="it-IT"/>
        </w:rPr>
        <w:t>,</w:t>
      </w:r>
      <w:r w:rsidR="00013020" w:rsidRPr="004C730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C730F">
        <w:rPr>
          <w:rFonts w:eastAsia="Calibri" w:cs="Calibri"/>
          <w:color w:val="000000"/>
          <w:lang w:eastAsia="it-IT"/>
        </w:rPr>
        <w:t>Combivent</w:t>
      </w:r>
      <w:proofErr w:type="spellEnd"/>
      <w:r w:rsidRPr="004C730F">
        <w:rPr>
          <w:rFonts w:eastAsia="Calibri" w:cs="Calibri"/>
          <w:color w:val="000000"/>
          <w:lang w:eastAsia="it-IT"/>
        </w:rPr>
        <w:t xml:space="preserve"> che non è autorizzato in Italia, ma è autorizzato in un altro Stato membro dell’Unione Europea,</w:t>
      </w:r>
      <w:r w:rsidR="004C730F" w:rsidRPr="004C730F">
        <w:rPr>
          <w:rFonts w:eastAsia="Calibri" w:cs="Calibri"/>
          <w:color w:val="000000"/>
          <w:lang w:eastAsia="it-IT"/>
        </w:rPr>
        <w:t xml:space="preserve"> il</w:t>
      </w:r>
      <w:r w:rsidRPr="004C730F">
        <w:rPr>
          <w:rFonts w:eastAsia="Calibri" w:cs="Calibri"/>
          <w:color w:val="000000"/>
          <w:lang w:eastAsia="it-IT"/>
        </w:rPr>
        <w:t xml:space="preserve"> </w:t>
      </w:r>
      <w:r w:rsidR="004C730F" w:rsidRPr="004C730F">
        <w:rPr>
          <w:rFonts w:eastAsia="Calibri" w:cs="Calibri"/>
          <w:color w:val="000000"/>
          <w:lang w:eastAsia="it-IT"/>
        </w:rPr>
        <w:t>Regno Unito (</w:t>
      </w:r>
      <w:hyperlink r:id="rId6" w:history="1">
        <w:r w:rsidR="004C730F" w:rsidRPr="004C730F">
          <w:rPr>
            <w:rStyle w:val="Collegamentoipertestuale"/>
            <w:rFonts w:eastAsia="Calibri" w:cs="Calibri"/>
          </w:rPr>
          <w:t>https://www.gov.uk/government/organisations/medicines-and-healthcare-products-regulatory-agency</w:t>
        </w:r>
      </w:hyperlink>
      <w:r w:rsidR="004C730F" w:rsidRPr="004C730F">
        <w:rPr>
          <w:rFonts w:eastAsia="Calibri" w:cs="Calibri"/>
          <w:color w:val="000000"/>
          <w:lang w:eastAsia="it-IT"/>
        </w:rPr>
        <w:t>)</w:t>
      </w:r>
      <w:r w:rsidRPr="004C730F">
        <w:rPr>
          <w:rFonts w:eastAsia="Calibri" w:cs="Calibri"/>
          <w:color w:val="000000"/>
          <w:lang w:eastAsia="it-IT"/>
        </w:rPr>
        <w:t xml:space="preserve">. </w:t>
      </w:r>
    </w:p>
    <w:p w:rsidR="002513BA" w:rsidRPr="005C72A9" w:rsidRDefault="002513BA" w:rsidP="004C730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C730F">
        <w:rPr>
          <w:rFonts w:eastAsia="Calibri" w:cs="Calibri"/>
          <w:color w:val="000000"/>
          <w:lang w:eastAsia="it-IT"/>
        </w:rPr>
        <w:t xml:space="preserve">Il “medicinale di riferimento” </w:t>
      </w:r>
      <w:proofErr w:type="spellStart"/>
      <w:r w:rsidR="004C730F" w:rsidRPr="004C730F">
        <w:rPr>
          <w:rFonts w:eastAsia="Calibri" w:cs="Calibri"/>
          <w:color w:val="000000"/>
          <w:lang w:eastAsia="it-IT"/>
        </w:rPr>
        <w:t>Combivent</w:t>
      </w:r>
      <w:proofErr w:type="spellEnd"/>
      <w:r w:rsidRPr="004C730F">
        <w:rPr>
          <w:rFonts w:eastAsia="Calibri" w:cs="Calibri"/>
          <w:color w:val="000000"/>
          <w:lang w:eastAsia="it-IT"/>
        </w:rPr>
        <w:t xml:space="preserve"> è definito medicinale di riferimento europeo (</w:t>
      </w:r>
      <w:proofErr w:type="spellStart"/>
      <w:r w:rsidRPr="004C730F">
        <w:rPr>
          <w:rFonts w:eastAsia="Calibri" w:cs="Calibri"/>
          <w:color w:val="000000"/>
          <w:lang w:eastAsia="it-IT"/>
        </w:rPr>
        <w:t>European</w:t>
      </w:r>
      <w:proofErr w:type="spellEnd"/>
      <w:r w:rsidRPr="004C730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C730F">
        <w:rPr>
          <w:rFonts w:eastAsia="Calibri" w:cs="Calibri"/>
          <w:color w:val="000000"/>
          <w:lang w:eastAsia="it-IT"/>
        </w:rPr>
        <w:t>Reference</w:t>
      </w:r>
      <w:proofErr w:type="spellEnd"/>
      <w:r w:rsidRPr="004C730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C730F">
        <w:rPr>
          <w:rFonts w:eastAsia="Calibri" w:cs="Calibri"/>
          <w:color w:val="000000"/>
          <w:lang w:eastAsia="it-IT"/>
        </w:rPr>
        <w:t>Product</w:t>
      </w:r>
      <w:proofErr w:type="spellEnd"/>
      <w:r w:rsidRPr="004C730F">
        <w:rPr>
          <w:rFonts w:eastAsia="Calibri" w:cs="Calibri"/>
          <w:color w:val="000000"/>
          <w:lang w:eastAsia="it-IT"/>
        </w:rPr>
        <w:t xml:space="preserve"> – ERP).</w:t>
      </w:r>
      <w:r w:rsidRPr="005C72A9">
        <w:t xml:space="preserve"> </w:t>
      </w:r>
    </w:p>
    <w:p w:rsidR="004C730F" w:rsidRPr="00015396" w:rsidRDefault="002513BA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Butapral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>si usa</w:t>
      </w:r>
      <w:r w:rsidR="004C730F">
        <w:rPr>
          <w:rFonts w:eastAsia="Calibri" w:cs="Calibri"/>
          <w:color w:val="000000"/>
          <w:lang w:eastAsia="it-IT"/>
        </w:rPr>
        <w:t>, negli adulti e negli adolescenti (età compresa tra 12 e 18 anni)</w:t>
      </w:r>
      <w:r w:rsidR="004241AC" w:rsidRPr="00B32D81">
        <w:rPr>
          <w:rFonts w:eastAsia="Calibri" w:cs="Calibri"/>
          <w:color w:val="000000"/>
          <w:lang w:eastAsia="it-IT"/>
        </w:rPr>
        <w:t xml:space="preserve"> per</w:t>
      </w:r>
      <w:r w:rsidR="00E22AEF" w:rsidRPr="00B32D81">
        <w:rPr>
          <w:rFonts w:eastAsia="Calibri" w:cs="Calibri"/>
          <w:color w:val="000000"/>
          <w:lang w:eastAsia="it-IT"/>
        </w:rPr>
        <w:t xml:space="preserve"> </w:t>
      </w:r>
      <w:r w:rsidR="004C730F" w:rsidRPr="00015396">
        <w:rPr>
          <w:rFonts w:eastAsia="TimesNewRomanPSMT" w:cs="TimesNewRomanPSMT"/>
          <w:lang w:eastAsia="it-IT"/>
        </w:rPr>
        <w:t>migliorare la respirazione</w:t>
      </w:r>
      <w:r w:rsidR="004C730F">
        <w:rPr>
          <w:rFonts w:eastAsia="TimesNewRomanPSMT" w:cs="TimesNewRomanPSMT"/>
          <w:lang w:eastAsia="it-IT"/>
        </w:rPr>
        <w:t>,</w:t>
      </w:r>
      <w:r w:rsidR="004C730F" w:rsidRPr="00015396">
        <w:rPr>
          <w:rFonts w:eastAsia="TimesNewRomanPSMT" w:cs="TimesNewRomanPSMT"/>
          <w:lang w:eastAsia="it-IT"/>
        </w:rPr>
        <w:t xml:space="preserve"> aprendo le vie aeree</w:t>
      </w:r>
      <w:r w:rsidR="004C730F">
        <w:rPr>
          <w:rFonts w:eastAsia="TimesNewRomanPSMT" w:cs="TimesNewRomanPSMT"/>
          <w:lang w:eastAsia="it-IT"/>
        </w:rPr>
        <w:t xml:space="preserve">, in </w:t>
      </w:r>
      <w:r w:rsidR="004C730F" w:rsidRPr="00015396">
        <w:rPr>
          <w:rFonts w:eastAsia="TimesNewRomanPSMT" w:cs="TimesNewRomanPSMT"/>
          <w:lang w:eastAsia="it-IT"/>
        </w:rPr>
        <w:t>una malattia chiamata malattia polmonare ostruttiva cronica o BPCO.</w:t>
      </w:r>
    </w:p>
    <w:p w:rsidR="004241AC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C730F" w:rsidRPr="00B32D81" w:rsidRDefault="004C730F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2513BA">
        <w:rPr>
          <w:rFonts w:eastAsia="Calibri" w:cs="Calibri"/>
          <w:b/>
          <w:color w:val="000000"/>
          <w:lang w:eastAsia="it-IT"/>
        </w:rPr>
        <w:t>Butapral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08314C" w:rsidRDefault="002513BA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Butapral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7935FE"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7935FE" w:rsidRPr="00955CB5">
        <w:rPr>
          <w:rFonts w:eastAsia="Calibri" w:cs="Calibri"/>
          <w:color w:val="000000"/>
          <w:lang w:eastAsia="it-IT"/>
        </w:rPr>
        <w:t>(ricetta ripetibile).</w:t>
      </w:r>
    </w:p>
    <w:p w:rsidR="004C730F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La dose raccomandata</w:t>
      </w:r>
      <w:r w:rsidR="004C730F">
        <w:rPr>
          <w:rFonts w:eastAsia="Calibri" w:cs="Calibri"/>
          <w:color w:val="000000"/>
          <w:lang w:eastAsia="it-IT"/>
        </w:rPr>
        <w:t>,</w:t>
      </w:r>
      <w:r w:rsidR="004C730F" w:rsidRPr="004C730F">
        <w:rPr>
          <w:rFonts w:eastAsia="Calibri" w:cs="Calibri"/>
          <w:color w:val="000000"/>
          <w:lang w:eastAsia="it-IT"/>
        </w:rPr>
        <w:t xml:space="preserve"> </w:t>
      </w:r>
      <w:r w:rsidR="004C730F">
        <w:rPr>
          <w:rFonts w:eastAsia="Calibri" w:cs="Calibri"/>
          <w:color w:val="000000"/>
          <w:lang w:eastAsia="it-IT"/>
        </w:rPr>
        <w:t>negli adulti e negli adolescenti (età compresa tra 12 e 18 anni),</w:t>
      </w:r>
      <w:r w:rsidRPr="00B32D81">
        <w:rPr>
          <w:rFonts w:eastAsia="Calibri" w:cs="Calibri"/>
          <w:color w:val="000000"/>
          <w:lang w:eastAsia="it-IT"/>
        </w:rPr>
        <w:t xml:space="preserve"> è </w:t>
      </w:r>
      <w:r w:rsidR="004C730F">
        <w:rPr>
          <w:rFonts w:eastAsia="Calibri" w:cs="Calibri"/>
          <w:color w:val="000000"/>
          <w:lang w:eastAsia="it-IT"/>
        </w:rPr>
        <w:t xml:space="preserve">un </w:t>
      </w:r>
      <w:r w:rsidR="004C730F">
        <w:rPr>
          <w:rFonts w:eastAsia="TimesNewRomanPSMT" w:cs="TimesNewRomanPSMT"/>
          <w:lang w:eastAsia="it-IT"/>
        </w:rPr>
        <w:t>contenitore monodose</w:t>
      </w:r>
      <w:r w:rsidR="004C730F" w:rsidRPr="00F66FC5">
        <w:rPr>
          <w:rFonts w:eastAsia="TimesNewRomanPSMT" w:cs="TimesNewRomanPSMT"/>
          <w:lang w:eastAsia="it-IT"/>
        </w:rPr>
        <w:t xml:space="preserve"> tre o quattro volte al giorno</w:t>
      </w:r>
      <w:r w:rsidR="004C730F">
        <w:rPr>
          <w:rFonts w:eastAsia="TimesNewRomanPSMT" w:cs="TimesNewRomanPSMT"/>
          <w:lang w:eastAsia="it-IT"/>
        </w:rPr>
        <w:t>.</w:t>
      </w:r>
    </w:p>
    <w:p w:rsidR="004241AC" w:rsidRPr="00B32D81" w:rsidRDefault="00F01FB3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 xml:space="preserve">Questo medicinale non deve essere utilizzato in bambini di età inferiore a </w:t>
      </w:r>
      <w:r w:rsidR="004C730F">
        <w:t>1</w:t>
      </w:r>
      <w:r>
        <w:t xml:space="preserve">2 </w:t>
      </w:r>
      <w:r w:rsidR="004C730F">
        <w:t>anni</w:t>
      </w:r>
      <w:r>
        <w:t xml:space="preserve"> in quanto la sicurezza e l’efficacia non sono state stabilite in questa fascia di età.</w:t>
      </w:r>
    </w:p>
    <w:p w:rsidR="00B32D81" w:rsidRDefault="00B32D81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Pr="00B32D81" w:rsidRDefault="00F01FB3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2513BA">
        <w:rPr>
          <w:rFonts w:eastAsia="Calibri" w:cs="Calibri"/>
          <w:b/>
          <w:color w:val="000000"/>
          <w:lang w:eastAsia="it-IT"/>
        </w:rPr>
        <w:t>Butapral</w:t>
      </w:r>
      <w:proofErr w:type="spellEnd"/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C730F" w:rsidRPr="00015396" w:rsidRDefault="002513BA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Butapral</w:t>
      </w:r>
      <w:proofErr w:type="spellEnd"/>
      <w:r w:rsidR="004C730F" w:rsidRPr="00B32D81">
        <w:rPr>
          <w:snapToGrid w:val="0"/>
        </w:rPr>
        <w:t>, il cui codice ATC è</w:t>
      </w:r>
      <w:r w:rsidR="007861F5">
        <w:rPr>
          <w:snapToGrid w:val="0"/>
        </w:rPr>
        <w:t xml:space="preserve"> R03AL02</w:t>
      </w:r>
      <w:r w:rsidR="004C730F">
        <w:t xml:space="preserve">, </w:t>
      </w:r>
      <w:r w:rsidR="004241AC" w:rsidRPr="00B32D81">
        <w:rPr>
          <w:rFonts w:eastAsia="Calibri" w:cs="Calibri"/>
          <w:color w:val="000000"/>
          <w:lang w:eastAsia="it-IT"/>
        </w:rPr>
        <w:t>contiene i principi attiv</w:t>
      </w:r>
      <w:r w:rsidR="004C730F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C730F">
        <w:rPr>
          <w:snapToGrid w:val="0"/>
        </w:rPr>
        <w:t>ipratropio</w:t>
      </w:r>
      <w:proofErr w:type="spellEnd"/>
      <w:r w:rsidR="004C730F">
        <w:rPr>
          <w:snapToGrid w:val="0"/>
        </w:rPr>
        <w:t xml:space="preserve"> bromuro e </w:t>
      </w:r>
      <w:proofErr w:type="spellStart"/>
      <w:r w:rsidR="004C730F">
        <w:rPr>
          <w:snapToGrid w:val="0"/>
        </w:rPr>
        <w:t>salbutamolo</w:t>
      </w:r>
      <w:proofErr w:type="spellEnd"/>
      <w:r w:rsidR="004C730F">
        <w:rPr>
          <w:snapToGrid w:val="0"/>
        </w:rPr>
        <w:t xml:space="preserve"> </w:t>
      </w:r>
      <w:r w:rsidR="00F01FB3">
        <w:t xml:space="preserve">che </w:t>
      </w:r>
      <w:r w:rsidR="004C730F" w:rsidRPr="00015396">
        <w:rPr>
          <w:rFonts w:eastAsia="TimesNewRomanPSMT" w:cs="TimesNewRomanPSMT"/>
          <w:lang w:eastAsia="it-IT"/>
        </w:rPr>
        <w:t>appartengono entrambi a un gruppo di medicinali chiamati</w:t>
      </w:r>
      <w:r w:rsidR="004C730F">
        <w:rPr>
          <w:rFonts w:eastAsia="TimesNewRomanPSMT" w:cs="TimesNewRomanPSMT"/>
          <w:lang w:eastAsia="it-IT"/>
        </w:rPr>
        <w:t xml:space="preserve"> </w:t>
      </w:r>
      <w:r w:rsidR="004C730F" w:rsidRPr="009343A5">
        <w:rPr>
          <w:iCs/>
          <w:lang w:eastAsia="it-IT"/>
        </w:rPr>
        <w:t>broncodilatatori</w:t>
      </w:r>
      <w:r w:rsidR="004C730F" w:rsidRPr="009343A5">
        <w:rPr>
          <w:rFonts w:eastAsia="TimesNewRomanPSMT" w:cs="TimesNewRomanPSMT"/>
          <w:lang w:eastAsia="it-IT"/>
        </w:rPr>
        <w:t xml:space="preserve">, che </w:t>
      </w:r>
      <w:r w:rsidR="004C730F" w:rsidRPr="00015396">
        <w:rPr>
          <w:rFonts w:eastAsia="TimesNewRomanPSMT" w:cs="TimesNewRomanPSMT"/>
          <w:lang w:eastAsia="it-IT"/>
        </w:rPr>
        <w:t>aiutano a migliorare la respirazione</w:t>
      </w:r>
      <w:r w:rsidR="004C730F">
        <w:rPr>
          <w:rFonts w:eastAsia="TimesNewRomanPSMT" w:cs="TimesNewRomanPSMT"/>
          <w:lang w:eastAsia="it-IT"/>
        </w:rPr>
        <w:t>,</w:t>
      </w:r>
      <w:r w:rsidR="004C730F" w:rsidRPr="00015396">
        <w:rPr>
          <w:rFonts w:eastAsia="TimesNewRomanPSMT" w:cs="TimesNewRomanPSMT"/>
          <w:lang w:eastAsia="it-IT"/>
        </w:rPr>
        <w:t xml:space="preserve"> aprendo le vie aeree</w:t>
      </w:r>
      <w:r w:rsidR="004C730F">
        <w:rPr>
          <w:rFonts w:eastAsia="TimesNewRomanPSMT" w:cs="TimesNewRomanPSMT"/>
          <w:lang w:eastAsia="it-IT"/>
        </w:rPr>
        <w:t xml:space="preserve">, in </w:t>
      </w:r>
      <w:r w:rsidR="004C730F" w:rsidRPr="00015396">
        <w:rPr>
          <w:rFonts w:eastAsia="TimesNewRomanPSMT" w:cs="TimesNewRomanPSMT"/>
          <w:lang w:eastAsia="it-IT"/>
        </w:rPr>
        <w:t>una malattia chiamata malattia polmonare ostruttiva cronica o BPCO.</w:t>
      </w:r>
    </w:p>
    <w:p w:rsidR="004C730F" w:rsidRPr="00015396" w:rsidRDefault="004C730F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r w:rsidRPr="004C730F">
        <w:rPr>
          <w:rFonts w:eastAsia="TimesNewRomanPSMT" w:cs="TimesNewRomanPSMT"/>
          <w:lang w:eastAsia="it-IT"/>
        </w:rPr>
        <w:t>Questo effetto si ottiene impedendo la contrazione della muscolatura liscia che circonda le vie aeree, consentendo quindi a queste ultime di rimanere aperte. L’</w:t>
      </w:r>
      <w:proofErr w:type="spellStart"/>
      <w:r w:rsidRPr="004C730F">
        <w:rPr>
          <w:rFonts w:eastAsia="TimesNewRomanPSMT" w:cs="TimesNewRomanPSMT"/>
          <w:lang w:eastAsia="it-IT"/>
        </w:rPr>
        <w:t>Ipratropio</w:t>
      </w:r>
      <w:proofErr w:type="spellEnd"/>
      <w:r w:rsidRPr="004C730F">
        <w:rPr>
          <w:rFonts w:eastAsia="TimesNewRomanPSMT" w:cs="TimesNewRomanPSMT"/>
          <w:lang w:eastAsia="it-IT"/>
        </w:rPr>
        <w:t xml:space="preserve"> bromuro agisce bloccando i segnali nervosi diretti ai muscoli che circondano le vie aeree, mentre il </w:t>
      </w:r>
      <w:proofErr w:type="spellStart"/>
      <w:r w:rsidRPr="004C730F">
        <w:rPr>
          <w:rFonts w:eastAsia="TimesNewRomanPSMT" w:cs="TimesNewRomanPSMT"/>
          <w:lang w:eastAsia="it-IT"/>
        </w:rPr>
        <w:t>salbutamolo</w:t>
      </w:r>
      <w:proofErr w:type="spellEnd"/>
      <w:r w:rsidRPr="004C730F">
        <w:rPr>
          <w:rFonts w:eastAsia="TimesNewRomanPSMT" w:cs="TimesNewRomanPSMT"/>
          <w:lang w:eastAsia="it-IT"/>
        </w:rPr>
        <w:t xml:space="preserve"> agisce stimolando specifici recettori presenti nei muscoli.</w:t>
      </w:r>
    </w:p>
    <w:p w:rsidR="004241AC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F01FB3" w:rsidRPr="00B32D81" w:rsidRDefault="00F01FB3" w:rsidP="004C730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2513BA">
        <w:rPr>
          <w:rFonts w:eastAsia="Calibri" w:cs="Calibri"/>
          <w:b/>
          <w:color w:val="000000"/>
          <w:lang w:eastAsia="it-IT"/>
        </w:rPr>
        <w:t>Butapral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B32D8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4C730F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proofErr w:type="spellStart"/>
      <w:r w:rsidR="002513BA">
        <w:rPr>
          <w:rFonts w:eastAsia="Calibri" w:cs="Calibri"/>
          <w:color w:val="000000"/>
          <w:lang w:eastAsia="it-IT"/>
        </w:rPr>
        <w:t>Butapral</w:t>
      </w:r>
      <w:proofErr w:type="spellEnd"/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 xml:space="preserve">ed è somministrato come </w:t>
      </w:r>
      <w:r w:rsidR="006C08CF">
        <w:rPr>
          <w:rFonts w:cs="Arial"/>
        </w:rPr>
        <w:t xml:space="preserve">soluzione da nebulizzare con la stessa composizione </w:t>
      </w:r>
      <w:r w:rsidR="001442AF">
        <w:rPr>
          <w:rFonts w:cs="Arial"/>
        </w:rPr>
        <w:t xml:space="preserve">e le stesse caratteristiche chimico-fisiche </w:t>
      </w:r>
      <w:r w:rsidR="006C08CF">
        <w:rPr>
          <w:rFonts w:cs="Arial"/>
        </w:rPr>
        <w:t>del medicinale di riferimento</w:t>
      </w:r>
      <w:r w:rsidR="004304A0">
        <w:rPr>
          <w:rFonts w:cs="Arial"/>
        </w:rPr>
        <w:t xml:space="preserve"> </w:t>
      </w:r>
      <w:proofErr w:type="spellStart"/>
      <w:r w:rsidR="004304A0">
        <w:rPr>
          <w:rFonts w:cs="Arial"/>
        </w:rPr>
        <w:t>Combivent</w:t>
      </w:r>
      <w:proofErr w:type="spellEnd"/>
      <w:r w:rsidR="004304A0">
        <w:rPr>
          <w:rFonts w:cs="Arial"/>
        </w:rPr>
        <w:t xml:space="preserve"> autorizzato nel Regno Unito,</w:t>
      </w:r>
      <w:r w:rsidR="006C08CF">
        <w:rPr>
          <w:rFonts w:cs="Arial"/>
        </w:rPr>
        <w:t xml:space="preserve"> </w:t>
      </w:r>
      <w:r w:rsidR="00F01FB3" w:rsidRPr="00B21EAE">
        <w:rPr>
          <w:rFonts w:cs="Arial"/>
        </w:rPr>
        <w:t>non è stato necessario effettuare ulteriori studi clinici.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2513BA">
        <w:rPr>
          <w:rFonts w:eastAsia="Calibri" w:cs="Calibri"/>
          <w:b/>
          <w:color w:val="000000"/>
          <w:lang w:eastAsia="it-IT"/>
        </w:rPr>
        <w:t>Butapral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2513BA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Butapral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B32D81">
        <w:rPr>
          <w:rFonts w:eastAsia="Calibri" w:cs="Calibri"/>
          <w:lang w:eastAsia="it-IT"/>
        </w:rPr>
        <w:t>bioequivale</w:t>
      </w:r>
      <w:r w:rsidR="00C8171A" w:rsidRPr="00B32D81">
        <w:rPr>
          <w:rFonts w:eastAsia="Calibri" w:cs="Calibri"/>
          <w:lang w:eastAsia="it-IT"/>
        </w:rPr>
        <w:t>n</w:t>
      </w:r>
      <w:r w:rsidR="00013020" w:rsidRPr="00B32D81">
        <w:rPr>
          <w:rFonts w:eastAsia="Calibri" w:cs="Calibri"/>
          <w:lang w:eastAsia="it-IT"/>
        </w:rPr>
        <w:t>te</w:t>
      </w:r>
      <w:proofErr w:type="spellEnd"/>
      <w:r w:rsidR="00013020" w:rsidRPr="00B32D81">
        <w:rPr>
          <w:rFonts w:eastAsia="Calibri" w:cs="Calibri"/>
          <w:lang w:eastAsia="it-IT"/>
        </w:rPr>
        <w:t xml:space="preserve"> al medicinale di riferimento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2513BA">
        <w:rPr>
          <w:rFonts w:eastAsia="Calibri" w:cs="Calibri"/>
          <w:b/>
          <w:color w:val="000000"/>
          <w:lang w:eastAsia="it-IT"/>
        </w:rPr>
        <w:t>Butapral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Commissione Tecnico Scientifica (CTS), nella seduta del </w:t>
      </w:r>
      <w:r w:rsidR="004304A0">
        <w:rPr>
          <w:rFonts w:eastAsia="Calibri" w:cs="Calibri"/>
          <w:lang w:eastAsia="it-IT"/>
        </w:rPr>
        <w:t>12-14 settembre 2016</w:t>
      </w:r>
      <w:r w:rsidR="005B446C" w:rsidRPr="00B32D81">
        <w:rPr>
          <w:rFonts w:eastAsia="Calibri" w:cs="Calibri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4304A0">
        <w:rPr>
          <w:rFonts w:eastAsia="Calibri" w:cs="Calibri"/>
          <w:color w:val="000000"/>
          <w:lang w:eastAsia="it-IT"/>
        </w:rPr>
        <w:t>Combivent</w:t>
      </w:r>
      <w:proofErr w:type="spellEnd"/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proofErr w:type="spellStart"/>
      <w:r w:rsidR="002513BA">
        <w:rPr>
          <w:rFonts w:eastAsia="Calibri" w:cs="Calibri"/>
          <w:color w:val="000000"/>
          <w:lang w:eastAsia="it-IT"/>
        </w:rPr>
        <w:t>Butapral</w:t>
      </w:r>
      <w:proofErr w:type="spellEnd"/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5B6CDE">
        <w:rPr>
          <w:rFonts w:eastAsia="Calibri" w:cs="Calibri"/>
          <w:lang w:eastAsia="it-IT"/>
        </w:rPr>
        <w:t>medicinale</w:t>
      </w:r>
      <w:r w:rsidR="00D20170" w:rsidRPr="005B6CDE">
        <w:rPr>
          <w:rFonts w:eastAsia="Calibri" w:cs="Calibri"/>
          <w:lang w:eastAsia="it-IT"/>
        </w:rPr>
        <w:t xml:space="preserve"> </w:t>
      </w:r>
      <w:r w:rsidR="007935FE" w:rsidRPr="005B6CDE">
        <w:rPr>
          <w:rFonts w:eastAsia="Calibri" w:cs="Calibri"/>
          <w:lang w:eastAsia="it-IT"/>
        </w:rPr>
        <w:t>(</w:t>
      </w:r>
      <w:r w:rsidR="008D5B85">
        <w:rPr>
          <w:rFonts w:eastAsia="Calibri" w:cs="Calibri"/>
          <w:lang w:eastAsia="it-IT"/>
        </w:rPr>
        <w:t>A</w:t>
      </w:r>
      <w:r w:rsidR="007935FE" w:rsidRPr="005B6CDE">
        <w:rPr>
          <w:rFonts w:eastAsia="Calibri" w:cs="Calibri"/>
          <w:lang w:eastAsia="it-IT"/>
        </w:rPr>
        <w:t>)</w:t>
      </w:r>
      <w:r w:rsidRPr="005B6CDE">
        <w:rPr>
          <w:rFonts w:eastAsia="Calibri" w:cs="Calibri"/>
          <w:lang w:eastAsia="it-IT"/>
        </w:rPr>
        <w:t>.</w:t>
      </w: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2513BA">
        <w:rPr>
          <w:rFonts w:eastAsia="Calibri" w:cs="Calibri"/>
          <w:b/>
          <w:color w:val="000000"/>
          <w:lang w:eastAsia="it-IT"/>
        </w:rPr>
        <w:t>Butapral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4C730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proofErr w:type="spellStart"/>
      <w:r w:rsidR="002513BA">
        <w:rPr>
          <w:rFonts w:eastAsia="Calibri" w:cs="Calibri"/>
          <w:color w:val="000000"/>
          <w:lang w:eastAsia="it-IT"/>
        </w:rPr>
        <w:t>Butapral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2513BA">
        <w:rPr>
          <w:rFonts w:eastAsia="Calibri" w:cs="Calibri"/>
          <w:b/>
          <w:color w:val="000000"/>
          <w:lang w:eastAsia="it-IT"/>
        </w:rPr>
        <w:t>Butapral</w:t>
      </w:r>
      <w:proofErr w:type="spellEnd"/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Il </w:t>
      </w:r>
      <w:r w:rsidR="004B7E43">
        <w:rPr>
          <w:rFonts w:eastAsia="Calibri" w:cs="Calibri"/>
          <w:bCs/>
          <w:iCs/>
          <w:lang w:eastAsia="it-IT"/>
        </w:rPr>
        <w:t>7 luglio 2017</w:t>
      </w:r>
      <w:r w:rsidR="00A642C7" w:rsidRPr="00B32D81">
        <w:rPr>
          <w:rFonts w:eastAsia="Calibri" w:cs="Calibri"/>
          <w:bCs/>
          <w:iCs/>
          <w:lang w:eastAsia="it-IT"/>
        </w:rPr>
        <w:t xml:space="preserve"> </w:t>
      </w:r>
      <w:r w:rsidRPr="00B32D81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2513BA">
        <w:rPr>
          <w:rFonts w:eastAsia="Calibri" w:cs="Calibri"/>
          <w:color w:val="000000"/>
          <w:lang w:eastAsia="it-IT"/>
        </w:rPr>
        <w:t>Butapral</w:t>
      </w:r>
      <w:proofErr w:type="spellEnd"/>
      <w:r w:rsidR="00A642C7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2513BA">
        <w:rPr>
          <w:rFonts w:eastAsia="Calibri" w:cs="Calibri"/>
          <w:color w:val="000000"/>
          <w:lang w:eastAsia="it-IT"/>
        </w:rPr>
        <w:t>Butapral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7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Questo riassunto è stato redatto in data </w:t>
      </w:r>
      <w:r w:rsidR="0057253D">
        <w:rPr>
          <w:rFonts w:eastAsia="Calibri" w:cs="Calibri"/>
          <w:lang w:eastAsia="it-IT"/>
        </w:rPr>
        <w:t>01.09.2016</w:t>
      </w:r>
      <w:r w:rsidRPr="00B32D81">
        <w:rPr>
          <w:rFonts w:eastAsia="Calibri" w:cs="Calibri"/>
          <w:lang w:eastAsia="it-IT"/>
        </w:rPr>
        <w:t xml:space="preserve">. </w:t>
      </w:r>
    </w:p>
    <w:p w:rsidR="004241AC" w:rsidRPr="00B32D81" w:rsidRDefault="004241AC" w:rsidP="00B32D81">
      <w:pPr>
        <w:spacing w:after="0" w:line="240" w:lineRule="auto"/>
        <w:jc w:val="both"/>
      </w:pPr>
    </w:p>
    <w:p w:rsidR="004241AC" w:rsidRPr="00B32D81" w:rsidRDefault="004241AC" w:rsidP="00B32D81">
      <w:pPr>
        <w:spacing w:after="0" w:line="240" w:lineRule="auto"/>
        <w:jc w:val="both"/>
      </w:pPr>
    </w:p>
    <w:p w:rsidR="009A260F" w:rsidRPr="00B32D81" w:rsidRDefault="009A260F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D45CCB" w:rsidRPr="00B32D81" w:rsidRDefault="00D45CCB" w:rsidP="00B32D81">
      <w:pPr>
        <w:spacing w:after="0" w:line="240" w:lineRule="auto"/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 xml:space="preserve">ASPETTI </w:t>
      </w:r>
      <w:proofErr w:type="spellStart"/>
      <w:r w:rsidRPr="00B32D81">
        <w:rPr>
          <w:b/>
        </w:rPr>
        <w:t>DI</w:t>
      </w:r>
      <w:proofErr w:type="spellEnd"/>
      <w:r w:rsidRPr="00B32D81">
        <w:rPr>
          <w:b/>
        </w:rPr>
        <w:t xml:space="preserve">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D45CCB" w:rsidRPr="00B32D81" w:rsidRDefault="00D45CCB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autoSpaceDE w:val="0"/>
        <w:autoSpaceDN w:val="0"/>
        <w:adjustRightInd w:val="0"/>
        <w:spacing w:after="0" w:line="240" w:lineRule="auto"/>
        <w:jc w:val="both"/>
      </w:pPr>
      <w:r w:rsidRPr="00B32D81">
        <w:lastRenderedPageBreak/>
        <w:t xml:space="preserve">Sulla base dei dati di qualità, sicurezza ed efficacia, l’AIFA ha rilasciato a </w:t>
      </w:r>
      <w:proofErr w:type="spellStart"/>
      <w:r w:rsidRPr="00B32D81">
        <w:t>Genetic</w:t>
      </w:r>
      <w:proofErr w:type="spellEnd"/>
      <w:r w:rsidRPr="00B32D81">
        <w:t xml:space="preserve"> l’autorizzazione all’immissione in commercio (AIC) per il medicinale </w:t>
      </w:r>
      <w:proofErr w:type="spellStart"/>
      <w:r w:rsidR="002513BA">
        <w:t>Butapral</w:t>
      </w:r>
      <w:proofErr w:type="spellEnd"/>
      <w:r w:rsidRPr="005B6CDE">
        <w:t xml:space="preserve"> </w:t>
      </w:r>
      <w:r w:rsidRPr="005B6CDE">
        <w:rPr>
          <w:rFonts w:eastAsia="Calibri" w:cs="Calibri"/>
          <w:bCs/>
          <w:iCs/>
          <w:lang w:eastAsia="it-IT"/>
        </w:rPr>
        <w:t xml:space="preserve">il </w:t>
      </w:r>
      <w:r w:rsidR="004B7E43">
        <w:rPr>
          <w:rFonts w:eastAsia="Calibri" w:cs="Calibri"/>
          <w:bCs/>
          <w:iCs/>
          <w:lang w:eastAsia="it-IT"/>
        </w:rPr>
        <w:t>7 luglio 2017</w:t>
      </w:r>
      <w:r w:rsidR="004B7E43">
        <w:t>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935FE" w:rsidRPr="0008314C" w:rsidRDefault="002513BA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Butapral</w:t>
      </w:r>
      <w:proofErr w:type="spellEnd"/>
      <w:r w:rsidR="007935FE" w:rsidRPr="00B32D81">
        <w:rPr>
          <w:rFonts w:eastAsia="Calibri" w:cs="Calibri"/>
          <w:color w:val="000000"/>
          <w:lang w:eastAsia="it-IT"/>
        </w:rPr>
        <w:t xml:space="preserve"> </w:t>
      </w:r>
      <w:r w:rsidR="007935FE" w:rsidRPr="0008314C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7935FE" w:rsidRPr="00955CB5">
        <w:rPr>
          <w:rFonts w:eastAsia="Calibri" w:cs="Calibri"/>
          <w:color w:val="000000"/>
          <w:lang w:eastAsia="it-IT"/>
        </w:rPr>
        <w:t>(ricetta ripetibile).</w:t>
      </w:r>
    </w:p>
    <w:p w:rsidR="007C68D2" w:rsidRPr="00B32D81" w:rsidRDefault="007C68D2" w:rsidP="007520A0">
      <w:pPr>
        <w:spacing w:after="0" w:line="240" w:lineRule="auto"/>
        <w:jc w:val="both"/>
      </w:pPr>
    </w:p>
    <w:p w:rsidR="007C68D2" w:rsidRPr="00B32D81" w:rsidRDefault="007C68D2" w:rsidP="007520A0">
      <w:pPr>
        <w:spacing w:after="0" w:line="240" w:lineRule="auto"/>
        <w:jc w:val="both"/>
      </w:pPr>
      <w:r w:rsidRPr="00B32D81">
        <w:t xml:space="preserve">Questa procedura è stata presentata ai sensi dell’art. 10(3) della Direttiva 2001/83/EU </w:t>
      </w:r>
      <w:proofErr w:type="spellStart"/>
      <w:r w:rsidRPr="00B32D81">
        <w:t>s.m.i.</w:t>
      </w:r>
      <w:proofErr w:type="spellEnd"/>
    </w:p>
    <w:p w:rsidR="007C68D2" w:rsidRPr="00B32D81" w:rsidRDefault="007C68D2" w:rsidP="007520A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304A0" w:rsidRPr="005C72A9" w:rsidRDefault="002513BA" w:rsidP="007520A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Butapral</w:t>
      </w:r>
      <w:proofErr w:type="spellEnd"/>
      <w:r w:rsidR="007C68D2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B32D81">
        <w:rPr>
          <w:rFonts w:eastAsia="Calibri" w:cs="Calibri"/>
          <w:color w:val="000000"/>
          <w:lang w:eastAsia="it-IT"/>
        </w:rPr>
        <w:t>è un medicinale generico contenente i principi attiv</w:t>
      </w:r>
      <w:r w:rsidR="004304A0">
        <w:rPr>
          <w:rFonts w:eastAsia="Calibri" w:cs="Calibri"/>
          <w:color w:val="000000"/>
          <w:lang w:eastAsia="it-IT"/>
        </w:rPr>
        <w:t>i</w:t>
      </w:r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520A0">
        <w:rPr>
          <w:snapToGrid w:val="0"/>
        </w:rPr>
        <w:t>ipratropio</w:t>
      </w:r>
      <w:proofErr w:type="spellEnd"/>
      <w:r w:rsidR="007520A0">
        <w:rPr>
          <w:snapToGrid w:val="0"/>
        </w:rPr>
        <w:t xml:space="preserve"> bromuro e </w:t>
      </w:r>
      <w:proofErr w:type="spellStart"/>
      <w:r w:rsidR="007520A0">
        <w:rPr>
          <w:snapToGrid w:val="0"/>
        </w:rPr>
        <w:t>salbutamolo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r w:rsidR="004304A0" w:rsidRPr="005C72A9">
        <w:rPr>
          <w:rFonts w:eastAsia="Calibri" w:cs="Calibri"/>
          <w:color w:val="000000"/>
          <w:lang w:eastAsia="it-IT"/>
        </w:rPr>
        <w:t>present</w:t>
      </w:r>
      <w:r w:rsidR="004304A0">
        <w:rPr>
          <w:rFonts w:eastAsia="Calibri" w:cs="Calibri"/>
          <w:color w:val="000000"/>
          <w:lang w:eastAsia="it-IT"/>
        </w:rPr>
        <w:t>i</w:t>
      </w:r>
      <w:r w:rsidR="004304A0" w:rsidRPr="005C72A9">
        <w:rPr>
          <w:rFonts w:eastAsia="Calibri" w:cs="Calibri"/>
          <w:color w:val="000000"/>
          <w:lang w:eastAsia="it-IT"/>
        </w:rPr>
        <w:t xml:space="preserve"> nel medicinale di </w:t>
      </w:r>
      <w:r w:rsidR="004304A0">
        <w:rPr>
          <w:rFonts w:eastAsia="Calibri" w:cs="Calibri"/>
          <w:color w:val="000000"/>
          <w:lang w:eastAsia="it-IT"/>
        </w:rPr>
        <w:t xml:space="preserve">riferimento europeo </w:t>
      </w:r>
      <w:proofErr w:type="spellStart"/>
      <w:r w:rsidR="004304A0">
        <w:rPr>
          <w:rFonts w:eastAsia="Calibri" w:cs="Calibri"/>
          <w:color w:val="000000"/>
          <w:lang w:eastAsia="it-IT"/>
        </w:rPr>
        <w:t>Combivent</w:t>
      </w:r>
      <w:proofErr w:type="spellEnd"/>
      <w:r w:rsidR="004304A0" w:rsidRPr="005C72A9">
        <w:rPr>
          <w:rFonts w:eastAsia="Calibri" w:cs="Calibri"/>
          <w:color w:val="000000"/>
          <w:lang w:eastAsia="it-IT"/>
        </w:rPr>
        <w:t xml:space="preserve">, autorizzato </w:t>
      </w:r>
      <w:r w:rsidR="004304A0">
        <w:rPr>
          <w:rFonts w:eastAsia="Calibri" w:cs="Calibri"/>
          <w:color w:val="000000"/>
          <w:lang w:eastAsia="it-IT"/>
        </w:rPr>
        <w:t xml:space="preserve">nel </w:t>
      </w:r>
      <w:r w:rsidR="001442AF">
        <w:rPr>
          <w:rFonts w:eastAsia="Calibri" w:cs="Calibri"/>
          <w:color w:val="000000"/>
          <w:lang w:eastAsia="it-IT"/>
        </w:rPr>
        <w:t>R</w:t>
      </w:r>
      <w:r w:rsidR="004304A0">
        <w:rPr>
          <w:rFonts w:eastAsia="Calibri" w:cs="Calibri"/>
          <w:color w:val="000000"/>
          <w:lang w:eastAsia="it-IT"/>
        </w:rPr>
        <w:t>egno Unito</w:t>
      </w:r>
      <w:r w:rsidR="004304A0" w:rsidRPr="005C72A9">
        <w:rPr>
          <w:rFonts w:eastAsia="Calibri" w:cs="Calibri"/>
          <w:color w:val="000000"/>
          <w:lang w:eastAsia="it-IT"/>
        </w:rPr>
        <w:t xml:space="preserve"> da più di 10 anni.</w:t>
      </w:r>
    </w:p>
    <w:p w:rsidR="007C68D2" w:rsidRPr="00B32D81" w:rsidRDefault="007C68D2" w:rsidP="007520A0">
      <w:pPr>
        <w:widowControl w:val="0"/>
        <w:spacing w:after="0" w:line="240" w:lineRule="auto"/>
        <w:jc w:val="both"/>
        <w:rPr>
          <w:highlight w:val="yellow"/>
        </w:rPr>
      </w:pPr>
    </w:p>
    <w:p w:rsidR="007520A0" w:rsidRPr="007520A0" w:rsidRDefault="002513BA" w:rsidP="007520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520A0">
        <w:rPr>
          <w:rFonts w:eastAsia="Calibri" w:cs="Calibri"/>
          <w:bCs/>
          <w:color w:val="000000"/>
          <w:lang w:eastAsia="it-IT"/>
        </w:rPr>
        <w:t>Butapral</w:t>
      </w:r>
      <w:proofErr w:type="spellEnd"/>
      <w:r w:rsidR="007C68D2" w:rsidRPr="007520A0">
        <w:rPr>
          <w:rFonts w:eastAsia="Calibri" w:cs="Calibri"/>
          <w:bCs/>
          <w:color w:val="000000"/>
          <w:lang w:eastAsia="it-IT"/>
        </w:rPr>
        <w:t xml:space="preserve">, </w:t>
      </w:r>
      <w:r w:rsidR="007C68D2" w:rsidRPr="007520A0">
        <w:rPr>
          <w:color w:val="000000"/>
        </w:rPr>
        <w:t>il cui c</w:t>
      </w:r>
      <w:r w:rsidR="007C68D2" w:rsidRPr="007520A0">
        <w:rPr>
          <w:iCs/>
        </w:rPr>
        <w:t xml:space="preserve">odice ATC è </w:t>
      </w:r>
      <w:r w:rsidR="007861F5" w:rsidRPr="007861F5">
        <w:t>R03AL02</w:t>
      </w:r>
      <w:r w:rsidR="007C68D2" w:rsidRPr="007520A0">
        <w:rPr>
          <w:rFonts w:eastAsia="DejaVuSans" w:cs="DejaVuSans"/>
        </w:rPr>
        <w:t>,</w:t>
      </w:r>
      <w:r w:rsidR="007C68D2" w:rsidRPr="007520A0">
        <w:rPr>
          <w:rFonts w:eastAsia="Calibri" w:cs="Calibri"/>
          <w:bCs/>
          <w:color w:val="000000"/>
          <w:lang w:eastAsia="it-IT"/>
        </w:rPr>
        <w:t xml:space="preserve"> </w:t>
      </w:r>
      <w:r w:rsidR="007520A0" w:rsidRPr="007520A0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7520A0" w:rsidRPr="007520A0">
        <w:rPr>
          <w:snapToGrid w:val="0"/>
        </w:rPr>
        <w:t>ipratropio</w:t>
      </w:r>
      <w:proofErr w:type="spellEnd"/>
      <w:r w:rsidR="007520A0" w:rsidRPr="007520A0">
        <w:rPr>
          <w:snapToGrid w:val="0"/>
        </w:rPr>
        <w:t xml:space="preserve"> bromuro e </w:t>
      </w:r>
      <w:proofErr w:type="spellStart"/>
      <w:r w:rsidR="007520A0" w:rsidRPr="007520A0">
        <w:rPr>
          <w:snapToGrid w:val="0"/>
        </w:rPr>
        <w:t>salbutamolo</w:t>
      </w:r>
      <w:proofErr w:type="spellEnd"/>
      <w:r w:rsidR="007C68D2" w:rsidRPr="007520A0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7520A0">
        <w:rPr>
          <w:rFonts w:eastAsia="Calibri" w:cs="Calibri"/>
          <w:color w:val="000000"/>
          <w:lang w:eastAsia="it-IT"/>
        </w:rPr>
        <w:t>che appart</w:t>
      </w:r>
      <w:r w:rsidR="003A3147">
        <w:rPr>
          <w:rFonts w:eastAsia="Calibri" w:cs="Calibri"/>
          <w:color w:val="000000"/>
          <w:lang w:eastAsia="it-IT"/>
        </w:rPr>
        <w:t xml:space="preserve">engono </w:t>
      </w:r>
      <w:r w:rsidR="007C68D2" w:rsidRPr="007520A0">
        <w:rPr>
          <w:rFonts w:eastAsia="Calibri" w:cs="Calibri"/>
          <w:color w:val="000000"/>
          <w:lang w:eastAsia="it-IT"/>
        </w:rPr>
        <w:t>alla categoria farmaco terapeutica</w:t>
      </w:r>
      <w:r w:rsidR="007520A0" w:rsidRPr="007520A0">
        <w:rPr>
          <w:rFonts w:eastAsia="Calibri" w:cs="Calibri"/>
          <w:color w:val="000000"/>
          <w:lang w:eastAsia="it-IT"/>
        </w:rPr>
        <w:t xml:space="preserve"> dei broncodilatatori.</w:t>
      </w:r>
    </w:p>
    <w:p w:rsidR="007520A0" w:rsidRDefault="007520A0" w:rsidP="007520A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r w:rsidRPr="00F66FC5">
        <w:rPr>
          <w:rFonts w:eastAsia="TimesNewRomanPSMT" w:cs="TimesNewRomanPSMT"/>
          <w:lang w:eastAsia="it-IT"/>
        </w:rPr>
        <w:t>L’</w:t>
      </w:r>
      <w:proofErr w:type="spellStart"/>
      <w:r w:rsidRPr="00F66FC5">
        <w:rPr>
          <w:rFonts w:eastAsia="TimesNewRomanPSMT" w:cs="TimesNewRomanPSMT"/>
          <w:lang w:eastAsia="it-IT"/>
        </w:rPr>
        <w:t>ipratropio</w:t>
      </w:r>
      <w:proofErr w:type="spellEnd"/>
      <w:r w:rsidRPr="00F66FC5">
        <w:rPr>
          <w:rFonts w:eastAsia="TimesNewRomanPSMT" w:cs="TimesNewRomanPSMT"/>
          <w:lang w:eastAsia="it-IT"/>
        </w:rPr>
        <w:t xml:space="preserve"> bromuro è un anticolinergico</w:t>
      </w:r>
      <w:r>
        <w:rPr>
          <w:rFonts w:eastAsia="TimesNewRomanPSMT" w:cs="TimesNewRomanPSMT"/>
          <w:lang w:eastAsia="it-IT"/>
        </w:rPr>
        <w:t xml:space="preserve"> (parasimpaticolitico)</w:t>
      </w:r>
      <w:r w:rsidRPr="00F66FC5">
        <w:rPr>
          <w:rFonts w:eastAsia="TimesNewRomanPSMT" w:cs="TimesNewRomanPSMT"/>
          <w:lang w:eastAsia="it-IT"/>
        </w:rPr>
        <w:t xml:space="preserve"> che inibisce i riflessi mediati dal nervo vago, agendo come antagonista dell’azione</w:t>
      </w:r>
      <w:r>
        <w:rPr>
          <w:rFonts w:eastAsia="TimesNewRomanPSMT" w:cs="TimesNewRomanPSMT"/>
          <w:lang w:eastAsia="it-IT"/>
        </w:rPr>
        <w:t xml:space="preserve"> </w:t>
      </w:r>
      <w:r w:rsidRPr="00F66FC5">
        <w:rPr>
          <w:rFonts w:eastAsia="TimesNewRomanPSMT" w:cs="TimesNewRomanPSMT"/>
          <w:lang w:eastAsia="it-IT"/>
        </w:rPr>
        <w:t>muscarinica dell’</w:t>
      </w:r>
      <w:proofErr w:type="spellStart"/>
      <w:r w:rsidRPr="00F66FC5">
        <w:rPr>
          <w:rFonts w:eastAsia="TimesNewRomanPSMT" w:cs="TimesNewRomanPSMT"/>
          <w:lang w:eastAsia="it-IT"/>
        </w:rPr>
        <w:t>acetilcolina</w:t>
      </w:r>
      <w:proofErr w:type="spellEnd"/>
      <w:r w:rsidRPr="00F66FC5">
        <w:rPr>
          <w:rFonts w:eastAsia="TimesNewRomanPSMT" w:cs="TimesNewRomanPSMT"/>
          <w:lang w:eastAsia="it-IT"/>
        </w:rPr>
        <w:t xml:space="preserve">. Il </w:t>
      </w:r>
      <w:proofErr w:type="spellStart"/>
      <w:r w:rsidRPr="00F66FC5">
        <w:rPr>
          <w:rFonts w:eastAsia="TimesNewRomanPSMT" w:cs="TimesNewRomanPSMT"/>
          <w:lang w:eastAsia="it-IT"/>
        </w:rPr>
        <w:t>salbutamolo</w:t>
      </w:r>
      <w:proofErr w:type="spellEnd"/>
      <w:r w:rsidRPr="00F66FC5">
        <w:rPr>
          <w:rFonts w:eastAsia="TimesNewRomanPSMT" w:cs="TimesNewRomanPSMT"/>
          <w:lang w:eastAsia="it-IT"/>
        </w:rPr>
        <w:t xml:space="preserve"> è un agonista </w:t>
      </w:r>
      <w:r>
        <w:rPr>
          <w:rFonts w:eastAsia="TimesNewRomanPSMT" w:cs="TimesNewRomanPSMT"/>
          <w:lang w:eastAsia="it-IT"/>
        </w:rPr>
        <w:t xml:space="preserve">sui </w:t>
      </w:r>
      <w:r w:rsidRPr="00F66FC5">
        <w:rPr>
          <w:rFonts w:eastAsia="TimesNewRomanPSMT" w:cs="TimesNewRomanPSMT"/>
          <w:lang w:eastAsia="it-IT"/>
        </w:rPr>
        <w:t>beta2-adrenorecettor</w:t>
      </w:r>
      <w:r w:rsidR="003A3147">
        <w:rPr>
          <w:rFonts w:eastAsia="TimesNewRomanPSMT" w:cs="TimesNewRomanPSMT"/>
          <w:lang w:eastAsia="it-IT"/>
        </w:rPr>
        <w:t>i</w:t>
      </w:r>
      <w:r w:rsidRPr="00F66FC5">
        <w:rPr>
          <w:rFonts w:eastAsia="TimesNewRomanPSMT" w:cs="TimesNewRomanPSMT"/>
          <w:lang w:eastAsia="it-IT"/>
        </w:rPr>
        <w:t xml:space="preserve"> che agisce sulla muscolatura liscia delle vie aeree, provocando</w:t>
      </w:r>
      <w:r>
        <w:rPr>
          <w:rFonts w:eastAsia="TimesNewRomanPSMT" w:cs="TimesNewRomanPSMT"/>
          <w:lang w:eastAsia="it-IT"/>
        </w:rPr>
        <w:t xml:space="preserve">ne il </w:t>
      </w:r>
      <w:r w:rsidRPr="00F66FC5">
        <w:rPr>
          <w:rFonts w:eastAsia="TimesNewRomanPSMT" w:cs="TimesNewRomanPSMT"/>
          <w:lang w:eastAsia="it-IT"/>
        </w:rPr>
        <w:t>rilassamento.</w:t>
      </w:r>
      <w:r>
        <w:rPr>
          <w:rFonts w:eastAsia="TimesNewRomanPSMT" w:cs="TimesNewRomanPSMT"/>
          <w:lang w:eastAsia="it-IT"/>
        </w:rPr>
        <w:t xml:space="preserve"> </w:t>
      </w:r>
    </w:p>
    <w:p w:rsidR="007520A0" w:rsidRDefault="007520A0" w:rsidP="007520A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r>
        <w:rPr>
          <w:rFonts w:eastAsia="TimesNewRomanPSMT" w:cs="TimesNewRomanPSMT"/>
          <w:lang w:eastAsia="it-IT"/>
        </w:rPr>
        <w:t xml:space="preserve">La combinazione </w:t>
      </w:r>
      <w:r w:rsidRPr="00F66FC5">
        <w:rPr>
          <w:rFonts w:eastAsia="TimesNewRomanPSMT" w:cs="TimesNewRomanPSMT"/>
          <w:lang w:eastAsia="it-IT"/>
        </w:rPr>
        <w:t xml:space="preserve">di </w:t>
      </w:r>
      <w:proofErr w:type="spellStart"/>
      <w:r w:rsidRPr="00F66FC5">
        <w:rPr>
          <w:rFonts w:eastAsia="TimesNewRomanPSMT" w:cs="TimesNewRomanPSMT"/>
          <w:lang w:eastAsia="it-IT"/>
        </w:rPr>
        <w:t>ipratropio</w:t>
      </w:r>
      <w:proofErr w:type="spellEnd"/>
      <w:r w:rsidRPr="00F66FC5">
        <w:rPr>
          <w:rFonts w:eastAsia="TimesNewRomanPSMT" w:cs="TimesNewRomanPSMT"/>
          <w:lang w:eastAsia="it-IT"/>
        </w:rPr>
        <w:t xml:space="preserve"> bromuro e di </w:t>
      </w:r>
      <w:proofErr w:type="spellStart"/>
      <w:r w:rsidRPr="00F66FC5">
        <w:rPr>
          <w:rFonts w:eastAsia="TimesNewRomanPSMT" w:cs="TimesNewRomanPSMT"/>
          <w:lang w:eastAsia="it-IT"/>
        </w:rPr>
        <w:t>salbutamolo</w:t>
      </w:r>
      <w:proofErr w:type="spellEnd"/>
      <w:r w:rsidRPr="00F66FC5">
        <w:rPr>
          <w:rFonts w:eastAsia="TimesNewRomanPSMT" w:cs="TimesNewRomanPSMT"/>
          <w:lang w:eastAsia="it-IT"/>
        </w:rPr>
        <w:t xml:space="preserve"> solfato esplica i suoi effetti sui recettori</w:t>
      </w:r>
      <w:r>
        <w:rPr>
          <w:rFonts w:eastAsia="TimesNewRomanPSMT" w:cs="TimesNewRomanPSMT"/>
          <w:lang w:eastAsia="it-IT"/>
        </w:rPr>
        <w:t xml:space="preserve"> </w:t>
      </w:r>
      <w:r w:rsidRPr="00F66FC5">
        <w:rPr>
          <w:rFonts w:eastAsia="TimesNewRomanPSMT" w:cs="TimesNewRomanPSMT"/>
          <w:lang w:eastAsia="it-IT"/>
        </w:rPr>
        <w:t xml:space="preserve">muscarinici </w:t>
      </w:r>
      <w:r>
        <w:rPr>
          <w:rFonts w:eastAsia="TimesNewRomanPSMT" w:cs="TimesNewRomanPSMT"/>
          <w:lang w:eastAsia="it-IT"/>
        </w:rPr>
        <w:t>e</w:t>
      </w:r>
      <w:r w:rsidRPr="00F66FC5">
        <w:rPr>
          <w:rFonts w:eastAsia="TimesNewRomanPSMT" w:cs="TimesNewRomanPSMT"/>
          <w:lang w:eastAsia="it-IT"/>
        </w:rPr>
        <w:t xml:space="preserve"> beta2-adren</w:t>
      </w:r>
      <w:r>
        <w:rPr>
          <w:rFonts w:eastAsia="TimesNewRomanPSMT" w:cs="TimesNewRomanPSMT"/>
          <w:lang w:eastAsia="it-IT"/>
        </w:rPr>
        <w:t>ergici</w:t>
      </w:r>
      <w:r w:rsidRPr="00F66FC5">
        <w:rPr>
          <w:rFonts w:eastAsia="TimesNewRomanPSMT" w:cs="TimesNewRomanPSMT"/>
          <w:lang w:eastAsia="it-IT"/>
        </w:rPr>
        <w:t xml:space="preserve"> nel polmone</w:t>
      </w:r>
      <w:r>
        <w:rPr>
          <w:rFonts w:eastAsia="TimesNewRomanPSMT" w:cs="TimesNewRomanPSMT"/>
          <w:lang w:eastAsia="it-IT"/>
        </w:rPr>
        <w:t xml:space="preserve">, provocando una </w:t>
      </w:r>
      <w:proofErr w:type="spellStart"/>
      <w:r>
        <w:rPr>
          <w:rFonts w:eastAsia="TimesNewRomanPSMT" w:cs="TimesNewRomanPSMT"/>
          <w:lang w:eastAsia="it-IT"/>
        </w:rPr>
        <w:t>broncodilatazione</w:t>
      </w:r>
      <w:proofErr w:type="spellEnd"/>
      <w:r>
        <w:rPr>
          <w:rFonts w:eastAsia="TimesNewRomanPSMT" w:cs="TimesNewRomanPSMT"/>
          <w:lang w:eastAsia="it-IT"/>
        </w:rPr>
        <w:t xml:space="preserve"> maggiore</w:t>
      </w:r>
      <w:r w:rsidRPr="00F66FC5">
        <w:rPr>
          <w:rFonts w:eastAsia="TimesNewRomanPSMT" w:cs="TimesNewRomanPSMT"/>
          <w:lang w:eastAsia="it-IT"/>
        </w:rPr>
        <w:t xml:space="preserve"> rispetto a quella</w:t>
      </w:r>
      <w:r>
        <w:rPr>
          <w:rFonts w:eastAsia="TimesNewRomanPSMT" w:cs="TimesNewRomanPSMT"/>
          <w:lang w:eastAsia="it-IT"/>
        </w:rPr>
        <w:t xml:space="preserve"> ottenuta con</w:t>
      </w:r>
      <w:r w:rsidRPr="00F66FC5">
        <w:rPr>
          <w:rFonts w:eastAsia="TimesNewRomanPSMT" w:cs="TimesNewRomanPSMT"/>
          <w:lang w:eastAsia="it-IT"/>
        </w:rPr>
        <w:t xml:space="preserve"> ciascun</w:t>
      </w:r>
      <w:r>
        <w:rPr>
          <w:rFonts w:eastAsia="TimesNewRomanPSMT" w:cs="TimesNewRomanPSMT"/>
          <w:lang w:eastAsia="it-IT"/>
        </w:rPr>
        <w:t>o dei due</w:t>
      </w:r>
      <w:r w:rsidRPr="00F66FC5">
        <w:rPr>
          <w:rFonts w:eastAsia="TimesNewRomanPSMT" w:cs="TimesNewRomanPSMT"/>
          <w:lang w:eastAsia="it-IT"/>
        </w:rPr>
        <w:t xml:space="preserve"> farmac</w:t>
      </w:r>
      <w:r>
        <w:rPr>
          <w:rFonts w:eastAsia="TimesNewRomanPSMT" w:cs="TimesNewRomanPSMT"/>
          <w:lang w:eastAsia="it-IT"/>
        </w:rPr>
        <w:t>i</w:t>
      </w:r>
      <w:r w:rsidRPr="00F66FC5">
        <w:rPr>
          <w:rFonts w:eastAsia="TimesNewRomanPSMT" w:cs="TimesNewRomanPSMT"/>
          <w:lang w:eastAsia="it-IT"/>
        </w:rPr>
        <w:t xml:space="preserve"> assunt</w:t>
      </w:r>
      <w:r>
        <w:rPr>
          <w:rFonts w:eastAsia="TimesNewRomanPSMT" w:cs="TimesNewRomanPSMT"/>
          <w:lang w:eastAsia="it-IT"/>
        </w:rPr>
        <w:t>i</w:t>
      </w:r>
      <w:r w:rsidRPr="00F66FC5">
        <w:rPr>
          <w:rFonts w:eastAsia="TimesNewRomanPSMT" w:cs="TimesNewRomanPSMT"/>
          <w:lang w:eastAsia="it-IT"/>
        </w:rPr>
        <w:t xml:space="preserve"> singolarmente.</w:t>
      </w:r>
    </w:p>
    <w:p w:rsidR="007935FE" w:rsidRPr="00B32D81" w:rsidRDefault="007935FE" w:rsidP="007520A0">
      <w:pPr>
        <w:spacing w:after="0" w:line="240" w:lineRule="auto"/>
        <w:jc w:val="both"/>
        <w:rPr>
          <w:iCs/>
          <w:highlight w:val="yellow"/>
        </w:rPr>
      </w:pPr>
    </w:p>
    <w:p w:rsidR="007C68D2" w:rsidRDefault="002513BA" w:rsidP="007520A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="TimesNewRomanPSMT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Butapral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</w:t>
      </w:r>
      <w:r w:rsidR="007C68D2" w:rsidRPr="00B32D81">
        <w:rPr>
          <w:rFonts w:cs="Helvetica"/>
        </w:rPr>
        <w:t xml:space="preserve">è utilizzato </w:t>
      </w:r>
      <w:r w:rsidR="007520A0" w:rsidRPr="00F66FC5">
        <w:rPr>
          <w:rFonts w:eastAsia="TimesNewRomanPSMT" w:cs="TimesNewRomanPSMT"/>
          <w:lang w:eastAsia="it-IT"/>
        </w:rPr>
        <w:t xml:space="preserve">per il trattamento del broncospasmo nei pazienti affetti da </w:t>
      </w:r>
      <w:proofErr w:type="spellStart"/>
      <w:r w:rsidR="007520A0" w:rsidRPr="00F66FC5">
        <w:rPr>
          <w:rFonts w:eastAsia="TimesNewRomanPSMT" w:cs="TimesNewRomanPSMT"/>
          <w:lang w:eastAsia="it-IT"/>
        </w:rPr>
        <w:t>broncopneumopatia</w:t>
      </w:r>
      <w:proofErr w:type="spellEnd"/>
      <w:r w:rsidR="007520A0" w:rsidRPr="00F66FC5">
        <w:rPr>
          <w:rFonts w:eastAsia="TimesNewRomanPSMT" w:cs="TimesNewRomanPSMT"/>
          <w:lang w:eastAsia="it-IT"/>
        </w:rPr>
        <w:t xml:space="preserve"> cronica ostruttiva (BPCO)</w:t>
      </w:r>
      <w:r w:rsidR="007520A0">
        <w:rPr>
          <w:rFonts w:eastAsia="TimesNewRomanPSMT" w:cs="TimesNewRomanPSMT"/>
          <w:lang w:eastAsia="it-IT"/>
        </w:rPr>
        <w:t xml:space="preserve"> </w:t>
      </w:r>
      <w:r w:rsidR="007520A0" w:rsidRPr="00F66FC5">
        <w:rPr>
          <w:rFonts w:eastAsia="TimesNewRomanPSMT" w:cs="TimesNewRomanPSMT"/>
          <w:lang w:eastAsia="it-IT"/>
        </w:rPr>
        <w:t xml:space="preserve">che necessitano di una regolare terapia sia con </w:t>
      </w:r>
      <w:proofErr w:type="spellStart"/>
      <w:r w:rsidR="007520A0" w:rsidRPr="00F66FC5">
        <w:rPr>
          <w:rFonts w:eastAsia="TimesNewRomanPSMT" w:cs="TimesNewRomanPSMT"/>
          <w:lang w:eastAsia="it-IT"/>
        </w:rPr>
        <w:t>ipratropio</w:t>
      </w:r>
      <w:proofErr w:type="spellEnd"/>
      <w:r w:rsidR="007520A0" w:rsidRPr="00F66FC5">
        <w:rPr>
          <w:rFonts w:eastAsia="TimesNewRomanPSMT" w:cs="TimesNewRomanPSMT"/>
          <w:lang w:eastAsia="it-IT"/>
        </w:rPr>
        <w:t xml:space="preserve"> bromuro sia con </w:t>
      </w:r>
      <w:proofErr w:type="spellStart"/>
      <w:r w:rsidR="007520A0" w:rsidRPr="00F66FC5">
        <w:rPr>
          <w:rFonts w:eastAsia="TimesNewRomanPSMT" w:cs="TimesNewRomanPSMT"/>
          <w:lang w:eastAsia="it-IT"/>
        </w:rPr>
        <w:t>salbutamolo</w:t>
      </w:r>
      <w:proofErr w:type="spellEnd"/>
      <w:r w:rsidR="007520A0" w:rsidRPr="00F66FC5">
        <w:rPr>
          <w:rFonts w:eastAsia="TimesNewRomanPSMT" w:cs="TimesNewRomanPSMT"/>
          <w:lang w:eastAsia="it-IT"/>
        </w:rPr>
        <w:t>.</w:t>
      </w:r>
      <w:r w:rsidR="007520A0">
        <w:rPr>
          <w:rFonts w:eastAsia="TimesNewRomanPSMT" w:cs="TimesNewRomanPSMT"/>
          <w:lang w:eastAsia="it-IT"/>
        </w:rPr>
        <w:t xml:space="preserve"> E’</w:t>
      </w:r>
      <w:r w:rsidR="007520A0" w:rsidRPr="00F66FC5">
        <w:rPr>
          <w:rFonts w:eastAsia="TimesNewRomanPSMT" w:cs="TimesNewRomanPSMT"/>
          <w:lang w:eastAsia="it-IT"/>
        </w:rPr>
        <w:t xml:space="preserve"> indicato negli adulti e adolescenti</w:t>
      </w:r>
      <w:r w:rsidR="007520A0">
        <w:rPr>
          <w:rFonts w:eastAsia="TimesNewRomanPSMT" w:cs="TimesNewRomanPSMT"/>
          <w:lang w:eastAsia="it-IT"/>
        </w:rPr>
        <w:t xml:space="preserve"> (età compresa tra</w:t>
      </w:r>
      <w:r w:rsidR="007520A0" w:rsidRPr="00F66FC5">
        <w:rPr>
          <w:rFonts w:eastAsia="TimesNewRomanPSMT" w:cs="TimesNewRomanPSMT"/>
          <w:lang w:eastAsia="it-IT"/>
        </w:rPr>
        <w:t xml:space="preserve"> 12</w:t>
      </w:r>
      <w:r w:rsidR="007520A0">
        <w:rPr>
          <w:rFonts w:eastAsia="TimesNewRomanPSMT" w:cs="TimesNewRomanPSMT"/>
          <w:lang w:eastAsia="it-IT"/>
        </w:rPr>
        <w:t xml:space="preserve"> e 18</w:t>
      </w:r>
      <w:r w:rsidR="007520A0" w:rsidRPr="00F66FC5">
        <w:rPr>
          <w:rFonts w:eastAsia="TimesNewRomanPSMT" w:cs="TimesNewRomanPSMT"/>
          <w:lang w:eastAsia="it-IT"/>
        </w:rPr>
        <w:t xml:space="preserve"> anni</w:t>
      </w:r>
      <w:r w:rsidR="007520A0">
        <w:rPr>
          <w:rFonts w:eastAsia="TimesNewRomanPSMT" w:cs="TimesNewRomanPSMT"/>
          <w:lang w:eastAsia="it-IT"/>
        </w:rPr>
        <w:t>)</w:t>
      </w:r>
      <w:r w:rsidR="007520A0" w:rsidRPr="00F66FC5">
        <w:rPr>
          <w:rFonts w:eastAsia="TimesNewRomanPSMT" w:cs="TimesNewRomanPSMT"/>
          <w:lang w:eastAsia="it-IT"/>
        </w:rPr>
        <w:t>.</w:t>
      </w:r>
    </w:p>
    <w:p w:rsidR="007520A0" w:rsidRPr="00B32D81" w:rsidRDefault="007520A0" w:rsidP="007520A0">
      <w:pPr>
        <w:autoSpaceDE w:val="0"/>
        <w:autoSpaceDN w:val="0"/>
        <w:adjustRightInd w:val="0"/>
        <w:spacing w:after="0" w:line="240" w:lineRule="auto"/>
        <w:jc w:val="both"/>
      </w:pPr>
    </w:p>
    <w:p w:rsidR="007935FE" w:rsidRDefault="007C68D2" w:rsidP="007520A0">
      <w:pPr>
        <w:spacing w:after="0" w:line="240" w:lineRule="auto"/>
        <w:jc w:val="both"/>
        <w:rPr>
          <w:rFonts w:cs="Arial"/>
        </w:rPr>
      </w:pPr>
      <w:r w:rsidRPr="00B32D81">
        <w:t xml:space="preserve">Poiché </w:t>
      </w:r>
      <w:proofErr w:type="spellStart"/>
      <w:r w:rsidR="002513BA">
        <w:t>Butapral</w:t>
      </w:r>
      <w:proofErr w:type="spellEnd"/>
      <w:r w:rsidRPr="00B32D81">
        <w:t xml:space="preserve"> contiene principi attiv</w:t>
      </w:r>
      <w:r w:rsidR="007520A0">
        <w:t>i</w:t>
      </w:r>
      <w:r w:rsidRPr="00B32D81">
        <w:t xml:space="preserve"> not</w:t>
      </w:r>
      <w:r w:rsidR="007520A0">
        <w:t>i</w:t>
      </w:r>
      <w:r w:rsidRPr="00B32D81">
        <w:t xml:space="preserve"> non sono stati forniti nuovi dati non clinici e clinici: questo approccio è accettabile poiché il medicinale di riferimento </w:t>
      </w:r>
      <w:r w:rsidR="007520A0">
        <w:t xml:space="preserve">europeo </w:t>
      </w:r>
      <w:proofErr w:type="spellStart"/>
      <w:r w:rsidR="007520A0">
        <w:t>Combivent</w:t>
      </w:r>
      <w:proofErr w:type="spellEnd"/>
      <w:r w:rsidRPr="00B32D81">
        <w:t xml:space="preserve"> è autorizzato </w:t>
      </w:r>
      <w:r w:rsidR="007520A0">
        <w:t xml:space="preserve">nel </w:t>
      </w:r>
      <w:r w:rsidR="003A3147">
        <w:t>R</w:t>
      </w:r>
      <w:r w:rsidR="007520A0">
        <w:t>egno Unito</w:t>
      </w:r>
      <w:r w:rsidRPr="00B32D81">
        <w:t xml:space="preserve"> da oltre 10 anni</w:t>
      </w:r>
      <w:r w:rsidR="007935FE">
        <w:t>;</w:t>
      </w:r>
      <w:r w:rsidR="007935FE" w:rsidRPr="007935FE">
        <w:t xml:space="preserve"> </w:t>
      </w:r>
      <w:r w:rsidR="007935FE">
        <w:t xml:space="preserve">poiché </w:t>
      </w:r>
      <w:proofErr w:type="spellStart"/>
      <w:r w:rsidR="002513BA">
        <w:t>Butapral</w:t>
      </w:r>
      <w:proofErr w:type="spellEnd"/>
      <w:r w:rsidR="007935FE" w:rsidRPr="0002468C">
        <w:t xml:space="preserve"> </w:t>
      </w:r>
      <w:r w:rsidR="007935FE" w:rsidRPr="00B21EAE">
        <w:rPr>
          <w:rFonts w:cs="Arial"/>
        </w:rPr>
        <w:t xml:space="preserve">è somministrato come </w:t>
      </w:r>
      <w:r w:rsidR="007520A0">
        <w:rPr>
          <w:rFonts w:cs="Arial"/>
        </w:rPr>
        <w:t xml:space="preserve">soluzione da nebulizzare con la stessa composizione </w:t>
      </w:r>
      <w:r w:rsidR="001442AF">
        <w:rPr>
          <w:rFonts w:cs="Arial"/>
        </w:rPr>
        <w:t xml:space="preserve">e le stesse caratteristiche chimico-fisiche </w:t>
      </w:r>
      <w:r w:rsidR="007520A0">
        <w:rPr>
          <w:rFonts w:cs="Arial"/>
        </w:rPr>
        <w:t>del medicinale di riferimento,</w:t>
      </w:r>
      <w:r w:rsidR="007935FE">
        <w:rPr>
          <w:rFonts w:cs="Arial"/>
        </w:rPr>
        <w:t xml:space="preserve"> è stat</w:t>
      </w:r>
      <w:r w:rsidR="007520A0">
        <w:rPr>
          <w:rFonts w:cs="Arial"/>
        </w:rPr>
        <w:t>o possibile</w:t>
      </w:r>
      <w:r w:rsidR="007935FE">
        <w:rPr>
          <w:rFonts w:cs="Arial"/>
        </w:rPr>
        <w:t xml:space="preserve"> conce</w:t>
      </w:r>
      <w:r w:rsidR="007520A0">
        <w:rPr>
          <w:rFonts w:cs="Arial"/>
        </w:rPr>
        <w:t>dere</w:t>
      </w:r>
      <w:r w:rsidR="007935FE">
        <w:rPr>
          <w:rFonts w:cs="Arial"/>
        </w:rPr>
        <w:t xml:space="preserve"> l’esenzione dalla conduzione di studi clinici di confronto con il medicinale di riferimento.</w:t>
      </w:r>
    </w:p>
    <w:p w:rsidR="007C68D2" w:rsidRDefault="007C68D2" w:rsidP="007520A0">
      <w:pPr>
        <w:spacing w:after="0" w:line="240" w:lineRule="auto"/>
        <w:jc w:val="both"/>
      </w:pPr>
    </w:p>
    <w:p w:rsidR="007C68D2" w:rsidRPr="00B32D81" w:rsidRDefault="007C68D2" w:rsidP="007520A0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9F2963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2513BA">
        <w:t>Butapral</w:t>
      </w:r>
      <w:proofErr w:type="spellEnd"/>
      <w:r w:rsidRPr="00B32D81">
        <w:t xml:space="preserve"> contiene principi attiv</w:t>
      </w:r>
      <w:r w:rsidR="003A3147">
        <w:t>i</w:t>
      </w:r>
      <w:r w:rsidRPr="00B32D81">
        <w:t xml:space="preserve"> not</w:t>
      </w:r>
      <w:r w:rsidR="003A3147">
        <w:t>i</w:t>
      </w:r>
      <w:r w:rsidRPr="00B32D81">
        <w:t xml:space="preserve"> present</w:t>
      </w:r>
      <w:r w:rsidR="003A3147">
        <w:t>i</w:t>
      </w:r>
      <w:r w:rsidRPr="00B32D81">
        <w:t xml:space="preserve"> in medicinali autorizzati; inoltre, non sono presenti componenti geneticamente modificati; il metodo di produzione e la formulazione del medicinale non presentano problematiche di carattere </w:t>
      </w:r>
      <w:r w:rsidRPr="009F2963">
        <w:t>ambientale.</w:t>
      </w:r>
    </w:p>
    <w:p w:rsidR="007C68D2" w:rsidRPr="009F2963" w:rsidRDefault="007C68D2" w:rsidP="00B32D81">
      <w:pPr>
        <w:spacing w:after="0" w:line="240" w:lineRule="auto"/>
        <w:jc w:val="both"/>
      </w:pPr>
    </w:p>
    <w:p w:rsidR="007C68D2" w:rsidRPr="009F2963" w:rsidRDefault="007C68D2" w:rsidP="009F2963">
      <w:pPr>
        <w:spacing w:after="0" w:line="240" w:lineRule="auto"/>
        <w:jc w:val="both"/>
      </w:pPr>
    </w:p>
    <w:p w:rsidR="007C68D2" w:rsidRPr="009F2963" w:rsidRDefault="007C68D2" w:rsidP="009F2963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F2963">
        <w:rPr>
          <w:b/>
        </w:rPr>
        <w:t xml:space="preserve">ASPETTI </w:t>
      </w:r>
      <w:proofErr w:type="spellStart"/>
      <w:r w:rsidRPr="009F2963">
        <w:rPr>
          <w:b/>
        </w:rPr>
        <w:t>DI</w:t>
      </w:r>
      <w:proofErr w:type="spellEnd"/>
      <w:r w:rsidRPr="009F2963">
        <w:rPr>
          <w:b/>
        </w:rPr>
        <w:t xml:space="preserve"> QUALITA’</w:t>
      </w:r>
    </w:p>
    <w:p w:rsidR="007C68D2" w:rsidRPr="009F2963" w:rsidRDefault="007C68D2" w:rsidP="009F2963">
      <w:pPr>
        <w:spacing w:after="0" w:line="240" w:lineRule="auto"/>
        <w:jc w:val="both"/>
      </w:pPr>
      <w:r w:rsidRPr="009F2963">
        <w:rPr>
          <w:b/>
        </w:rPr>
        <w:t>II.1</w:t>
      </w:r>
      <w:r w:rsidR="007520A0" w:rsidRPr="009F2963">
        <w:rPr>
          <w:b/>
        </w:rPr>
        <w:t>a</w:t>
      </w:r>
      <w:r w:rsidRPr="009F2963">
        <w:rPr>
          <w:b/>
        </w:rPr>
        <w:t xml:space="preserve"> PRINCIPIO ATTIVO </w:t>
      </w:r>
      <w:r w:rsidR="007520A0" w:rsidRPr="009F2963">
        <w:rPr>
          <w:b/>
        </w:rPr>
        <w:t>IPRATROPIO BROMURO</w:t>
      </w:r>
    </w:p>
    <w:p w:rsidR="007C68D2" w:rsidRPr="009F2963" w:rsidRDefault="007C68D2" w:rsidP="009F2963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9F2963">
        <w:rPr>
          <w:u w:val="single"/>
        </w:rPr>
        <w:t>Nome chimico</w:t>
      </w:r>
      <w:r w:rsidRPr="009F2963">
        <w:t xml:space="preserve">: </w:t>
      </w:r>
      <w:r w:rsidR="007520A0" w:rsidRPr="009F2963">
        <w:rPr>
          <w:rStyle w:val="s1"/>
          <w:rFonts w:asciiTheme="minorHAnsi" w:hAnsiTheme="minorHAnsi"/>
        </w:rPr>
        <w:t>(1</w:t>
      </w:r>
      <w:r w:rsidR="007520A0" w:rsidRPr="009F2963">
        <w:rPr>
          <w:rStyle w:val="s1"/>
          <w:rFonts w:asciiTheme="minorHAnsi" w:hAnsiTheme="minorHAnsi"/>
          <w:i/>
          <w:iCs/>
        </w:rPr>
        <w:t>R</w:t>
      </w:r>
      <w:r w:rsidR="007520A0" w:rsidRPr="009F2963">
        <w:rPr>
          <w:rStyle w:val="s1"/>
          <w:rFonts w:asciiTheme="minorHAnsi" w:hAnsiTheme="minorHAnsi"/>
        </w:rPr>
        <w:t>,3</w:t>
      </w:r>
      <w:r w:rsidR="007520A0" w:rsidRPr="009F2963">
        <w:rPr>
          <w:rStyle w:val="s1"/>
          <w:rFonts w:asciiTheme="minorHAnsi" w:hAnsiTheme="minorHAnsi"/>
          <w:i/>
          <w:iCs/>
        </w:rPr>
        <w:t>r</w:t>
      </w:r>
      <w:r w:rsidR="007520A0" w:rsidRPr="009F2963">
        <w:rPr>
          <w:rStyle w:val="s1"/>
          <w:rFonts w:asciiTheme="minorHAnsi" w:hAnsiTheme="minorHAnsi"/>
        </w:rPr>
        <w:t>,5</w:t>
      </w:r>
      <w:r w:rsidR="007520A0" w:rsidRPr="009F2963">
        <w:rPr>
          <w:rStyle w:val="s1"/>
          <w:rFonts w:asciiTheme="minorHAnsi" w:hAnsiTheme="minorHAnsi"/>
          <w:i/>
          <w:iCs/>
        </w:rPr>
        <w:t>S</w:t>
      </w:r>
      <w:r w:rsidR="007520A0" w:rsidRPr="009F2963">
        <w:rPr>
          <w:rStyle w:val="s1"/>
          <w:rFonts w:asciiTheme="minorHAnsi" w:hAnsiTheme="minorHAnsi"/>
        </w:rPr>
        <w:t>,8</w:t>
      </w:r>
      <w:r w:rsidR="007520A0" w:rsidRPr="009F2963">
        <w:rPr>
          <w:rStyle w:val="s1"/>
          <w:rFonts w:asciiTheme="minorHAnsi" w:hAnsiTheme="minorHAnsi"/>
          <w:i/>
          <w:iCs/>
        </w:rPr>
        <w:t>r</w:t>
      </w:r>
      <w:r w:rsidR="007520A0" w:rsidRPr="009F2963">
        <w:rPr>
          <w:rStyle w:val="s1"/>
          <w:rFonts w:asciiTheme="minorHAnsi" w:hAnsiTheme="minorHAnsi"/>
        </w:rPr>
        <w:t>)-3-[[(2</w:t>
      </w:r>
      <w:r w:rsidR="007520A0" w:rsidRPr="009F2963">
        <w:rPr>
          <w:rStyle w:val="s1"/>
          <w:rFonts w:asciiTheme="minorHAnsi" w:hAnsiTheme="minorHAnsi"/>
          <w:i/>
          <w:iCs/>
        </w:rPr>
        <w:t>RS</w:t>
      </w:r>
      <w:r w:rsidR="007520A0" w:rsidRPr="009F2963">
        <w:rPr>
          <w:rStyle w:val="s1"/>
          <w:rFonts w:asciiTheme="minorHAnsi" w:hAnsiTheme="minorHAnsi"/>
        </w:rPr>
        <w:t xml:space="preserve">)-3-Hydroxy-2-phenylpropanoyl]oxy]-8-methyl-8-(1-methylethyl)-8-azoniabicyclo [3.2.1] </w:t>
      </w:r>
      <w:proofErr w:type="spellStart"/>
      <w:r w:rsidR="007520A0" w:rsidRPr="009F2963">
        <w:rPr>
          <w:rStyle w:val="s1"/>
          <w:rFonts w:asciiTheme="minorHAnsi" w:hAnsiTheme="minorHAnsi"/>
        </w:rPr>
        <w:t>octane</w:t>
      </w:r>
      <w:proofErr w:type="spellEnd"/>
      <w:r w:rsidR="007520A0" w:rsidRPr="009F2963">
        <w:rPr>
          <w:rStyle w:val="s1"/>
          <w:rFonts w:asciiTheme="minorHAnsi" w:hAnsiTheme="minorHAnsi"/>
        </w:rPr>
        <w:t xml:space="preserve"> </w:t>
      </w:r>
      <w:proofErr w:type="spellStart"/>
      <w:r w:rsidR="007520A0" w:rsidRPr="009F2963">
        <w:rPr>
          <w:rStyle w:val="s1"/>
          <w:rFonts w:asciiTheme="minorHAnsi" w:hAnsiTheme="minorHAnsi"/>
        </w:rPr>
        <w:t>bromide</w:t>
      </w:r>
      <w:proofErr w:type="spellEnd"/>
      <w:r w:rsidR="007520A0" w:rsidRPr="009F2963">
        <w:rPr>
          <w:rStyle w:val="s1"/>
          <w:rFonts w:asciiTheme="minorHAnsi" w:hAnsiTheme="minorHAnsi"/>
        </w:rPr>
        <w:t xml:space="preserve"> </w:t>
      </w:r>
      <w:proofErr w:type="spellStart"/>
      <w:r w:rsidR="007520A0" w:rsidRPr="009F2963">
        <w:rPr>
          <w:rStyle w:val="s1"/>
          <w:rFonts w:asciiTheme="minorHAnsi" w:hAnsiTheme="minorHAnsi"/>
        </w:rPr>
        <w:t>monohydrate</w:t>
      </w:r>
      <w:proofErr w:type="spellEnd"/>
    </w:p>
    <w:p w:rsidR="007C68D2" w:rsidRPr="009F2963" w:rsidRDefault="007C68D2" w:rsidP="009F2963">
      <w:pPr>
        <w:spacing w:after="0" w:line="240" w:lineRule="auto"/>
        <w:jc w:val="both"/>
      </w:pPr>
      <w:r w:rsidRPr="009F2963">
        <w:rPr>
          <w:u w:val="single"/>
        </w:rPr>
        <w:t>Struttura</w:t>
      </w:r>
      <w:r w:rsidRPr="009F2963">
        <w:t>:</w:t>
      </w:r>
    </w:p>
    <w:p w:rsidR="007520A0" w:rsidRPr="007520A0" w:rsidRDefault="009F2963" w:rsidP="009F2963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972457" cy="841983"/>
            <wp:effectExtent l="0" t="0" r="0" b="0"/>
            <wp:docPr id="16" name="Immagine 16" descr="Ipratropium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pratropium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973643" cy="84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D45CCB" w:rsidRPr="00D45CCB">
        <w:rPr>
          <w:rFonts w:eastAsia="Times New Roman" w:cs="Times New Roman"/>
          <w:sz w:val="16"/>
          <w:lang w:eastAsia="it-IT"/>
        </w:rPr>
        <w:t>Br</w:t>
      </w:r>
      <w:r w:rsidR="00D45CCB" w:rsidRPr="00D45CCB">
        <w:rPr>
          <w:rFonts w:eastAsia="Times New Roman" w:cs="Times New Roman"/>
          <w:sz w:val="16"/>
          <w:vertAlign w:val="superscript"/>
          <w:lang w:eastAsia="it-IT"/>
        </w:rPr>
        <w:t>-</w:t>
      </w:r>
      <w:proofErr w:type="spellEnd"/>
      <w:r w:rsidR="00D45CCB" w:rsidRPr="00D45CCB">
        <w:rPr>
          <w:rFonts w:eastAsia="Times New Roman" w:cs="Times New Roman"/>
          <w:sz w:val="16"/>
          <w:lang w:eastAsia="it-IT"/>
        </w:rPr>
        <w:t xml:space="preserve"> . H</w:t>
      </w:r>
      <w:r w:rsidR="00D45CCB" w:rsidRPr="00D45CCB">
        <w:rPr>
          <w:rFonts w:eastAsia="Times New Roman" w:cs="Times New Roman"/>
          <w:sz w:val="16"/>
          <w:vertAlign w:val="subscript"/>
          <w:lang w:eastAsia="it-IT"/>
        </w:rPr>
        <w:t>2</w:t>
      </w:r>
      <w:r w:rsidR="00D45CCB" w:rsidRPr="00D45CCB">
        <w:rPr>
          <w:rFonts w:eastAsia="Times New Roman" w:cs="Times New Roman"/>
          <w:sz w:val="16"/>
          <w:lang w:eastAsia="it-IT"/>
        </w:rPr>
        <w:t>O</w:t>
      </w:r>
    </w:p>
    <w:p w:rsidR="007520A0" w:rsidRPr="009F2963" w:rsidRDefault="007520A0" w:rsidP="009F2963">
      <w:pPr>
        <w:spacing w:after="0" w:line="240" w:lineRule="auto"/>
        <w:jc w:val="both"/>
      </w:pPr>
      <w:r w:rsidRPr="009F2963">
        <w:rPr>
          <w:u w:val="single"/>
        </w:rPr>
        <w:t>Formula molecolare</w:t>
      </w:r>
      <w:r w:rsidRPr="009F2963">
        <w:t xml:space="preserve">: </w:t>
      </w:r>
      <w:r w:rsidRPr="009F2963">
        <w:rPr>
          <w:rStyle w:val="s1"/>
          <w:rFonts w:asciiTheme="minorHAnsi" w:hAnsiTheme="minorHAnsi"/>
        </w:rPr>
        <w:t>C</w:t>
      </w:r>
      <w:r w:rsidRPr="009F2963">
        <w:rPr>
          <w:rStyle w:val="s1"/>
          <w:rFonts w:asciiTheme="minorHAnsi" w:hAnsiTheme="minorHAnsi"/>
          <w:vertAlign w:val="subscript"/>
        </w:rPr>
        <w:t>20</w:t>
      </w:r>
      <w:r w:rsidRPr="009F2963">
        <w:rPr>
          <w:rStyle w:val="s1"/>
          <w:rFonts w:asciiTheme="minorHAnsi" w:hAnsiTheme="minorHAnsi"/>
        </w:rPr>
        <w:t>H</w:t>
      </w:r>
      <w:r w:rsidRPr="009F2963">
        <w:rPr>
          <w:rStyle w:val="s1"/>
          <w:rFonts w:asciiTheme="minorHAnsi" w:hAnsiTheme="minorHAnsi"/>
          <w:vertAlign w:val="subscript"/>
        </w:rPr>
        <w:t>30</w:t>
      </w:r>
      <w:r w:rsidRPr="009F2963">
        <w:rPr>
          <w:rStyle w:val="s1"/>
          <w:rFonts w:asciiTheme="minorHAnsi" w:hAnsiTheme="minorHAnsi"/>
        </w:rPr>
        <w:t>BrNO</w:t>
      </w:r>
      <w:r w:rsidRPr="009F2963">
        <w:rPr>
          <w:rStyle w:val="s1"/>
          <w:rFonts w:asciiTheme="minorHAnsi" w:hAnsiTheme="minorHAnsi"/>
          <w:vertAlign w:val="subscript"/>
        </w:rPr>
        <w:t>3</w:t>
      </w:r>
      <w:r w:rsidRPr="009F2963">
        <w:rPr>
          <w:rStyle w:val="s1"/>
          <w:rFonts w:asciiTheme="minorHAnsi" w:hAnsiTheme="minorHAnsi"/>
        </w:rPr>
        <w:t>,H</w:t>
      </w:r>
      <w:r w:rsidRPr="009F2963">
        <w:rPr>
          <w:rStyle w:val="s1"/>
          <w:rFonts w:asciiTheme="minorHAnsi" w:hAnsiTheme="minorHAnsi"/>
          <w:vertAlign w:val="subscript"/>
        </w:rPr>
        <w:t>2</w:t>
      </w:r>
      <w:r w:rsidRPr="009F2963">
        <w:rPr>
          <w:rStyle w:val="s1"/>
          <w:rFonts w:asciiTheme="minorHAnsi" w:hAnsiTheme="minorHAnsi"/>
        </w:rPr>
        <w:t>O</w:t>
      </w:r>
    </w:p>
    <w:p w:rsidR="007520A0" w:rsidRPr="009F2963" w:rsidRDefault="007520A0" w:rsidP="009F2963">
      <w:pPr>
        <w:spacing w:after="0" w:line="240" w:lineRule="auto"/>
        <w:jc w:val="both"/>
      </w:pPr>
      <w:r w:rsidRPr="009F2963">
        <w:rPr>
          <w:u w:val="single"/>
        </w:rPr>
        <w:lastRenderedPageBreak/>
        <w:t>Peso molecolare</w:t>
      </w:r>
      <w:r w:rsidRPr="009F2963">
        <w:t xml:space="preserve">: </w:t>
      </w:r>
      <w:r w:rsidRPr="009F2963">
        <w:rPr>
          <w:rStyle w:val="s1"/>
          <w:rFonts w:asciiTheme="minorHAnsi" w:hAnsiTheme="minorHAnsi"/>
        </w:rPr>
        <w:t>430.4 g/mol</w:t>
      </w:r>
    </w:p>
    <w:p w:rsidR="007520A0" w:rsidRPr="009F2963" w:rsidRDefault="007520A0" w:rsidP="009F2963">
      <w:pPr>
        <w:spacing w:after="0" w:line="240" w:lineRule="auto"/>
        <w:rPr>
          <w:rFonts w:eastAsia="Times New Roman" w:cs="Times New Roman"/>
          <w:lang w:eastAsia="it-IT"/>
        </w:rPr>
      </w:pPr>
      <w:r w:rsidRPr="009F2963">
        <w:rPr>
          <w:u w:val="single"/>
        </w:rPr>
        <w:t>CAS</w:t>
      </w:r>
      <w:r w:rsidRPr="009F2963">
        <w:t xml:space="preserve">: </w:t>
      </w:r>
      <w:r w:rsidRPr="009F2963">
        <w:rPr>
          <w:rFonts w:eastAsia="Times New Roman" w:cs="Arial"/>
          <w:lang w:eastAsia="it-IT"/>
        </w:rPr>
        <w:t>[66985-17-9]</w:t>
      </w:r>
    </w:p>
    <w:p w:rsidR="007520A0" w:rsidRPr="009F2963" w:rsidRDefault="007520A0" w:rsidP="009F2963">
      <w:pPr>
        <w:spacing w:after="0" w:line="240" w:lineRule="auto"/>
        <w:jc w:val="both"/>
      </w:pPr>
      <w:r w:rsidRPr="009F2963">
        <w:rPr>
          <w:u w:val="single"/>
        </w:rPr>
        <w:t>Aspetto</w:t>
      </w:r>
      <w:r w:rsidRPr="009F2963">
        <w:t>: polvere cristallina bianca o quasi bianca</w:t>
      </w:r>
    </w:p>
    <w:p w:rsidR="007520A0" w:rsidRPr="00D45CCB" w:rsidRDefault="007520A0" w:rsidP="009F2963">
      <w:pPr>
        <w:spacing w:after="0" w:line="240" w:lineRule="auto"/>
        <w:jc w:val="both"/>
      </w:pPr>
      <w:r w:rsidRPr="00D45CCB">
        <w:rPr>
          <w:u w:val="single"/>
        </w:rPr>
        <w:t>Solubilità</w:t>
      </w:r>
      <w:r w:rsidR="009F2963" w:rsidRPr="00D45CCB">
        <w:rPr>
          <w:u w:val="single"/>
        </w:rPr>
        <w:t>:</w:t>
      </w:r>
      <w:r w:rsidR="009F2963" w:rsidRPr="00D45CCB">
        <w:t xml:space="preserve"> </w:t>
      </w:r>
      <w:r w:rsidR="009F2963" w:rsidRPr="00D45CCB">
        <w:rPr>
          <w:rStyle w:val="s1"/>
          <w:rFonts w:asciiTheme="minorHAnsi" w:hAnsiTheme="minorHAnsi"/>
        </w:rPr>
        <w:t>solubile in acqua, molto solubile in metanolo, poco solubile in etanolo (96per cento).</w:t>
      </w:r>
      <w:r w:rsidRPr="00D45CCB">
        <w:rPr>
          <w:rStyle w:val="s1"/>
          <w:rFonts w:asciiTheme="minorHAnsi" w:hAnsiTheme="minorHAnsi"/>
        </w:rPr>
        <w:t xml:space="preserve"> </w:t>
      </w:r>
    </w:p>
    <w:p w:rsidR="007C68D2" w:rsidRPr="00D45CCB" w:rsidRDefault="007C68D2" w:rsidP="009F2963">
      <w:pPr>
        <w:spacing w:after="0" w:line="240" w:lineRule="auto"/>
        <w:jc w:val="both"/>
        <w:rPr>
          <w:highlight w:val="cyan"/>
        </w:rPr>
      </w:pPr>
    </w:p>
    <w:p w:rsidR="009F2963" w:rsidRPr="00D45CCB" w:rsidRDefault="009F2963" w:rsidP="009F2963">
      <w:pPr>
        <w:spacing w:after="0" w:line="240" w:lineRule="auto"/>
        <w:jc w:val="both"/>
      </w:pPr>
      <w:r w:rsidRPr="00D45CCB">
        <w:t xml:space="preserve">Il principio attivo </w:t>
      </w:r>
      <w:proofErr w:type="spellStart"/>
      <w:r w:rsidRPr="00D45CCB">
        <w:t>ipratropio</w:t>
      </w:r>
      <w:proofErr w:type="spellEnd"/>
      <w:r w:rsidRPr="00D45CCB">
        <w:t xml:space="preserve"> bromuro è presente in Farmacopea Europea e il </w:t>
      </w:r>
      <w:proofErr w:type="spellStart"/>
      <w:r w:rsidRPr="00D45CCB">
        <w:t>Direttorato</w:t>
      </w:r>
      <w:proofErr w:type="spellEnd"/>
      <w:r w:rsidRPr="00D45CCB">
        <w:t xml:space="preserve"> Europeo per la Qualità dei Medicinali (</w:t>
      </w:r>
      <w:proofErr w:type="spellStart"/>
      <w:r w:rsidRPr="00D45CCB">
        <w:rPr>
          <w:i/>
        </w:rPr>
        <w:t>European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Directorate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for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Quality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of</w:t>
      </w:r>
      <w:proofErr w:type="spellEnd"/>
      <w:r w:rsidRPr="00D45CCB">
        <w:rPr>
          <w:i/>
        </w:rPr>
        <w:t xml:space="preserve"> </w:t>
      </w:r>
      <w:proofErr w:type="spellStart"/>
      <w:r w:rsidRPr="00D45CCB">
        <w:rPr>
          <w:i/>
        </w:rPr>
        <w:t>Medicinals</w:t>
      </w:r>
      <w:proofErr w:type="spellEnd"/>
      <w:r w:rsidRPr="00D45CCB">
        <w:t xml:space="preserve"> – EDQM) ha rilasciato al produttore il certificato di conformità alla Farmacopea Europea.</w:t>
      </w:r>
    </w:p>
    <w:p w:rsidR="009F2963" w:rsidRPr="00D45CCB" w:rsidRDefault="009F2963" w:rsidP="009F2963">
      <w:pPr>
        <w:spacing w:after="0" w:line="240" w:lineRule="auto"/>
        <w:jc w:val="both"/>
      </w:pPr>
      <w:r w:rsidRPr="00D45CCB">
        <w:t xml:space="preserve">Tutti gli aspetti di produzione e controllo sono coperti dal certificato di conformità alla Farmacopea Europea. Il principio attivo è confezionato in busta di polietilene/alluminio nera all’esterno posta all’interno di fusti di fibra. Il periodo di </w:t>
      </w:r>
      <w:proofErr w:type="spellStart"/>
      <w:r w:rsidRPr="00D45CCB">
        <w:t>retest</w:t>
      </w:r>
      <w:proofErr w:type="spellEnd"/>
      <w:r w:rsidRPr="00D45CCB">
        <w:t xml:space="preserve"> è stabilito in 60 mesi</w:t>
      </w:r>
      <w:r w:rsidR="003A3147">
        <w:t>.</w:t>
      </w:r>
    </w:p>
    <w:p w:rsidR="007C68D2" w:rsidRPr="00D45CCB" w:rsidRDefault="007C68D2" w:rsidP="007935FE">
      <w:pPr>
        <w:spacing w:after="0" w:line="240" w:lineRule="auto"/>
        <w:jc w:val="both"/>
      </w:pP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b/>
        </w:rPr>
        <w:t>II.1b PRINCIPIO ATTIVO SALBUTAMOLO SOLFATO</w:t>
      </w:r>
    </w:p>
    <w:p w:rsidR="00D45CCB" w:rsidRPr="00D45CCB" w:rsidRDefault="00D45CCB" w:rsidP="00D45CCB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D45CCB">
        <w:rPr>
          <w:u w:val="single"/>
        </w:rPr>
        <w:t>Nome chimico</w:t>
      </w:r>
      <w:r w:rsidRPr="00D45CCB">
        <w:t xml:space="preserve">: </w:t>
      </w:r>
      <w:r w:rsidRPr="00D45CCB">
        <w:rPr>
          <w:rStyle w:val="s1"/>
          <w:rFonts w:asciiTheme="minorHAnsi" w:hAnsiTheme="minorHAnsi"/>
        </w:rPr>
        <w:t>Bis[(1</w:t>
      </w:r>
      <w:r w:rsidRPr="00D45CCB">
        <w:rPr>
          <w:rStyle w:val="s1"/>
          <w:rFonts w:asciiTheme="minorHAnsi" w:hAnsiTheme="minorHAnsi"/>
          <w:i/>
          <w:iCs/>
        </w:rPr>
        <w:t>RS</w:t>
      </w:r>
      <w:r w:rsidRPr="00D45CCB">
        <w:rPr>
          <w:rStyle w:val="s1"/>
          <w:rFonts w:asciiTheme="minorHAnsi" w:hAnsiTheme="minorHAnsi"/>
        </w:rPr>
        <w:t xml:space="preserve">)-2-[(1,1-dimethylethyl)amino]-1-[4-hydroxy-3-(hydroxymethyl)phenyl]ethanol] </w:t>
      </w:r>
      <w:proofErr w:type="spellStart"/>
      <w:r w:rsidRPr="00D45CCB">
        <w:rPr>
          <w:rStyle w:val="s1"/>
          <w:rFonts w:asciiTheme="minorHAnsi" w:hAnsiTheme="minorHAnsi"/>
        </w:rPr>
        <w:t>sulfate</w:t>
      </w:r>
      <w:proofErr w:type="spellEnd"/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u w:val="single"/>
        </w:rPr>
        <w:t>Struttura</w:t>
      </w:r>
      <w:r w:rsidRPr="00D45CCB">
        <w:t>:</w:t>
      </w:r>
    </w:p>
    <w:p w:rsidR="00D45CCB" w:rsidRPr="00D45CCB" w:rsidRDefault="00074333" w:rsidP="00D45CCB">
      <w:pPr>
        <w:spacing w:after="0" w:line="240" w:lineRule="auto"/>
        <w:jc w:val="center"/>
      </w:pPr>
      <w:r w:rsidRPr="00074333">
        <w:rPr>
          <w:noProof/>
          <w:lang w:eastAsia="it-IT"/>
        </w:rPr>
        <w:drawing>
          <wp:inline distT="0" distB="0" distL="0" distR="0">
            <wp:extent cx="1171121" cy="482690"/>
            <wp:effectExtent l="19050" t="0" r="0" b="0"/>
            <wp:docPr id="4" name="Immagine 1" descr="Salbutamol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lbutamol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47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662" cy="484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5CCB" w:rsidRPr="00D45CCB">
        <w:rPr>
          <w:sz w:val="16"/>
        </w:rPr>
        <w:t>H</w:t>
      </w:r>
      <w:r w:rsidR="00D45CCB" w:rsidRPr="00D45CCB">
        <w:rPr>
          <w:sz w:val="16"/>
          <w:vertAlign w:val="subscript"/>
        </w:rPr>
        <w:t>2</w:t>
      </w:r>
      <w:r w:rsidR="00D45CCB" w:rsidRPr="00D45CCB">
        <w:rPr>
          <w:sz w:val="16"/>
        </w:rPr>
        <w:t>SO</w:t>
      </w:r>
      <w:r w:rsidR="00D45CCB" w:rsidRPr="00D45CCB">
        <w:rPr>
          <w:sz w:val="16"/>
          <w:vertAlign w:val="subscript"/>
        </w:rPr>
        <w:t>4</w:t>
      </w: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u w:val="single"/>
        </w:rPr>
        <w:t>Formula molecolare</w:t>
      </w:r>
      <w:r w:rsidRPr="00D45CCB">
        <w:t xml:space="preserve">: </w:t>
      </w:r>
      <w:r w:rsidRPr="00D45CCB">
        <w:rPr>
          <w:rStyle w:val="s1"/>
          <w:rFonts w:asciiTheme="minorHAnsi" w:hAnsiTheme="minorHAnsi"/>
        </w:rPr>
        <w:t>C</w:t>
      </w:r>
      <w:r w:rsidRPr="00D45CCB">
        <w:rPr>
          <w:rStyle w:val="s1"/>
          <w:rFonts w:asciiTheme="minorHAnsi" w:hAnsiTheme="minorHAnsi"/>
          <w:vertAlign w:val="subscript"/>
        </w:rPr>
        <w:t>26</w:t>
      </w:r>
      <w:r w:rsidRPr="00D45CCB">
        <w:rPr>
          <w:rStyle w:val="s1"/>
          <w:rFonts w:asciiTheme="minorHAnsi" w:hAnsiTheme="minorHAnsi"/>
        </w:rPr>
        <w:t>H</w:t>
      </w:r>
      <w:r w:rsidRPr="00D45CCB">
        <w:rPr>
          <w:rStyle w:val="s1"/>
          <w:rFonts w:asciiTheme="minorHAnsi" w:hAnsiTheme="minorHAnsi"/>
          <w:vertAlign w:val="subscript"/>
        </w:rPr>
        <w:t>44</w:t>
      </w:r>
      <w:r w:rsidRPr="00D45CCB">
        <w:rPr>
          <w:rStyle w:val="s1"/>
          <w:rFonts w:asciiTheme="minorHAnsi" w:hAnsiTheme="minorHAnsi"/>
        </w:rPr>
        <w:t>N</w:t>
      </w:r>
      <w:r w:rsidRPr="00D45CCB">
        <w:rPr>
          <w:rStyle w:val="s1"/>
          <w:rFonts w:asciiTheme="minorHAnsi" w:hAnsiTheme="minorHAnsi"/>
          <w:vertAlign w:val="subscript"/>
        </w:rPr>
        <w:t>2</w:t>
      </w:r>
      <w:r w:rsidRPr="00D45CCB">
        <w:rPr>
          <w:rStyle w:val="s1"/>
          <w:rFonts w:asciiTheme="minorHAnsi" w:hAnsiTheme="minorHAnsi"/>
        </w:rPr>
        <w:t>O</w:t>
      </w:r>
      <w:r w:rsidRPr="00D45CCB">
        <w:rPr>
          <w:rStyle w:val="s1"/>
          <w:rFonts w:asciiTheme="minorHAnsi" w:hAnsiTheme="minorHAnsi"/>
          <w:vertAlign w:val="subscript"/>
        </w:rPr>
        <w:t>10</w:t>
      </w:r>
      <w:r w:rsidRPr="00D45CCB">
        <w:rPr>
          <w:rStyle w:val="s1"/>
          <w:rFonts w:asciiTheme="minorHAnsi" w:hAnsiTheme="minorHAnsi"/>
        </w:rPr>
        <w:t>S</w:t>
      </w: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u w:val="single"/>
        </w:rPr>
        <w:t>Peso molecolare</w:t>
      </w:r>
      <w:r w:rsidRPr="00D45CCB">
        <w:t xml:space="preserve">: </w:t>
      </w:r>
      <w:r w:rsidRPr="00D45CCB">
        <w:rPr>
          <w:rStyle w:val="s1"/>
          <w:rFonts w:asciiTheme="minorHAnsi" w:hAnsiTheme="minorHAnsi"/>
        </w:rPr>
        <w:t>576.7 g/mol</w:t>
      </w:r>
    </w:p>
    <w:p w:rsidR="00D45CCB" w:rsidRPr="00D45CCB" w:rsidRDefault="00D45CCB" w:rsidP="00D45CCB">
      <w:pPr>
        <w:spacing w:after="0" w:line="240" w:lineRule="auto"/>
        <w:rPr>
          <w:rFonts w:eastAsia="Times New Roman" w:cs="Times New Roman"/>
          <w:lang w:eastAsia="it-IT"/>
        </w:rPr>
      </w:pPr>
      <w:r w:rsidRPr="00D45CCB">
        <w:rPr>
          <w:u w:val="single"/>
        </w:rPr>
        <w:t>CAS</w:t>
      </w:r>
      <w:r w:rsidRPr="00D45CCB">
        <w:t xml:space="preserve">: </w:t>
      </w:r>
      <w:r w:rsidRPr="00D45CCB">
        <w:rPr>
          <w:rFonts w:eastAsia="Times New Roman" w:cs="Arial"/>
          <w:lang w:eastAsia="it-IT"/>
        </w:rPr>
        <w:t>[66985-17-9]</w:t>
      </w: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u w:val="single"/>
        </w:rPr>
        <w:t>Aspetto</w:t>
      </w:r>
      <w:r w:rsidRPr="00D45CCB">
        <w:t>: polvere cristallina bianca o quasi bianca</w:t>
      </w:r>
    </w:p>
    <w:p w:rsidR="00D45CCB" w:rsidRDefault="00D45CCB" w:rsidP="00D45CCB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D45CCB">
        <w:rPr>
          <w:u w:val="single"/>
        </w:rPr>
        <w:t>Solubilità:</w:t>
      </w:r>
      <w:r w:rsidRPr="00D45CCB">
        <w:t xml:space="preserve"> </w:t>
      </w:r>
      <w:r w:rsidRPr="00D45CCB">
        <w:rPr>
          <w:rStyle w:val="s1"/>
          <w:rFonts w:asciiTheme="minorHAnsi" w:hAnsiTheme="minorHAnsi"/>
        </w:rPr>
        <w:t xml:space="preserve">molto solubile in acqua, praticamente insolubile o molto poco solubile in etanolo (96per cento) </w:t>
      </w:r>
      <w:r>
        <w:rPr>
          <w:rStyle w:val="s1"/>
          <w:rFonts w:asciiTheme="minorHAnsi" w:hAnsiTheme="minorHAnsi"/>
        </w:rPr>
        <w:t>e</w:t>
      </w:r>
      <w:r w:rsidRPr="00D45CCB">
        <w:rPr>
          <w:rStyle w:val="s1"/>
          <w:rFonts w:asciiTheme="minorHAnsi" w:hAnsiTheme="minorHAnsi"/>
        </w:rPr>
        <w:t xml:space="preserve"> in metilene cloruro </w:t>
      </w:r>
    </w:p>
    <w:p w:rsidR="00D45CCB" w:rsidRPr="00D45CCB" w:rsidRDefault="00D45CCB" w:rsidP="00D45CCB">
      <w:pPr>
        <w:spacing w:after="0" w:line="240" w:lineRule="auto"/>
        <w:jc w:val="both"/>
      </w:pPr>
      <w:r w:rsidRPr="00D45CCB">
        <w:rPr>
          <w:rStyle w:val="s1"/>
          <w:rFonts w:asciiTheme="minorHAnsi" w:hAnsiTheme="minorHAnsi"/>
          <w:u w:val="single"/>
        </w:rPr>
        <w:t>Polimorfismo</w:t>
      </w:r>
      <w:r>
        <w:rPr>
          <w:rStyle w:val="s1"/>
          <w:rFonts w:asciiTheme="minorHAnsi" w:hAnsiTheme="minorHAnsi"/>
        </w:rPr>
        <w:t xml:space="preserve">: </w:t>
      </w:r>
      <w:proofErr w:type="spellStart"/>
      <w:r>
        <w:rPr>
          <w:rStyle w:val="s1"/>
          <w:rFonts w:asciiTheme="minorHAnsi" w:hAnsiTheme="minorHAnsi"/>
        </w:rPr>
        <w:t>salbutamolo</w:t>
      </w:r>
      <w:proofErr w:type="spellEnd"/>
      <w:r>
        <w:rPr>
          <w:rStyle w:val="s1"/>
          <w:rFonts w:asciiTheme="minorHAnsi" w:hAnsiTheme="minorHAnsi"/>
        </w:rPr>
        <w:t xml:space="preserve"> solfato mostra polimorfismo</w:t>
      </w:r>
    </w:p>
    <w:p w:rsidR="009F2963" w:rsidRPr="00D45CCB" w:rsidRDefault="009F2963" w:rsidP="007935FE">
      <w:pPr>
        <w:spacing w:after="0" w:line="240" w:lineRule="auto"/>
        <w:jc w:val="both"/>
      </w:pPr>
    </w:p>
    <w:p w:rsidR="00D45CCB" w:rsidRPr="00D45CCB" w:rsidRDefault="00D45CCB" w:rsidP="00D45CCB">
      <w:pPr>
        <w:spacing w:after="0" w:line="240" w:lineRule="auto"/>
        <w:jc w:val="both"/>
      </w:pPr>
      <w:r w:rsidRPr="00D45CCB">
        <w:t xml:space="preserve">Il principio attivo </w:t>
      </w:r>
      <w:proofErr w:type="spellStart"/>
      <w:r w:rsidR="00074333">
        <w:rPr>
          <w:rStyle w:val="s1"/>
          <w:rFonts w:asciiTheme="minorHAnsi" w:hAnsiTheme="minorHAnsi"/>
        </w:rPr>
        <w:t>salbutamolo</w:t>
      </w:r>
      <w:proofErr w:type="spellEnd"/>
      <w:r w:rsidR="00074333">
        <w:rPr>
          <w:rStyle w:val="s1"/>
          <w:rFonts w:asciiTheme="minorHAnsi" w:hAnsiTheme="minorHAnsi"/>
        </w:rPr>
        <w:t xml:space="preserve"> solfato</w:t>
      </w:r>
      <w:r w:rsidRPr="00D45CCB">
        <w:t xml:space="preserve"> è presente in Farmacopea Europea, il produttore ha presentato un ASMF.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>La sintesi del principio attivo è stata adeguatamente descritta a partire da idonei materiali di partenza; sono utilizzati appropriati controlli di processo e degli intermedi di sintesi.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>I materiali e i reagenti utilizzati nella sintesi sono di qualità adeguata.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>I materiali, gli intermedi, i reagenti utilizzati nella sintesi non sono di origine umana, biologica o geneticamente modificata.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>Le specifiche del principio attivo sono appropriate e controllat</w:t>
      </w:r>
      <w:r w:rsidR="003A3147">
        <w:t>e</w:t>
      </w:r>
      <w:r w:rsidRPr="000F1094">
        <w:t xml:space="preserve"> con metodi analitici adeguatamente convalidati. Sono stati forniti certificati analitici che confermano la qualità del principio attivo.</w:t>
      </w:r>
    </w:p>
    <w:p w:rsidR="00074333" w:rsidRPr="000F1094" w:rsidRDefault="00074333" w:rsidP="00074333">
      <w:pPr>
        <w:spacing w:after="0" w:line="240" w:lineRule="auto"/>
        <w:jc w:val="both"/>
        <w:rPr>
          <w:rFonts w:cs="Arial"/>
        </w:rPr>
      </w:pPr>
      <w:r w:rsidRPr="000F1094">
        <w:t>Il principio attivo è confezionato in un adeguato contenitore, per il quale sono stati forniti specifiche e certificati analitici. Il principio attivo è confezionato in un</w:t>
      </w:r>
      <w:r w:rsidR="00FB419D">
        <w:t>a</w:t>
      </w:r>
      <w:r w:rsidRPr="000F1094">
        <w:t xml:space="preserve"> doppi</w:t>
      </w:r>
      <w:r w:rsidR="00FB419D">
        <w:t>a</w:t>
      </w:r>
      <w:r w:rsidRPr="000F1094">
        <w:t xml:space="preserve"> </w:t>
      </w:r>
      <w:r w:rsidR="00FB419D">
        <w:t>busta</w:t>
      </w:r>
      <w:r w:rsidRPr="000F1094">
        <w:t xml:space="preserve"> </w:t>
      </w:r>
      <w:r w:rsidRPr="000F1094">
        <w:rPr>
          <w:rFonts w:cs="Arial"/>
        </w:rPr>
        <w:t>di polietilene.</w:t>
      </w:r>
    </w:p>
    <w:p w:rsidR="00074333" w:rsidRPr="000F1094" w:rsidRDefault="00074333" w:rsidP="00074333">
      <w:pPr>
        <w:spacing w:after="0" w:line="240" w:lineRule="auto"/>
        <w:jc w:val="both"/>
      </w:pPr>
      <w:r w:rsidRPr="000F1094">
        <w:t xml:space="preserve">Sono stati forniti adeguati studi di stabilità per il principio attivo, conservato nel confezionamento proposto per il commercio. Sulla base di questi dati, è stato approvato un periodo di </w:t>
      </w:r>
      <w:proofErr w:type="spellStart"/>
      <w:r w:rsidRPr="000F1094">
        <w:t>retest</w:t>
      </w:r>
      <w:proofErr w:type="spellEnd"/>
      <w:r w:rsidRPr="000F1094">
        <w:t xml:space="preserve"> di 5 anni.</w:t>
      </w:r>
    </w:p>
    <w:p w:rsidR="009F2963" w:rsidRPr="00D45CCB" w:rsidRDefault="009F2963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7C68D2" w:rsidRPr="00B32D81" w:rsidRDefault="002513BA" w:rsidP="007935FE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Butapral</w:t>
      </w:r>
      <w:proofErr w:type="spellEnd"/>
      <w:r w:rsidR="007C68D2" w:rsidRPr="00B32D81">
        <w:rPr>
          <w:rFonts w:eastAsia="Calibri" w:cs="Calibri"/>
          <w:color w:val="000000"/>
          <w:lang w:eastAsia="it-IT"/>
        </w:rPr>
        <w:t xml:space="preserve"> è disponibile come </w:t>
      </w:r>
      <w:r w:rsidR="00FB419D">
        <w:rPr>
          <w:rFonts w:eastAsia="Calibri" w:cs="Calibri"/>
          <w:color w:val="000000"/>
          <w:lang w:eastAsia="it-IT"/>
        </w:rPr>
        <w:t>s</w:t>
      </w:r>
      <w:r w:rsidR="003A3507">
        <w:rPr>
          <w:rFonts w:eastAsia="Calibri" w:cs="Calibri"/>
          <w:color w:val="000000"/>
          <w:lang w:eastAsia="it-IT"/>
        </w:rPr>
        <w:t>oluzione da nebulizzare in contenitori monodose da 2,5 ml</w:t>
      </w:r>
      <w:r w:rsidR="003A3507" w:rsidRPr="00B32D81">
        <w:rPr>
          <w:rFonts w:eastAsia="Calibri" w:cs="Calibri"/>
          <w:color w:val="000000"/>
          <w:lang w:eastAsia="it-IT"/>
        </w:rPr>
        <w:t xml:space="preserve"> contenent</w:t>
      </w:r>
      <w:r w:rsidR="003A3507">
        <w:rPr>
          <w:rFonts w:eastAsia="Calibri" w:cs="Calibri"/>
          <w:color w:val="000000"/>
          <w:lang w:eastAsia="it-IT"/>
        </w:rPr>
        <w:t>i</w:t>
      </w:r>
      <w:r w:rsidR="003A3507" w:rsidRPr="00B32D81">
        <w:rPr>
          <w:rFonts w:eastAsia="Calibri" w:cs="Calibri"/>
          <w:color w:val="000000"/>
          <w:lang w:eastAsia="it-IT"/>
        </w:rPr>
        <w:t xml:space="preserve"> i principi attiv</w:t>
      </w:r>
      <w:r w:rsidR="003A3507">
        <w:rPr>
          <w:rFonts w:eastAsia="Calibri" w:cs="Calibri"/>
          <w:color w:val="000000"/>
          <w:lang w:eastAsia="it-IT"/>
        </w:rPr>
        <w:t>i</w:t>
      </w:r>
      <w:r w:rsidR="003A3507" w:rsidRPr="00B32D8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A3507">
        <w:rPr>
          <w:snapToGrid w:val="0"/>
        </w:rPr>
        <w:t>ipratropio</w:t>
      </w:r>
      <w:proofErr w:type="spellEnd"/>
      <w:r w:rsidR="003A3507">
        <w:rPr>
          <w:snapToGrid w:val="0"/>
        </w:rPr>
        <w:t xml:space="preserve"> bromuro e </w:t>
      </w:r>
      <w:proofErr w:type="spellStart"/>
      <w:r w:rsidR="003A3507">
        <w:rPr>
          <w:snapToGrid w:val="0"/>
        </w:rPr>
        <w:t>salbutamolo</w:t>
      </w:r>
      <w:proofErr w:type="spellEnd"/>
      <w:r w:rsidR="003A3507">
        <w:rPr>
          <w:snapToGrid w:val="0"/>
        </w:rPr>
        <w:t xml:space="preserve"> </w:t>
      </w:r>
      <w:r w:rsidR="003A3507">
        <w:rPr>
          <w:rFonts w:eastAsia="Calibri" w:cs="Calibri"/>
          <w:color w:val="000000"/>
          <w:lang w:eastAsia="it-IT"/>
        </w:rPr>
        <w:t>alla concentrazione di 0,5 mg/2,5 ml e 2,5 mg/2,5 ml rispettivamente</w:t>
      </w:r>
      <w:r w:rsidR="007935FE">
        <w:rPr>
          <w:rFonts w:eastAsia="Calibri" w:cs="Calibri"/>
          <w:color w:val="000000"/>
          <w:lang w:eastAsia="it-IT"/>
        </w:rPr>
        <w:t>.</w:t>
      </w:r>
    </w:p>
    <w:p w:rsidR="007C68D2" w:rsidRPr="00B32D81" w:rsidRDefault="007C68D2" w:rsidP="007935FE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cs="Arial"/>
        </w:rPr>
      </w:pPr>
      <w:r w:rsidRPr="00B32D81">
        <w:t xml:space="preserve">Gli eccipienti sono i seguenti: </w:t>
      </w:r>
      <w:r w:rsidR="003A3507">
        <w:rPr>
          <w:rFonts w:cs="Arial"/>
        </w:rPr>
        <w:t>sodio cloruro, acido cloridrico</w:t>
      </w:r>
      <w:r w:rsidR="00C31AF0" w:rsidRPr="003A3507">
        <w:rPr>
          <w:rFonts w:cs="Arial"/>
        </w:rPr>
        <w:t>, acqua per preparazioni</w:t>
      </w:r>
      <w:r w:rsidR="002C389F" w:rsidRPr="003A3507">
        <w:rPr>
          <w:rFonts w:cs="Arial"/>
        </w:rPr>
        <w:t xml:space="preserve"> iniettabili</w:t>
      </w:r>
      <w:r w:rsidR="00C31AF0" w:rsidRPr="003A3507">
        <w:rPr>
          <w:rFonts w:cs="Arial"/>
        </w:rPr>
        <w:t>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Tutti gli eccipienti sono conformi alla relativa monografia di Farmacopea Europea.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Nessun eccipiente è ottenuto da organismi geneticamente modificati; non sono presenti eccipienti mai utilizzati nell’uomo.</w:t>
      </w:r>
    </w:p>
    <w:p w:rsidR="00F01FB3" w:rsidRDefault="00F01FB3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7C68D2" w:rsidRPr="00B32D81" w:rsidRDefault="007C68D2" w:rsidP="007935FE">
      <w:pPr>
        <w:spacing w:after="0" w:line="240" w:lineRule="auto"/>
        <w:jc w:val="both"/>
      </w:pPr>
      <w:r w:rsidRPr="00B32D81">
        <w:lastRenderedPageBreak/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7C68D2" w:rsidRDefault="007C68D2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2513BA" w:rsidP="00B32D81">
      <w:pPr>
        <w:spacing w:after="0" w:line="240" w:lineRule="auto"/>
        <w:jc w:val="both"/>
      </w:pPr>
      <w:proofErr w:type="spellStart"/>
      <w:r>
        <w:t>Butapral</w:t>
      </w:r>
      <w:proofErr w:type="spellEnd"/>
      <w:r w:rsidR="007C68D2" w:rsidRPr="00B32D81">
        <w:t xml:space="preserve"> è confezionato in </w:t>
      </w:r>
      <w:r w:rsidR="002C389F" w:rsidRPr="00B32D81">
        <w:rPr>
          <w:rFonts w:cs="Arial"/>
        </w:rPr>
        <w:t>contenitor</w:t>
      </w:r>
      <w:r w:rsidR="00F22BED">
        <w:rPr>
          <w:rFonts w:cs="Arial"/>
        </w:rPr>
        <w:t>i</w:t>
      </w:r>
      <w:r w:rsidR="002C389F" w:rsidRPr="00B32D81">
        <w:rPr>
          <w:rFonts w:cs="Arial"/>
        </w:rPr>
        <w:t xml:space="preserve"> monodose </w:t>
      </w:r>
      <w:r w:rsidR="006831C7" w:rsidRPr="00B32D81">
        <w:rPr>
          <w:rFonts w:cs="Arial"/>
        </w:rPr>
        <w:t xml:space="preserve">di </w:t>
      </w:r>
      <w:r w:rsidR="007C68D2" w:rsidRPr="00B32D81">
        <w:t>polietilene</w:t>
      </w:r>
      <w:r w:rsidR="006831C7" w:rsidRPr="00B32D81">
        <w:t xml:space="preserve"> a bassa densità</w:t>
      </w:r>
      <w:r w:rsidR="007C68D2" w:rsidRPr="00B32D81">
        <w:t>.</w:t>
      </w:r>
      <w:r w:rsidR="003A3507">
        <w:t xml:space="preserve"> I contenitori monodose in strip da 5 contenitori</w:t>
      </w:r>
      <w:r w:rsidR="001442AF">
        <w:t xml:space="preserve"> sono contenuti a loro volta in una busta di alluminio</w:t>
      </w:r>
      <w:r w:rsidR="003A3507">
        <w:t>.</w:t>
      </w:r>
      <w:r w:rsidR="007C68D2" w:rsidRPr="00B32D81">
        <w:t xml:space="preserve"> Sono state fornite specifiche e certificati analitici per tutti i componenti del confezionamento primario, che è adeguato per il medicinale.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1442AF">
        <w:t>3</w:t>
      </w:r>
      <w:r w:rsidRPr="00B32D81">
        <w:t xml:space="preserve"> anni senza particolari condizioni di conservazione.</w:t>
      </w:r>
      <w:r w:rsidR="001442AF">
        <w:t xml:space="preserve"> Una volta aperta la busta di alluminio, il periodo di validità dei contenitori monodose è di 7 giorni; una volta aperto il contenitore monodose, il medicinale deve essere utilizzato immediatamente.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2513BA">
        <w:t>Butapral</w:t>
      </w:r>
      <w:proofErr w:type="spellEnd"/>
      <w:r w:rsidRPr="00B32D81">
        <w:t xml:space="preserve"> è considerata adeguata. Non ci sono obiezioni per l’approvazione di </w:t>
      </w:r>
      <w:proofErr w:type="spellStart"/>
      <w:r w:rsidR="002513BA">
        <w:t>Butapral</w:t>
      </w:r>
      <w:proofErr w:type="spellEnd"/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1442AF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1442AF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proofErr w:type="spellStart"/>
      <w:r w:rsidR="002513BA">
        <w:t>Butapral</w:t>
      </w:r>
      <w:proofErr w:type="spellEnd"/>
      <w:r w:rsidRPr="00B32D81">
        <w:t xml:space="preserve"> contiene principi attiv</w:t>
      </w:r>
      <w:r w:rsidR="001442AF">
        <w:t>i</w:t>
      </w:r>
      <w:r w:rsidRPr="00B32D81">
        <w:t xml:space="preserve"> not</w:t>
      </w:r>
      <w:r w:rsidR="001442AF">
        <w:t>i</w:t>
      </w:r>
      <w:r w:rsidRPr="00B32D81">
        <w:t>: questo approccio è accettabile poiché il medicinale di riferimento</w:t>
      </w:r>
      <w:r w:rsidR="001442AF">
        <w:t xml:space="preserve"> europeo</w:t>
      </w:r>
      <w:r w:rsidRPr="00B32D81">
        <w:t xml:space="preserve"> </w:t>
      </w:r>
      <w:proofErr w:type="spellStart"/>
      <w:r w:rsidR="001442AF">
        <w:t>Combivent</w:t>
      </w:r>
      <w:proofErr w:type="spellEnd"/>
      <w:r w:rsidRPr="00B32D81">
        <w:t xml:space="preserve"> è autorizzato </w:t>
      </w:r>
      <w:r w:rsidR="001442AF">
        <w:t xml:space="preserve">nel </w:t>
      </w:r>
      <w:r w:rsidR="003A3147">
        <w:t>R</w:t>
      </w:r>
      <w:r w:rsidR="001442AF">
        <w:t>egno Unito</w:t>
      </w:r>
      <w:r w:rsidRPr="00B32D81">
        <w:t xml:space="preserve"> da oltre 10 anni.</w:t>
      </w:r>
    </w:p>
    <w:p w:rsidR="007C68D2" w:rsidRPr="00B32D81" w:rsidRDefault="007C68D2" w:rsidP="001442AF">
      <w:pPr>
        <w:spacing w:after="0" w:line="240" w:lineRule="auto"/>
        <w:jc w:val="both"/>
      </w:pPr>
      <w:r w:rsidRPr="00B32D81">
        <w:t>Non ci sono obiezioni per l’approvazione dal punto di vista non clinico.</w:t>
      </w:r>
    </w:p>
    <w:p w:rsidR="007C68D2" w:rsidRPr="00B32D81" w:rsidRDefault="007C68D2" w:rsidP="001442AF">
      <w:pPr>
        <w:spacing w:after="0" w:line="240" w:lineRule="auto"/>
        <w:jc w:val="both"/>
      </w:pPr>
    </w:p>
    <w:p w:rsidR="007C68D2" w:rsidRPr="00B32D81" w:rsidRDefault="007C68D2" w:rsidP="001442AF">
      <w:pPr>
        <w:spacing w:after="0" w:line="240" w:lineRule="auto"/>
        <w:jc w:val="both"/>
      </w:pPr>
    </w:p>
    <w:p w:rsidR="007C68D2" w:rsidRPr="00B32D81" w:rsidRDefault="007C68D2" w:rsidP="001442AF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5276B9" w:rsidRPr="00B32D81" w:rsidRDefault="002513BA" w:rsidP="001442A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t>Butapral</w:t>
      </w:r>
      <w:proofErr w:type="spellEnd"/>
      <w:r w:rsidR="007C68D2" w:rsidRPr="00B32D81">
        <w:t xml:space="preserve"> è utilizzato </w:t>
      </w:r>
      <w:r w:rsidR="001442AF" w:rsidRPr="00F66FC5">
        <w:rPr>
          <w:rFonts w:eastAsia="TimesNewRomanPSMT" w:cs="TimesNewRomanPSMT"/>
          <w:lang w:eastAsia="it-IT"/>
        </w:rPr>
        <w:t xml:space="preserve">per il trattamento del broncospasmo nei pazienti affetti da </w:t>
      </w:r>
      <w:proofErr w:type="spellStart"/>
      <w:r w:rsidR="001442AF" w:rsidRPr="00F66FC5">
        <w:rPr>
          <w:rFonts w:eastAsia="TimesNewRomanPSMT" w:cs="TimesNewRomanPSMT"/>
          <w:lang w:eastAsia="it-IT"/>
        </w:rPr>
        <w:t>broncopneumopatia</w:t>
      </w:r>
      <w:proofErr w:type="spellEnd"/>
      <w:r w:rsidR="001442AF" w:rsidRPr="00F66FC5">
        <w:rPr>
          <w:rFonts w:eastAsia="TimesNewRomanPSMT" w:cs="TimesNewRomanPSMT"/>
          <w:lang w:eastAsia="it-IT"/>
        </w:rPr>
        <w:t xml:space="preserve"> cronica ostruttiva (BPCO)</w:t>
      </w:r>
      <w:r w:rsidR="001442AF">
        <w:rPr>
          <w:rFonts w:eastAsia="TimesNewRomanPSMT" w:cs="TimesNewRomanPSMT"/>
          <w:lang w:eastAsia="it-IT"/>
        </w:rPr>
        <w:t xml:space="preserve"> </w:t>
      </w:r>
      <w:r w:rsidR="001442AF" w:rsidRPr="00F66FC5">
        <w:rPr>
          <w:rFonts w:eastAsia="TimesNewRomanPSMT" w:cs="TimesNewRomanPSMT"/>
          <w:lang w:eastAsia="it-IT"/>
        </w:rPr>
        <w:t xml:space="preserve">che necessitano di una regolare terapia sia con </w:t>
      </w:r>
      <w:proofErr w:type="spellStart"/>
      <w:r w:rsidR="001442AF" w:rsidRPr="00F66FC5">
        <w:rPr>
          <w:rFonts w:eastAsia="TimesNewRomanPSMT" w:cs="TimesNewRomanPSMT"/>
          <w:lang w:eastAsia="it-IT"/>
        </w:rPr>
        <w:t>ipratropio</w:t>
      </w:r>
      <w:proofErr w:type="spellEnd"/>
      <w:r w:rsidR="001442AF" w:rsidRPr="00F66FC5">
        <w:rPr>
          <w:rFonts w:eastAsia="TimesNewRomanPSMT" w:cs="TimesNewRomanPSMT"/>
          <w:lang w:eastAsia="it-IT"/>
        </w:rPr>
        <w:t xml:space="preserve"> bromuro sia con </w:t>
      </w:r>
      <w:proofErr w:type="spellStart"/>
      <w:r w:rsidR="001442AF" w:rsidRPr="00F66FC5">
        <w:rPr>
          <w:rFonts w:eastAsia="TimesNewRomanPSMT" w:cs="TimesNewRomanPSMT"/>
          <w:lang w:eastAsia="it-IT"/>
        </w:rPr>
        <w:t>salbutamolo</w:t>
      </w:r>
      <w:proofErr w:type="spellEnd"/>
      <w:r w:rsidR="001442AF" w:rsidRPr="00F66FC5">
        <w:rPr>
          <w:rFonts w:eastAsia="TimesNewRomanPSMT" w:cs="TimesNewRomanPSMT"/>
          <w:lang w:eastAsia="it-IT"/>
        </w:rPr>
        <w:t>.</w:t>
      </w:r>
      <w:r w:rsidR="001442AF">
        <w:rPr>
          <w:rFonts w:eastAsia="TimesNewRomanPSMT" w:cs="TimesNewRomanPSMT"/>
          <w:lang w:eastAsia="it-IT"/>
        </w:rPr>
        <w:t xml:space="preserve"> E’</w:t>
      </w:r>
      <w:r w:rsidR="001442AF" w:rsidRPr="00F66FC5">
        <w:rPr>
          <w:rFonts w:eastAsia="TimesNewRomanPSMT" w:cs="TimesNewRomanPSMT"/>
          <w:lang w:eastAsia="it-IT"/>
        </w:rPr>
        <w:t xml:space="preserve"> indicato negli adulti e adolescenti</w:t>
      </w:r>
      <w:r w:rsidR="001442AF">
        <w:rPr>
          <w:rFonts w:eastAsia="TimesNewRomanPSMT" w:cs="TimesNewRomanPSMT"/>
          <w:lang w:eastAsia="it-IT"/>
        </w:rPr>
        <w:t xml:space="preserve"> (età compresa tra</w:t>
      </w:r>
      <w:r w:rsidR="001442AF" w:rsidRPr="00F66FC5">
        <w:rPr>
          <w:rFonts w:eastAsia="TimesNewRomanPSMT" w:cs="TimesNewRomanPSMT"/>
          <w:lang w:eastAsia="it-IT"/>
        </w:rPr>
        <w:t xml:space="preserve"> 12</w:t>
      </w:r>
      <w:r w:rsidR="001442AF">
        <w:rPr>
          <w:rFonts w:eastAsia="TimesNewRomanPSMT" w:cs="TimesNewRomanPSMT"/>
          <w:lang w:eastAsia="it-IT"/>
        </w:rPr>
        <w:t xml:space="preserve"> e 18</w:t>
      </w:r>
      <w:r w:rsidR="001442AF" w:rsidRPr="00F66FC5">
        <w:rPr>
          <w:rFonts w:eastAsia="TimesNewRomanPSMT" w:cs="TimesNewRomanPSMT"/>
          <w:lang w:eastAsia="it-IT"/>
        </w:rPr>
        <w:t xml:space="preserve"> anni</w:t>
      </w:r>
      <w:r w:rsidR="001442AF">
        <w:rPr>
          <w:rFonts w:eastAsia="TimesNewRomanPSMT" w:cs="TimesNewRomanPSMT"/>
          <w:lang w:eastAsia="it-IT"/>
        </w:rPr>
        <w:t>)</w:t>
      </w:r>
      <w:r w:rsidR="001442AF" w:rsidRPr="00F66FC5">
        <w:rPr>
          <w:rFonts w:eastAsia="TimesNewRomanPSMT" w:cs="TimesNewRomanPSMT"/>
          <w:lang w:eastAsia="it-IT"/>
        </w:rPr>
        <w:t>.</w:t>
      </w:r>
    </w:p>
    <w:p w:rsidR="007C68D2" w:rsidRPr="00B32D81" w:rsidRDefault="007C68D2" w:rsidP="001442AF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1442AF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t>Posologia e modalità di somministrazione</w:t>
      </w:r>
    </w:p>
    <w:p w:rsidR="007C68D2" w:rsidRPr="00B32D81" w:rsidRDefault="007C68D2" w:rsidP="001442A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1442A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1442AF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7C68D2" w:rsidP="001442AF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La tossicologia di </w:t>
      </w:r>
      <w:proofErr w:type="spellStart"/>
      <w:r w:rsidR="001442AF">
        <w:t>ipratropio</w:t>
      </w:r>
      <w:proofErr w:type="spellEnd"/>
      <w:r w:rsidR="001442AF">
        <w:t xml:space="preserve"> bromuro e </w:t>
      </w:r>
      <w:proofErr w:type="spellStart"/>
      <w:r w:rsidR="001442AF">
        <w:t>salbutamolo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1442AF" w:rsidRPr="00B32D81" w:rsidRDefault="001442AF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lastRenderedPageBreak/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di </w:t>
      </w:r>
      <w:proofErr w:type="spellStart"/>
      <w:r w:rsidR="001442AF">
        <w:t>ipratropio</w:t>
      </w:r>
      <w:proofErr w:type="spellEnd"/>
      <w:r w:rsidR="001442AF">
        <w:t xml:space="preserve"> bromuro e </w:t>
      </w:r>
      <w:proofErr w:type="spellStart"/>
      <w:r w:rsidR="001442AF">
        <w:t>salbutamolo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proofErr w:type="spellStart"/>
      <w:r w:rsidR="002513BA">
        <w:t>Butapral</w:t>
      </w:r>
      <w:proofErr w:type="spellEnd"/>
      <w:r w:rsidRPr="00B32D81">
        <w:t xml:space="preserve"> contiene principi attiv</w:t>
      </w:r>
      <w:r w:rsidR="009C4072">
        <w:t>i</w:t>
      </w:r>
      <w:r w:rsidRPr="00B32D81">
        <w:t xml:space="preserve"> not</w:t>
      </w:r>
      <w:r w:rsidR="009C4072">
        <w:t>i</w:t>
      </w:r>
      <w:r w:rsidRPr="00B32D81">
        <w:t xml:space="preserve"> e present</w:t>
      </w:r>
      <w:r w:rsidR="009C4072">
        <w:t>i</w:t>
      </w:r>
      <w:r w:rsidRPr="00B32D81">
        <w:t xml:space="preserve"> nel medicinale </w:t>
      </w:r>
      <w:r w:rsidR="001442AF">
        <w:t xml:space="preserve">di riferimento europeo </w:t>
      </w:r>
      <w:proofErr w:type="spellStart"/>
      <w:r w:rsidR="001442AF">
        <w:t>Combivent</w:t>
      </w:r>
      <w:proofErr w:type="spellEnd"/>
      <w:r w:rsidR="001442AF">
        <w:t xml:space="preserve"> </w:t>
      </w:r>
      <w:r w:rsidRPr="00B32D81">
        <w:t xml:space="preserve">autorizzato </w:t>
      </w:r>
      <w:r w:rsidR="001442AF">
        <w:t>nel Regno Unito</w:t>
      </w:r>
      <w:r w:rsidRPr="00B32D81">
        <w:t xml:space="preserve">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profilo di sicurezza e l’efficacia de</w:t>
      </w:r>
      <w:r w:rsidR="001442AF">
        <w:rPr>
          <w:rFonts w:cs="Arial"/>
        </w:rPr>
        <w:t>i principi</w:t>
      </w:r>
      <w:r>
        <w:rPr>
          <w:rFonts w:cs="Arial"/>
        </w:rPr>
        <w:t xml:space="preserve"> attiv</w:t>
      </w:r>
      <w:r w:rsidR="001442AF">
        <w:rPr>
          <w:rFonts w:cs="Arial"/>
        </w:rPr>
        <w:t>i</w:t>
      </w:r>
      <w:r>
        <w:rPr>
          <w:rFonts w:cs="Arial"/>
        </w:rPr>
        <w:t xml:space="preserve"> di </w:t>
      </w:r>
      <w:proofErr w:type="spellStart"/>
      <w:r w:rsidR="002513BA">
        <w:rPr>
          <w:rFonts w:cs="Arial"/>
        </w:rPr>
        <w:t>Butapral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 w:rsidR="002513BA">
        <w:rPr>
          <w:rFonts w:cs="Arial"/>
        </w:rPr>
        <w:t>Butapral</w:t>
      </w:r>
      <w:proofErr w:type="spellEnd"/>
      <w:r>
        <w:rPr>
          <w:rFonts w:cs="Arial"/>
        </w:rPr>
        <w:t xml:space="preserve"> è somministrato come </w:t>
      </w:r>
      <w:r w:rsidR="001442AF">
        <w:rPr>
          <w:rFonts w:cs="Arial"/>
        </w:rPr>
        <w:t>soluzione da nebulizzare</w:t>
      </w:r>
      <w:r>
        <w:rPr>
          <w:rFonts w:cs="Arial"/>
        </w:rPr>
        <w:t xml:space="preserve"> con </w:t>
      </w:r>
      <w:r w:rsidR="001442AF">
        <w:rPr>
          <w:rFonts w:cs="Arial"/>
        </w:rPr>
        <w:t xml:space="preserve">la stessa composizione e </w:t>
      </w:r>
      <w:r>
        <w:rPr>
          <w:rFonts w:cs="Arial"/>
        </w:rPr>
        <w:t>le stesse caratteristiche chimico-fisiche del medicinale di riferimento.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2513BA">
        <w:t>Butapral</w:t>
      </w:r>
      <w:proofErr w:type="spellEnd"/>
      <w:r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1442AF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442AF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07C5C" w:rsidRPr="001442AF" w:rsidRDefault="001442AF" w:rsidP="001442A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1442AF">
              <w:rPr>
                <w:sz w:val="20"/>
                <w:szCs w:val="20"/>
              </w:rPr>
              <w:t>Problemi cardiaci (tachicardia, ipotensione, ischemia coronarica)</w:t>
            </w:r>
            <w:r w:rsidR="00D07C5C" w:rsidRPr="001442AF">
              <w:rPr>
                <w:sz w:val="20"/>
                <w:szCs w:val="20"/>
                <w:lang w:eastAsia="en-GB"/>
              </w:rPr>
              <w:t xml:space="preserve"> </w:t>
            </w: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1442AF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1442AF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442AF" w:rsidRPr="001442AF" w:rsidRDefault="001442AF" w:rsidP="001442AF">
            <w:pPr>
              <w:spacing w:after="0" w:line="240" w:lineRule="auto"/>
              <w:rPr>
                <w:sz w:val="20"/>
                <w:szCs w:val="20"/>
              </w:rPr>
            </w:pPr>
            <w:r w:rsidRPr="001442AF">
              <w:rPr>
                <w:sz w:val="20"/>
                <w:szCs w:val="20"/>
              </w:rPr>
              <w:t xml:space="preserve">Ipersensibilità (orticaria, </w:t>
            </w:r>
            <w:proofErr w:type="spellStart"/>
            <w:r w:rsidRPr="001442AF">
              <w:rPr>
                <w:sz w:val="20"/>
                <w:szCs w:val="20"/>
              </w:rPr>
              <w:t>angioedema</w:t>
            </w:r>
            <w:proofErr w:type="spellEnd"/>
            <w:r w:rsidRPr="001442AF">
              <w:rPr>
                <w:sz w:val="20"/>
                <w:szCs w:val="20"/>
              </w:rPr>
              <w:t>, anafilassi, ecc.)</w:t>
            </w:r>
          </w:p>
          <w:p w:rsidR="001442AF" w:rsidRPr="001442AF" w:rsidRDefault="001442AF" w:rsidP="001442A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1442AF">
              <w:rPr>
                <w:sz w:val="20"/>
                <w:szCs w:val="20"/>
              </w:rPr>
              <w:t>Ipokaliemia</w:t>
            </w:r>
            <w:proofErr w:type="spellEnd"/>
          </w:p>
          <w:p w:rsidR="001442AF" w:rsidRPr="001442AF" w:rsidRDefault="001442AF" w:rsidP="001442A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Dispnea, </w:t>
            </w:r>
            <w:proofErr w:type="spellStart"/>
            <w:r>
              <w:rPr>
                <w:sz w:val="20"/>
                <w:szCs w:val="20"/>
              </w:rPr>
              <w:t>b</w:t>
            </w:r>
            <w:r w:rsidRPr="001442AF">
              <w:rPr>
                <w:sz w:val="20"/>
                <w:szCs w:val="20"/>
              </w:rPr>
              <w:t>roncocostrizione</w:t>
            </w:r>
            <w:proofErr w:type="spellEnd"/>
            <w:r w:rsidRPr="001442AF">
              <w:rPr>
                <w:sz w:val="20"/>
                <w:szCs w:val="20"/>
              </w:rPr>
              <w:t xml:space="preserve"> e broncospasmo paradossi</w:t>
            </w:r>
          </w:p>
          <w:p w:rsidR="001442AF" w:rsidRPr="001442AF" w:rsidRDefault="001442AF" w:rsidP="001442AF">
            <w:pPr>
              <w:spacing w:after="0" w:line="240" w:lineRule="auto"/>
              <w:rPr>
                <w:sz w:val="20"/>
                <w:szCs w:val="20"/>
              </w:rPr>
            </w:pPr>
            <w:r w:rsidRPr="001442AF">
              <w:rPr>
                <w:sz w:val="20"/>
                <w:szCs w:val="20"/>
              </w:rPr>
              <w:t>Disturbi della motilità gastrointestinale (soprattutto in pazienti con fibrosi cistica)</w:t>
            </w:r>
          </w:p>
          <w:p w:rsidR="001442AF" w:rsidRPr="001442AF" w:rsidRDefault="001442AF" w:rsidP="001442AF">
            <w:pPr>
              <w:tabs>
                <w:tab w:val="left" w:pos="284"/>
                <w:tab w:val="left" w:pos="1440"/>
                <w:tab w:val="left" w:pos="2880"/>
                <w:tab w:val="left" w:pos="4320"/>
                <w:tab w:val="center" w:pos="4464"/>
                <w:tab w:val="left" w:pos="5760"/>
                <w:tab w:val="left" w:pos="7200"/>
                <w:tab w:val="left" w:pos="8640"/>
                <w:tab w:val="right" w:pos="89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</w:rPr>
              <w:t xml:space="preserve">Vertigini, </w:t>
            </w:r>
            <w:r w:rsidRPr="001442AF">
              <w:rPr>
                <w:sz w:val="20"/>
                <w:szCs w:val="20"/>
              </w:rPr>
              <w:t>disturbi visivi con effetti negativi sulla capacità di guidare e uso di macchinari</w:t>
            </w:r>
          </w:p>
          <w:p w:rsidR="001442AF" w:rsidRPr="001442AF" w:rsidRDefault="001442AF" w:rsidP="001442AF">
            <w:pPr>
              <w:tabs>
                <w:tab w:val="left" w:pos="284"/>
                <w:tab w:val="left" w:pos="1440"/>
                <w:tab w:val="left" w:pos="2880"/>
                <w:tab w:val="left" w:pos="4320"/>
                <w:tab w:val="center" w:pos="4464"/>
                <w:tab w:val="left" w:pos="5760"/>
                <w:tab w:val="left" w:pos="7200"/>
                <w:tab w:val="left" w:pos="8640"/>
                <w:tab w:val="right" w:pos="89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Effetti indesiderati (ad esempio ostruzione delle vie aeree,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ipokaliemia</w:t>
            </w:r>
            <w:proofErr w:type="spellEnd"/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) potenziati da una terapia concomitante a base di derivati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xantinici</w:t>
            </w:r>
            <w:proofErr w:type="spellEnd"/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, diuretici, corticosteroidi, agonisti beta2-adrenergici, anticolinergici,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anti</w:t>
            </w:r>
            <w:r w:rsidR="009C4072">
              <w:rPr>
                <w:rFonts w:cs="TimesNewRomanPSMT"/>
                <w:sz w:val="20"/>
                <w:szCs w:val="20"/>
                <w:lang w:eastAsia="it-IT"/>
              </w:rPr>
              <w:t>-</w:t>
            </w:r>
            <w:r w:rsidRPr="001442AF">
              <w:rPr>
                <w:rFonts w:cs="TimesNewRomanPSMT"/>
                <w:sz w:val="20"/>
                <w:szCs w:val="20"/>
                <w:lang w:eastAsia="it-IT"/>
              </w:rPr>
              <w:t>MAO</w:t>
            </w:r>
            <w:proofErr w:type="spellEnd"/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, antidepressivi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triciclici</w:t>
            </w:r>
            <w:proofErr w:type="spellEnd"/>
          </w:p>
          <w:p w:rsidR="001442AF" w:rsidRPr="001442AF" w:rsidRDefault="001442AF" w:rsidP="001442AF">
            <w:pPr>
              <w:tabs>
                <w:tab w:val="left" w:pos="284"/>
                <w:tab w:val="left" w:pos="1440"/>
                <w:tab w:val="left" w:pos="2880"/>
                <w:tab w:val="left" w:pos="4320"/>
                <w:tab w:val="center" w:pos="4464"/>
                <w:tab w:val="left" w:pos="5760"/>
                <w:tab w:val="left" w:pos="7200"/>
                <w:tab w:val="left" w:pos="8640"/>
                <w:tab w:val="right" w:pos="89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NewRomanPSMT"/>
                <w:sz w:val="20"/>
                <w:szCs w:val="20"/>
                <w:lang w:eastAsia="it-IT"/>
              </w:rPr>
            </w:pPr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Effetti indesiderati (ad esempio problemi cardiovascolari) potenziati da un uso concomitante di anestetici contenenti idrocarburi alogenati, per esempio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alotano</w:t>
            </w:r>
            <w:proofErr w:type="spellEnd"/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, tricloroetilene ed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enflurano</w:t>
            </w:r>
            <w:proofErr w:type="spellEnd"/>
          </w:p>
          <w:p w:rsidR="001442AF" w:rsidRPr="001442AF" w:rsidRDefault="001442AF" w:rsidP="001442AF">
            <w:pPr>
              <w:tabs>
                <w:tab w:val="left" w:pos="284"/>
                <w:tab w:val="left" w:pos="1440"/>
                <w:tab w:val="left" w:pos="2880"/>
                <w:tab w:val="left" w:pos="4320"/>
                <w:tab w:val="center" w:pos="4464"/>
                <w:tab w:val="left" w:pos="5760"/>
                <w:tab w:val="left" w:pos="7200"/>
                <w:tab w:val="left" w:pos="8640"/>
                <w:tab w:val="right" w:pos="892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1442AF">
              <w:rPr>
                <w:rFonts w:cs="TimesNewRomanPSMT"/>
                <w:sz w:val="20"/>
                <w:szCs w:val="20"/>
                <w:lang w:eastAsia="it-IT"/>
              </w:rPr>
              <w:t>R</w:t>
            </w:r>
            <w:r>
              <w:rPr>
                <w:rFonts w:cs="TimesNewRomanPSMT"/>
                <w:sz w:val="20"/>
                <w:szCs w:val="20"/>
                <w:lang w:eastAsia="it-IT"/>
              </w:rPr>
              <w:t>i</w:t>
            </w:r>
            <w:r w:rsidRPr="001442AF">
              <w:rPr>
                <w:rFonts w:cs="TimesNewRomanPSMT"/>
                <w:sz w:val="20"/>
                <w:szCs w:val="20"/>
                <w:lang w:eastAsia="it-IT"/>
              </w:rPr>
              <w:t xml:space="preserve">duzione potenzialmente grave dell’effetto terapeutico durante la somministrazione concomitante di betabloccanti, come </w:t>
            </w:r>
            <w:proofErr w:type="spellStart"/>
            <w:r w:rsidRPr="001442AF">
              <w:rPr>
                <w:rFonts w:cs="TimesNewRomanPSMT"/>
                <w:sz w:val="20"/>
                <w:szCs w:val="20"/>
                <w:lang w:eastAsia="it-IT"/>
              </w:rPr>
              <w:t>propranololo</w:t>
            </w:r>
            <w:proofErr w:type="spellEnd"/>
          </w:p>
          <w:p w:rsidR="00D07C5C" w:rsidRPr="001442AF" w:rsidRDefault="001442AF" w:rsidP="001442A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1442AF">
              <w:rPr>
                <w:rFonts w:cs="TimesNewRomanPSMT"/>
                <w:sz w:val="20"/>
                <w:szCs w:val="20"/>
                <w:lang w:eastAsia="it-IT"/>
              </w:rPr>
              <w:t>Problemi oculari (glaucoma ad angolo acuto, midriasi, vista offuscata, aumento della pressione intraoculare, dolore agli occhi e glaucoma ad angolo stretto) per accidentale contatto con gli occhi per non corretto uso del nebulizzatore</w:t>
            </w:r>
          </w:p>
        </w:tc>
      </w:tr>
      <w:tr w:rsidR="00F22BED" w:rsidRPr="00D07C5C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1442AF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1442AF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2AF" w:rsidRPr="001442AF" w:rsidRDefault="001442AF" w:rsidP="001442A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b/>
                <w:sz w:val="20"/>
                <w:szCs w:val="20"/>
              </w:rPr>
            </w:pPr>
            <w:r w:rsidRPr="001442AF">
              <w:rPr>
                <w:rFonts w:cs="ArialMT"/>
                <w:sz w:val="20"/>
                <w:szCs w:val="20"/>
              </w:rPr>
              <w:t>Uso nella popolazione pediatrica (età inferiore a 12 anni)</w:t>
            </w:r>
          </w:p>
          <w:p w:rsidR="001442AF" w:rsidRPr="001442AF" w:rsidRDefault="001442AF" w:rsidP="001442A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b/>
                <w:sz w:val="20"/>
                <w:szCs w:val="20"/>
              </w:rPr>
            </w:pPr>
            <w:r w:rsidRPr="001442AF">
              <w:rPr>
                <w:rFonts w:cs="ArialMT"/>
                <w:sz w:val="20"/>
                <w:szCs w:val="20"/>
              </w:rPr>
              <w:t xml:space="preserve">Uso nei pazienti con insufficienza epatica e renale </w:t>
            </w:r>
          </w:p>
          <w:p w:rsidR="00D07C5C" w:rsidRPr="001442AF" w:rsidRDefault="001442AF" w:rsidP="001442A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  <w:r w:rsidRPr="001442AF">
              <w:rPr>
                <w:rFonts w:cs="ArialMT"/>
                <w:sz w:val="20"/>
                <w:szCs w:val="20"/>
              </w:rPr>
              <w:t>Gravidanza e allattamento</w:t>
            </w:r>
          </w:p>
        </w:tc>
      </w:tr>
    </w:tbl>
    <w:p w:rsidR="00F22BED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2513BA">
        <w:t>Butapral</w:t>
      </w:r>
      <w:proofErr w:type="spellEnd"/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2513BA">
        <w:t>Butapral</w:t>
      </w:r>
      <w:proofErr w:type="spellEnd"/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F22BED" w:rsidRPr="00B32D81" w:rsidRDefault="00F22BED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</w:t>
      </w:r>
      <w:r w:rsidR="009C4072">
        <w:t>I</w:t>
      </w:r>
      <w:bookmarkStart w:id="1" w:name="_GoBack"/>
      <w:bookmarkEnd w:id="1"/>
      <w:r w:rsidRPr="00B32D81"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2513BA">
        <w:t>Butapral</w:t>
      </w:r>
      <w:proofErr w:type="spellEnd"/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1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9F2963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63ED7"/>
    <w:multiLevelType w:val="hybridMultilevel"/>
    <w:tmpl w:val="CA5CD53E"/>
    <w:lvl w:ilvl="0" w:tplc="2AAC82F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C2827"/>
    <w:multiLevelType w:val="hybridMultilevel"/>
    <w:tmpl w:val="24FAD2C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725FF"/>
    <w:rsid w:val="00074333"/>
    <w:rsid w:val="000B6CEA"/>
    <w:rsid w:val="000E0C85"/>
    <w:rsid w:val="001442AF"/>
    <w:rsid w:val="00156285"/>
    <w:rsid w:val="00240F4C"/>
    <w:rsid w:val="00250F90"/>
    <w:rsid w:val="002513BA"/>
    <w:rsid w:val="00283953"/>
    <w:rsid w:val="002C389F"/>
    <w:rsid w:val="00322BF5"/>
    <w:rsid w:val="00356C29"/>
    <w:rsid w:val="0038385F"/>
    <w:rsid w:val="003A3147"/>
    <w:rsid w:val="003A3507"/>
    <w:rsid w:val="004171F6"/>
    <w:rsid w:val="004241AC"/>
    <w:rsid w:val="004304A0"/>
    <w:rsid w:val="004349A2"/>
    <w:rsid w:val="00451284"/>
    <w:rsid w:val="0045737C"/>
    <w:rsid w:val="00494CCF"/>
    <w:rsid w:val="004B20A8"/>
    <w:rsid w:val="004B69C4"/>
    <w:rsid w:val="004B7E43"/>
    <w:rsid w:val="004C730F"/>
    <w:rsid w:val="0050386C"/>
    <w:rsid w:val="00520FDC"/>
    <w:rsid w:val="005276B9"/>
    <w:rsid w:val="005368CE"/>
    <w:rsid w:val="00556648"/>
    <w:rsid w:val="00564F57"/>
    <w:rsid w:val="0057253D"/>
    <w:rsid w:val="005820A7"/>
    <w:rsid w:val="005A2741"/>
    <w:rsid w:val="005B446C"/>
    <w:rsid w:val="005B6CDE"/>
    <w:rsid w:val="005D53B9"/>
    <w:rsid w:val="006063E6"/>
    <w:rsid w:val="006106D5"/>
    <w:rsid w:val="00633428"/>
    <w:rsid w:val="00640F3C"/>
    <w:rsid w:val="00662375"/>
    <w:rsid w:val="006657DE"/>
    <w:rsid w:val="00665921"/>
    <w:rsid w:val="006831C7"/>
    <w:rsid w:val="006C08CF"/>
    <w:rsid w:val="00716EE9"/>
    <w:rsid w:val="007520A0"/>
    <w:rsid w:val="00762D88"/>
    <w:rsid w:val="007861F5"/>
    <w:rsid w:val="007935FE"/>
    <w:rsid w:val="007C68D2"/>
    <w:rsid w:val="007D68A8"/>
    <w:rsid w:val="0083545D"/>
    <w:rsid w:val="00852838"/>
    <w:rsid w:val="00874568"/>
    <w:rsid w:val="00890DEE"/>
    <w:rsid w:val="008D5B85"/>
    <w:rsid w:val="00907169"/>
    <w:rsid w:val="009A1E3E"/>
    <w:rsid w:val="009A260F"/>
    <w:rsid w:val="009A2E18"/>
    <w:rsid w:val="009B5910"/>
    <w:rsid w:val="009C4072"/>
    <w:rsid w:val="009F2963"/>
    <w:rsid w:val="00A6318F"/>
    <w:rsid w:val="00A642C7"/>
    <w:rsid w:val="00AE7A98"/>
    <w:rsid w:val="00B07EF8"/>
    <w:rsid w:val="00B27FD9"/>
    <w:rsid w:val="00B329D4"/>
    <w:rsid w:val="00B32D81"/>
    <w:rsid w:val="00B75EA4"/>
    <w:rsid w:val="00BD1173"/>
    <w:rsid w:val="00BF119F"/>
    <w:rsid w:val="00C00425"/>
    <w:rsid w:val="00C31AF0"/>
    <w:rsid w:val="00C630E2"/>
    <w:rsid w:val="00C8171A"/>
    <w:rsid w:val="00CC7AFF"/>
    <w:rsid w:val="00D07C5C"/>
    <w:rsid w:val="00D103AB"/>
    <w:rsid w:val="00D20170"/>
    <w:rsid w:val="00D45CCB"/>
    <w:rsid w:val="00D47411"/>
    <w:rsid w:val="00D8167E"/>
    <w:rsid w:val="00DA1945"/>
    <w:rsid w:val="00DC179F"/>
    <w:rsid w:val="00DC5BE2"/>
    <w:rsid w:val="00E21095"/>
    <w:rsid w:val="00E22AEF"/>
    <w:rsid w:val="00E43089"/>
    <w:rsid w:val="00E44C8E"/>
    <w:rsid w:val="00E7486A"/>
    <w:rsid w:val="00E95CA3"/>
    <w:rsid w:val="00F01FB3"/>
    <w:rsid w:val="00F22BED"/>
    <w:rsid w:val="00F4168A"/>
    <w:rsid w:val="00FA2702"/>
    <w:rsid w:val="00FA55B0"/>
    <w:rsid w:val="00FB4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Sommario9">
    <w:name w:val="toc 9"/>
    <w:basedOn w:val="Normale"/>
    <w:next w:val="Normale"/>
    <w:autoRedefine/>
    <w:semiHidden/>
    <w:rsid w:val="001442AF"/>
    <w:pPr>
      <w:tabs>
        <w:tab w:val="left" w:pos="851"/>
      </w:tabs>
      <w:spacing w:after="0" w:line="240" w:lineRule="auto"/>
      <w:ind w:left="1920"/>
    </w:pPr>
    <w:rPr>
      <w:rFonts w:ascii="Times New Roman Bold" w:eastAsia="Times New Roman" w:hAnsi="Times New Roman Bold" w:cs="Times New Roman"/>
      <w:b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2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uk/government/organisations/medicines-and-healthcare-products-regulatory-agency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2783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19</cp:revision>
  <dcterms:created xsi:type="dcterms:W3CDTF">2015-12-17T16:40:00Z</dcterms:created>
  <dcterms:modified xsi:type="dcterms:W3CDTF">2017-07-31T14:31:00Z</dcterms:modified>
</cp:coreProperties>
</file>