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C" w:rsidRPr="002A3F14" w:rsidRDefault="004241AC" w:rsidP="004241AC">
      <w:pPr>
        <w:spacing w:after="0" w:line="240" w:lineRule="auto"/>
        <w:jc w:val="center"/>
        <w:rPr>
          <w:lang w:val="en-US"/>
        </w:rPr>
      </w:pPr>
      <w:r w:rsidRPr="002A3F14">
        <w:rPr>
          <w:noProof/>
          <w:lang w:eastAsia="it-IT"/>
        </w:rPr>
        <w:drawing>
          <wp:inline distT="0" distB="0" distL="0" distR="0">
            <wp:extent cx="3422890" cy="1491591"/>
            <wp:effectExtent l="19050" t="0" r="61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213" cy="149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1AC" w:rsidRDefault="004241AC" w:rsidP="004241AC">
      <w:pPr>
        <w:spacing w:after="0" w:line="240" w:lineRule="auto"/>
        <w:jc w:val="center"/>
        <w:rPr>
          <w:b/>
        </w:rPr>
      </w:pPr>
    </w:p>
    <w:p w:rsidR="006615E6" w:rsidRDefault="006615E6" w:rsidP="006615E6">
      <w:pPr>
        <w:spacing w:after="0" w:line="240" w:lineRule="auto"/>
        <w:jc w:val="center"/>
        <w:rPr>
          <w:b/>
          <w:sz w:val="28"/>
        </w:rPr>
      </w:pPr>
      <w:bookmarkStart w:id="0" w:name="Text15"/>
      <w:r>
        <w:rPr>
          <w:b/>
          <w:sz w:val="28"/>
        </w:rPr>
        <w:t>Relazione Pubblica di Valutazione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6615E6" w:rsidRDefault="006615E6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4241AC" w:rsidRPr="003A3DB3" w:rsidRDefault="00C61EE5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CARREFLOR</w:t>
      </w:r>
    </w:p>
    <w:p w:rsidR="007F6154" w:rsidRDefault="007F6154" w:rsidP="004241AC">
      <w:pPr>
        <w:widowControl w:val="0"/>
        <w:spacing w:after="0" w:line="240" w:lineRule="auto"/>
        <w:jc w:val="center"/>
        <w:rPr>
          <w:snapToGrid w:val="0"/>
        </w:rPr>
      </w:pPr>
    </w:p>
    <w:p w:rsidR="004241AC" w:rsidRPr="003A3FEB" w:rsidRDefault="004241AC" w:rsidP="004241AC">
      <w:pPr>
        <w:widowControl w:val="0"/>
        <w:spacing w:after="0" w:line="240" w:lineRule="auto"/>
        <w:jc w:val="center"/>
        <w:rPr>
          <w:snapToGrid w:val="0"/>
        </w:rPr>
      </w:pPr>
      <w:r w:rsidRPr="003A3FEB">
        <w:rPr>
          <w:snapToGrid w:val="0"/>
        </w:rPr>
        <w:t>(</w:t>
      </w:r>
      <w:proofErr w:type="spellStart"/>
      <w:r w:rsidR="00716C62">
        <w:rPr>
          <w:snapToGrid w:val="0"/>
        </w:rPr>
        <w:t>L</w:t>
      </w:r>
      <w:r w:rsidR="00901223">
        <w:rPr>
          <w:snapToGrid w:val="0"/>
        </w:rPr>
        <w:t>-carnitina</w:t>
      </w:r>
      <w:proofErr w:type="spellEnd"/>
      <w:r w:rsidRPr="003A3FEB">
        <w:rPr>
          <w:snapToGrid w:val="0"/>
        </w:rPr>
        <w:t>)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C47CDF" w:rsidRPr="00A06135" w:rsidRDefault="00ED7B18" w:rsidP="00C47CDF">
      <w:pPr>
        <w:spacing w:after="0" w:line="240" w:lineRule="auto"/>
        <w:jc w:val="center"/>
        <w:rPr>
          <w:rFonts w:ascii="Calibri" w:eastAsia="Calibri" w:hAnsi="Calibri" w:cs="Arial"/>
          <w:b/>
          <w:color w:val="000000"/>
        </w:rPr>
      </w:pPr>
      <w:r w:rsidRPr="00A06135">
        <w:rPr>
          <w:rFonts w:ascii="Calibri" w:eastAsia="Calibri" w:hAnsi="Calibri" w:cs="Arial"/>
          <w:b/>
          <w:color w:val="000000"/>
        </w:rPr>
        <w:t xml:space="preserve">So.Se.PHARM </w:t>
      </w:r>
    </w:p>
    <w:p w:rsidR="001575D2" w:rsidRPr="00A06135" w:rsidRDefault="001575D2" w:rsidP="004241AC">
      <w:pPr>
        <w:spacing w:after="0" w:line="240" w:lineRule="auto"/>
        <w:jc w:val="center"/>
        <w:rPr>
          <w:rFonts w:ascii="Calibri" w:hAnsi="Calibri" w:cs="Arial"/>
          <w:b/>
          <w:color w:val="000000"/>
        </w:rPr>
      </w:pPr>
    </w:p>
    <w:p w:rsidR="00136B0D" w:rsidRPr="00A06135" w:rsidRDefault="00136B0D" w:rsidP="004241AC">
      <w:pPr>
        <w:spacing w:after="0" w:line="240" w:lineRule="auto"/>
        <w:jc w:val="center"/>
        <w:rPr>
          <w:rFonts w:ascii="Calibri" w:hAnsi="Calibri" w:cs="Arial"/>
          <w:b/>
          <w:color w:val="000000"/>
        </w:rPr>
      </w:pPr>
    </w:p>
    <w:p w:rsidR="004241AC" w:rsidRPr="001575D2" w:rsidRDefault="004241AC" w:rsidP="004241AC">
      <w:pPr>
        <w:spacing w:after="0" w:line="240" w:lineRule="auto"/>
        <w:jc w:val="center"/>
        <w:rPr>
          <w:b/>
        </w:rPr>
      </w:pPr>
      <w:r w:rsidRPr="00062636">
        <w:rPr>
          <w:b/>
        </w:rPr>
        <w:t xml:space="preserve">Numero di AIC: </w:t>
      </w:r>
      <w:r w:rsidR="003E5B64" w:rsidRPr="001743D5">
        <w:rPr>
          <w:b/>
        </w:rPr>
        <w:t>0</w:t>
      </w:r>
      <w:r w:rsidR="001743D5" w:rsidRPr="001743D5">
        <w:rPr>
          <w:b/>
        </w:rPr>
        <w:t>43857</w:t>
      </w:r>
    </w:p>
    <w:bookmarkEnd w:id="0"/>
    <w:p w:rsidR="004241AC" w:rsidRPr="00062636" w:rsidRDefault="004241AC" w:rsidP="004241AC">
      <w:pPr>
        <w:spacing w:after="0" w:line="240" w:lineRule="auto"/>
        <w:jc w:val="center"/>
        <w:rPr>
          <w:b/>
        </w:rPr>
      </w:pP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C076B" w:rsidRDefault="00AC076B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3A3DB3" w:rsidRPr="0033523E" w:rsidRDefault="003A3DB3" w:rsidP="003A3DB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color w:val="000000"/>
          <w:lang w:eastAsia="it-IT"/>
        </w:rPr>
      </w:pPr>
      <w:r w:rsidRPr="0033523E">
        <w:rPr>
          <w:rFonts w:eastAsia="Calibri" w:cs="Calibri"/>
          <w:b/>
          <w:color w:val="000000"/>
          <w:lang w:eastAsia="it-IT"/>
        </w:rPr>
        <w:t>RIASSUNTO DELLA RELAZIONE PUBBLICA DI VALUTAZIONE</w:t>
      </w:r>
    </w:p>
    <w:p w:rsidR="003A3DB3" w:rsidRDefault="003A3DB3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9F1B70" w:rsidRDefault="004241AC" w:rsidP="00136B0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 w:rsidRPr="009F1B70">
        <w:rPr>
          <w:rFonts w:eastAsia="Calibri" w:cs="Calibri"/>
          <w:color w:val="000000"/>
          <w:lang w:eastAsia="it-IT"/>
        </w:rPr>
        <w:t xml:space="preserve">Questa è la sintesi del </w:t>
      </w:r>
      <w:r w:rsidRPr="009B03DB">
        <w:rPr>
          <w:rFonts w:eastAsia="Calibri" w:cs="Calibri"/>
          <w:i/>
          <w:color w:val="000000"/>
          <w:lang w:eastAsia="it-IT"/>
        </w:rPr>
        <w:t>Public Assessment Report</w:t>
      </w:r>
      <w:r w:rsidRPr="009F1B70">
        <w:rPr>
          <w:rFonts w:eastAsia="Calibri" w:cs="Calibri"/>
          <w:color w:val="000000"/>
          <w:lang w:eastAsia="it-IT"/>
        </w:rPr>
        <w:t xml:space="preserve"> (PAR) per </w:t>
      </w:r>
      <w:r w:rsidR="00C61EE5">
        <w:rPr>
          <w:rFonts w:eastAsia="Calibri" w:cs="Calibri"/>
          <w:color w:val="000000"/>
          <w:lang w:eastAsia="it-IT"/>
        </w:rPr>
        <w:t>C</w:t>
      </w:r>
      <w:r w:rsidR="00265228">
        <w:rPr>
          <w:rFonts w:eastAsia="Calibri" w:cs="Calibri"/>
          <w:color w:val="000000"/>
          <w:lang w:eastAsia="it-IT"/>
        </w:rPr>
        <w:t>arreflor</w:t>
      </w:r>
      <w:r w:rsidRPr="009F1B70">
        <w:rPr>
          <w:rFonts w:eastAsia="Calibri" w:cs="Calibri"/>
          <w:color w:val="000000"/>
          <w:lang w:eastAsia="it-IT"/>
        </w:rPr>
        <w:t>.</w:t>
      </w:r>
      <w:r w:rsidR="00136B0D">
        <w:rPr>
          <w:rFonts w:eastAsia="Calibri" w:cs="Calibri"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Esso spiega come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AD5240">
        <w:rPr>
          <w:rFonts w:eastAsia="Calibri" w:cs="Calibri"/>
          <w:color w:val="000000"/>
          <w:lang w:eastAsia="it-IT"/>
        </w:rPr>
        <w:t xml:space="preserve"> </w:t>
      </w:r>
      <w:r w:rsidRPr="009F1B70">
        <w:rPr>
          <w:rFonts w:eastAsia="Calibri" w:cs="Calibri"/>
          <w:color w:val="000000"/>
          <w:lang w:eastAsia="it-IT"/>
        </w:rPr>
        <w:t xml:space="preserve">è stato valutato dalla </w:t>
      </w:r>
      <w:r w:rsidR="00C47CDF">
        <w:rPr>
          <w:rFonts w:eastAsia="Calibri" w:cs="Calibri"/>
          <w:color w:val="000000"/>
          <w:lang w:eastAsia="it-IT"/>
        </w:rPr>
        <w:t>Commissione Tecnico Scientifica</w:t>
      </w:r>
      <w:r w:rsidRPr="009F1B70">
        <w:rPr>
          <w:rFonts w:eastAsia="Calibri" w:cs="Calibri"/>
          <w:color w:val="000000"/>
          <w:lang w:eastAsia="it-IT"/>
        </w:rPr>
        <w:t xml:space="preserve"> (C</w:t>
      </w:r>
      <w:r w:rsidR="00C47CDF">
        <w:rPr>
          <w:rFonts w:eastAsia="Calibri" w:cs="Calibri"/>
          <w:color w:val="000000"/>
          <w:lang w:eastAsia="it-IT"/>
        </w:rPr>
        <w:t>TS</w:t>
      </w:r>
      <w:r w:rsidRPr="009F1B70">
        <w:rPr>
          <w:rFonts w:eastAsia="Calibri" w:cs="Calibri"/>
          <w:color w:val="000000"/>
          <w:lang w:eastAsia="it-IT"/>
        </w:rPr>
        <w:t xml:space="preserve">) </w:t>
      </w:r>
      <w:r w:rsidR="00247206">
        <w:rPr>
          <w:rFonts w:eastAsia="Calibri" w:cs="Calibri"/>
          <w:color w:val="000000"/>
          <w:lang w:eastAsia="it-IT"/>
        </w:rPr>
        <w:t>e le sue condizioni di impiego</w:t>
      </w:r>
      <w:r w:rsidRPr="009F1B70">
        <w:rPr>
          <w:rFonts w:eastAsia="Calibri" w:cs="Calibri"/>
          <w:color w:val="000000"/>
          <w:lang w:eastAsia="it-IT"/>
        </w:rPr>
        <w:t xml:space="preserve">. Non intende fornire consigli pratici su come utilizzare </w:t>
      </w:r>
      <w:r w:rsidR="00265228">
        <w:rPr>
          <w:rFonts w:eastAsia="Calibri" w:cs="Calibri"/>
          <w:color w:val="000000"/>
          <w:lang w:eastAsia="it-IT"/>
        </w:rPr>
        <w:t>Carreflor</w:t>
      </w:r>
      <w:r w:rsidRPr="009F1B70">
        <w:rPr>
          <w:rFonts w:eastAsia="Calibri" w:cs="Calibri"/>
          <w:bCs/>
          <w:color w:val="000000"/>
          <w:lang w:eastAsia="it-IT"/>
        </w:rPr>
        <w:t>.</w:t>
      </w: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051F8C">
        <w:rPr>
          <w:rFonts w:eastAsia="Calibri" w:cs="Calibri"/>
          <w:color w:val="000000"/>
          <w:lang w:eastAsia="it-IT"/>
        </w:rPr>
        <w:t>Per informazioni pratiche sull'utilizzo di</w:t>
      </w:r>
      <w:r w:rsidR="00AD5240">
        <w:rPr>
          <w:rFonts w:eastAsia="Calibri" w:cs="Calibri"/>
          <w:color w:val="000000"/>
          <w:lang w:eastAsia="it-IT"/>
        </w:rPr>
        <w:t xml:space="preserve">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AD5240">
        <w:rPr>
          <w:rFonts w:eastAsia="Calibri" w:cs="Calibri"/>
          <w:color w:val="000000"/>
          <w:lang w:eastAsia="it-IT"/>
        </w:rPr>
        <w:t xml:space="preserve"> </w:t>
      </w:r>
      <w:r w:rsidRPr="00051F8C">
        <w:rPr>
          <w:rFonts w:eastAsia="Calibri" w:cs="Calibri"/>
          <w:color w:val="000000"/>
          <w:lang w:eastAsia="it-IT"/>
        </w:rPr>
        <w:t xml:space="preserve">i pazienti devono consultare il foglio illustrativo o contattare il loro medico o </w:t>
      </w:r>
      <w:r w:rsidR="009B03DB" w:rsidRPr="00051F8C">
        <w:rPr>
          <w:rFonts w:eastAsia="Calibri" w:cs="Calibri"/>
          <w:color w:val="000000"/>
          <w:lang w:eastAsia="it-IT"/>
        </w:rPr>
        <w:t xml:space="preserve">il </w:t>
      </w:r>
      <w:r w:rsidRPr="00051F8C">
        <w:rPr>
          <w:rFonts w:eastAsia="Calibri" w:cs="Calibri"/>
          <w:color w:val="000000"/>
          <w:lang w:eastAsia="it-IT"/>
        </w:rPr>
        <w:t xml:space="preserve">farmacista. </w:t>
      </w: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354BAE">
        <w:rPr>
          <w:rFonts w:eastAsia="Calibri" w:cs="Calibri"/>
          <w:b/>
          <w:bCs/>
          <w:lang w:eastAsia="it-IT"/>
        </w:rPr>
        <w:t xml:space="preserve">1) CHE COS’È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136B0D">
        <w:rPr>
          <w:rFonts w:eastAsia="Calibri" w:cs="Calibri"/>
          <w:b/>
          <w:color w:val="000000"/>
          <w:lang w:eastAsia="it-IT"/>
        </w:rPr>
        <w:t xml:space="preserve"> </w:t>
      </w:r>
      <w:r w:rsidRPr="00354BAE">
        <w:rPr>
          <w:rFonts w:eastAsia="Calibri" w:cs="Calibri"/>
          <w:b/>
          <w:bCs/>
          <w:lang w:eastAsia="it-IT"/>
        </w:rPr>
        <w:t xml:space="preserve">e </w:t>
      </w:r>
      <w:r w:rsidR="00136B0D" w:rsidRPr="00354BAE">
        <w:rPr>
          <w:rFonts w:eastAsia="Calibri" w:cs="Calibri"/>
          <w:b/>
          <w:bCs/>
          <w:lang w:eastAsia="it-IT"/>
        </w:rPr>
        <w:t>A COSA SERVE</w:t>
      </w:r>
      <w:r w:rsidRPr="00354BAE">
        <w:rPr>
          <w:rFonts w:eastAsia="Calibri" w:cs="Calibri"/>
          <w:b/>
          <w:bCs/>
          <w:lang w:eastAsia="it-IT"/>
        </w:rPr>
        <w:t xml:space="preserve">? </w:t>
      </w:r>
    </w:p>
    <w:p w:rsidR="00136B0D" w:rsidRDefault="00265228" w:rsidP="00136B0D">
      <w:pPr>
        <w:pStyle w:val="Paragrafoelenco"/>
        <w:tabs>
          <w:tab w:val="left" w:pos="0"/>
        </w:tabs>
        <w:spacing w:after="0" w:line="240" w:lineRule="auto"/>
        <w:ind w:left="0"/>
        <w:jc w:val="both"/>
        <w:rPr>
          <w:bCs/>
        </w:rPr>
      </w:pPr>
      <w:r>
        <w:rPr>
          <w:rFonts w:eastAsia="Calibri" w:cs="Calibri"/>
          <w:color w:val="000000"/>
          <w:lang w:eastAsia="it-IT"/>
        </w:rPr>
        <w:t>Carreflor</w:t>
      </w:r>
      <w:r w:rsidR="00AD5240">
        <w:rPr>
          <w:rFonts w:eastAsia="Calibri" w:cs="Calibri"/>
          <w:color w:val="000000"/>
          <w:lang w:eastAsia="it-IT"/>
        </w:rPr>
        <w:t xml:space="preserve"> </w:t>
      </w:r>
      <w:r w:rsidR="004241AC" w:rsidRPr="00354BAE">
        <w:rPr>
          <w:rFonts w:eastAsia="Calibri" w:cs="Calibri"/>
          <w:lang w:eastAsia="it-IT"/>
        </w:rPr>
        <w:t xml:space="preserve">è un medicinale contenente </w:t>
      </w:r>
      <w:r w:rsidR="00062636" w:rsidRPr="00354BAE">
        <w:rPr>
          <w:rFonts w:eastAsia="Calibri" w:cs="Calibri"/>
          <w:lang w:eastAsia="it-IT"/>
        </w:rPr>
        <w:t>i</w:t>
      </w:r>
      <w:r w:rsidR="00E83F8D" w:rsidRPr="00354BAE">
        <w:rPr>
          <w:rFonts w:eastAsia="Calibri" w:cs="Calibri"/>
          <w:lang w:eastAsia="it-IT"/>
        </w:rPr>
        <w:t>l</w:t>
      </w:r>
      <w:r w:rsidR="004241AC" w:rsidRPr="00354BAE">
        <w:rPr>
          <w:rFonts w:eastAsia="Calibri" w:cs="Calibri"/>
          <w:lang w:eastAsia="it-IT"/>
        </w:rPr>
        <w:t xml:space="preserve"> principi</w:t>
      </w:r>
      <w:r w:rsidR="00E83F8D" w:rsidRPr="00354BAE">
        <w:rPr>
          <w:rFonts w:eastAsia="Calibri" w:cs="Calibri"/>
          <w:lang w:eastAsia="it-IT"/>
        </w:rPr>
        <w:t>o</w:t>
      </w:r>
      <w:r w:rsidR="004241AC" w:rsidRPr="00354BAE">
        <w:rPr>
          <w:rFonts w:eastAsia="Calibri" w:cs="Calibri"/>
          <w:lang w:eastAsia="it-IT"/>
        </w:rPr>
        <w:t xml:space="preserve"> attiv</w:t>
      </w:r>
      <w:r w:rsidR="00E83F8D" w:rsidRPr="00354BAE">
        <w:rPr>
          <w:rFonts w:eastAsia="Calibri" w:cs="Calibri"/>
          <w:lang w:eastAsia="it-IT"/>
        </w:rPr>
        <w:t>o</w:t>
      </w:r>
      <w:r w:rsidR="00DC0EFF">
        <w:rPr>
          <w:rFonts w:eastAsia="Calibri" w:cs="Calibri"/>
          <w:lang w:eastAsia="it-IT"/>
        </w:rPr>
        <w:t xml:space="preserve"> </w:t>
      </w:r>
      <w:r w:rsidR="00970177">
        <w:rPr>
          <w:rFonts w:eastAsia="Calibri" w:cs="Calibri"/>
          <w:lang w:eastAsia="it-IT"/>
        </w:rPr>
        <w:t>levocarnitina</w:t>
      </w:r>
      <w:r w:rsidR="0083156C">
        <w:rPr>
          <w:rFonts w:eastAsia="Calibri" w:cs="Calibri"/>
          <w:lang w:eastAsia="it-IT"/>
        </w:rPr>
        <w:t xml:space="preserve"> </w:t>
      </w:r>
      <w:r w:rsidR="00970177">
        <w:rPr>
          <w:bCs/>
        </w:rPr>
        <w:t xml:space="preserve">(L-carnitina) </w:t>
      </w:r>
      <w:r w:rsidR="00136B0D">
        <w:rPr>
          <w:bCs/>
        </w:rPr>
        <w:t>ed</w:t>
      </w:r>
      <w:r w:rsidR="00251DAB">
        <w:rPr>
          <w:bCs/>
        </w:rPr>
        <w:t xml:space="preserve"> è disponibile </w:t>
      </w:r>
      <w:r w:rsidR="00136B0D">
        <w:rPr>
          <w:bCs/>
        </w:rPr>
        <w:t xml:space="preserve">come </w:t>
      </w:r>
      <w:r w:rsidR="00251DAB">
        <w:rPr>
          <w:bCs/>
        </w:rPr>
        <w:t xml:space="preserve">soluzione orale </w:t>
      </w:r>
      <w:r w:rsidR="00136B0D">
        <w:rPr>
          <w:bCs/>
        </w:rPr>
        <w:t xml:space="preserve">contenente il principio attivo alla concentrazione di </w:t>
      </w:r>
      <w:r w:rsidR="00251DAB" w:rsidRPr="00251DAB">
        <w:rPr>
          <w:bCs/>
        </w:rPr>
        <w:t xml:space="preserve">1 g/10 </w:t>
      </w:r>
      <w:r w:rsidR="00136B0D" w:rsidRPr="00251DAB">
        <w:rPr>
          <w:bCs/>
        </w:rPr>
        <w:t>m</w:t>
      </w:r>
      <w:r w:rsidR="00136B0D">
        <w:rPr>
          <w:bCs/>
        </w:rPr>
        <w:t xml:space="preserve">l e </w:t>
      </w:r>
      <w:r w:rsidR="00251DAB">
        <w:rPr>
          <w:bCs/>
        </w:rPr>
        <w:t>2</w:t>
      </w:r>
      <w:r w:rsidR="00251DAB" w:rsidRPr="00251DAB">
        <w:rPr>
          <w:bCs/>
        </w:rPr>
        <w:t xml:space="preserve"> g/10 </w:t>
      </w:r>
      <w:r w:rsidR="00136B0D" w:rsidRPr="00251DAB">
        <w:rPr>
          <w:bCs/>
        </w:rPr>
        <w:t>m</w:t>
      </w:r>
      <w:r w:rsidR="00136B0D">
        <w:rPr>
          <w:bCs/>
        </w:rPr>
        <w:t>l</w:t>
      </w:r>
      <w:r w:rsidR="00251DAB">
        <w:rPr>
          <w:bCs/>
        </w:rPr>
        <w:t xml:space="preserve">, </w:t>
      </w:r>
      <w:r w:rsidR="00136B0D">
        <w:rPr>
          <w:bCs/>
        </w:rPr>
        <w:t xml:space="preserve">come </w:t>
      </w:r>
      <w:r w:rsidR="00B573E3">
        <w:rPr>
          <w:bCs/>
        </w:rPr>
        <w:t xml:space="preserve">soluzione iniettabile per uso endovenoso </w:t>
      </w:r>
      <w:r w:rsidR="00136B0D">
        <w:rPr>
          <w:bCs/>
        </w:rPr>
        <w:t xml:space="preserve">contenente il principio attivo alla </w:t>
      </w:r>
      <w:r w:rsidR="00B573E3">
        <w:rPr>
          <w:bCs/>
        </w:rPr>
        <w:t xml:space="preserve"> concentrazione </w:t>
      </w:r>
      <w:r w:rsidR="00136B0D">
        <w:rPr>
          <w:bCs/>
        </w:rPr>
        <w:t xml:space="preserve">di </w:t>
      </w:r>
      <w:r w:rsidR="00B573E3" w:rsidRPr="00251DAB">
        <w:rPr>
          <w:bCs/>
        </w:rPr>
        <w:t xml:space="preserve">1 g/5 </w:t>
      </w:r>
      <w:r w:rsidR="00136B0D" w:rsidRPr="00251DAB">
        <w:rPr>
          <w:bCs/>
        </w:rPr>
        <w:t>m</w:t>
      </w:r>
      <w:r w:rsidR="00136B0D">
        <w:rPr>
          <w:bCs/>
        </w:rPr>
        <w:t xml:space="preserve">l </w:t>
      </w:r>
      <w:r w:rsidR="00B573E3">
        <w:rPr>
          <w:bCs/>
        </w:rPr>
        <w:t>e 2</w:t>
      </w:r>
      <w:r w:rsidR="00B573E3" w:rsidRPr="00251DAB">
        <w:rPr>
          <w:bCs/>
        </w:rPr>
        <w:t xml:space="preserve"> g/5 </w:t>
      </w:r>
      <w:r w:rsidR="00136B0D" w:rsidRPr="00251DAB">
        <w:rPr>
          <w:bCs/>
        </w:rPr>
        <w:t>m</w:t>
      </w:r>
      <w:r w:rsidR="00136B0D">
        <w:rPr>
          <w:bCs/>
        </w:rPr>
        <w:t>l.</w:t>
      </w:r>
    </w:p>
    <w:p w:rsidR="00C276A1" w:rsidRDefault="00265228" w:rsidP="00136B0D">
      <w:pPr>
        <w:pStyle w:val="Paragrafoelenco"/>
        <w:tabs>
          <w:tab w:val="left" w:pos="0"/>
        </w:tabs>
        <w:spacing w:after="0" w:line="240" w:lineRule="auto"/>
        <w:ind w:left="0"/>
        <w:jc w:val="both"/>
        <w:rPr>
          <w:bCs/>
        </w:rPr>
      </w:pPr>
      <w:r>
        <w:rPr>
          <w:rFonts w:eastAsia="Calibri" w:cs="Calibri"/>
          <w:color w:val="000000"/>
          <w:lang w:eastAsia="it-IT"/>
        </w:rPr>
        <w:t>Carreflor</w:t>
      </w:r>
      <w:r w:rsidR="00C276A1">
        <w:rPr>
          <w:bCs/>
        </w:rPr>
        <w:t xml:space="preserve"> è un</w:t>
      </w:r>
      <w:r w:rsidR="00C276A1" w:rsidRPr="00C276A1">
        <w:rPr>
          <w:rFonts w:eastAsia="Calibri" w:cs="Calibri"/>
          <w:color w:val="000000"/>
          <w:lang w:eastAsia="it-IT"/>
        </w:rPr>
        <w:t xml:space="preserve"> </w:t>
      </w:r>
      <w:r w:rsidR="00C276A1" w:rsidRPr="007C11D5">
        <w:rPr>
          <w:rFonts w:eastAsia="Calibri" w:cs="Calibri"/>
          <w:color w:val="000000"/>
          <w:lang w:eastAsia="it-IT"/>
        </w:rPr>
        <w:t xml:space="preserve">“medicinale generico”, cioè è analogo ad un “medicinale di riferimento”, già autorizzato in Italia, </w:t>
      </w:r>
      <w:r w:rsidR="00C276A1">
        <w:rPr>
          <w:rFonts w:eastAsia="Calibri" w:cs="Calibri"/>
          <w:color w:val="000000"/>
          <w:lang w:eastAsia="it-IT"/>
        </w:rPr>
        <w:t>Carnitene.</w:t>
      </w:r>
    </w:p>
    <w:p w:rsidR="00970177" w:rsidRDefault="00265228" w:rsidP="00136B0D">
      <w:pPr>
        <w:pStyle w:val="Paragrafoelenco"/>
        <w:tabs>
          <w:tab w:val="left" w:pos="0"/>
        </w:tabs>
        <w:spacing w:after="0" w:line="240" w:lineRule="auto"/>
        <w:ind w:left="0"/>
        <w:jc w:val="both"/>
        <w:rPr>
          <w:bCs/>
        </w:rPr>
      </w:pPr>
      <w:r>
        <w:rPr>
          <w:rFonts w:eastAsia="Calibri" w:cs="Calibri"/>
          <w:color w:val="000000"/>
          <w:lang w:eastAsia="it-IT"/>
        </w:rPr>
        <w:t>Carreflor</w:t>
      </w:r>
      <w:r w:rsidR="00970177">
        <w:rPr>
          <w:bCs/>
        </w:rPr>
        <w:t xml:space="preserve"> è utilizzat</w:t>
      </w:r>
      <w:r w:rsidR="00251DAB">
        <w:rPr>
          <w:bCs/>
        </w:rPr>
        <w:t>o</w:t>
      </w:r>
      <w:r w:rsidR="00970177">
        <w:rPr>
          <w:bCs/>
        </w:rPr>
        <w:t xml:space="preserve"> per il trattamento delle deficienze primarie e secondarie di carnitina.</w:t>
      </w:r>
    </w:p>
    <w:p w:rsidR="00354BAE" w:rsidRDefault="00354BAE" w:rsidP="00136B0D">
      <w:pPr>
        <w:widowControl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136B0D" w:rsidRDefault="00136B0D" w:rsidP="00136B0D">
      <w:pPr>
        <w:widowControl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D85E7D">
        <w:rPr>
          <w:rFonts w:eastAsia="Calibri" w:cs="Calibri"/>
          <w:b/>
          <w:bCs/>
          <w:lang w:eastAsia="it-IT"/>
        </w:rPr>
        <w:t xml:space="preserve">2) COME E’ PRESCRITTO/USATO </w:t>
      </w:r>
      <w:r w:rsidR="00265228">
        <w:rPr>
          <w:rFonts w:eastAsia="Calibri" w:cs="Calibri"/>
          <w:color w:val="000000"/>
          <w:lang w:eastAsia="it-IT"/>
        </w:rPr>
        <w:t>Carreflor</w:t>
      </w:r>
      <w:r w:rsidRPr="00D85E7D">
        <w:rPr>
          <w:rFonts w:eastAsia="Calibri" w:cs="Calibri"/>
          <w:b/>
          <w:bCs/>
          <w:lang w:eastAsia="it-IT"/>
        </w:rPr>
        <w:t>?</w:t>
      </w:r>
    </w:p>
    <w:p w:rsidR="004E5DDB" w:rsidRDefault="004241AC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D85E7D">
        <w:rPr>
          <w:rFonts w:eastAsia="Calibri" w:cs="Calibri"/>
          <w:lang w:eastAsia="it-IT"/>
        </w:rPr>
        <w:t>Il medicinale può essere ottenuto solo dietro prescrizione da parte del medico (ricetta ripetibile)</w:t>
      </w:r>
      <w:r w:rsidR="00315BF6">
        <w:rPr>
          <w:rFonts w:eastAsia="Calibri" w:cs="Calibri"/>
          <w:lang w:eastAsia="it-IT"/>
        </w:rPr>
        <w:t>,</w:t>
      </w:r>
      <w:r w:rsidR="00315BF6" w:rsidRPr="00315BF6">
        <w:rPr>
          <w:rFonts w:eastAsia="Calibri" w:cs="Calibri"/>
          <w:lang w:eastAsia="it-IT"/>
        </w:rPr>
        <w:t xml:space="preserve"> </w:t>
      </w:r>
      <w:r w:rsidR="00315BF6">
        <w:rPr>
          <w:rFonts w:eastAsia="Calibri" w:cs="Calibri"/>
          <w:lang w:eastAsia="it-IT"/>
        </w:rPr>
        <w:t xml:space="preserve">eccetto per la confezione </w:t>
      </w:r>
      <w:r w:rsidR="00315BF6">
        <w:rPr>
          <w:bCs/>
        </w:rPr>
        <w:t xml:space="preserve">in soluzione orale </w:t>
      </w:r>
      <w:r w:rsidR="00136B0D">
        <w:rPr>
          <w:bCs/>
        </w:rPr>
        <w:t xml:space="preserve">alla concentrazione di </w:t>
      </w:r>
      <w:r w:rsidR="00315BF6" w:rsidRPr="00251DAB">
        <w:rPr>
          <w:bCs/>
        </w:rPr>
        <w:t xml:space="preserve">1 g/10 </w:t>
      </w:r>
      <w:r w:rsidR="00136B0D" w:rsidRPr="00251DAB">
        <w:rPr>
          <w:bCs/>
        </w:rPr>
        <w:t>m</w:t>
      </w:r>
      <w:r w:rsidR="00136B0D">
        <w:rPr>
          <w:bCs/>
        </w:rPr>
        <w:t>l</w:t>
      </w:r>
      <w:r w:rsidR="00136B0D">
        <w:rPr>
          <w:rFonts w:eastAsia="Calibri" w:cs="Calibri"/>
          <w:lang w:eastAsia="it-IT"/>
        </w:rPr>
        <w:t xml:space="preserve">  </w:t>
      </w:r>
      <w:r w:rsidR="00315BF6">
        <w:rPr>
          <w:rFonts w:eastAsia="Calibri" w:cs="Calibri"/>
          <w:color w:val="000000"/>
        </w:rPr>
        <w:t xml:space="preserve">che </w:t>
      </w:r>
      <w:r w:rsidR="00F03AC4">
        <w:rPr>
          <w:rFonts w:eastAsia="Calibri" w:cs="Calibri"/>
          <w:color w:val="000000"/>
        </w:rPr>
        <w:t>è disponibile</w:t>
      </w:r>
      <w:r w:rsidR="00315BF6" w:rsidRPr="0055287A">
        <w:rPr>
          <w:rFonts w:eastAsia="Calibri" w:cs="Calibri"/>
          <w:color w:val="000000"/>
        </w:rPr>
        <w:t xml:space="preserve"> senza obbligo di prescrizione medica (SOP).</w:t>
      </w:r>
    </w:p>
    <w:p w:rsidR="00136B0D" w:rsidRPr="00F4314F" w:rsidRDefault="00136B0D" w:rsidP="00136B0D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>Per l</w:t>
      </w:r>
      <w:r w:rsidRPr="00F4314F">
        <w:rPr>
          <w:rFonts w:eastAsia="Calibri" w:cs="Calibri"/>
          <w:lang w:eastAsia="it-IT"/>
        </w:rPr>
        <w:t xml:space="preserve">a </w:t>
      </w:r>
      <w:r>
        <w:rPr>
          <w:rFonts w:eastAsia="Calibri" w:cs="Calibri"/>
          <w:lang w:eastAsia="it-IT"/>
        </w:rPr>
        <w:t>s</w:t>
      </w:r>
      <w:r w:rsidRPr="00F4314F">
        <w:rPr>
          <w:rFonts w:eastAsia="Calibri" w:cs="Calibri"/>
          <w:lang w:eastAsia="it-IT"/>
        </w:rPr>
        <w:t>oluzione orale</w:t>
      </w:r>
      <w:r>
        <w:rPr>
          <w:rFonts w:eastAsia="Calibri" w:cs="Calibri"/>
          <w:lang w:eastAsia="it-IT"/>
        </w:rPr>
        <w:t>,  quando utilizzata</w:t>
      </w:r>
      <w:r w:rsidRPr="00F4314F">
        <w:rPr>
          <w:rFonts w:eastAsia="Calibri" w:cs="Calibri"/>
          <w:lang w:eastAsia="it-IT"/>
        </w:rPr>
        <w:t xml:space="preserve"> per le  deficienze primarie e deficienze secondarie a malattie genetiche</w:t>
      </w:r>
      <w:r>
        <w:rPr>
          <w:rFonts w:eastAsia="Calibri" w:cs="Calibri"/>
          <w:lang w:eastAsia="it-IT"/>
        </w:rPr>
        <w:t>, l</w:t>
      </w:r>
      <w:r w:rsidRPr="00F4314F">
        <w:rPr>
          <w:rFonts w:eastAsia="Calibri" w:cs="Calibri"/>
          <w:lang w:eastAsia="it-IT"/>
        </w:rPr>
        <w:t>a dose giornaliera è</w:t>
      </w:r>
      <w:r>
        <w:rPr>
          <w:rFonts w:eastAsia="Calibri" w:cs="Calibri"/>
          <w:lang w:eastAsia="it-IT"/>
        </w:rPr>
        <w:t xml:space="preserve"> stabilita dal medico</w:t>
      </w:r>
      <w:r w:rsidRPr="00F4314F">
        <w:rPr>
          <w:rFonts w:eastAsia="Calibri" w:cs="Calibri"/>
          <w:lang w:eastAsia="it-IT"/>
        </w:rPr>
        <w:t xml:space="preserve"> in funzione dell'età e del peso: </w:t>
      </w:r>
      <w:r>
        <w:rPr>
          <w:rFonts w:eastAsia="Calibri" w:cs="Calibri"/>
          <w:lang w:eastAsia="it-IT"/>
        </w:rPr>
        <w:t xml:space="preserve">nei bambini fino a 12 anni la dose varia generalmente da </w:t>
      </w:r>
      <w:r w:rsidRPr="00F4314F">
        <w:rPr>
          <w:rFonts w:eastAsia="Calibri" w:cs="Calibri"/>
          <w:lang w:eastAsia="it-IT"/>
        </w:rPr>
        <w:t>150 mg</w:t>
      </w:r>
      <w:r>
        <w:rPr>
          <w:rFonts w:eastAsia="Calibri" w:cs="Calibri"/>
          <w:lang w:eastAsia="it-IT"/>
        </w:rPr>
        <w:t xml:space="preserve"> </w:t>
      </w:r>
      <w:r w:rsidRPr="00F4314F">
        <w:rPr>
          <w:rFonts w:eastAsia="Calibri" w:cs="Calibri"/>
          <w:lang w:eastAsia="it-IT"/>
        </w:rPr>
        <w:t>per kg di peso corporeo</w:t>
      </w:r>
      <w:r>
        <w:rPr>
          <w:rFonts w:eastAsia="Calibri" w:cs="Calibri"/>
          <w:lang w:eastAsia="it-IT"/>
        </w:rPr>
        <w:t xml:space="preserve"> a</w:t>
      </w:r>
      <w:r w:rsidRPr="00F4314F">
        <w:rPr>
          <w:rFonts w:eastAsia="Calibri" w:cs="Calibri"/>
          <w:lang w:eastAsia="it-IT"/>
        </w:rPr>
        <w:t xml:space="preserve"> 75 mg per kg; </w:t>
      </w:r>
      <w:r>
        <w:rPr>
          <w:rFonts w:eastAsia="Calibri" w:cs="Calibri"/>
          <w:lang w:eastAsia="it-IT"/>
        </w:rPr>
        <w:t>per gli adolescenti (età compresa tra 12 e 18 anni) e gli adulti la dose varia generalmente da</w:t>
      </w:r>
      <w:r w:rsidRPr="00F4314F">
        <w:rPr>
          <w:rFonts w:eastAsia="Calibri" w:cs="Calibri"/>
          <w:lang w:eastAsia="it-IT"/>
        </w:rPr>
        <w:t xml:space="preserve"> 2 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4 grammi secondo la gravità della patologia.</w:t>
      </w:r>
    </w:p>
    <w:p w:rsidR="00136B0D" w:rsidRPr="00F4314F" w:rsidRDefault="00136B0D" w:rsidP="00136B0D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>Quando utilizzata nel trattamento delle d</w:t>
      </w:r>
      <w:r w:rsidRPr="00F4314F">
        <w:rPr>
          <w:rFonts w:eastAsia="Calibri" w:cs="Calibri"/>
          <w:lang w:eastAsia="it-IT"/>
        </w:rPr>
        <w:t>eficienze secondarie ad emodialisi</w:t>
      </w:r>
      <w:r>
        <w:rPr>
          <w:rFonts w:eastAsia="Calibri" w:cs="Calibri"/>
          <w:lang w:eastAsia="it-IT"/>
        </w:rPr>
        <w:t xml:space="preserve">, la dose giornaliera varia da </w:t>
      </w:r>
      <w:r w:rsidRPr="00F4314F">
        <w:rPr>
          <w:rFonts w:eastAsia="Calibri" w:cs="Calibri"/>
          <w:lang w:eastAsia="it-IT"/>
        </w:rPr>
        <w:t xml:space="preserve">2 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4 grammi.</w:t>
      </w:r>
    </w:p>
    <w:p w:rsidR="00136B0D" w:rsidRPr="00F4314F" w:rsidRDefault="00136B0D" w:rsidP="00136B0D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F4314F">
        <w:rPr>
          <w:rFonts w:eastAsia="Calibri" w:cs="Calibri"/>
          <w:lang w:eastAsia="it-IT"/>
        </w:rPr>
        <w:lastRenderedPageBreak/>
        <w:t>L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soluzioni oral</w:t>
      </w:r>
      <w:r>
        <w:rPr>
          <w:rFonts w:eastAsia="Calibri" w:cs="Calibri"/>
          <w:lang w:eastAsia="it-IT"/>
        </w:rPr>
        <w:t>e</w:t>
      </w:r>
      <w:r w:rsidRPr="00F4314F">
        <w:rPr>
          <w:rFonts w:eastAsia="Calibri" w:cs="Calibri"/>
          <w:lang w:eastAsia="it-IT"/>
        </w:rPr>
        <w:t xml:space="preserve"> va assunt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</w:t>
      </w:r>
      <w:r>
        <w:rPr>
          <w:rFonts w:eastAsia="Calibri" w:cs="Calibri"/>
          <w:lang w:eastAsia="it-IT"/>
        </w:rPr>
        <w:t>dopo averla diluita</w:t>
      </w:r>
      <w:r w:rsidRPr="00F4314F">
        <w:rPr>
          <w:rFonts w:eastAsia="Calibri" w:cs="Calibri"/>
          <w:lang w:eastAsia="it-IT"/>
        </w:rPr>
        <w:t xml:space="preserve"> in un bicchiere d’acqua.</w:t>
      </w:r>
    </w:p>
    <w:p w:rsidR="00136B0D" w:rsidRPr="00F4314F" w:rsidRDefault="00136B0D" w:rsidP="00136B0D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F4314F">
        <w:rPr>
          <w:rFonts w:eastAsia="Calibri" w:cs="Calibri"/>
          <w:lang w:eastAsia="it-IT"/>
        </w:rPr>
        <w:t>L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</w:t>
      </w:r>
      <w:r>
        <w:rPr>
          <w:rFonts w:eastAsia="Calibri" w:cs="Calibri"/>
          <w:lang w:eastAsia="it-IT"/>
        </w:rPr>
        <w:t>s</w:t>
      </w:r>
      <w:r w:rsidRPr="00F4314F">
        <w:rPr>
          <w:rFonts w:eastAsia="Calibri" w:cs="Calibri"/>
          <w:lang w:eastAsia="it-IT"/>
        </w:rPr>
        <w:t>oluzione i</w:t>
      </w:r>
      <w:r>
        <w:rPr>
          <w:rFonts w:eastAsia="Calibri" w:cs="Calibri"/>
          <w:lang w:eastAsia="it-IT"/>
        </w:rPr>
        <w:t>niettabile per uso endovenoso, utilizzate per le d</w:t>
      </w:r>
      <w:r w:rsidRPr="00F4314F">
        <w:rPr>
          <w:rFonts w:eastAsia="Calibri" w:cs="Calibri"/>
          <w:lang w:eastAsia="it-IT"/>
        </w:rPr>
        <w:t>eficienze secondarie ad emodialisi</w:t>
      </w:r>
      <w:r>
        <w:rPr>
          <w:rFonts w:eastAsia="Calibri" w:cs="Calibri"/>
          <w:lang w:eastAsia="it-IT"/>
        </w:rPr>
        <w:t xml:space="preserve">, la dose generalmente varia da di </w:t>
      </w:r>
      <w:r w:rsidRPr="00F4314F">
        <w:rPr>
          <w:rFonts w:eastAsia="Calibri" w:cs="Calibri"/>
          <w:lang w:eastAsia="it-IT"/>
        </w:rPr>
        <w:t>2</w:t>
      </w:r>
      <w:r>
        <w:rPr>
          <w:rFonts w:eastAsia="Calibri" w:cs="Calibri"/>
          <w:lang w:eastAsia="it-IT"/>
        </w:rPr>
        <w:t xml:space="preserve"> a 2,5</w:t>
      </w:r>
      <w:r w:rsidRPr="00F4314F">
        <w:rPr>
          <w:rFonts w:eastAsia="Calibri" w:cs="Calibri"/>
          <w:lang w:eastAsia="it-IT"/>
        </w:rPr>
        <w:t xml:space="preserve"> grammi</w:t>
      </w:r>
      <w:r>
        <w:rPr>
          <w:rFonts w:eastAsia="Calibri" w:cs="Calibri"/>
          <w:lang w:eastAsia="it-IT"/>
        </w:rPr>
        <w:t xml:space="preserve">, a seconda dell’età dialitica del paziente, somministrati </w:t>
      </w:r>
      <w:r w:rsidRPr="00F4314F">
        <w:rPr>
          <w:rFonts w:eastAsia="Calibri" w:cs="Calibri"/>
          <w:lang w:eastAsia="it-IT"/>
        </w:rPr>
        <w:t>al termine della seduta dialitica.</w:t>
      </w:r>
    </w:p>
    <w:p w:rsidR="00136B0D" w:rsidRPr="00F4314F" w:rsidRDefault="00136B0D" w:rsidP="00136B0D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F4314F">
        <w:rPr>
          <w:rFonts w:eastAsia="Calibri" w:cs="Calibri"/>
          <w:lang w:eastAsia="it-IT"/>
        </w:rPr>
        <w:t>La somministrazione endovenosa va eseguita lentamente (2-3 minuti).</w:t>
      </w:r>
    </w:p>
    <w:p w:rsidR="004E5DDB" w:rsidRDefault="004E5DDB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widowControl w:val="0"/>
        <w:spacing w:after="0" w:line="240" w:lineRule="auto"/>
        <w:jc w:val="both"/>
        <w:rPr>
          <w:rFonts w:eastAsia="Calibri" w:cs="Verdana"/>
          <w:color w:val="000000"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BB7DE3">
        <w:rPr>
          <w:rFonts w:eastAsia="Calibri" w:cs="Calibri"/>
          <w:b/>
          <w:bCs/>
          <w:color w:val="000000"/>
          <w:lang w:eastAsia="it-IT"/>
        </w:rPr>
        <w:t xml:space="preserve">3) COME FUNZIONA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  <w:r w:rsidRPr="00BB7DE3">
        <w:rPr>
          <w:rFonts w:eastAsia="Calibri" w:cs="Calibri"/>
          <w:b/>
          <w:bCs/>
          <w:color w:val="000000"/>
          <w:lang w:eastAsia="it-IT"/>
        </w:rPr>
        <w:t xml:space="preserve">? </w:t>
      </w:r>
    </w:p>
    <w:p w:rsidR="00136B0D" w:rsidRPr="000427B9" w:rsidRDefault="00265228" w:rsidP="00136B0D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8B4301" w:rsidRPr="00CA61D6">
        <w:rPr>
          <w:rFonts w:eastAsia="Calibri" w:cs="Calibri"/>
          <w:lang w:eastAsia="it-IT"/>
        </w:rPr>
        <w:t>,</w:t>
      </w:r>
      <w:r w:rsidR="00AC076B" w:rsidRPr="00CA61D6">
        <w:rPr>
          <w:rFonts w:eastAsia="Calibri" w:cs="Calibri"/>
          <w:lang w:eastAsia="it-IT"/>
        </w:rPr>
        <w:t xml:space="preserve"> il cui codice ATC è</w:t>
      </w:r>
      <w:r w:rsidR="00361A14">
        <w:rPr>
          <w:rFonts w:eastAsia="Calibri" w:cs="Calibri"/>
          <w:lang w:eastAsia="it-IT"/>
        </w:rPr>
        <w:t xml:space="preserve"> </w:t>
      </w:r>
      <w:r w:rsidR="00B573E3" w:rsidRPr="00B573E3">
        <w:rPr>
          <w:rFonts w:eastAsia="Calibri" w:cs="Calibri"/>
          <w:lang w:eastAsia="it-IT"/>
        </w:rPr>
        <w:t>A16AA01</w:t>
      </w:r>
      <w:r w:rsidR="00AC076B" w:rsidRPr="00CA61D6">
        <w:rPr>
          <w:rFonts w:eastAsia="Calibri" w:cs="Calibri"/>
          <w:lang w:eastAsia="it-IT"/>
        </w:rPr>
        <w:t>,</w:t>
      </w:r>
      <w:r w:rsidR="00B573E3">
        <w:rPr>
          <w:rFonts w:eastAsia="Calibri" w:cs="Calibri"/>
          <w:lang w:eastAsia="it-IT"/>
        </w:rPr>
        <w:t xml:space="preserve"> contiene il principio attivo  levocarnitina.</w:t>
      </w:r>
      <w:r w:rsidR="00A06135" w:rsidDel="00A06135">
        <w:rPr>
          <w:rFonts w:eastAsia="Calibri" w:cs="Calibri"/>
          <w:lang w:eastAsia="it-IT"/>
        </w:rPr>
        <w:t xml:space="preserve"> </w:t>
      </w:r>
      <w:r w:rsidR="00136B0D" w:rsidRPr="000427B9">
        <w:t xml:space="preserve">La </w:t>
      </w:r>
      <w:r w:rsidR="00136B0D">
        <w:t>levoc</w:t>
      </w:r>
      <w:r w:rsidR="00136B0D" w:rsidRPr="000427B9">
        <w:t>arnitina</w:t>
      </w:r>
      <w:r w:rsidR="00136B0D">
        <w:t>, che appartiene al gruppo terapeutico degli amminoacidi e derivati,</w:t>
      </w:r>
      <w:r w:rsidR="00136B0D" w:rsidRPr="000427B9">
        <w:t xml:space="preserve"> è un costituente naturale delle cellule nelle quali svolge un ruolo fondamentale nella produzione e nel trasporto dell'energia.</w:t>
      </w:r>
    </w:p>
    <w:p w:rsidR="00136B0D" w:rsidRPr="000427B9" w:rsidRDefault="00136B0D" w:rsidP="00136B0D">
      <w:pPr>
        <w:spacing w:after="0" w:line="240" w:lineRule="auto"/>
        <w:jc w:val="both"/>
      </w:pPr>
      <w:r w:rsidRPr="000427B9">
        <w:t xml:space="preserve">Pertanto la </w:t>
      </w:r>
      <w:r>
        <w:t>c</w:t>
      </w:r>
      <w:r w:rsidRPr="000427B9">
        <w:t xml:space="preserve">arnitina svolge un ruolo essenziale nel </w:t>
      </w:r>
      <w:r>
        <w:t xml:space="preserve">funzionamento di molti organi, tra i quali il cuore che utilizza in modo importante le vie </w:t>
      </w:r>
      <w:r w:rsidRPr="000427B9">
        <w:t>metaboli</w:t>
      </w:r>
      <w:r>
        <w:t>che</w:t>
      </w:r>
      <w:r w:rsidRPr="000427B9">
        <w:t xml:space="preserve"> </w:t>
      </w:r>
      <w:r>
        <w:t xml:space="preserve"> controllate dalla levocarnitina</w:t>
      </w:r>
      <w:r w:rsidRPr="000427B9">
        <w:t>.</w:t>
      </w:r>
    </w:p>
    <w:p w:rsidR="009B03DB" w:rsidRDefault="009B03DB" w:rsidP="00136B0D">
      <w:pPr>
        <w:widowControl w:val="0"/>
        <w:tabs>
          <w:tab w:val="num" w:pos="330"/>
        </w:tabs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E5DDB" w:rsidRDefault="004E5DDB">
      <w:pPr>
        <w:widowControl w:val="0"/>
        <w:tabs>
          <w:tab w:val="num" w:pos="330"/>
        </w:tabs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640FAE">
        <w:rPr>
          <w:rFonts w:eastAsia="Calibri" w:cs="Calibri"/>
          <w:b/>
          <w:bCs/>
          <w:lang w:eastAsia="it-IT"/>
        </w:rPr>
        <w:t xml:space="preserve">4) COME È STATO STUDIATO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  <w:r w:rsidRPr="00640FAE">
        <w:rPr>
          <w:rFonts w:eastAsia="Calibri" w:cs="Calibri"/>
          <w:b/>
          <w:bCs/>
          <w:lang w:eastAsia="it-IT"/>
        </w:rPr>
        <w:t xml:space="preserve">? </w:t>
      </w:r>
    </w:p>
    <w:p w:rsidR="004E5DDB" w:rsidRDefault="000E2128">
      <w:pPr>
        <w:spacing w:after="0" w:line="240" w:lineRule="auto"/>
        <w:jc w:val="both"/>
        <w:rPr>
          <w:rFonts w:ascii="Calibri" w:hAnsi="Calibri" w:cs="Arial"/>
        </w:rPr>
      </w:pPr>
      <w:r w:rsidRPr="00640FAE">
        <w:rPr>
          <w:rFonts w:cs="Arial"/>
        </w:rPr>
        <w:t xml:space="preserve">Poiché </w:t>
      </w:r>
      <w:r w:rsidR="00265228">
        <w:rPr>
          <w:rFonts w:eastAsia="Calibri" w:cs="Calibri"/>
          <w:color w:val="000000"/>
          <w:lang w:eastAsia="it-IT"/>
        </w:rPr>
        <w:t>Carreflor</w:t>
      </w:r>
      <w:r w:rsidRPr="00640FAE">
        <w:rPr>
          <w:rFonts w:cs="Arial"/>
        </w:rPr>
        <w:t xml:space="preserve"> è un medicinale generico</w:t>
      </w:r>
      <w:r w:rsidR="00136B0D">
        <w:rPr>
          <w:rFonts w:cs="Arial"/>
        </w:rPr>
        <w:t xml:space="preserve"> ed è somministrato come</w:t>
      </w:r>
      <w:r w:rsidRPr="00640FAE">
        <w:rPr>
          <w:rFonts w:cs="Arial"/>
        </w:rPr>
        <w:t xml:space="preserve"> soluzione iniettabile</w:t>
      </w:r>
      <w:r>
        <w:rPr>
          <w:rFonts w:cs="Arial"/>
        </w:rPr>
        <w:t xml:space="preserve"> e soluzione orale</w:t>
      </w:r>
      <w:r w:rsidRPr="00640FAE">
        <w:rPr>
          <w:rFonts w:cs="Arial"/>
        </w:rPr>
        <w:t xml:space="preserve"> con la stessa composizione del medicinale di riferimento </w:t>
      </w:r>
      <w:r>
        <w:rPr>
          <w:rFonts w:cs="Arial"/>
        </w:rPr>
        <w:t>Carnitene</w:t>
      </w:r>
      <w:r w:rsidRPr="00640FAE">
        <w:rPr>
          <w:rFonts w:cs="Arial"/>
        </w:rPr>
        <w:t>, non è stato necessario effettuare ulteriori studi clinici.</w:t>
      </w:r>
    </w:p>
    <w:p w:rsidR="004E5DDB" w:rsidRDefault="004E5DDB">
      <w:pPr>
        <w:widowControl w:val="0"/>
        <w:tabs>
          <w:tab w:val="num" w:pos="330"/>
        </w:tabs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widowControl w:val="0"/>
        <w:tabs>
          <w:tab w:val="num" w:pos="330"/>
        </w:tabs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0E21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5) QUAL È IL RAPPORTO BENEFICIO/RISCHIO di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  <w:r w:rsidRPr="009B03DB">
        <w:rPr>
          <w:rFonts w:eastAsia="Calibri" w:cs="Calibri"/>
          <w:b/>
          <w:lang w:eastAsia="it-IT"/>
        </w:rPr>
        <w:t>?</w:t>
      </w:r>
    </w:p>
    <w:p w:rsidR="004E5DDB" w:rsidRDefault="002652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color w:val="000000"/>
          <w:lang w:eastAsia="it-IT"/>
        </w:rPr>
        <w:t>Carreflor</w:t>
      </w:r>
      <w:r w:rsidR="00136B0D">
        <w:rPr>
          <w:rFonts w:eastAsia="Calibri" w:cs="Calibri"/>
          <w:bCs/>
          <w:color w:val="000000"/>
          <w:lang w:eastAsia="it-IT"/>
        </w:rPr>
        <w:t xml:space="preserve"> </w:t>
      </w:r>
      <w:r w:rsidR="000E2128" w:rsidRPr="004241AC">
        <w:rPr>
          <w:rFonts w:eastAsia="Calibri" w:cs="Calibri"/>
          <w:lang w:eastAsia="it-IT"/>
        </w:rPr>
        <w:t xml:space="preserve">è un medicinale </w:t>
      </w:r>
      <w:r w:rsidR="000E2128">
        <w:rPr>
          <w:rFonts w:eastAsia="Calibri" w:cs="Calibri"/>
          <w:lang w:eastAsia="it-IT"/>
        </w:rPr>
        <w:t>generico ed è bioequivalente al medicinale di riferimento; pertanto,</w:t>
      </w:r>
      <w:r w:rsidR="00361A14">
        <w:rPr>
          <w:rFonts w:eastAsia="Calibri" w:cs="Calibri"/>
          <w:lang w:eastAsia="it-IT"/>
        </w:rPr>
        <w:t xml:space="preserve"> </w:t>
      </w:r>
      <w:r w:rsidR="000E2128">
        <w:rPr>
          <w:rFonts w:eastAsia="Calibri" w:cs="Calibri"/>
          <w:lang w:eastAsia="it-IT"/>
        </w:rPr>
        <w:t>i suoi</w:t>
      </w:r>
      <w:r w:rsidR="000E2128" w:rsidRPr="002A3F14">
        <w:rPr>
          <w:rFonts w:eastAsia="Calibri" w:cs="Calibri"/>
          <w:lang w:eastAsia="it-IT"/>
        </w:rPr>
        <w:t xml:space="preserve"> benefici e rischi sono sovrapponibili a quelli de</w:t>
      </w:r>
      <w:r w:rsidR="000E2128">
        <w:rPr>
          <w:rFonts w:eastAsia="Calibri" w:cs="Calibri"/>
          <w:lang w:eastAsia="it-IT"/>
        </w:rPr>
        <w:t>l medicinale</w:t>
      </w:r>
      <w:r w:rsidR="000E2128" w:rsidRPr="002A3F14">
        <w:rPr>
          <w:rFonts w:eastAsia="Calibri" w:cs="Calibri"/>
          <w:lang w:eastAsia="it-IT"/>
        </w:rPr>
        <w:t xml:space="preserve"> di riferimento. </w:t>
      </w: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CA3A1E">
        <w:rPr>
          <w:rFonts w:eastAsia="Calibri" w:cs="Calibri"/>
          <w:b/>
          <w:bCs/>
          <w:lang w:eastAsia="it-IT"/>
        </w:rPr>
        <w:t>6) PERCHE’</w:t>
      </w:r>
      <w:r w:rsidR="00136B0D">
        <w:rPr>
          <w:rFonts w:eastAsia="Calibri" w:cs="Calibri"/>
          <w:b/>
          <w:bCs/>
          <w:lang w:eastAsia="it-IT"/>
        </w:rPr>
        <w:t xml:space="preserve">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  <w:r w:rsidR="00136B0D">
        <w:rPr>
          <w:rFonts w:eastAsia="Calibri" w:cs="Calibri"/>
          <w:b/>
          <w:color w:val="000000"/>
          <w:lang w:eastAsia="it-IT"/>
        </w:rPr>
        <w:t xml:space="preserve"> </w:t>
      </w:r>
      <w:r w:rsidRPr="00CA3A1E">
        <w:rPr>
          <w:rFonts w:eastAsia="Calibri" w:cs="Calibri"/>
          <w:b/>
          <w:bCs/>
          <w:lang w:eastAsia="it-IT"/>
        </w:rPr>
        <w:t xml:space="preserve">E’ STATO APPROVATO? </w:t>
      </w:r>
    </w:p>
    <w:p w:rsidR="004241AC" w:rsidRDefault="004241AC" w:rsidP="00136B0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La Commissione </w:t>
      </w:r>
      <w:r w:rsidR="000E2128">
        <w:rPr>
          <w:rFonts w:eastAsia="Calibri" w:cs="Calibri"/>
          <w:lang w:eastAsia="it-IT"/>
        </w:rPr>
        <w:t>Tecnica Scientifica</w:t>
      </w:r>
      <w:r w:rsidR="00C64244">
        <w:rPr>
          <w:rFonts w:eastAsia="Calibri" w:cs="Calibri"/>
          <w:lang w:eastAsia="it-IT"/>
        </w:rPr>
        <w:t xml:space="preserve"> </w:t>
      </w:r>
      <w:r w:rsidRPr="00640FAE">
        <w:rPr>
          <w:rFonts w:eastAsia="Calibri" w:cs="Calibri"/>
          <w:lang w:eastAsia="it-IT"/>
        </w:rPr>
        <w:t>(C</w:t>
      </w:r>
      <w:r w:rsidR="000E2128">
        <w:rPr>
          <w:rFonts w:eastAsia="Calibri" w:cs="Calibri"/>
          <w:lang w:eastAsia="it-IT"/>
        </w:rPr>
        <w:t>TS</w:t>
      </w:r>
      <w:r w:rsidRPr="00640FAE">
        <w:rPr>
          <w:rFonts w:eastAsia="Calibri" w:cs="Calibri"/>
          <w:lang w:eastAsia="it-IT"/>
        </w:rPr>
        <w:t xml:space="preserve">), </w:t>
      </w:r>
      <w:r w:rsidR="00C64244" w:rsidRPr="00640FAE">
        <w:rPr>
          <w:rFonts w:eastAsia="Calibri" w:cs="Calibri"/>
          <w:lang w:eastAsia="it-IT"/>
        </w:rPr>
        <w:t xml:space="preserve">nella seduta del </w:t>
      </w:r>
      <w:r w:rsidR="00C64244">
        <w:rPr>
          <w:rFonts w:eastAsia="Calibri" w:cs="Calibri"/>
          <w:lang w:eastAsia="it-IT"/>
        </w:rPr>
        <w:t>4-6 maggio</w:t>
      </w:r>
      <w:r w:rsidR="00C64244" w:rsidRPr="00640FAE">
        <w:rPr>
          <w:rFonts w:eastAsia="Calibri" w:cs="Calibri"/>
          <w:lang w:eastAsia="it-IT"/>
        </w:rPr>
        <w:t xml:space="preserve"> 2016,</w:t>
      </w:r>
      <w:r w:rsidR="00C64244">
        <w:rPr>
          <w:rFonts w:eastAsia="Calibri" w:cs="Calibri"/>
          <w:lang w:eastAsia="it-IT"/>
        </w:rPr>
        <w:t xml:space="preserve"> </w:t>
      </w:r>
      <w:r w:rsidRPr="00640FAE">
        <w:rPr>
          <w:rFonts w:eastAsia="Calibri" w:cs="Calibri"/>
          <w:lang w:eastAsia="it-IT"/>
        </w:rPr>
        <w:t>ha concluso che, conformemente ai requisiti della normativa vigente,</w:t>
      </w:r>
      <w:r w:rsidR="00C276A1">
        <w:rPr>
          <w:rFonts w:eastAsia="Calibri" w:cs="Calibri"/>
          <w:lang w:eastAsia="it-IT"/>
        </w:rPr>
        <w:t xml:space="preserve"> come nel caso del medicinale di riferimento Carnitene,</w:t>
      </w:r>
      <w:r w:rsidR="00C276A1" w:rsidRPr="00640FAE" w:rsidDel="00C276A1">
        <w:rPr>
          <w:rFonts w:eastAsia="Calibri" w:cs="Calibri"/>
          <w:lang w:eastAsia="it-IT"/>
        </w:rPr>
        <w:t xml:space="preserve"> </w:t>
      </w:r>
      <w:r w:rsidRPr="00640FAE">
        <w:rPr>
          <w:rFonts w:eastAsia="Calibri" w:cs="Calibri"/>
          <w:lang w:eastAsia="it-IT"/>
        </w:rPr>
        <w:t xml:space="preserve">i benefici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435C37">
        <w:rPr>
          <w:rFonts w:eastAsia="Calibri" w:cs="Calibri"/>
          <w:color w:val="000000"/>
          <w:lang w:eastAsia="it-IT"/>
        </w:rPr>
        <w:t xml:space="preserve"> </w:t>
      </w:r>
      <w:r w:rsidR="008E3280" w:rsidRPr="00640FAE">
        <w:rPr>
          <w:rFonts w:eastAsia="Calibri" w:cs="Calibri"/>
          <w:lang w:eastAsia="it-IT"/>
        </w:rPr>
        <w:t>sono</w:t>
      </w:r>
      <w:r w:rsidRPr="00640FAE">
        <w:rPr>
          <w:rFonts w:eastAsia="Calibri" w:cs="Calibri"/>
          <w:lang w:eastAsia="it-IT"/>
        </w:rPr>
        <w:t xml:space="preserve"> superiori ai rischi individuati. La </w:t>
      </w:r>
      <w:r w:rsidR="000E2128">
        <w:rPr>
          <w:rFonts w:eastAsia="Calibri" w:cs="Calibri"/>
          <w:lang w:eastAsia="it-IT"/>
        </w:rPr>
        <w:t>CTS</w:t>
      </w:r>
      <w:r w:rsidRPr="00640FAE">
        <w:rPr>
          <w:rFonts w:eastAsia="Calibri" w:cs="Calibri"/>
          <w:lang w:eastAsia="it-IT"/>
        </w:rPr>
        <w:t xml:space="preserve"> ha, inoltre,</w:t>
      </w:r>
      <w:r w:rsidR="00361A14">
        <w:rPr>
          <w:rFonts w:eastAsia="Calibri" w:cs="Calibri"/>
          <w:lang w:eastAsia="it-IT"/>
        </w:rPr>
        <w:t xml:space="preserve"> </w:t>
      </w:r>
      <w:r w:rsidRPr="00640FAE">
        <w:rPr>
          <w:rFonts w:eastAsia="Calibri" w:cs="Calibri"/>
          <w:lang w:eastAsia="it-IT"/>
        </w:rPr>
        <w:t>definito le modalità d</w:t>
      </w:r>
      <w:r w:rsidR="00B849DC" w:rsidRPr="00640FAE">
        <w:rPr>
          <w:rFonts w:eastAsia="Calibri" w:cs="Calibri"/>
          <w:lang w:eastAsia="it-IT"/>
        </w:rPr>
        <w:t xml:space="preserve">i prescrizione di cui al punto </w:t>
      </w:r>
      <w:r w:rsidRPr="00640FAE">
        <w:rPr>
          <w:rFonts w:eastAsia="Calibri" w:cs="Calibri"/>
          <w:lang w:eastAsia="it-IT"/>
        </w:rPr>
        <w:t>2) di questo Riassunto e la classe di rimborsabilità del medicinale</w:t>
      </w:r>
      <w:r w:rsidR="00435C37">
        <w:rPr>
          <w:rFonts w:eastAsia="Calibri" w:cs="Calibri"/>
          <w:lang w:eastAsia="it-IT"/>
        </w:rPr>
        <w:t xml:space="preserve"> </w:t>
      </w:r>
      <w:r w:rsidR="00C276A1" w:rsidRPr="00640FAE">
        <w:rPr>
          <w:rFonts w:eastAsia="Calibri" w:cs="Calibri"/>
          <w:lang w:eastAsia="it-IT"/>
        </w:rPr>
        <w:t>(</w:t>
      </w:r>
      <w:r w:rsidR="00C276A1">
        <w:rPr>
          <w:rFonts w:eastAsia="Calibri" w:cs="Calibri"/>
          <w:lang w:eastAsia="it-IT"/>
        </w:rPr>
        <w:t>soluzione orale alla concentrazione di 2 g/10 ml: A con nota 8 – la nota definisce i pazienti per i quali il medicinale è rimborsato dal Servizio Sanitario Nazionale; per tutte le altre confezioni: C</w:t>
      </w:r>
      <w:r w:rsidR="00C276A1" w:rsidRPr="00640FAE">
        <w:rPr>
          <w:rFonts w:eastAsia="Calibri" w:cs="Calibri"/>
          <w:lang w:eastAsia="it-IT"/>
        </w:rPr>
        <w:t>).</w:t>
      </w:r>
    </w:p>
    <w:p w:rsidR="004241AC" w:rsidRDefault="004241AC" w:rsidP="00136B0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7) QUALI MISURE SONO STATE PRESE PER ASSICURARE LA SICUREZZA E L’EFFICACIA NELL’USO DI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  <w:r w:rsidRPr="002A3F14">
        <w:rPr>
          <w:rFonts w:eastAsia="Calibri" w:cs="Calibri"/>
          <w:b/>
          <w:bCs/>
          <w:color w:val="000000"/>
          <w:lang w:eastAsia="it-IT"/>
        </w:rPr>
        <w:t>?</w:t>
      </w:r>
    </w:p>
    <w:p w:rsidR="004E5DDB" w:rsidRDefault="000E212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Il </w:t>
      </w:r>
      <w:r>
        <w:rPr>
          <w:rFonts w:eastAsia="Calibri" w:cs="Calibri"/>
          <w:lang w:eastAsia="it-IT"/>
        </w:rPr>
        <w:t xml:space="preserve">titolare </w:t>
      </w:r>
      <w:r w:rsidRPr="002A3F14">
        <w:rPr>
          <w:rFonts w:eastAsia="Calibri" w:cs="Calibri"/>
          <w:lang w:eastAsia="it-IT"/>
        </w:rPr>
        <w:t>dell’autorizzazione all’immissione in commercio (AIC) ha presentato u</w:t>
      </w:r>
      <w:r>
        <w:rPr>
          <w:rFonts w:eastAsia="Calibri" w:cs="Calibri"/>
          <w:lang w:eastAsia="it-IT"/>
        </w:rPr>
        <w:t>n Piano di Gestione del Rischio</w:t>
      </w:r>
      <w:r w:rsidRPr="002A3F14">
        <w:rPr>
          <w:rFonts w:eastAsia="Calibri" w:cs="Calibri"/>
          <w:lang w:eastAsia="it-IT"/>
        </w:rPr>
        <w:t xml:space="preserve">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265228">
        <w:rPr>
          <w:rFonts w:eastAsia="Calibri" w:cs="Calibri"/>
          <w:color w:val="000000"/>
          <w:lang w:eastAsia="it-IT"/>
        </w:rPr>
        <w:t>Carreflor</w:t>
      </w:r>
      <w:r w:rsidRPr="002A3F14">
        <w:rPr>
          <w:rFonts w:eastAsia="Calibri" w:cs="Calibri"/>
          <w:lang w:eastAsia="it-IT"/>
        </w:rPr>
        <w:t>.</w:t>
      </w: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8) ALTRE INFORMAZIONI RELATIVE A </w:t>
      </w:r>
      <w:r w:rsidR="00265228" w:rsidRPr="00265228">
        <w:rPr>
          <w:rFonts w:eastAsia="Calibri" w:cs="Calibri"/>
          <w:b/>
          <w:color w:val="000000"/>
          <w:lang w:eastAsia="it-IT"/>
        </w:rPr>
        <w:t>Carreflor</w:t>
      </w:r>
    </w:p>
    <w:p w:rsidR="004E5DDB" w:rsidRDefault="007F615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eastAsia="it-IT"/>
        </w:rPr>
      </w:pPr>
      <w:r>
        <w:rPr>
          <w:rFonts w:eastAsia="Calibri" w:cs="Calibri"/>
          <w:bCs/>
          <w:iCs/>
          <w:lang w:eastAsia="it-IT"/>
        </w:rPr>
        <w:t>Il 18 gennaio 2017 l</w:t>
      </w:r>
      <w:r w:rsidR="000E2128">
        <w:rPr>
          <w:rFonts w:eastAsia="Calibri" w:cs="Calibri"/>
          <w:bCs/>
          <w:iCs/>
          <w:lang w:eastAsia="it-IT"/>
        </w:rPr>
        <w:t>’AIFA</w:t>
      </w:r>
      <w:r>
        <w:rPr>
          <w:rFonts w:eastAsia="Calibri" w:cs="Calibri"/>
          <w:bCs/>
          <w:iCs/>
          <w:lang w:eastAsia="it-IT"/>
        </w:rPr>
        <w:t xml:space="preserve"> </w:t>
      </w:r>
      <w:r w:rsidR="004241AC" w:rsidRPr="00CA3A1E">
        <w:rPr>
          <w:rFonts w:eastAsia="Calibri" w:cs="Calibri"/>
          <w:bCs/>
          <w:iCs/>
          <w:lang w:eastAsia="it-IT"/>
        </w:rPr>
        <w:t xml:space="preserve">ha rilasciato l’autorizzazione all’immissione in commercio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4241AC" w:rsidRPr="00CA3A1E">
        <w:rPr>
          <w:rFonts w:eastAsia="Calibri" w:cs="Calibri"/>
          <w:bCs/>
          <w:lang w:eastAsia="it-IT"/>
        </w:rPr>
        <w:t xml:space="preserve">. </w:t>
      </w: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C276A1" w:rsidRDefault="00C276A1" w:rsidP="00C276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Relazione Pubblica di Valutazione completa segue questo Riassunto. </w:t>
      </w:r>
    </w:p>
    <w:p w:rsidR="004241AC" w:rsidRPr="002A3F14" w:rsidRDefault="004241AC" w:rsidP="00136B0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Per maggiori informazioni riguardo il trattamento </w:t>
      </w:r>
      <w:r w:rsidRPr="00CA3A1E">
        <w:rPr>
          <w:rFonts w:eastAsia="Calibri" w:cs="Calibri"/>
          <w:lang w:eastAsia="it-IT"/>
        </w:rPr>
        <w:t xml:space="preserve">con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435C37">
        <w:rPr>
          <w:rFonts w:eastAsia="Calibri" w:cs="Calibri"/>
          <w:color w:val="000000"/>
          <w:lang w:eastAsia="it-IT"/>
        </w:rPr>
        <w:t xml:space="preserve"> </w:t>
      </w:r>
      <w:r w:rsidRPr="00CA3A1E">
        <w:rPr>
          <w:rFonts w:eastAsia="Calibri" w:cs="Calibri"/>
          <w:lang w:eastAsia="it-IT"/>
        </w:rPr>
        <w:t>si</w:t>
      </w:r>
      <w:r w:rsidRPr="002A3F14">
        <w:rPr>
          <w:rFonts w:eastAsia="Calibri" w:cs="Calibri"/>
          <w:lang w:eastAsia="it-IT"/>
        </w:rPr>
        <w:t xml:space="preserve"> può leggere il </w:t>
      </w:r>
      <w:r>
        <w:rPr>
          <w:rFonts w:eastAsia="Calibri" w:cs="Calibri"/>
          <w:lang w:eastAsia="it-IT"/>
        </w:rPr>
        <w:t>f</w:t>
      </w:r>
      <w:r w:rsidRPr="002A3F14">
        <w:rPr>
          <w:rFonts w:eastAsia="Calibri" w:cs="Calibri"/>
          <w:lang w:eastAsia="it-IT"/>
        </w:rPr>
        <w:t xml:space="preserve">oglio </w:t>
      </w:r>
      <w:r>
        <w:rPr>
          <w:rFonts w:eastAsia="Calibri" w:cs="Calibri"/>
          <w:lang w:eastAsia="it-IT"/>
        </w:rPr>
        <w:t>i</w:t>
      </w:r>
      <w:r w:rsidRPr="002A3F14">
        <w:rPr>
          <w:rFonts w:eastAsia="Calibri" w:cs="Calibri"/>
          <w:lang w:eastAsia="it-IT"/>
        </w:rPr>
        <w:t>llustrativo</w:t>
      </w:r>
      <w:r w:rsidR="00435C37">
        <w:rPr>
          <w:rFonts w:eastAsia="Calibri" w:cs="Calibri"/>
          <w:lang w:eastAsia="it-IT"/>
        </w:rPr>
        <w:t xml:space="preserve"> </w:t>
      </w:r>
      <w:r w:rsidR="00686B6F">
        <w:rPr>
          <w:rFonts w:eastAsia="Calibri" w:cs="Calibri"/>
          <w:lang w:eastAsia="it-IT"/>
        </w:rPr>
        <w:t>(</w:t>
      </w:r>
      <w:hyperlink r:id="rId6" w:history="1">
        <w:r w:rsidR="00686B6F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="00686B6F">
        <w:rPr>
          <w:rFonts w:eastAsia="Calibri" w:cs="Calibri"/>
          <w:lang w:eastAsia="it-IT"/>
        </w:rPr>
        <w:t>)</w:t>
      </w:r>
      <w:r w:rsidRPr="002A3F14">
        <w:rPr>
          <w:rFonts w:eastAsia="Calibri" w:cs="Calibri"/>
          <w:lang w:eastAsia="it-IT"/>
        </w:rPr>
        <w:t xml:space="preserve">o contattare il medico o </w:t>
      </w:r>
      <w:r w:rsidR="009B03DB">
        <w:rPr>
          <w:rFonts w:eastAsia="Calibri" w:cs="Calibri"/>
          <w:lang w:eastAsia="it-IT"/>
        </w:rPr>
        <w:t xml:space="preserve">il </w:t>
      </w:r>
      <w:r w:rsidRPr="002A3F14">
        <w:rPr>
          <w:rFonts w:eastAsia="Calibri" w:cs="Calibri"/>
          <w:lang w:eastAsia="it-IT"/>
        </w:rPr>
        <w:t xml:space="preserve">farmacista. </w:t>
      </w:r>
    </w:p>
    <w:p w:rsidR="004E5DDB" w:rsidRDefault="004E5DDB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E5DDB" w:rsidRDefault="004E5DDB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8C2C70" w:rsidRPr="00A06135" w:rsidRDefault="004241AC" w:rsidP="00136B0D">
      <w:pPr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>Questo riassunto è stato redat</w:t>
      </w:r>
      <w:r w:rsidRPr="00A06135">
        <w:rPr>
          <w:rFonts w:eastAsia="Calibri" w:cs="Calibri"/>
          <w:lang w:eastAsia="it-IT"/>
        </w:rPr>
        <w:t>to in data</w:t>
      </w:r>
      <w:r w:rsidR="00A06135" w:rsidRPr="00A06135">
        <w:rPr>
          <w:rFonts w:eastAsia="Calibri" w:cs="Calibri"/>
          <w:lang w:eastAsia="it-IT"/>
        </w:rPr>
        <w:t xml:space="preserve"> 1</w:t>
      </w:r>
      <w:r w:rsidR="007F6154">
        <w:rPr>
          <w:rFonts w:eastAsia="Calibri" w:cs="Calibri"/>
          <w:lang w:eastAsia="it-IT"/>
        </w:rPr>
        <w:t>3.06.</w:t>
      </w:r>
      <w:r w:rsidR="00A06135" w:rsidRPr="00A06135">
        <w:rPr>
          <w:rFonts w:eastAsia="Calibri" w:cs="Calibri"/>
          <w:lang w:eastAsia="it-IT"/>
        </w:rPr>
        <w:t>2016</w:t>
      </w:r>
      <w:r w:rsidRPr="00A06135">
        <w:rPr>
          <w:rFonts w:eastAsia="Calibri" w:cs="Calibri"/>
          <w:lang w:eastAsia="it-IT"/>
        </w:rPr>
        <w:t>.</w:t>
      </w:r>
      <w:r w:rsidR="00C276A1" w:rsidRPr="00A06135">
        <w:rPr>
          <w:rFonts w:eastAsia="Calibri" w:cs="Calibri"/>
          <w:color w:val="FF0000"/>
          <w:lang w:eastAsia="it-IT"/>
        </w:rPr>
        <w:t xml:space="preserve"> </w:t>
      </w:r>
    </w:p>
    <w:p w:rsidR="008C2C70" w:rsidRDefault="008C2C70" w:rsidP="007F6154">
      <w:pPr>
        <w:spacing w:after="0" w:line="240" w:lineRule="auto"/>
        <w:jc w:val="center"/>
        <w:rPr>
          <w:b/>
          <w:sz w:val="28"/>
        </w:rPr>
      </w:pPr>
      <w:r>
        <w:rPr>
          <w:rFonts w:eastAsia="Calibri" w:cs="Calibri"/>
          <w:highlight w:val="yellow"/>
          <w:lang w:eastAsia="it-IT"/>
        </w:rPr>
        <w:br w:type="page"/>
      </w:r>
      <w:r>
        <w:rPr>
          <w:b/>
          <w:sz w:val="28"/>
        </w:rPr>
        <w:lastRenderedPageBreak/>
        <w:t xml:space="preserve">RELAZIONE PUBBLICA </w:t>
      </w:r>
      <w:proofErr w:type="spellStart"/>
      <w:r>
        <w:rPr>
          <w:b/>
          <w:sz w:val="28"/>
        </w:rPr>
        <w:t>DI</w:t>
      </w:r>
      <w:proofErr w:type="spellEnd"/>
      <w:r>
        <w:rPr>
          <w:b/>
          <w:sz w:val="28"/>
        </w:rPr>
        <w:t xml:space="preserve"> VALUTAZIONE</w:t>
      </w:r>
    </w:p>
    <w:p w:rsidR="008C2C70" w:rsidRDefault="008C2C70" w:rsidP="00C276A1">
      <w:pPr>
        <w:spacing w:after="0" w:line="240" w:lineRule="auto"/>
        <w:jc w:val="center"/>
        <w:rPr>
          <w:b/>
        </w:rPr>
      </w:pPr>
    </w:p>
    <w:p w:rsidR="008C2C70" w:rsidRDefault="008C2C70" w:rsidP="00C276A1">
      <w:pPr>
        <w:spacing w:after="0" w:line="240" w:lineRule="auto"/>
        <w:jc w:val="center"/>
        <w:rPr>
          <w:b/>
        </w:rPr>
      </w:pPr>
    </w:p>
    <w:p w:rsidR="008C2C70" w:rsidRDefault="008C2C70" w:rsidP="00C276A1">
      <w:pPr>
        <w:spacing w:after="0" w:line="240" w:lineRule="auto"/>
        <w:jc w:val="center"/>
        <w:rPr>
          <w:b/>
        </w:rPr>
      </w:pPr>
    </w:p>
    <w:p w:rsidR="008C2C70" w:rsidRDefault="008C2C70" w:rsidP="00C276A1">
      <w:pPr>
        <w:spacing w:after="0" w:line="240" w:lineRule="auto"/>
        <w:jc w:val="center"/>
        <w:rPr>
          <w:b/>
        </w:rPr>
      </w:pPr>
    </w:p>
    <w:p w:rsidR="008C2C70" w:rsidRDefault="008C2C70" w:rsidP="00C276A1">
      <w:pPr>
        <w:spacing w:after="0" w:line="240" w:lineRule="auto"/>
        <w:jc w:val="center"/>
        <w:rPr>
          <w:b/>
        </w:rPr>
      </w:pPr>
      <w:r>
        <w:rPr>
          <w:b/>
        </w:rPr>
        <w:t>INDICE</w:t>
      </w: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INTRODUZIONE</w:t>
      </w: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ASPETTI DI QUALITA’</w:t>
      </w:r>
    </w:p>
    <w:p w:rsidR="008C2C70" w:rsidRDefault="008C2C70" w:rsidP="00136B0D">
      <w:pPr>
        <w:pStyle w:val="Paragrafoelenco"/>
        <w:spacing w:after="0" w:line="240" w:lineRule="auto"/>
        <w:jc w:val="both"/>
        <w:rPr>
          <w:b/>
        </w:rPr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ASPETTI NON CLINICI</w:t>
      </w:r>
    </w:p>
    <w:p w:rsidR="008C2C70" w:rsidRDefault="008C2C70" w:rsidP="00136B0D">
      <w:pPr>
        <w:pStyle w:val="Paragrafoelenco"/>
        <w:spacing w:after="0" w:line="240" w:lineRule="auto"/>
        <w:jc w:val="both"/>
        <w:rPr>
          <w:b/>
        </w:rPr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ASPETTI CLINICI</w:t>
      </w:r>
    </w:p>
    <w:p w:rsidR="008C2C70" w:rsidRDefault="008C2C70" w:rsidP="00136B0D">
      <w:pPr>
        <w:pStyle w:val="Paragrafoelenco"/>
        <w:spacing w:after="0" w:line="240" w:lineRule="auto"/>
        <w:jc w:val="both"/>
        <w:rPr>
          <w:b/>
        </w:rPr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CONSULTAZIONE SUL FOGLIO ILLUSTRATIVO</w:t>
      </w:r>
    </w:p>
    <w:p w:rsidR="008C2C70" w:rsidRDefault="008C2C70" w:rsidP="00136B0D">
      <w:pPr>
        <w:pStyle w:val="Paragrafoelenco"/>
        <w:spacing w:after="0" w:line="240" w:lineRule="auto"/>
        <w:ind w:left="1080"/>
        <w:jc w:val="both"/>
        <w:rPr>
          <w:b/>
        </w:rPr>
      </w:pPr>
    </w:p>
    <w:p w:rsidR="008C2C70" w:rsidRDefault="008C2C70" w:rsidP="00136B0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rPr>
          <w:b/>
        </w:rPr>
        <w:t>CONCLUSIONI, VALUTAZIONE DEL RAPPORTO BENEFICIO/RISCHIO E RACCOMANDAZIONI</w:t>
      </w: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</w:p>
    <w:p w:rsidR="008C2C70" w:rsidRDefault="008C2C70" w:rsidP="00136B0D">
      <w:pPr>
        <w:spacing w:after="0" w:line="240" w:lineRule="auto"/>
        <w:jc w:val="both"/>
      </w:pPr>
      <w:r>
        <w:br w:type="page"/>
      </w:r>
    </w:p>
    <w:p w:rsidR="008C2C70" w:rsidRDefault="008C2C70" w:rsidP="00136B0D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lastRenderedPageBreak/>
        <w:t>INTRODUZIONE</w:t>
      </w:r>
    </w:p>
    <w:p w:rsidR="008C2C70" w:rsidRPr="003461BA" w:rsidRDefault="008C2C70" w:rsidP="00136B0D">
      <w:pPr>
        <w:autoSpaceDE w:val="0"/>
        <w:autoSpaceDN w:val="0"/>
        <w:adjustRightInd w:val="0"/>
        <w:spacing w:after="0" w:line="240" w:lineRule="auto"/>
        <w:jc w:val="both"/>
      </w:pPr>
      <w:r>
        <w:t xml:space="preserve">Sulla base dei dati di qualità, sicurezza ed efficacia, l’AIFA ha </w:t>
      </w:r>
      <w:r w:rsidRPr="000E2128">
        <w:t xml:space="preserve">rilasciato a </w:t>
      </w:r>
      <w:r w:rsidR="00ED7B18" w:rsidRPr="00ED7B18">
        <w:t xml:space="preserve">So.Se.PHARM </w:t>
      </w:r>
      <w:r w:rsidRPr="000E2128">
        <w:t>l’aut</w:t>
      </w:r>
      <w:r w:rsidRPr="003461BA">
        <w:t xml:space="preserve">orizzazione all’immissione in commercio (AIC) per il medicinale </w:t>
      </w:r>
      <w:proofErr w:type="spellStart"/>
      <w:r w:rsidR="00265228">
        <w:rPr>
          <w:rFonts w:eastAsia="Calibri" w:cs="Calibri"/>
          <w:color w:val="000000"/>
          <w:lang w:eastAsia="it-IT"/>
        </w:rPr>
        <w:t>Carreflor</w:t>
      </w:r>
      <w:proofErr w:type="spellEnd"/>
      <w:r w:rsidR="0083156C" w:rsidRPr="003461BA">
        <w:t xml:space="preserve"> </w:t>
      </w:r>
      <w:r w:rsidRPr="003461BA">
        <w:t>il</w:t>
      </w:r>
      <w:r w:rsidR="00C276A1">
        <w:t xml:space="preserve"> </w:t>
      </w:r>
      <w:r w:rsidR="007F6154">
        <w:rPr>
          <w:rFonts w:eastAsia="Calibri" w:cs="Calibri"/>
          <w:bCs/>
          <w:iCs/>
          <w:lang w:eastAsia="it-IT"/>
        </w:rPr>
        <w:t>18 gennaio 2017.</w:t>
      </w:r>
    </w:p>
    <w:p w:rsidR="004E5DDB" w:rsidRDefault="004E5DDB">
      <w:pPr>
        <w:autoSpaceDE w:val="0"/>
        <w:autoSpaceDN w:val="0"/>
        <w:adjustRightInd w:val="0"/>
        <w:spacing w:after="0" w:line="240" w:lineRule="auto"/>
        <w:jc w:val="both"/>
      </w:pPr>
    </w:p>
    <w:p w:rsidR="004E5DDB" w:rsidRDefault="00265228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color w:val="000000"/>
          <w:lang w:eastAsia="it-IT"/>
        </w:rPr>
        <w:t>Carreflor</w:t>
      </w:r>
      <w:r w:rsidR="001743D5" w:rsidRPr="003461BA">
        <w:rPr>
          <w:rFonts w:eastAsia="Calibri" w:cs="Calibri"/>
          <w:color w:val="000000"/>
          <w:lang w:eastAsia="it-IT"/>
        </w:rPr>
        <w:t xml:space="preserve"> </w:t>
      </w:r>
      <w:r w:rsidR="008C2C70" w:rsidRPr="003461BA">
        <w:rPr>
          <w:rFonts w:eastAsia="Calibri" w:cs="Calibri"/>
          <w:color w:val="000000"/>
          <w:lang w:eastAsia="it-IT"/>
        </w:rPr>
        <w:t>può essere ottenuto solo dietro prescrizione da parte del medico (ricett</w:t>
      </w:r>
      <w:r w:rsidR="003461BA" w:rsidRPr="003461BA">
        <w:rPr>
          <w:rFonts w:eastAsia="Calibri" w:cs="Calibri"/>
          <w:color w:val="000000"/>
          <w:lang w:eastAsia="it-IT"/>
        </w:rPr>
        <w:t xml:space="preserve">a ripetibile) </w:t>
      </w:r>
      <w:r w:rsidR="003461BA" w:rsidRPr="003461BA">
        <w:rPr>
          <w:rFonts w:eastAsia="Calibri" w:cs="Calibri"/>
          <w:lang w:eastAsia="it-IT"/>
        </w:rPr>
        <w:t xml:space="preserve">eccetto per la </w:t>
      </w:r>
      <w:r w:rsidR="003461BA" w:rsidRPr="003461BA">
        <w:rPr>
          <w:bCs/>
        </w:rPr>
        <w:t xml:space="preserve">soluzione orale nelle concentrazioni </w:t>
      </w:r>
      <w:r w:rsidR="00C276A1">
        <w:rPr>
          <w:bCs/>
        </w:rPr>
        <w:t xml:space="preserve"> di </w:t>
      </w:r>
      <w:r w:rsidR="003461BA" w:rsidRPr="003461BA">
        <w:rPr>
          <w:bCs/>
        </w:rPr>
        <w:t xml:space="preserve">1 g/10 </w:t>
      </w:r>
      <w:r w:rsidR="00C276A1" w:rsidRPr="003461BA">
        <w:rPr>
          <w:bCs/>
        </w:rPr>
        <w:t>m</w:t>
      </w:r>
      <w:r w:rsidR="00C276A1">
        <w:rPr>
          <w:bCs/>
        </w:rPr>
        <w:t>l</w:t>
      </w:r>
      <w:r w:rsidR="00C276A1" w:rsidRPr="003461BA">
        <w:rPr>
          <w:rFonts w:eastAsia="Calibri" w:cs="Calibri"/>
          <w:lang w:eastAsia="it-IT"/>
        </w:rPr>
        <w:t xml:space="preserve">  </w:t>
      </w:r>
      <w:r w:rsidR="003461BA" w:rsidRPr="003461BA">
        <w:rPr>
          <w:rFonts w:eastAsia="Calibri" w:cs="Calibri"/>
          <w:color w:val="000000"/>
        </w:rPr>
        <w:t xml:space="preserve">che </w:t>
      </w:r>
      <w:r w:rsidR="00F03AC4">
        <w:rPr>
          <w:rFonts w:eastAsia="Calibri" w:cs="Calibri"/>
          <w:color w:val="000000"/>
        </w:rPr>
        <w:t>è disponibile</w:t>
      </w:r>
      <w:r w:rsidR="00F03AC4" w:rsidRPr="0055287A">
        <w:rPr>
          <w:rFonts w:eastAsia="Calibri" w:cs="Calibri"/>
          <w:color w:val="000000"/>
        </w:rPr>
        <w:t xml:space="preserve"> senza obbligo di prescrizione medica (SOP).</w:t>
      </w:r>
    </w:p>
    <w:p w:rsidR="004E5DDB" w:rsidRDefault="004E5DDB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E5DDB" w:rsidRDefault="008C2C70">
      <w:pPr>
        <w:spacing w:after="0" w:line="240" w:lineRule="auto"/>
        <w:jc w:val="both"/>
      </w:pPr>
      <w:r w:rsidRPr="003461BA">
        <w:t>Questa procedura è stata pre</w:t>
      </w:r>
      <w:r>
        <w:t>sentata ai sensi dell’art. 10(1) della Direttiva 2001/83/EU s.m.i.</w:t>
      </w:r>
    </w:p>
    <w:p w:rsidR="004E5DDB" w:rsidRDefault="004E5DDB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</w:p>
    <w:p w:rsidR="004E5DDB" w:rsidRDefault="00265228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>
        <w:rPr>
          <w:rFonts w:eastAsia="Calibri" w:cs="Calibri"/>
          <w:color w:val="000000"/>
          <w:lang w:eastAsia="it-IT"/>
        </w:rPr>
        <w:t>Carreflor</w:t>
      </w:r>
      <w:r w:rsidR="00AD718E">
        <w:rPr>
          <w:rFonts w:eastAsia="Calibri" w:cs="Calibri"/>
          <w:bCs/>
          <w:color w:val="000000"/>
          <w:lang w:eastAsia="it-IT"/>
        </w:rPr>
        <w:t xml:space="preserve"> </w:t>
      </w:r>
      <w:r w:rsidR="008C2C70">
        <w:rPr>
          <w:rFonts w:eastAsia="Calibri" w:cs="Calibri"/>
          <w:bCs/>
          <w:color w:val="000000"/>
          <w:lang w:eastAsia="it-IT"/>
        </w:rPr>
        <w:t xml:space="preserve">è un medicinale generico contenente il principio attivo </w:t>
      </w:r>
      <w:r w:rsidR="00C47CDF">
        <w:rPr>
          <w:rFonts w:eastAsia="Calibri" w:cs="Calibri"/>
          <w:bCs/>
          <w:color w:val="000000"/>
          <w:lang w:eastAsia="it-IT"/>
        </w:rPr>
        <w:t>levocarnitina</w:t>
      </w:r>
      <w:r w:rsidR="008C2C70">
        <w:rPr>
          <w:rFonts w:eastAsia="Calibri" w:cs="Calibri"/>
          <w:bCs/>
          <w:color w:val="000000"/>
          <w:lang w:eastAsia="it-IT"/>
        </w:rPr>
        <w:t xml:space="preserve"> presente nel medicinale di riferimento </w:t>
      </w:r>
      <w:r w:rsidR="000E2128">
        <w:rPr>
          <w:rFonts w:eastAsia="Calibri" w:cs="Calibri"/>
          <w:bCs/>
          <w:color w:val="000000"/>
          <w:lang w:eastAsia="it-IT"/>
        </w:rPr>
        <w:t>Carnitene</w:t>
      </w:r>
      <w:r w:rsidR="008C2C70">
        <w:rPr>
          <w:rFonts w:eastAsia="Calibri" w:cs="Calibri"/>
          <w:bCs/>
          <w:color w:val="000000"/>
          <w:lang w:eastAsia="it-IT"/>
        </w:rPr>
        <w:t>, autorizzato in Italia da più di 10 anni.</w:t>
      </w:r>
    </w:p>
    <w:p w:rsidR="004E5DDB" w:rsidRDefault="004E5DDB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</w:p>
    <w:p w:rsidR="004E5DDB" w:rsidRDefault="00265228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8C2C70">
        <w:rPr>
          <w:rFonts w:eastAsia="Calibri" w:cs="Calibri"/>
          <w:bCs/>
          <w:color w:val="000000"/>
          <w:lang w:eastAsia="it-IT"/>
        </w:rPr>
        <w:t xml:space="preserve">, il cui codice ATC è </w:t>
      </w:r>
      <w:r w:rsidR="000E2128" w:rsidRPr="00B573E3">
        <w:rPr>
          <w:rFonts w:eastAsia="Calibri" w:cs="Calibri"/>
          <w:lang w:eastAsia="it-IT"/>
        </w:rPr>
        <w:t>A16AA01</w:t>
      </w:r>
      <w:r w:rsidR="008C2C70">
        <w:rPr>
          <w:rFonts w:eastAsia="Calibri" w:cs="Calibri"/>
          <w:bCs/>
          <w:color w:val="000000"/>
          <w:lang w:eastAsia="it-IT"/>
        </w:rPr>
        <w:t xml:space="preserve">, contiene il principio attivo </w:t>
      </w:r>
      <w:r w:rsidR="00C47CDF">
        <w:rPr>
          <w:rFonts w:eastAsia="Calibri" w:cs="Calibri"/>
          <w:bCs/>
          <w:color w:val="000000"/>
          <w:lang w:eastAsia="it-IT"/>
        </w:rPr>
        <w:t>levocarnitina</w:t>
      </w:r>
      <w:r w:rsidR="00516368">
        <w:rPr>
          <w:rFonts w:eastAsia="Calibri" w:cs="Calibri"/>
          <w:bCs/>
          <w:color w:val="000000"/>
          <w:lang w:eastAsia="it-IT"/>
        </w:rPr>
        <w:t xml:space="preserve">. </w:t>
      </w:r>
      <w:r w:rsidR="00516368" w:rsidRPr="000427B9">
        <w:t xml:space="preserve">La </w:t>
      </w:r>
      <w:r w:rsidR="00C276A1">
        <w:t>levoc</w:t>
      </w:r>
      <w:r w:rsidR="00C276A1" w:rsidRPr="000427B9">
        <w:t xml:space="preserve">arnitina </w:t>
      </w:r>
      <w:r w:rsidR="00516368" w:rsidRPr="000427B9">
        <w:t>è un costituente naturale delle cellule nelle quali svolge un ruolo fondamentale nella produzione e nel trasporto dell'energia.</w:t>
      </w:r>
      <w:r w:rsidR="00C276A1">
        <w:t xml:space="preserve"> Essa</w:t>
      </w:r>
      <w:r w:rsidR="00516368" w:rsidRPr="000427B9">
        <w:t xml:space="preserve"> è, infatti, il fattore unico non vicariabile per la penetrazione degli acidi grassi alunga catena nel mitocondrio ed il loro avvio alla beta-ossidazione; controlla inoltre il</w:t>
      </w:r>
      <w:r w:rsidR="00AD718E">
        <w:t xml:space="preserve"> </w:t>
      </w:r>
      <w:r w:rsidR="00516368" w:rsidRPr="000427B9">
        <w:t>trasporto dell'energia prodotta dal mitocondrio al citoplasma attraverso la modulazione</w:t>
      </w:r>
      <w:r w:rsidR="0083156C">
        <w:t xml:space="preserve"> </w:t>
      </w:r>
      <w:r w:rsidR="00516368" w:rsidRPr="000427B9">
        <w:t>dell'enzima adenina-nucleotide-translocasi.</w:t>
      </w:r>
    </w:p>
    <w:p w:rsidR="004E5DDB" w:rsidRDefault="00516368">
      <w:pPr>
        <w:spacing w:after="0" w:line="240" w:lineRule="auto"/>
        <w:jc w:val="both"/>
      </w:pPr>
      <w:r w:rsidRPr="000427B9">
        <w:t>La più alta concentrazione tessutale di carnitina è nei muscoli scheletrici e nel miocardio;</w:t>
      </w:r>
      <w:r w:rsidR="00AD718E">
        <w:t xml:space="preserve"> </w:t>
      </w:r>
      <w:r w:rsidRPr="000427B9">
        <w:t>quest'ultimo, sebbene sia capace di utilizzare vari substrati a fini energetici, si serve</w:t>
      </w:r>
      <w:r w:rsidR="00AD718E">
        <w:t xml:space="preserve"> </w:t>
      </w:r>
      <w:r w:rsidRPr="000427B9">
        <w:t>normalmente degli acidi grassi.</w:t>
      </w:r>
    </w:p>
    <w:p w:rsidR="004E5DDB" w:rsidRDefault="00516368">
      <w:pPr>
        <w:spacing w:after="0" w:line="240" w:lineRule="auto"/>
        <w:jc w:val="both"/>
      </w:pPr>
      <w:r w:rsidRPr="000427B9">
        <w:t>Pertanto</w:t>
      </w:r>
      <w:r w:rsidR="00C276A1">
        <w:t>,</w:t>
      </w:r>
      <w:r w:rsidRPr="000427B9">
        <w:t xml:space="preserve"> la Carnitina svolge un ruolo essenziale nel metabolismo cardiaco poiché l'ossidazione degli acidi grassi è strettamente dipendente dalla presenza di quantità adeguata</w:t>
      </w:r>
      <w:r w:rsidR="00AD718E">
        <w:t xml:space="preserve"> </w:t>
      </w:r>
      <w:r w:rsidRPr="000427B9">
        <w:t>della sostanza.</w:t>
      </w:r>
    </w:p>
    <w:p w:rsidR="004E5DDB" w:rsidRDefault="004E5DDB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</w:p>
    <w:p w:rsidR="004E5DDB" w:rsidRDefault="00F06608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F4314F">
        <w:rPr>
          <w:rFonts w:eastAsia="Calibri" w:cs="Calibri"/>
          <w:lang w:eastAsia="it-IT"/>
        </w:rPr>
        <w:t xml:space="preserve">La </w:t>
      </w:r>
      <w:r>
        <w:rPr>
          <w:rFonts w:eastAsia="Calibri" w:cs="Calibri"/>
          <w:lang w:eastAsia="it-IT"/>
        </w:rPr>
        <w:t>s</w:t>
      </w:r>
      <w:r w:rsidRPr="00F4314F">
        <w:rPr>
          <w:rFonts w:eastAsia="Calibri" w:cs="Calibri"/>
          <w:lang w:eastAsia="it-IT"/>
        </w:rPr>
        <w:t xml:space="preserve">oluzione orale </w:t>
      </w:r>
      <w:r>
        <w:rPr>
          <w:rFonts w:eastAsia="Calibri" w:cs="Calibri"/>
          <w:lang w:eastAsia="it-IT"/>
        </w:rPr>
        <w:t>è</w:t>
      </w:r>
      <w:r w:rsidR="0083156C">
        <w:rPr>
          <w:rFonts w:eastAsia="Calibri" w:cs="Calibri"/>
          <w:lang w:eastAsia="it-IT"/>
        </w:rPr>
        <w:t xml:space="preserve"> </w:t>
      </w:r>
      <w:r>
        <w:rPr>
          <w:rFonts w:eastAsia="Calibri" w:cs="Calibri"/>
          <w:lang w:eastAsia="it-IT"/>
        </w:rPr>
        <w:t>indicata</w:t>
      </w:r>
      <w:r w:rsidRPr="00F4314F">
        <w:rPr>
          <w:rFonts w:eastAsia="Calibri" w:cs="Calibri"/>
          <w:lang w:eastAsia="it-IT"/>
        </w:rPr>
        <w:t xml:space="preserve"> per le  deficienze primarie e deficienze secondarie a malattie genetiche</w:t>
      </w:r>
      <w:r>
        <w:rPr>
          <w:rFonts w:eastAsia="Calibri" w:cs="Calibri"/>
          <w:lang w:eastAsia="it-IT"/>
        </w:rPr>
        <w:t xml:space="preserve">. </w:t>
      </w:r>
    </w:p>
    <w:p w:rsidR="004E5DDB" w:rsidRDefault="00C276A1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r w:rsidRPr="00F4314F">
        <w:rPr>
          <w:rFonts w:eastAsia="Calibri" w:cs="Calibri"/>
          <w:lang w:eastAsia="it-IT"/>
        </w:rPr>
        <w:t>L</w:t>
      </w:r>
      <w:r>
        <w:rPr>
          <w:rFonts w:eastAsia="Calibri" w:cs="Calibri"/>
          <w:lang w:eastAsia="it-IT"/>
        </w:rPr>
        <w:t>a</w:t>
      </w:r>
      <w:r w:rsidRPr="00F4314F">
        <w:rPr>
          <w:rFonts w:eastAsia="Calibri" w:cs="Calibri"/>
          <w:lang w:eastAsia="it-IT"/>
        </w:rPr>
        <w:t xml:space="preserve"> </w:t>
      </w:r>
      <w:r w:rsidR="00F06608">
        <w:rPr>
          <w:rFonts w:eastAsia="Calibri" w:cs="Calibri"/>
          <w:lang w:eastAsia="it-IT"/>
        </w:rPr>
        <w:t>s</w:t>
      </w:r>
      <w:r w:rsidR="00F06608" w:rsidRPr="00F4314F">
        <w:rPr>
          <w:rFonts w:eastAsia="Calibri" w:cs="Calibri"/>
          <w:lang w:eastAsia="it-IT"/>
        </w:rPr>
        <w:t>oluzione i</w:t>
      </w:r>
      <w:r w:rsidR="00F06608">
        <w:rPr>
          <w:rFonts w:eastAsia="Calibri" w:cs="Calibri"/>
          <w:lang w:eastAsia="it-IT"/>
        </w:rPr>
        <w:t>niettabile per uso endovenoso è indicata per le d</w:t>
      </w:r>
      <w:r w:rsidR="00F06608" w:rsidRPr="00F4314F">
        <w:rPr>
          <w:rFonts w:eastAsia="Calibri" w:cs="Calibri"/>
          <w:lang w:eastAsia="it-IT"/>
        </w:rPr>
        <w:t>eficienze secondarie ad emodialisi</w:t>
      </w:r>
      <w:r w:rsidR="00F06608">
        <w:rPr>
          <w:rFonts w:eastAsia="Calibri" w:cs="Calibri"/>
          <w:lang w:eastAsia="it-IT"/>
        </w:rPr>
        <w:t xml:space="preserve"> </w:t>
      </w:r>
    </w:p>
    <w:p w:rsidR="004E5DDB" w:rsidRDefault="004E5DDB">
      <w:pPr>
        <w:tabs>
          <w:tab w:val="left" w:pos="0"/>
        </w:tabs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rFonts w:ascii="Calibri" w:hAnsi="Calibri" w:cs="Arial"/>
        </w:rPr>
      </w:pPr>
      <w:r>
        <w:t xml:space="preserve">Poiché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442F8E">
        <w:t xml:space="preserve"> </w:t>
      </w:r>
      <w:r>
        <w:t xml:space="preserve">contiene un principio attivo noto non sono stati forniti nuovi dati non clinici e clinici: questo approccio è accettabile poiché il medicinale di riferimento </w:t>
      </w:r>
      <w:r w:rsidR="00F06608">
        <w:t>Carnitene</w:t>
      </w:r>
      <w:r>
        <w:t xml:space="preserve"> è autorizzato in Italia da oltre 10 anni; poiché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442F8E">
        <w:t xml:space="preserve"> </w:t>
      </w:r>
      <w:r>
        <w:rPr>
          <w:rFonts w:cs="Arial"/>
        </w:rPr>
        <w:t xml:space="preserve">è somministrato come soluzione iniettabile </w:t>
      </w:r>
      <w:r w:rsidR="00F06608">
        <w:rPr>
          <w:rFonts w:cs="Arial"/>
        </w:rPr>
        <w:t xml:space="preserve">e soluzione orale </w:t>
      </w:r>
      <w:r>
        <w:rPr>
          <w:rFonts w:cs="Arial"/>
        </w:rPr>
        <w:t xml:space="preserve">nella stessa composizione del medicinale di riferimento </w:t>
      </w:r>
      <w:r w:rsidR="00F06608">
        <w:rPr>
          <w:rFonts w:cs="Arial"/>
        </w:rPr>
        <w:t>Carnitene</w:t>
      </w:r>
      <w:r>
        <w:rPr>
          <w:rFonts w:cs="Arial"/>
        </w:rPr>
        <w:t xml:space="preserve">, è </w:t>
      </w:r>
      <w:r w:rsidR="00C276A1">
        <w:rPr>
          <w:rFonts w:cs="Arial"/>
        </w:rPr>
        <w:t xml:space="preserve">stato possibile  concedere </w:t>
      </w:r>
      <w:r>
        <w:rPr>
          <w:rFonts w:cs="Arial"/>
        </w:rPr>
        <w:t>l’esenzione della conduzione  di studi clinici di confronto con il medicinale di riferimento.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</w:pPr>
      <w:r>
        <w:t>Le officine coinvolte nella produzione sono conformi alle linee guida di Buona Pratica di Fabbricazione (</w:t>
      </w:r>
      <w:r>
        <w:rPr>
          <w:i/>
        </w:rPr>
        <w:t>Good Manufacturing Practice</w:t>
      </w:r>
      <w:r>
        <w:t xml:space="preserve"> - GMP). Le autorità regolatorie europee competenti hanno rilasciato i certificati GMP per i siti di produzione.</w:t>
      </w:r>
    </w:p>
    <w:p w:rsidR="004E5DDB" w:rsidRDefault="004E5DDB">
      <w:pPr>
        <w:spacing w:after="0" w:line="240" w:lineRule="auto"/>
        <w:jc w:val="both"/>
        <w:rPr>
          <w:highlight w:val="yellow"/>
        </w:rPr>
      </w:pPr>
    </w:p>
    <w:p w:rsidR="004E5DDB" w:rsidRDefault="008C2C70">
      <w:pPr>
        <w:spacing w:after="0" w:line="240" w:lineRule="auto"/>
        <w:jc w:val="both"/>
      </w:pPr>
      <w:r>
        <w:t>Il sistema di Farmacovigilanza descritto dal titolare dell’AIC è conforme ai requisiti previsti dalla normativa corrente. E’ stato presentato un Piano di gestione del rischio (</w:t>
      </w:r>
      <w:r>
        <w:rPr>
          <w:i/>
        </w:rPr>
        <w:t>Risk Management Plan</w:t>
      </w:r>
      <w:r>
        <w:t xml:space="preserve"> – RMP) accettabile.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</w:pPr>
      <w:r>
        <w:t xml:space="preserve">Il titolare di AIC ha presentato una adeguata giustificazione della non presentazione della Valutazione del Rischio ambientale; questo approccio è accettabile in quanto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FB2726">
        <w:t xml:space="preserve"> </w:t>
      </w:r>
      <w:r>
        <w:t>contiene un principio attivo noto presente in medicinali autorizzati; inoltre, non sono presenti componenti geneticamente modificati; il metodo di produzione e la formulazione del medicinale non presentano problematiche di carattere ambientale.</w:t>
      </w:r>
    </w:p>
    <w:p w:rsidR="004E5DDB" w:rsidRDefault="004E5DDB">
      <w:pPr>
        <w:spacing w:after="0" w:line="240" w:lineRule="auto"/>
        <w:jc w:val="both"/>
      </w:pP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t>ASPETTI DI QUALITA’</w:t>
      </w:r>
    </w:p>
    <w:p w:rsidR="004E5DDB" w:rsidRDefault="008C2C70">
      <w:pPr>
        <w:spacing w:after="0" w:line="240" w:lineRule="auto"/>
        <w:jc w:val="both"/>
      </w:pPr>
      <w:r>
        <w:rPr>
          <w:b/>
        </w:rPr>
        <w:t xml:space="preserve">II.1 PRINCIPIO ATTIVO </w:t>
      </w:r>
      <w:r w:rsidR="00F06608">
        <w:rPr>
          <w:b/>
        </w:rPr>
        <w:t>LEVOCARNITIN</w:t>
      </w:r>
      <w:r w:rsidR="00E863A5">
        <w:rPr>
          <w:b/>
        </w:rPr>
        <w:t>A</w:t>
      </w:r>
    </w:p>
    <w:p w:rsidR="00684652" w:rsidRPr="00684652" w:rsidRDefault="008C2C70" w:rsidP="00136B0D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Theme="minorHAnsi" w:hAnsiTheme="minorHAnsi"/>
        </w:rPr>
      </w:pPr>
      <w:r w:rsidRPr="00684652">
        <w:rPr>
          <w:u w:val="single"/>
        </w:rPr>
        <w:t>Nome chimico</w:t>
      </w:r>
      <w:r w:rsidRPr="00684652">
        <w:t xml:space="preserve">: </w:t>
      </w:r>
      <w:r w:rsidR="0063792C" w:rsidRPr="00684652">
        <w:t xml:space="preserve"> (</w:t>
      </w:r>
      <w:r w:rsidR="00684652" w:rsidRPr="00684652">
        <w:rPr>
          <w:rStyle w:val="s1"/>
          <w:rFonts w:asciiTheme="minorHAnsi" w:hAnsiTheme="minorHAnsi"/>
        </w:rPr>
        <w:t>(3</w:t>
      </w:r>
      <w:r w:rsidR="00684652" w:rsidRPr="00684652">
        <w:rPr>
          <w:rStyle w:val="s1"/>
          <w:rFonts w:asciiTheme="minorHAnsi" w:hAnsiTheme="minorHAnsi"/>
          <w:i/>
          <w:iCs/>
        </w:rPr>
        <w:t>R</w:t>
      </w:r>
      <w:r w:rsidR="00684652" w:rsidRPr="00684652">
        <w:rPr>
          <w:rStyle w:val="s1"/>
          <w:rFonts w:asciiTheme="minorHAnsi" w:hAnsiTheme="minorHAnsi"/>
        </w:rPr>
        <w:t>)-3-Hydroxy-4-(trimethylammonio)butanoate.</w:t>
      </w:r>
    </w:p>
    <w:p w:rsidR="008C2C70" w:rsidRPr="00684652" w:rsidRDefault="008C2C70" w:rsidP="00136B0D">
      <w:pPr>
        <w:autoSpaceDE w:val="0"/>
        <w:autoSpaceDN w:val="0"/>
        <w:adjustRightInd w:val="0"/>
        <w:spacing w:after="0" w:line="240" w:lineRule="auto"/>
        <w:jc w:val="both"/>
        <w:rPr>
          <w:noProof/>
          <w:lang w:eastAsia="it-IT"/>
        </w:rPr>
      </w:pPr>
      <w:r w:rsidRPr="00684652">
        <w:rPr>
          <w:u w:val="single"/>
        </w:rPr>
        <w:t>Struttura</w:t>
      </w:r>
      <w:r w:rsidRPr="00684652">
        <w:t>:</w:t>
      </w:r>
    </w:p>
    <w:p w:rsidR="008C2C70" w:rsidRPr="00684652" w:rsidRDefault="00684652" w:rsidP="00C276A1">
      <w:pPr>
        <w:spacing w:after="0" w:line="240" w:lineRule="auto"/>
        <w:jc w:val="center"/>
        <w:rPr>
          <w:noProof/>
          <w:lang w:eastAsia="it-IT"/>
        </w:rPr>
      </w:pPr>
      <w:r w:rsidRPr="00684652">
        <w:rPr>
          <w:noProof/>
          <w:lang w:eastAsia="it-IT"/>
        </w:rPr>
        <w:drawing>
          <wp:inline distT="0" distB="0" distL="0" distR="0">
            <wp:extent cx="1337560" cy="483986"/>
            <wp:effectExtent l="19050" t="0" r="0" b="0"/>
            <wp:docPr id="3" name="Immagine 2" descr="cf1339-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f1339-b1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569" cy="48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C70" w:rsidRPr="00684652" w:rsidRDefault="008C2C70" w:rsidP="00136B0D">
      <w:pPr>
        <w:spacing w:after="0" w:line="240" w:lineRule="auto"/>
        <w:jc w:val="both"/>
        <w:rPr>
          <w:u w:val="single"/>
        </w:rPr>
      </w:pPr>
    </w:p>
    <w:p w:rsidR="008C2C70" w:rsidRPr="00684652" w:rsidRDefault="008C2C70" w:rsidP="00136B0D">
      <w:pPr>
        <w:spacing w:after="0" w:line="240" w:lineRule="auto"/>
        <w:jc w:val="both"/>
        <w:rPr>
          <w:u w:val="single"/>
        </w:rPr>
      </w:pPr>
      <w:r w:rsidRPr="00684652">
        <w:rPr>
          <w:u w:val="single"/>
        </w:rPr>
        <w:lastRenderedPageBreak/>
        <w:t>Formula molecolare</w:t>
      </w:r>
      <w:r w:rsidRPr="00684652">
        <w:t xml:space="preserve">: </w:t>
      </w:r>
      <w:r w:rsidRPr="00684652">
        <w:rPr>
          <w:rStyle w:val="s1"/>
          <w:rFonts w:asciiTheme="minorHAnsi" w:hAnsiTheme="minorHAnsi"/>
        </w:rPr>
        <w:t>C</w:t>
      </w:r>
      <w:r w:rsidRPr="00684652">
        <w:rPr>
          <w:rStyle w:val="s1"/>
          <w:rFonts w:asciiTheme="minorHAnsi" w:hAnsiTheme="minorHAnsi"/>
          <w:vertAlign w:val="subscript"/>
        </w:rPr>
        <w:t>7</w:t>
      </w:r>
      <w:r w:rsidRPr="00684652">
        <w:rPr>
          <w:rStyle w:val="s1"/>
          <w:rFonts w:asciiTheme="minorHAnsi" w:hAnsiTheme="minorHAnsi"/>
        </w:rPr>
        <w:t>H</w:t>
      </w:r>
      <w:r w:rsidR="00F06608" w:rsidRPr="00684652">
        <w:rPr>
          <w:rStyle w:val="s1"/>
          <w:rFonts w:asciiTheme="minorHAnsi" w:hAnsiTheme="minorHAnsi"/>
          <w:vertAlign w:val="subscript"/>
        </w:rPr>
        <w:t>15</w:t>
      </w:r>
      <w:r w:rsidRPr="00684652">
        <w:rPr>
          <w:rStyle w:val="s1"/>
          <w:rFonts w:asciiTheme="minorHAnsi" w:hAnsiTheme="minorHAnsi"/>
        </w:rPr>
        <w:t>N</w:t>
      </w:r>
      <w:r w:rsidR="00F06608" w:rsidRPr="00684652">
        <w:rPr>
          <w:rStyle w:val="s1"/>
          <w:rFonts w:asciiTheme="minorHAnsi" w:hAnsiTheme="minorHAnsi"/>
        </w:rPr>
        <w:t>O</w:t>
      </w:r>
      <w:r w:rsidR="00F06608" w:rsidRPr="00684652">
        <w:rPr>
          <w:rStyle w:val="s1"/>
          <w:rFonts w:asciiTheme="minorHAnsi" w:hAnsiTheme="minorHAnsi"/>
          <w:vertAlign w:val="subscript"/>
        </w:rPr>
        <w:t>3</w:t>
      </w:r>
    </w:p>
    <w:p w:rsidR="008C2C70" w:rsidRPr="00684652" w:rsidRDefault="008C2C70" w:rsidP="00136B0D">
      <w:pPr>
        <w:spacing w:after="0" w:line="240" w:lineRule="auto"/>
        <w:jc w:val="both"/>
      </w:pPr>
      <w:r w:rsidRPr="00684652">
        <w:rPr>
          <w:u w:val="single"/>
        </w:rPr>
        <w:t>Peso molecolare</w:t>
      </w:r>
      <w:r w:rsidRPr="00684652">
        <w:t xml:space="preserve">: </w:t>
      </w:r>
      <w:r w:rsidR="00F06608" w:rsidRPr="00684652">
        <w:rPr>
          <w:rFonts w:cs="Arial"/>
        </w:rPr>
        <w:t>161.</w:t>
      </w:r>
      <w:r w:rsidR="0063792C" w:rsidRPr="00684652">
        <w:rPr>
          <w:rFonts w:cs="Arial"/>
        </w:rPr>
        <w:t>20</w:t>
      </w:r>
      <w:r w:rsidR="00361A14">
        <w:rPr>
          <w:rFonts w:cs="Arial"/>
        </w:rPr>
        <w:t xml:space="preserve"> </w:t>
      </w:r>
      <w:r w:rsidRPr="00684652">
        <w:rPr>
          <w:rStyle w:val="s1"/>
          <w:rFonts w:asciiTheme="minorHAnsi" w:hAnsiTheme="minorHAnsi"/>
        </w:rPr>
        <w:t>g/mol</w:t>
      </w:r>
    </w:p>
    <w:p w:rsidR="008C2C70" w:rsidRPr="00684652" w:rsidRDefault="008C2C70" w:rsidP="00136B0D">
      <w:pPr>
        <w:pStyle w:val="Titolo1"/>
        <w:shd w:val="clear" w:color="auto" w:fill="FFFFFF"/>
        <w:spacing w:before="0" w:beforeAutospacing="0" w:after="0" w:afterAutospacing="0"/>
        <w:jc w:val="both"/>
        <w:rPr>
          <w:rStyle w:val="s1"/>
          <w:rFonts w:asciiTheme="minorHAnsi" w:eastAsiaTheme="minorHAnsi" w:hAnsiTheme="minorHAnsi"/>
          <w:bCs w:val="0"/>
          <w:kern w:val="0"/>
          <w:sz w:val="22"/>
          <w:szCs w:val="22"/>
          <w:lang w:eastAsia="en-US"/>
        </w:rPr>
      </w:pPr>
      <w:r w:rsidRPr="00684652">
        <w:rPr>
          <w:rFonts w:asciiTheme="minorHAnsi" w:hAnsiTheme="minorHAnsi"/>
          <w:b w:val="0"/>
          <w:sz w:val="22"/>
          <w:szCs w:val="22"/>
          <w:u w:val="single"/>
        </w:rPr>
        <w:t>CAS</w:t>
      </w:r>
      <w:r w:rsidRPr="00684652">
        <w:rPr>
          <w:rFonts w:asciiTheme="minorHAnsi" w:hAnsiTheme="minorHAnsi"/>
          <w:b w:val="0"/>
          <w:sz w:val="22"/>
          <w:szCs w:val="22"/>
        </w:rPr>
        <w:t xml:space="preserve">: </w:t>
      </w:r>
      <w:r w:rsidRPr="00684652">
        <w:rPr>
          <w:rStyle w:val="s1"/>
          <w:rFonts w:asciiTheme="minorHAnsi" w:eastAsiaTheme="minorHAnsi" w:hAnsiTheme="minorHAnsi"/>
          <w:b w:val="0"/>
          <w:bCs w:val="0"/>
          <w:kern w:val="0"/>
          <w:sz w:val="22"/>
          <w:szCs w:val="22"/>
          <w:lang w:eastAsia="en-US"/>
        </w:rPr>
        <w:t>[</w:t>
      </w:r>
      <w:r w:rsidR="00684652" w:rsidRPr="00684652">
        <w:rPr>
          <w:rStyle w:val="s1"/>
          <w:rFonts w:asciiTheme="minorHAnsi" w:eastAsiaTheme="minorHAnsi" w:hAnsiTheme="minorHAnsi"/>
          <w:b w:val="0"/>
          <w:bCs w:val="0"/>
          <w:kern w:val="0"/>
          <w:sz w:val="22"/>
          <w:szCs w:val="22"/>
          <w:lang w:eastAsia="en-US"/>
        </w:rPr>
        <w:t>541-15-1</w:t>
      </w:r>
      <w:r w:rsidRPr="00684652">
        <w:rPr>
          <w:rStyle w:val="s1"/>
          <w:rFonts w:asciiTheme="minorHAnsi" w:eastAsiaTheme="minorHAnsi" w:hAnsiTheme="minorHAnsi"/>
          <w:b w:val="0"/>
          <w:bCs w:val="0"/>
          <w:kern w:val="0"/>
          <w:sz w:val="22"/>
          <w:szCs w:val="22"/>
          <w:lang w:eastAsia="en-US"/>
        </w:rPr>
        <w:t>]</w:t>
      </w:r>
    </w:p>
    <w:p w:rsidR="008C2C70" w:rsidRPr="00684652" w:rsidRDefault="008C2C70" w:rsidP="00136B0D">
      <w:pPr>
        <w:pStyle w:val="Titolo1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 w:val="0"/>
          <w:sz w:val="22"/>
          <w:szCs w:val="22"/>
        </w:rPr>
      </w:pPr>
      <w:r w:rsidRPr="00684652">
        <w:rPr>
          <w:rFonts w:asciiTheme="minorHAnsi" w:hAnsiTheme="minorHAnsi"/>
          <w:b w:val="0"/>
          <w:sz w:val="22"/>
          <w:szCs w:val="22"/>
          <w:u w:val="single"/>
        </w:rPr>
        <w:t>Aspetto</w:t>
      </w:r>
      <w:r w:rsidRPr="00684652">
        <w:rPr>
          <w:rFonts w:asciiTheme="minorHAnsi" w:hAnsiTheme="minorHAnsi"/>
          <w:b w:val="0"/>
          <w:sz w:val="22"/>
          <w:szCs w:val="22"/>
        </w:rPr>
        <w:t>: polvere cristallina bianca o quasi bianca</w:t>
      </w:r>
      <w:r w:rsidR="00684652" w:rsidRPr="00684652">
        <w:rPr>
          <w:rFonts w:asciiTheme="minorHAnsi" w:hAnsiTheme="minorHAnsi"/>
          <w:b w:val="0"/>
          <w:sz w:val="22"/>
          <w:szCs w:val="22"/>
        </w:rPr>
        <w:t>, o cristalli incolori, igroscopica</w:t>
      </w:r>
    </w:p>
    <w:p w:rsidR="008C2C70" w:rsidRPr="00684652" w:rsidRDefault="008C2C70" w:rsidP="00136B0D">
      <w:pPr>
        <w:spacing w:after="0" w:line="240" w:lineRule="auto"/>
        <w:jc w:val="both"/>
        <w:rPr>
          <w:rStyle w:val="s1"/>
          <w:rFonts w:asciiTheme="minorHAnsi" w:hAnsiTheme="minorHAnsi"/>
        </w:rPr>
      </w:pPr>
      <w:r w:rsidRPr="00684652">
        <w:rPr>
          <w:u w:val="single"/>
        </w:rPr>
        <w:t>Solubilità</w:t>
      </w:r>
      <w:r w:rsidR="0063792C" w:rsidRPr="00684652">
        <w:t>: molto solubile in acqua</w:t>
      </w:r>
      <w:r w:rsidR="00684652" w:rsidRPr="00684652">
        <w:rPr>
          <w:rStyle w:val="s1"/>
          <w:rFonts w:asciiTheme="minorHAnsi" w:hAnsiTheme="minorHAnsi"/>
        </w:rPr>
        <w:t>, solubile in etanolo caldo (96%), praticamente insolubile in acetone</w:t>
      </w:r>
    </w:p>
    <w:p w:rsidR="008C2C70" w:rsidRPr="00684652" w:rsidRDefault="008C2C70" w:rsidP="00136B0D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</w:pPr>
      <w:r w:rsidRPr="00684652">
        <w:t xml:space="preserve">Il principio attivo </w:t>
      </w:r>
      <w:r w:rsidR="00C47CDF" w:rsidRPr="00684652">
        <w:t>levocarnitina</w:t>
      </w:r>
      <w:r w:rsidRPr="00684652">
        <w:t xml:space="preserve"> è presente in Farmacopea Europea </w:t>
      </w:r>
      <w:r w:rsidR="0063792C" w:rsidRPr="00684652">
        <w:t>; il produttore proposto ha p</w:t>
      </w:r>
      <w:r w:rsidR="0063792C">
        <w:t xml:space="preserve">resentato un ASMF. </w:t>
      </w:r>
    </w:p>
    <w:p w:rsidR="004E5DDB" w:rsidRDefault="0063792C">
      <w:pPr>
        <w:spacing w:after="0" w:line="240" w:lineRule="auto"/>
        <w:jc w:val="both"/>
      </w:pPr>
      <w:r>
        <w:t>La sintesi del principio attivo è stata adeguatamente descritta a partire da idonei materiali di partenza; sono utilizzati appropriati controlli di processo e intermedi di sintesi.</w:t>
      </w:r>
    </w:p>
    <w:p w:rsidR="004E5DDB" w:rsidRDefault="0063792C">
      <w:pPr>
        <w:spacing w:after="0" w:line="240" w:lineRule="auto"/>
        <w:jc w:val="both"/>
      </w:pPr>
      <w:r>
        <w:t>I materiali e i reagenti utilizzati nella sintesi sono di qualità adeguata.</w:t>
      </w:r>
    </w:p>
    <w:p w:rsidR="004E5DDB" w:rsidRDefault="0063792C">
      <w:pPr>
        <w:spacing w:after="0" w:line="240" w:lineRule="auto"/>
        <w:jc w:val="both"/>
      </w:pPr>
      <w:r>
        <w:t>I materiali, gli intermedi, i reagenti utilizzati nella sintesi non sono di origine umana, biologica o geneticamente modificata. Sono state fornite prove adeguate della struttura isolata. Tutte le potenziali impurezze note sono state identificate e caratterizzate</w:t>
      </w:r>
      <w:r w:rsidR="00B37FD6">
        <w:t>.</w:t>
      </w:r>
    </w:p>
    <w:p w:rsidR="004E5DDB" w:rsidRDefault="0063792C">
      <w:pPr>
        <w:spacing w:after="0" w:line="240" w:lineRule="auto"/>
        <w:jc w:val="both"/>
      </w:pPr>
      <w:r>
        <w:t>Le specifiche del principio attivo sono appropriate e controllat</w:t>
      </w:r>
      <w:r w:rsidR="00B37FD6">
        <w:t>e</w:t>
      </w:r>
      <w:r>
        <w:t xml:space="preserve"> con metodi analitici adeguatamente convalidati. Sono stati forniti certificati analitici che confermano la qualità del principio attivo.</w:t>
      </w:r>
    </w:p>
    <w:p w:rsidR="004E5DDB" w:rsidRDefault="0063792C">
      <w:pPr>
        <w:spacing w:after="0" w:line="240" w:lineRule="auto"/>
        <w:jc w:val="both"/>
      </w:pPr>
      <w:r>
        <w:t xml:space="preserve">Il principio attivo è confezionato in un adeguato contenitore, per il quale sono stati forniti specifiche e certificati analitici. Il confezionamento primario è costituito </w:t>
      </w:r>
      <w:r w:rsidR="00272E9B">
        <w:t>da borse in PE protette da foglio in AL esterno e il tutto riposto in un tamburo in fibra</w:t>
      </w:r>
      <w:r>
        <w:t>.</w:t>
      </w:r>
    </w:p>
    <w:p w:rsidR="004E5DDB" w:rsidRDefault="0063792C">
      <w:pPr>
        <w:spacing w:after="0" w:line="240" w:lineRule="auto"/>
        <w:jc w:val="both"/>
      </w:pPr>
      <w:r>
        <w:t>Sono stati forniti adeguati studi di stabilità per il principio attivo conservato nel confezionamento proposto per il commercio. Sulla base di questi dati, è stato approvato un periodo di retest di 2 anni.</w:t>
      </w:r>
    </w:p>
    <w:p w:rsidR="004E5DDB" w:rsidRDefault="004E5DDB">
      <w:pPr>
        <w:spacing w:after="0" w:line="240" w:lineRule="auto"/>
        <w:jc w:val="both"/>
      </w:pP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>II.2</w:t>
      </w:r>
      <w:r w:rsidR="00272E9B">
        <w:rPr>
          <w:b/>
        </w:rPr>
        <w:t>.a</w:t>
      </w:r>
      <w:r>
        <w:rPr>
          <w:b/>
        </w:rPr>
        <w:t xml:space="preserve"> PRODOTTO FINITO</w:t>
      </w:r>
      <w:r w:rsidR="00272E9B">
        <w:rPr>
          <w:b/>
        </w:rPr>
        <w:t xml:space="preserve"> – soluzione orale</w:t>
      </w: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>Descrizione e composizione</w:t>
      </w:r>
    </w:p>
    <w:p w:rsidR="008C2C70" w:rsidRDefault="00265228" w:rsidP="00136B0D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3D30FA">
        <w:t xml:space="preserve"> </w:t>
      </w:r>
      <w:r w:rsidR="008C2C70">
        <w:t xml:space="preserve">è disponibile </w:t>
      </w:r>
      <w:r w:rsidR="00394D21">
        <w:t>come</w:t>
      </w:r>
      <w:r w:rsidR="00C276A1">
        <w:t xml:space="preserve"> </w:t>
      </w:r>
      <w:r w:rsidR="008C2C70">
        <w:t xml:space="preserve">soluzione </w:t>
      </w:r>
      <w:r w:rsidR="00272E9B">
        <w:t>orale</w:t>
      </w:r>
      <w:r w:rsidR="008C2C70">
        <w:t xml:space="preserve"> </w:t>
      </w:r>
      <w:r w:rsidR="00C276A1">
        <w:t>contenente</w:t>
      </w:r>
      <w:r w:rsidR="00394D21">
        <w:t xml:space="preserve"> il principio attivo alla concentrazione di</w:t>
      </w:r>
      <w:r w:rsidR="00C276A1">
        <w:t xml:space="preserve"> </w:t>
      </w:r>
      <w:r w:rsidR="00272E9B" w:rsidRPr="00251DAB">
        <w:rPr>
          <w:bCs/>
        </w:rPr>
        <w:t xml:space="preserve">1 g/10 </w:t>
      </w:r>
      <w:r w:rsidR="00C276A1" w:rsidRPr="00251DAB">
        <w:rPr>
          <w:bCs/>
        </w:rPr>
        <w:t>m</w:t>
      </w:r>
      <w:r w:rsidR="00C276A1">
        <w:rPr>
          <w:bCs/>
        </w:rPr>
        <w:t>l</w:t>
      </w:r>
      <w:r w:rsidR="00394D21">
        <w:rPr>
          <w:bCs/>
        </w:rPr>
        <w:t xml:space="preserve"> e </w:t>
      </w:r>
      <w:r w:rsidR="00272E9B">
        <w:rPr>
          <w:bCs/>
        </w:rPr>
        <w:t>2</w:t>
      </w:r>
      <w:r w:rsidR="00272E9B" w:rsidRPr="00251DAB">
        <w:rPr>
          <w:bCs/>
        </w:rPr>
        <w:t xml:space="preserve"> g/10 </w:t>
      </w:r>
      <w:r w:rsidR="00C276A1" w:rsidRPr="00251DAB">
        <w:rPr>
          <w:bCs/>
        </w:rPr>
        <w:t>m</w:t>
      </w:r>
      <w:r w:rsidR="00C276A1">
        <w:rPr>
          <w:bCs/>
        </w:rPr>
        <w:t xml:space="preserve">l </w:t>
      </w:r>
      <w:r w:rsidR="008C2C70">
        <w:t>.</w:t>
      </w:r>
    </w:p>
    <w:p w:rsidR="004E5DDB" w:rsidRDefault="008C2C70">
      <w:pPr>
        <w:spacing w:after="0" w:line="240" w:lineRule="auto"/>
        <w:jc w:val="both"/>
        <w:rPr>
          <w:bCs/>
        </w:rPr>
      </w:pPr>
      <w:r>
        <w:t xml:space="preserve">Gli eccipienti sono </w:t>
      </w:r>
      <w:r w:rsidR="00272E9B">
        <w:rPr>
          <w:bCs/>
        </w:rPr>
        <w:t xml:space="preserve">sodio benzoato, saccarina sodica, acido malico, aroma ananas, acido idrocloridrico diluito, acqua purificata. </w:t>
      </w:r>
    </w:p>
    <w:p w:rsidR="006C0F4B" w:rsidRPr="005F7971" w:rsidRDefault="008C2C70" w:rsidP="006C0F4B">
      <w:pPr>
        <w:spacing w:after="0" w:line="240" w:lineRule="auto"/>
        <w:ind w:right="13"/>
        <w:jc w:val="both"/>
      </w:pPr>
      <w:r>
        <w:t>Tutti gli eccipienti sono conformi alla relativa m</w:t>
      </w:r>
      <w:r w:rsidR="00272E9B">
        <w:t>onografia di Farmacopea Europea,</w:t>
      </w:r>
      <w:r w:rsidR="006C0F4B" w:rsidRPr="00F93450">
        <w:t xml:space="preserve"> ad eccezione </w:t>
      </w:r>
      <w:r w:rsidR="006C0F4B">
        <w:t>dell’aroma ananas,</w:t>
      </w:r>
      <w:r w:rsidR="006C0F4B" w:rsidRPr="00F93450">
        <w:t xml:space="preserve"> </w:t>
      </w:r>
      <w:r w:rsidR="006C0F4B">
        <w:t>che è conforme alla normativa vigente</w:t>
      </w:r>
      <w:r w:rsidR="006C0F4B" w:rsidRPr="00F93450">
        <w:t xml:space="preserve"> </w:t>
      </w:r>
      <w:r w:rsidR="006C0F4B">
        <w:t xml:space="preserve">e </w:t>
      </w:r>
      <w:r w:rsidR="006C0F4B" w:rsidRPr="00F93450">
        <w:t>le cui specifiche sono state adeguatamente definite dal produttore.</w:t>
      </w:r>
    </w:p>
    <w:p w:rsidR="004E5DDB" w:rsidRDefault="008C2C70">
      <w:pPr>
        <w:spacing w:after="0" w:line="240" w:lineRule="auto"/>
        <w:jc w:val="both"/>
      </w:pPr>
      <w:r>
        <w:t>Nessun eccipiente è ottenuto da organismi geneticamente modificati; non sono presenti eccipienti mai utilizzati nell’uomo.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>Sviluppo farmaceutico</w:t>
      </w:r>
    </w:p>
    <w:p w:rsidR="004E5DDB" w:rsidRDefault="008C2C70">
      <w:pPr>
        <w:spacing w:after="0" w:line="240" w:lineRule="auto"/>
        <w:jc w:val="both"/>
      </w:pPr>
      <w:r>
        <w:t>Sono stati forniti dettagli dello sviluppo farmaceutico e questi sono stati ritenuti soddisfacenti.</w:t>
      </w:r>
    </w:p>
    <w:p w:rsidR="004E5DDB" w:rsidRDefault="008C2C70">
      <w:pPr>
        <w:spacing w:after="0" w:line="240" w:lineRule="auto"/>
        <w:jc w:val="both"/>
      </w:pPr>
      <w:r>
        <w:t xml:space="preserve">Lo scopo era quello di ottenere un medicinale bioequivalente al medicinale di riferimento </w:t>
      </w:r>
      <w:r w:rsidR="003E335D">
        <w:t>Carnitene.</w:t>
      </w:r>
    </w:p>
    <w:p w:rsidR="004E5DDB" w:rsidRDefault="008C2C70">
      <w:pPr>
        <w:spacing w:after="0" w:line="240" w:lineRule="auto"/>
        <w:jc w:val="both"/>
      </w:pPr>
      <w:r>
        <w:t>Sono stati forniti dati comparativi relativi al profilo di impurezze rispetto al medicinale di riferimento. I dati sono soddisfacenti.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 xml:space="preserve">Produzione </w:t>
      </w:r>
    </w:p>
    <w:p w:rsidR="004E5DDB" w:rsidRDefault="008C2C70">
      <w:pPr>
        <w:spacing w:after="0" w:line="240" w:lineRule="auto"/>
        <w:jc w:val="both"/>
      </w:pPr>
      <w:r>
        <w:t>Sono stati forniti una descrizione del metodo di produzione e la relativa flow-chart.</w:t>
      </w:r>
    </w:p>
    <w:p w:rsidR="004E5DDB" w:rsidRDefault="008C2C70">
      <w:pPr>
        <w:spacing w:after="0" w:line="240" w:lineRule="auto"/>
        <w:jc w:val="both"/>
      </w:pPr>
      <w:r>
        <w:t>I controlli effettuati nel corso della produzione sono appropriati per la natura del medicinale e del metodo di produzione. Sono stati forniti, inoltre, dati soddisfacenti relativi alla convalida del metodo di produzione.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>Specifiche del prodotto finito</w:t>
      </w:r>
    </w:p>
    <w:p w:rsidR="004E5DDB" w:rsidRDefault="008C2C70">
      <w:pPr>
        <w:spacing w:after="0" w:line="240" w:lineRule="auto"/>
        <w:jc w:val="both"/>
      </w:pPr>
      <w:r>
        <w:t>Sono state fornite adeguate specifiche di controllo per il prodotto finito al rilascio e alla fine della validità. I metodi analitici sono stati descritti e adeguatamente convalidati. Sono stati forniti, inoltre, dati analitici per tutti i dosaggi del prodotto finito: questi dati dimostrano che i lotti prodotti sono in accordo alle specifiche proposte. Sono stati forniti, infine, certificati analitici per gli standard di riferimento utilizzati.</w:t>
      </w:r>
    </w:p>
    <w:p w:rsidR="004E5DDB" w:rsidRDefault="004E5DDB">
      <w:pPr>
        <w:spacing w:after="0" w:line="240" w:lineRule="auto"/>
        <w:jc w:val="both"/>
        <w:rPr>
          <w:b/>
        </w:rPr>
      </w:pPr>
    </w:p>
    <w:p w:rsidR="007F6154" w:rsidRDefault="007F6154">
      <w:pPr>
        <w:spacing w:after="0" w:line="240" w:lineRule="auto"/>
        <w:jc w:val="both"/>
        <w:rPr>
          <w:b/>
        </w:rPr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Contenitore</w:t>
      </w:r>
    </w:p>
    <w:p w:rsidR="004E5DDB" w:rsidRDefault="00265228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FB2726">
        <w:t xml:space="preserve"> </w:t>
      </w:r>
      <w:r w:rsidR="008C2C70">
        <w:t xml:space="preserve">è confezionato in </w:t>
      </w:r>
      <w:r w:rsidR="003E335D">
        <w:rPr>
          <w:bCs/>
        </w:rPr>
        <w:t xml:space="preserve"> contenitori monodose </w:t>
      </w:r>
      <w:r w:rsidR="006C0F4B">
        <w:rPr>
          <w:bCs/>
        </w:rPr>
        <w:t xml:space="preserve">in </w:t>
      </w:r>
      <w:r w:rsidR="00E35F8C">
        <w:rPr>
          <w:bCs/>
        </w:rPr>
        <w:t>PE</w:t>
      </w:r>
      <w:r w:rsidR="00A14796">
        <w:rPr>
          <w:bCs/>
        </w:rPr>
        <w:t>T</w:t>
      </w:r>
      <w:r w:rsidR="00E35F8C">
        <w:rPr>
          <w:bCs/>
        </w:rPr>
        <w:t>/AL</w:t>
      </w:r>
      <w:r w:rsidR="00A14796">
        <w:rPr>
          <w:bCs/>
        </w:rPr>
        <w:t>/PE</w:t>
      </w:r>
      <w:r w:rsidR="008C2C70">
        <w:t xml:space="preserve"> è adeguato per il medicinale.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>
        <w:rPr>
          <w:b/>
        </w:rPr>
        <w:t>Stabilità</w:t>
      </w:r>
    </w:p>
    <w:p w:rsidR="004E5DDB" w:rsidRDefault="008C2C70">
      <w:pPr>
        <w:spacing w:after="0" w:line="240" w:lineRule="auto"/>
        <w:jc w:val="both"/>
      </w:pPr>
      <w:r>
        <w:t>S</w:t>
      </w:r>
      <w:r w:rsidRPr="003461BA">
        <w:t>tudi di stabilità sul prodotto finito sono stati condotti in accordo alle correnti linee guida e i risultati sono entro i limiti delle specifiche autorizzate. Sulla base di questi risultati, è stato autorizzato un periodo di validità di 2 anni</w:t>
      </w:r>
      <w:r w:rsidR="006C0F4B">
        <w:t>.</w:t>
      </w:r>
    </w:p>
    <w:p w:rsidR="004E5DDB" w:rsidRDefault="004E5DDB">
      <w:pPr>
        <w:spacing w:after="0" w:line="240" w:lineRule="auto"/>
        <w:jc w:val="both"/>
      </w:pPr>
    </w:p>
    <w:p w:rsidR="004E5DDB" w:rsidRDefault="00272E9B">
      <w:pPr>
        <w:spacing w:after="0" w:line="240" w:lineRule="auto"/>
        <w:jc w:val="both"/>
        <w:rPr>
          <w:b/>
        </w:rPr>
      </w:pPr>
      <w:r w:rsidRPr="003461BA">
        <w:rPr>
          <w:b/>
        </w:rPr>
        <w:t>II.2.b PRODOTTO FINITO – soluzione iniettabile</w:t>
      </w:r>
    </w:p>
    <w:p w:rsidR="004E5DDB" w:rsidRDefault="00272E9B">
      <w:pPr>
        <w:spacing w:after="0" w:line="240" w:lineRule="auto"/>
        <w:jc w:val="both"/>
        <w:rPr>
          <w:b/>
        </w:rPr>
      </w:pPr>
      <w:r w:rsidRPr="003461BA">
        <w:rPr>
          <w:b/>
        </w:rPr>
        <w:t>Descrizione e composizione</w:t>
      </w:r>
    </w:p>
    <w:p w:rsidR="00D2636B" w:rsidRDefault="00265228" w:rsidP="00136B0D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D2636B" w:rsidRPr="003461BA">
        <w:t xml:space="preserve"> è disponibile </w:t>
      </w:r>
      <w:r w:rsidR="00394D21">
        <w:t>come</w:t>
      </w:r>
      <w:r w:rsidR="006C0F4B" w:rsidRPr="003461BA">
        <w:t xml:space="preserve"> </w:t>
      </w:r>
      <w:r w:rsidR="00D2636B" w:rsidRPr="003461BA">
        <w:t xml:space="preserve">soluzione iniettabile </w:t>
      </w:r>
      <w:r w:rsidR="006C0F4B" w:rsidRPr="003461BA">
        <w:t>contenent</w:t>
      </w:r>
      <w:r w:rsidR="006C0F4B">
        <w:t>e</w:t>
      </w:r>
      <w:r w:rsidR="00394D21">
        <w:t xml:space="preserve"> il principio attivo alla concentrazione di</w:t>
      </w:r>
      <w:r w:rsidR="006C0F4B" w:rsidRPr="003461BA">
        <w:t xml:space="preserve"> </w:t>
      </w:r>
      <w:r w:rsidR="00D2636B" w:rsidRPr="003461BA">
        <w:rPr>
          <w:bCs/>
        </w:rPr>
        <w:t>1 g/</w:t>
      </w:r>
      <w:r w:rsidR="006C0F4B" w:rsidRPr="003461BA">
        <w:rPr>
          <w:bCs/>
        </w:rPr>
        <w:t>5</w:t>
      </w:r>
      <w:r w:rsidR="00394D21">
        <w:rPr>
          <w:bCs/>
        </w:rPr>
        <w:t xml:space="preserve"> </w:t>
      </w:r>
      <w:r w:rsidR="006C0F4B" w:rsidRPr="003461BA">
        <w:rPr>
          <w:bCs/>
        </w:rPr>
        <w:t>m</w:t>
      </w:r>
      <w:r w:rsidR="006C0F4B">
        <w:rPr>
          <w:bCs/>
        </w:rPr>
        <w:t>l</w:t>
      </w:r>
      <w:r w:rsidR="00D2636B" w:rsidRPr="003461BA">
        <w:rPr>
          <w:bCs/>
        </w:rPr>
        <w:t>, 2 g/</w:t>
      </w:r>
      <w:r w:rsidR="006C0F4B" w:rsidRPr="003461BA">
        <w:rPr>
          <w:bCs/>
        </w:rPr>
        <w:t>5</w:t>
      </w:r>
      <w:r w:rsidR="00394D21">
        <w:rPr>
          <w:bCs/>
        </w:rPr>
        <w:t xml:space="preserve"> </w:t>
      </w:r>
      <w:r w:rsidR="006C0F4B" w:rsidRPr="003461BA">
        <w:rPr>
          <w:bCs/>
        </w:rPr>
        <w:t>m</w:t>
      </w:r>
      <w:r w:rsidR="006C0F4B">
        <w:rPr>
          <w:bCs/>
        </w:rPr>
        <w:t>l</w:t>
      </w:r>
      <w:r w:rsidR="00D2636B">
        <w:t>.</w:t>
      </w:r>
    </w:p>
    <w:p w:rsidR="00272E9B" w:rsidRDefault="00272E9B" w:rsidP="00136B0D">
      <w:pPr>
        <w:spacing w:after="0" w:line="240" w:lineRule="auto"/>
        <w:jc w:val="both"/>
      </w:pPr>
      <w:r>
        <w:t xml:space="preserve">Gli eccipienti sono acido cloridrico </w:t>
      </w:r>
      <w:r w:rsidR="00D2636B">
        <w:t>diluito</w:t>
      </w:r>
      <w:r>
        <w:t xml:space="preserve"> e acqua per preparazioni iniettabili</w:t>
      </w:r>
      <w:r w:rsidR="00394D21">
        <w:t>.</w:t>
      </w:r>
    </w:p>
    <w:p w:rsidR="004E5DDB" w:rsidRDefault="00272E9B">
      <w:pPr>
        <w:spacing w:after="0" w:line="240" w:lineRule="auto"/>
        <w:ind w:right="13"/>
        <w:jc w:val="both"/>
      </w:pPr>
      <w:r>
        <w:t>Tutti gli eccipienti sono conformi alla relativa monografia di Farmacopea Europea.</w:t>
      </w:r>
    </w:p>
    <w:p w:rsidR="004E5DDB" w:rsidRDefault="00272E9B">
      <w:pPr>
        <w:spacing w:after="0" w:line="240" w:lineRule="auto"/>
        <w:jc w:val="both"/>
      </w:pPr>
      <w:r>
        <w:t>Nessun eccipiente è ottenuto da organismi geneticamente modificati; non sono presenti eccipienti mai utilizzati nell’uomo.</w:t>
      </w:r>
    </w:p>
    <w:p w:rsidR="004E5DDB" w:rsidRDefault="004E5DDB">
      <w:pPr>
        <w:spacing w:after="0" w:line="240" w:lineRule="auto"/>
        <w:jc w:val="both"/>
      </w:pPr>
    </w:p>
    <w:p w:rsidR="004E5DDB" w:rsidRDefault="00272E9B">
      <w:pPr>
        <w:spacing w:after="0" w:line="240" w:lineRule="auto"/>
        <w:jc w:val="both"/>
        <w:rPr>
          <w:b/>
        </w:rPr>
      </w:pPr>
      <w:r>
        <w:rPr>
          <w:b/>
        </w:rPr>
        <w:t>Sviluppo farmaceutico</w:t>
      </w:r>
    </w:p>
    <w:p w:rsidR="004E5DDB" w:rsidRDefault="00272E9B">
      <w:pPr>
        <w:spacing w:after="0" w:line="240" w:lineRule="auto"/>
        <w:jc w:val="both"/>
      </w:pPr>
      <w:r>
        <w:t>Sono stati forniti dettagli dello sviluppo farmaceutico e questi sono stati ritenuti soddisfacenti.</w:t>
      </w:r>
    </w:p>
    <w:p w:rsidR="004E5DDB" w:rsidRDefault="00272E9B">
      <w:pPr>
        <w:spacing w:after="0" w:line="240" w:lineRule="auto"/>
        <w:jc w:val="both"/>
      </w:pPr>
      <w:r>
        <w:t xml:space="preserve">Lo scopo era quello di ottenere un medicinale bioequivalente al medicinale di riferimento </w:t>
      </w:r>
      <w:r w:rsidR="00D37641">
        <w:t>Carnitene</w:t>
      </w:r>
      <w:r>
        <w:t>.</w:t>
      </w:r>
    </w:p>
    <w:p w:rsidR="004E5DDB" w:rsidRDefault="00272E9B">
      <w:pPr>
        <w:spacing w:after="0" w:line="240" w:lineRule="auto"/>
        <w:jc w:val="both"/>
      </w:pPr>
      <w:r>
        <w:t>Sono stati forniti dati comparativi relativi al profilo di impurezze rispetto al medicinale di riferimento. I dati sono soddisfacenti.</w:t>
      </w:r>
    </w:p>
    <w:p w:rsidR="004E5DDB" w:rsidRDefault="004E5DDB">
      <w:pPr>
        <w:spacing w:after="0" w:line="240" w:lineRule="auto"/>
        <w:jc w:val="both"/>
      </w:pPr>
    </w:p>
    <w:p w:rsidR="004E5DDB" w:rsidRDefault="00272E9B">
      <w:pPr>
        <w:spacing w:after="0" w:line="240" w:lineRule="auto"/>
        <w:jc w:val="both"/>
        <w:rPr>
          <w:b/>
        </w:rPr>
      </w:pPr>
      <w:r>
        <w:rPr>
          <w:b/>
        </w:rPr>
        <w:t xml:space="preserve">Produzione </w:t>
      </w:r>
    </w:p>
    <w:p w:rsidR="004E5DDB" w:rsidRDefault="00272E9B">
      <w:pPr>
        <w:spacing w:after="0" w:line="240" w:lineRule="auto"/>
        <w:jc w:val="both"/>
      </w:pPr>
      <w:r>
        <w:t>Sono stati forniti una descrizione del metodo di produzione e la relativa flow-chart.</w:t>
      </w:r>
    </w:p>
    <w:p w:rsidR="004E5DDB" w:rsidRDefault="00272E9B">
      <w:pPr>
        <w:spacing w:after="0" w:line="240" w:lineRule="auto"/>
        <w:jc w:val="both"/>
      </w:pPr>
      <w:r>
        <w:t>I controlli effettuati nel corso della produzione sono appropriati per la natura del medicinale e del metodo di produzione. Sono stati forniti, inoltre, dati soddisfacenti relativi alla convalida del metodo di produzione.</w:t>
      </w:r>
    </w:p>
    <w:p w:rsidR="004E5DDB" w:rsidRDefault="004E5DDB">
      <w:pPr>
        <w:spacing w:after="0" w:line="240" w:lineRule="auto"/>
        <w:jc w:val="both"/>
      </w:pPr>
    </w:p>
    <w:p w:rsidR="004E5DDB" w:rsidRDefault="00272E9B">
      <w:pPr>
        <w:spacing w:after="0" w:line="240" w:lineRule="auto"/>
        <w:jc w:val="both"/>
        <w:rPr>
          <w:b/>
        </w:rPr>
      </w:pPr>
      <w:r>
        <w:rPr>
          <w:b/>
        </w:rPr>
        <w:t>Specifiche del prodotto finito</w:t>
      </w:r>
    </w:p>
    <w:p w:rsidR="004E5DDB" w:rsidRDefault="00272E9B">
      <w:pPr>
        <w:spacing w:after="0" w:line="240" w:lineRule="auto"/>
        <w:jc w:val="both"/>
      </w:pPr>
      <w:r>
        <w:t>Sono state fornite adeguate specifiche di controllo per il prodotto finito al rilascio e alla fine della validità. I metodi analitici sono stati descritti e adeguatamente convalidati. Sono stati forniti, inoltre, dati analitici per tutti i dosaggi del prodotto finito: questi dati dimostrano che i lotti prodotti sono in accordo alle specifiche proposte. Sono stati forniti, infine, certificati analitici per gli standard di riferimento utilizzati.</w:t>
      </w:r>
    </w:p>
    <w:p w:rsidR="004E5DDB" w:rsidRDefault="004E5DDB">
      <w:pPr>
        <w:spacing w:after="0" w:line="240" w:lineRule="auto"/>
        <w:jc w:val="both"/>
        <w:rPr>
          <w:b/>
        </w:rPr>
      </w:pPr>
    </w:p>
    <w:p w:rsidR="004E5DDB" w:rsidRDefault="00272E9B">
      <w:pPr>
        <w:spacing w:after="0" w:line="240" w:lineRule="auto"/>
        <w:jc w:val="both"/>
        <w:rPr>
          <w:b/>
        </w:rPr>
      </w:pPr>
      <w:r>
        <w:rPr>
          <w:b/>
        </w:rPr>
        <w:t>Contenitore</w:t>
      </w:r>
    </w:p>
    <w:p w:rsidR="004E5DDB" w:rsidRDefault="00265228">
      <w:pPr>
        <w:spacing w:after="0" w:line="240" w:lineRule="auto"/>
        <w:jc w:val="both"/>
      </w:pPr>
      <w:r>
        <w:rPr>
          <w:rFonts w:eastAsia="Calibri" w:cs="Calibri"/>
          <w:color w:val="000000"/>
          <w:lang w:eastAsia="it-IT"/>
        </w:rPr>
        <w:t>Carreflor</w:t>
      </w:r>
      <w:r w:rsidR="00FB2726">
        <w:t xml:space="preserve"> </w:t>
      </w:r>
      <w:r w:rsidR="00272E9B">
        <w:t xml:space="preserve">è confezionato in </w:t>
      </w:r>
      <w:r w:rsidR="00D2636B">
        <w:t xml:space="preserve"> fiale di vetro scuro.</w:t>
      </w:r>
      <w:r w:rsidR="00272E9B">
        <w:t xml:space="preserve"> Sono state fornite specifiche e certificati analitici per tutti i componenti del confezionamento primario, che è adeguato per il medicinale.</w:t>
      </w:r>
    </w:p>
    <w:p w:rsidR="004E5DDB" w:rsidRDefault="004E5DDB">
      <w:pPr>
        <w:spacing w:after="0" w:line="240" w:lineRule="auto"/>
        <w:jc w:val="both"/>
      </w:pPr>
    </w:p>
    <w:p w:rsidR="004E5DDB" w:rsidRDefault="00272E9B">
      <w:pPr>
        <w:spacing w:after="0" w:line="240" w:lineRule="auto"/>
        <w:jc w:val="both"/>
        <w:rPr>
          <w:b/>
        </w:rPr>
      </w:pPr>
      <w:r>
        <w:rPr>
          <w:b/>
        </w:rPr>
        <w:t>Stabilità</w:t>
      </w:r>
    </w:p>
    <w:p w:rsidR="004E5DDB" w:rsidRDefault="00272E9B">
      <w:pPr>
        <w:spacing w:after="0" w:line="240" w:lineRule="auto"/>
        <w:jc w:val="both"/>
      </w:pPr>
      <w:r>
        <w:t>St</w:t>
      </w:r>
      <w:r w:rsidRPr="003461BA">
        <w:t>udi di stabilità sul prodotto finito sono stati condotti in accordo alle correnti linee guida e i risultati sono entro i limiti delle specifiche autorizzate. Sulla base di questi risultati, è stato autorizzato un periodo di validità di 2 anni</w:t>
      </w:r>
      <w:r w:rsidR="00394D21">
        <w:t>.</w:t>
      </w: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b/>
        </w:rPr>
      </w:pPr>
      <w:r w:rsidRPr="003461BA">
        <w:rPr>
          <w:b/>
        </w:rPr>
        <w:t>II.3 Discussione sugli aspetti di qualità</w:t>
      </w:r>
    </w:p>
    <w:p w:rsidR="004E5DDB" w:rsidRDefault="008C2C70">
      <w:pPr>
        <w:spacing w:after="0" w:line="240" w:lineRule="auto"/>
        <w:jc w:val="both"/>
      </w:pPr>
      <w:r w:rsidRPr="003461BA">
        <w:t>Tutte le criticità evidenziate n</w:t>
      </w:r>
      <w:r>
        <w:t xml:space="preserve">el corso della valutazione sono state risolte e la qualità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FB2726">
        <w:t xml:space="preserve"> </w:t>
      </w:r>
      <w:r>
        <w:t xml:space="preserve">è considerata adeguata. Non ci sono obiezioni per l’approvazione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394D21">
        <w:t xml:space="preserve"> </w:t>
      </w:r>
      <w:r>
        <w:t>dal punto di vista chimico-farmaceutico.</w:t>
      </w:r>
    </w:p>
    <w:p w:rsidR="004E5DDB" w:rsidRDefault="004E5DDB">
      <w:pPr>
        <w:spacing w:after="0" w:line="240" w:lineRule="auto"/>
        <w:jc w:val="both"/>
      </w:pP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t>ASPETTI NON CLINICI</w:t>
      </w:r>
    </w:p>
    <w:p w:rsidR="004E5DDB" w:rsidRDefault="008C2C70">
      <w:pPr>
        <w:spacing w:after="0" w:line="240" w:lineRule="auto"/>
        <w:jc w:val="both"/>
      </w:pPr>
      <w:r>
        <w:t xml:space="preserve">Non sono stati condotti specifici studi non clinici, in quanto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FB2726">
        <w:t xml:space="preserve"> </w:t>
      </w:r>
      <w:r>
        <w:t xml:space="preserve">contiene un principio attivo noto: questo approccio è accettabile poiché il medicinale di riferimento </w:t>
      </w:r>
      <w:r w:rsidR="00D37641">
        <w:t>Carnitene</w:t>
      </w:r>
      <w:r>
        <w:t xml:space="preserve"> è autorizzato in Italia da oltre 10 anni.</w:t>
      </w:r>
    </w:p>
    <w:p w:rsidR="004E5DDB" w:rsidRDefault="008C2C70">
      <w:pPr>
        <w:spacing w:after="0" w:line="240" w:lineRule="auto"/>
        <w:jc w:val="both"/>
      </w:pPr>
      <w:r>
        <w:t>Non ci sono obiezioni per l’approvazione dal punto di vista non clinico.</w:t>
      </w:r>
    </w:p>
    <w:p w:rsidR="004E5DDB" w:rsidRDefault="004E5DDB">
      <w:pPr>
        <w:spacing w:after="0" w:line="240" w:lineRule="auto"/>
        <w:jc w:val="both"/>
      </w:pP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t>ASPETTI CLINICI</w:t>
      </w:r>
    </w:p>
    <w:p w:rsidR="004E5DDB" w:rsidRDefault="00265228">
      <w:pPr>
        <w:widowControl w:val="0"/>
        <w:spacing w:after="0" w:line="240" w:lineRule="auto"/>
        <w:jc w:val="both"/>
        <w:rPr>
          <w:rFonts w:eastAsia="Calibri" w:cs="Calibri"/>
          <w:lang w:eastAsia="it-IT"/>
        </w:rPr>
      </w:pPr>
      <w:proofErr w:type="spellStart"/>
      <w:r>
        <w:rPr>
          <w:rFonts w:eastAsia="Calibri" w:cs="Calibri"/>
          <w:color w:val="000000"/>
          <w:lang w:eastAsia="it-IT"/>
        </w:rPr>
        <w:t>Carreflor</w:t>
      </w:r>
      <w:proofErr w:type="spellEnd"/>
      <w:r w:rsidR="00037C59" w:rsidRPr="00037C59">
        <w:rPr>
          <w:rFonts w:eastAsia="Calibri" w:cs="Calibri"/>
          <w:lang w:eastAsia="it-IT"/>
        </w:rPr>
        <w:t xml:space="preserve"> è </w:t>
      </w:r>
      <w:r w:rsidR="00394D21">
        <w:rPr>
          <w:rFonts w:eastAsia="Calibri" w:cs="Calibri"/>
          <w:lang w:eastAsia="it-IT"/>
        </w:rPr>
        <w:t>util</w:t>
      </w:r>
      <w:r w:rsidR="00FB3514">
        <w:rPr>
          <w:rFonts w:eastAsia="Calibri" w:cs="Calibri"/>
          <w:lang w:eastAsia="it-IT"/>
        </w:rPr>
        <w:t>i</w:t>
      </w:r>
      <w:r w:rsidR="00394D21">
        <w:rPr>
          <w:rFonts w:eastAsia="Calibri" w:cs="Calibri"/>
          <w:lang w:eastAsia="it-IT"/>
        </w:rPr>
        <w:t>zzato nel trattamento delle deficienze primarie e secondarie di carnitina.</w:t>
      </w:r>
    </w:p>
    <w:p w:rsidR="004E5DDB" w:rsidRDefault="004E5DDB">
      <w:pPr>
        <w:spacing w:after="0" w:line="240" w:lineRule="auto"/>
        <w:jc w:val="both"/>
        <w:rPr>
          <w:rFonts w:eastAsia="Times New Roman"/>
          <w:lang w:eastAsia="it-IT"/>
        </w:rPr>
      </w:pPr>
    </w:p>
    <w:p w:rsidR="004E5DDB" w:rsidRDefault="008C2C70">
      <w:pPr>
        <w:spacing w:after="0" w:line="240" w:lineRule="auto"/>
        <w:ind w:right="6"/>
        <w:jc w:val="both"/>
        <w:rPr>
          <w:b/>
        </w:rPr>
      </w:pPr>
      <w:r>
        <w:rPr>
          <w:b/>
        </w:rPr>
        <w:t>Posologia e modalità di somministrazione</w:t>
      </w:r>
    </w:p>
    <w:p w:rsidR="004E5DDB" w:rsidRDefault="008C2C70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t>Le informazioni sulla posologia e sulle modalità di somministrazione sono riportate nel Riassunto delle Caratteristiche del Prodotto pubblicato sul sito dell’Agenzia Italiana del Farmaco - AIFA /</w:t>
      </w:r>
      <w:r>
        <w:rPr>
          <w:rFonts w:eastAsia="Calibri" w:cs="Calibri"/>
          <w:lang w:eastAsia="it-IT"/>
        </w:rPr>
        <w:t>(</w:t>
      </w:r>
      <w:hyperlink r:id="rId8" w:history="1">
        <w:r>
          <w:rPr>
            <w:rStyle w:val="Collegamentoipertestuale"/>
            <w:rFonts w:eastAsia="Calibri" w:cs="Calibri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</w:p>
    <w:p w:rsidR="004E5DDB" w:rsidRDefault="004E5DDB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4E5DDB" w:rsidRDefault="008C2C70">
      <w:pPr>
        <w:spacing w:after="0" w:line="240" w:lineRule="auto"/>
        <w:ind w:right="6"/>
        <w:jc w:val="both"/>
        <w:rPr>
          <w:rFonts w:eastAsia="Calibri" w:cs="Calibri"/>
          <w:b/>
          <w:lang w:eastAsia="it-IT"/>
        </w:rPr>
      </w:pPr>
      <w:r>
        <w:rPr>
          <w:rFonts w:eastAsia="Calibri" w:cs="Calibri"/>
          <w:b/>
          <w:lang w:eastAsia="it-IT"/>
        </w:rPr>
        <w:t>Tossicologia</w:t>
      </w:r>
    </w:p>
    <w:p w:rsidR="004E5DDB" w:rsidRDefault="008C2C70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tossicologia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060B90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lang w:eastAsia="it-IT"/>
        </w:rPr>
        <w:t>è ben conosciuta; non è stato necessario presentare ulteriori dati.</w:t>
      </w:r>
    </w:p>
    <w:p w:rsidR="004E5DDB" w:rsidRDefault="004E5DDB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4E5DDB" w:rsidRDefault="008C2C70">
      <w:pPr>
        <w:spacing w:after="0" w:line="240" w:lineRule="auto"/>
        <w:ind w:right="6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Farmacologia clinica</w:t>
      </w:r>
    </w:p>
    <w:p w:rsidR="008C2C70" w:rsidRDefault="008C2C70" w:rsidP="00136B0D">
      <w:pPr>
        <w:spacing w:after="0" w:line="240" w:lineRule="auto"/>
        <w:jc w:val="both"/>
      </w:pPr>
      <w:r>
        <w:rPr>
          <w:rFonts w:eastAsia="Calibri" w:cs="Calibri"/>
          <w:lang w:eastAsia="it-IT"/>
        </w:rPr>
        <w:t xml:space="preserve">La farmacologia clinica di </w:t>
      </w:r>
      <w:proofErr w:type="spellStart"/>
      <w:r w:rsidR="00265228">
        <w:rPr>
          <w:rFonts w:eastAsia="Calibri" w:cs="Calibri"/>
          <w:color w:val="000000"/>
          <w:lang w:eastAsia="it-IT"/>
        </w:rPr>
        <w:t>Carreflor</w:t>
      </w:r>
      <w:proofErr w:type="spellEnd"/>
      <w:r w:rsidR="00060B90">
        <w:rPr>
          <w:rFonts w:eastAsia="Calibri" w:cs="Calibri"/>
          <w:color w:val="000000"/>
          <w:lang w:eastAsia="it-IT"/>
        </w:rPr>
        <w:t xml:space="preserve"> </w:t>
      </w:r>
      <w:r>
        <w:rPr>
          <w:rFonts w:eastAsia="Calibri" w:cs="Calibri"/>
          <w:lang w:eastAsia="it-IT"/>
        </w:rPr>
        <w:t xml:space="preserve">è ben conosciuta. </w:t>
      </w:r>
      <w:r w:rsidR="00037C59">
        <w:t>N</w:t>
      </w:r>
      <w:r>
        <w:t xml:space="preserve">on sono stati condotti nuovi studi clinici di farmacodinamica e farmacocinetica, in quanto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037C59">
        <w:rPr>
          <w:rFonts w:eastAsia="Calibri" w:cs="Calibri"/>
          <w:color w:val="000000"/>
          <w:lang w:eastAsia="it-IT"/>
        </w:rPr>
        <w:t xml:space="preserve"> </w:t>
      </w:r>
      <w:r>
        <w:t xml:space="preserve">contiene un principio attivo noto e presente nel medicinale </w:t>
      </w:r>
      <w:r w:rsidR="00037C59">
        <w:t>Carnitene</w:t>
      </w:r>
      <w:r>
        <w:t xml:space="preserve"> autorizzato in Italia da più di 10 anni.</w:t>
      </w:r>
    </w:p>
    <w:p w:rsidR="00F54CB1" w:rsidRDefault="00F54CB1" w:rsidP="00136B0D">
      <w:pPr>
        <w:spacing w:after="0" w:line="240" w:lineRule="auto"/>
        <w:jc w:val="both"/>
      </w:pPr>
    </w:p>
    <w:p w:rsidR="004E5DDB" w:rsidRDefault="008C2C70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</w:rPr>
        <w:t>Efficacia e sicurezza clinica</w:t>
      </w:r>
    </w:p>
    <w:p w:rsidR="008C2C70" w:rsidRDefault="008C2C70" w:rsidP="00136B0D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Non sono stati presentati nuovi dati di efficacia e sicurezza clinica: il profilo di sicurezza e l’efficacia del principio attivo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060B90">
        <w:rPr>
          <w:rFonts w:cs="Arial"/>
        </w:rPr>
        <w:t xml:space="preserve"> </w:t>
      </w:r>
      <w:r>
        <w:rPr>
          <w:rFonts w:cs="Arial"/>
        </w:rPr>
        <w:t xml:space="preserve">è ben conosciuto; inoltre è stato possibile concedere l’esenzione dalla conduzione di studi clinici di confronto con il medicinale di riferimento in quanto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060B90">
        <w:rPr>
          <w:rFonts w:cs="Arial"/>
        </w:rPr>
        <w:t xml:space="preserve"> </w:t>
      </w:r>
      <w:r w:rsidR="00692F86">
        <w:rPr>
          <w:rFonts w:cs="Arial"/>
        </w:rPr>
        <w:t xml:space="preserve">è somministrato come soluzione orale e soluzione iniettabile con </w:t>
      </w:r>
      <w:r>
        <w:rPr>
          <w:rFonts w:cs="Arial"/>
        </w:rPr>
        <w:t>la stessa composizione del medicinale di riferimento</w:t>
      </w:r>
      <w:r w:rsidR="00692F86">
        <w:rPr>
          <w:rFonts w:cs="Arial"/>
        </w:rPr>
        <w:t>.</w:t>
      </w:r>
      <w:r>
        <w:rPr>
          <w:rFonts w:cs="Arial"/>
        </w:rPr>
        <w:t xml:space="preserve"> </w:t>
      </w: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p w:rsidR="004E5DDB" w:rsidRDefault="008C2C70">
      <w:pPr>
        <w:pStyle w:val="Paragrafoelenco"/>
        <w:spacing w:after="0" w:line="240" w:lineRule="auto"/>
        <w:ind w:left="0"/>
        <w:jc w:val="both"/>
        <w:rPr>
          <w:b/>
        </w:rPr>
      </w:pPr>
      <w:r>
        <w:rPr>
          <w:b/>
        </w:rPr>
        <w:t>Piano di Valutazione del Rischio (</w:t>
      </w:r>
      <w:r>
        <w:rPr>
          <w:b/>
          <w:i/>
        </w:rPr>
        <w:t>Risk Management Plan</w:t>
      </w:r>
      <w:r>
        <w:rPr>
          <w:b/>
        </w:rPr>
        <w:t xml:space="preserve"> - RMP)</w:t>
      </w:r>
    </w:p>
    <w:p w:rsidR="004E5DDB" w:rsidRDefault="008C2C70">
      <w:pPr>
        <w:pStyle w:val="Paragrafoelenco"/>
        <w:spacing w:after="0" w:line="240" w:lineRule="auto"/>
        <w:ind w:left="0"/>
        <w:jc w:val="both"/>
      </w:pPr>
      <w:r>
        <w:t xml:space="preserve">E’ stato presentato un RMP in accordo a quanto previsto dalla Direttiva 2001/83/EU s.m.i. che descrive le attività di farmacovigilanza e gli interventi definiti al fine di identificare, caratterizzare, prevenire o minimizzare i rischi collegati all’uso di </w:t>
      </w:r>
      <w:r w:rsidR="00265228">
        <w:rPr>
          <w:rFonts w:eastAsia="Calibri" w:cs="Calibri"/>
          <w:color w:val="000000"/>
          <w:lang w:eastAsia="it-IT"/>
        </w:rPr>
        <w:t>Carreflor</w:t>
      </w:r>
      <w:r>
        <w:t>.</w:t>
      </w:r>
    </w:p>
    <w:p w:rsidR="004E5DDB" w:rsidRDefault="008C2C70">
      <w:pPr>
        <w:pStyle w:val="Paragrafoelenco"/>
        <w:spacing w:after="0" w:line="240" w:lineRule="auto"/>
        <w:ind w:left="0"/>
        <w:jc w:val="both"/>
      </w:pPr>
      <w:r>
        <w:t>Il riassunto delle problematiche di sicurezza è riportato nella tabella seguente.</w:t>
      </w: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tbl>
      <w:tblPr>
        <w:tblW w:w="4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5E0"/>
      </w:tblPr>
      <w:tblGrid>
        <w:gridCol w:w="2767"/>
        <w:gridCol w:w="6103"/>
      </w:tblGrid>
      <w:tr w:rsidR="008C2C70" w:rsidTr="008C2C70">
        <w:trPr>
          <w:jc w:val="center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C70" w:rsidRPr="00692F86" w:rsidRDefault="008C2C70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Rischi</w:t>
            </w:r>
            <w:r w:rsidR="00692F86"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</w:t>
            </w: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importanti</w:t>
            </w:r>
            <w:r w:rsidR="00692F86"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</w:t>
            </w: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identificati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C70" w:rsidRPr="00692F86" w:rsidRDefault="00755796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val="it-IT" w:eastAsia="en-GB"/>
              </w:rPr>
            </w:pP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 xml:space="preserve">Ipoglicemia in pazienti diabetici </w:t>
            </w:r>
            <w:r w:rsidR="00806203">
              <w:rPr>
                <w:rFonts w:asciiTheme="minorHAnsi" w:hAnsiTheme="minorHAnsi"/>
                <w:sz w:val="20"/>
                <w:szCs w:val="20"/>
                <w:lang w:val="it-IT" w:eastAsia="en-GB"/>
              </w:rPr>
              <w:t>trattati c</w:t>
            </w: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>o</w:t>
            </w:r>
            <w:r w:rsidR="00806203">
              <w:rPr>
                <w:rFonts w:asciiTheme="minorHAnsi" w:hAnsiTheme="minorHAnsi"/>
                <w:sz w:val="20"/>
                <w:szCs w:val="20"/>
                <w:lang w:val="it-IT" w:eastAsia="en-GB"/>
              </w:rPr>
              <w:t>n</w:t>
            </w: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 xml:space="preserve"> insulina o  con ipoglicemizzanti orali</w:t>
            </w:r>
          </w:p>
          <w:p w:rsidR="007B2B83" w:rsidRPr="00692F86" w:rsidRDefault="00755796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val="it-IT" w:eastAsia="en-GB"/>
              </w:rPr>
            </w:pP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>Ipokaliemia in somministrazioni croniche senza potassio</w:t>
            </w:r>
          </w:p>
          <w:p w:rsidR="00806203" w:rsidRPr="00692F86" w:rsidRDefault="00755796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val="it-IT" w:eastAsia="en-GB"/>
              </w:rPr>
            </w:pP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>Accumulo di metaboliti potenzialmente tossici trimetilammina (TMA) e trimetilamino-N_ossido (TMAO) in pazienti trattati con somministrazioni croniche ad alto dosaggio  di L-carnitina in pazienti con funzione renale severamente compromessa e in pazienti in dialisi</w:t>
            </w:r>
          </w:p>
        </w:tc>
      </w:tr>
      <w:tr w:rsidR="008C2C70" w:rsidTr="008C2C70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C70" w:rsidRPr="00692F86" w:rsidRDefault="008C2C70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Rischi</w:t>
            </w:r>
            <w:r w:rsidR="00692F86"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</w:t>
            </w: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importanti</w:t>
            </w:r>
            <w:r w:rsidR="00692F86"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</w:t>
            </w: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potenziali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06203" w:rsidRPr="00692F86" w:rsidRDefault="000550FF" w:rsidP="00136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eastAsia="en-GB"/>
              </w:rPr>
            </w:pPr>
            <w:r w:rsidRPr="00692F86">
              <w:rPr>
                <w:sz w:val="20"/>
                <w:szCs w:val="20"/>
              </w:rPr>
              <w:t xml:space="preserve">Aumento dell’INR (International </w:t>
            </w:r>
            <w:proofErr w:type="spellStart"/>
            <w:r w:rsidRPr="00692F86">
              <w:rPr>
                <w:sz w:val="20"/>
                <w:szCs w:val="20"/>
              </w:rPr>
              <w:t>Normalized</w:t>
            </w:r>
            <w:proofErr w:type="spellEnd"/>
            <w:r w:rsidRPr="00692F86">
              <w:rPr>
                <w:sz w:val="20"/>
                <w:szCs w:val="20"/>
              </w:rPr>
              <w:t xml:space="preserve"> </w:t>
            </w:r>
            <w:proofErr w:type="spellStart"/>
            <w:r w:rsidRPr="00692F86">
              <w:rPr>
                <w:sz w:val="20"/>
                <w:szCs w:val="20"/>
              </w:rPr>
              <w:t>Ratio</w:t>
            </w:r>
            <w:proofErr w:type="spellEnd"/>
            <w:r w:rsidRPr="00692F86">
              <w:rPr>
                <w:sz w:val="20"/>
                <w:szCs w:val="20"/>
              </w:rPr>
              <w:t xml:space="preserve">) in pazienti sottoposti a terapia concomitante con farmaci </w:t>
            </w:r>
            <w:proofErr w:type="spellStart"/>
            <w:r w:rsidRPr="00692F86">
              <w:rPr>
                <w:sz w:val="20"/>
                <w:szCs w:val="20"/>
              </w:rPr>
              <w:t>cumarinici</w:t>
            </w:r>
            <w:proofErr w:type="spellEnd"/>
          </w:p>
        </w:tc>
      </w:tr>
      <w:tr w:rsidR="008C2C70" w:rsidTr="008C2C70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C2C70" w:rsidRPr="00692F86" w:rsidRDefault="008C2C70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Informazioni</w:t>
            </w:r>
            <w:r w:rsidR="00692F86"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</w:t>
            </w:r>
            <w:r w:rsidRPr="00692F86">
              <w:rPr>
                <w:rFonts w:asciiTheme="minorHAnsi" w:hAnsiTheme="minorHAnsi"/>
                <w:sz w:val="20"/>
                <w:szCs w:val="20"/>
                <w:lang w:eastAsia="en-GB"/>
              </w:rPr>
              <w:t>mancanti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70" w:rsidRPr="00692F86" w:rsidRDefault="008C2C70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692F86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Uso in pazienti </w:t>
            </w:r>
            <w:r w:rsidR="007B2B83" w:rsidRPr="00692F86">
              <w:rPr>
                <w:rFonts w:asciiTheme="minorHAnsi" w:hAnsiTheme="minorHAnsi"/>
                <w:sz w:val="20"/>
                <w:szCs w:val="20"/>
                <w:lang w:val="it-IT"/>
              </w:rPr>
              <w:t>con insufficienza renale</w:t>
            </w:r>
          </w:p>
          <w:p w:rsidR="008C2C70" w:rsidRPr="00692F86" w:rsidRDefault="00755796" w:rsidP="00136B0D">
            <w:pPr>
              <w:pStyle w:val="TabletextrowsAgency"/>
              <w:spacing w:line="240" w:lineRule="auto"/>
              <w:jc w:val="both"/>
              <w:rPr>
                <w:rFonts w:asciiTheme="minorHAnsi" w:hAnsiTheme="minorHAnsi"/>
                <w:sz w:val="20"/>
                <w:szCs w:val="20"/>
                <w:lang w:val="it-IT" w:eastAsia="en-GB"/>
              </w:rPr>
            </w:pPr>
            <w:r>
              <w:rPr>
                <w:rFonts w:asciiTheme="minorHAnsi" w:hAnsiTheme="minorHAnsi"/>
                <w:sz w:val="20"/>
                <w:szCs w:val="20"/>
                <w:lang w:val="it-IT" w:eastAsia="en-GB"/>
              </w:rPr>
              <w:t>sovradosaggio</w:t>
            </w:r>
          </w:p>
        </w:tc>
      </w:tr>
    </w:tbl>
    <w:p w:rsidR="006045B9" w:rsidRDefault="006045B9" w:rsidP="00136B0D">
      <w:pPr>
        <w:pStyle w:val="Paragrafoelenco"/>
        <w:spacing w:after="0" w:line="240" w:lineRule="auto"/>
        <w:ind w:left="0"/>
        <w:jc w:val="both"/>
      </w:pPr>
    </w:p>
    <w:p w:rsidR="008C2C70" w:rsidRDefault="008C2C70" w:rsidP="00136B0D">
      <w:pPr>
        <w:pStyle w:val="Paragrafoelenco"/>
        <w:spacing w:after="0" w:line="240" w:lineRule="auto"/>
        <w:ind w:left="0"/>
        <w:jc w:val="both"/>
      </w:pPr>
      <w:r>
        <w:t xml:space="preserve">Azioni </w:t>
      </w:r>
      <w:proofErr w:type="spellStart"/>
      <w:r>
        <w:t>routinarie</w:t>
      </w:r>
      <w:proofErr w:type="spellEnd"/>
      <w:r>
        <w:t xml:space="preserve"> di farmacovigilanza e di minimizzazione del rischio sono proposte per tutte le problematiche di sicurezza.</w:t>
      </w:r>
    </w:p>
    <w:p w:rsidR="004E5DDB" w:rsidRDefault="008C2C70">
      <w:pPr>
        <w:pStyle w:val="Paragrafoelenco"/>
        <w:spacing w:after="0" w:line="240" w:lineRule="auto"/>
        <w:ind w:left="0"/>
        <w:jc w:val="both"/>
      </w:pPr>
      <w:r>
        <w:t>Oltre le misure previste nel Riassunto delle caratteristiche del prodotto non sono previste attività addizionali di minimizzazione del rischio</w:t>
      </w: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p w:rsidR="004E5DDB" w:rsidRDefault="008C2C70">
      <w:pPr>
        <w:pStyle w:val="Paragrafoelenco"/>
        <w:spacing w:after="0" w:line="240" w:lineRule="auto"/>
        <w:ind w:left="0"/>
        <w:jc w:val="both"/>
        <w:rPr>
          <w:b/>
        </w:rPr>
      </w:pPr>
      <w:r>
        <w:rPr>
          <w:b/>
        </w:rPr>
        <w:t>Conclusioni</w:t>
      </w:r>
    </w:p>
    <w:p w:rsidR="004E5DDB" w:rsidRDefault="008C2C70">
      <w:pPr>
        <w:pStyle w:val="Paragrafoelenco"/>
        <w:spacing w:after="0" w:line="240" w:lineRule="auto"/>
        <w:ind w:left="0"/>
        <w:jc w:val="both"/>
      </w:pPr>
      <w:r>
        <w:t xml:space="preserve">Per la richiesta di AIC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F620D0">
        <w:t xml:space="preserve"> </w:t>
      </w:r>
      <w:r>
        <w:t>sono state presentate sufficienti informazioni cliniche.</w:t>
      </w:r>
    </w:p>
    <w:p w:rsidR="004E5DDB" w:rsidRDefault="008C2C70">
      <w:pPr>
        <w:pStyle w:val="Paragrafoelenco"/>
        <w:spacing w:after="0" w:line="240" w:lineRule="auto"/>
        <w:ind w:left="0"/>
        <w:jc w:val="both"/>
      </w:pPr>
      <w:r>
        <w:t xml:space="preserve">Il rapporto beneficio/rischio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F620D0">
        <w:t xml:space="preserve"> </w:t>
      </w:r>
      <w:r>
        <w:t>è considerato favorevole dal punto di vista clinico.</w:t>
      </w: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p w:rsidR="007F6154" w:rsidRDefault="007F6154">
      <w:pPr>
        <w:pStyle w:val="Paragrafoelenco"/>
        <w:spacing w:after="0" w:line="240" w:lineRule="auto"/>
        <w:ind w:left="0"/>
        <w:jc w:val="both"/>
      </w:pPr>
    </w:p>
    <w:p w:rsidR="007F6154" w:rsidRDefault="007F6154">
      <w:pPr>
        <w:pStyle w:val="Paragrafoelenco"/>
        <w:spacing w:after="0" w:line="240" w:lineRule="auto"/>
        <w:ind w:left="0"/>
        <w:jc w:val="both"/>
      </w:pPr>
    </w:p>
    <w:p w:rsidR="007F6154" w:rsidRDefault="007F6154">
      <w:pPr>
        <w:pStyle w:val="Paragrafoelenco"/>
        <w:spacing w:after="0" w:line="240" w:lineRule="auto"/>
        <w:ind w:left="0"/>
        <w:jc w:val="both"/>
      </w:pP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p w:rsidR="004E5DDB" w:rsidRDefault="008C2C7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lastRenderedPageBreak/>
        <w:t>CONSULTAZIONE SUL FOGLIO ILLUSTRATIVO</w:t>
      </w:r>
    </w:p>
    <w:p w:rsidR="004E5DDB" w:rsidRDefault="008C2C70">
      <w:pPr>
        <w:spacing w:after="0" w:line="240" w:lineRule="auto"/>
        <w:jc w:val="both"/>
      </w:pPr>
      <w:r>
        <w:t xml:space="preserve">Il foglio illustrativo è stato sottoposto al test di leggibilità in accordo ai requisiti dell’art. 59(3) e 61(1) della direttiva 2001/83/EU s.m.i. </w:t>
      </w:r>
      <w:r w:rsidR="00692F86">
        <w:t xml:space="preserve">I </w:t>
      </w:r>
      <w:r>
        <w:t>risultati del test hanno dimostrato che il foglio illustrativo corrisponde ai criteri imposti dalla linea guida sulla leggibilità di etichetta e foglio illustrativo dei medicinali per uso umano.</w:t>
      </w:r>
    </w:p>
    <w:p w:rsidR="004E5DDB" w:rsidRDefault="004E5DDB">
      <w:pPr>
        <w:pStyle w:val="Paragrafoelenco"/>
        <w:spacing w:after="0" w:line="240" w:lineRule="auto"/>
        <w:ind w:left="0"/>
        <w:jc w:val="both"/>
      </w:pPr>
    </w:p>
    <w:p w:rsidR="004E5DDB" w:rsidRDefault="004E5DDB">
      <w:pPr>
        <w:spacing w:after="0" w:line="240" w:lineRule="auto"/>
        <w:jc w:val="both"/>
      </w:pPr>
    </w:p>
    <w:p w:rsidR="004E5DDB" w:rsidRDefault="008C2C7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b/>
        </w:rPr>
      </w:pPr>
      <w:r>
        <w:rPr>
          <w:b/>
        </w:rPr>
        <w:t>CONCLUSIONI, VALUTAZIONE DEL RAPPORTO BENEFICIO/RISCHIO E RACCOMANDAZIONI</w:t>
      </w:r>
    </w:p>
    <w:p w:rsidR="004E5DDB" w:rsidRDefault="008C2C70">
      <w:pPr>
        <w:spacing w:after="0" w:line="240" w:lineRule="auto"/>
        <w:jc w:val="both"/>
      </w:pPr>
      <w:r>
        <w:t xml:space="preserve">La qualità di </w:t>
      </w:r>
      <w:r w:rsidR="00265228">
        <w:rPr>
          <w:rFonts w:eastAsia="Calibri" w:cs="Calibri"/>
          <w:color w:val="000000"/>
          <w:lang w:eastAsia="it-IT"/>
        </w:rPr>
        <w:t>Carreflor</w:t>
      </w:r>
      <w:r w:rsidR="003D30FA">
        <w:t xml:space="preserve"> </w:t>
      </w:r>
      <w:r>
        <w:t>è accettabile e non sono state rilevate criticità da un punto di vista non clinico e clinico.</w:t>
      </w:r>
    </w:p>
    <w:p w:rsidR="004E5DDB" w:rsidRDefault="008C2C70">
      <w:pPr>
        <w:spacing w:after="0" w:line="240" w:lineRule="auto"/>
        <w:jc w:val="both"/>
      </w:pPr>
      <w:r>
        <w:t>Il rapporto beneficio/rischio è considerato positivo.</w:t>
      </w:r>
    </w:p>
    <w:p w:rsidR="004E5DDB" w:rsidRDefault="008C2C70">
      <w:pPr>
        <w:spacing w:after="0" w:line="240" w:lineRule="auto"/>
        <w:jc w:val="both"/>
      </w:pPr>
      <w:r>
        <w:t xml:space="preserve">Il riassunto delle caratteristiche del prodotto, il foglio illustrativo e le etichette sono in linea con le correnti linee guida. Questi documenti possono essere consultati sul sito istituzionale di AIFA </w:t>
      </w:r>
      <w:r>
        <w:rPr>
          <w:rFonts w:eastAsia="Calibri" w:cs="Calibri"/>
          <w:lang w:eastAsia="it-IT"/>
        </w:rPr>
        <w:t>(</w:t>
      </w:r>
      <w:hyperlink r:id="rId9" w:history="1">
        <w:r>
          <w:rPr>
            <w:rStyle w:val="Collegamentoipertestuale"/>
            <w:rFonts w:eastAsia="Calibri" w:cs="Calibri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</w:p>
    <w:p w:rsidR="00E357E0" w:rsidRDefault="00E357E0">
      <w:pPr>
        <w:spacing w:after="0" w:line="240" w:lineRule="auto"/>
        <w:jc w:val="both"/>
      </w:pPr>
    </w:p>
    <w:sectPr w:rsidR="00E357E0" w:rsidSect="007F6154"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2D66"/>
    <w:multiLevelType w:val="hybridMultilevel"/>
    <w:tmpl w:val="7EA88370"/>
    <w:lvl w:ilvl="0" w:tplc="88BAC83E">
      <w:numFmt w:val="bullet"/>
      <w:lvlText w:val="-"/>
      <w:lvlJc w:val="left"/>
      <w:pPr>
        <w:ind w:left="720" w:hanging="360"/>
      </w:pPr>
      <w:rPr>
        <w:rFonts w:ascii="Calibri" w:eastAsia="Times New Roman" w:hAnsi="Calibri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475BB"/>
    <w:multiLevelType w:val="hybridMultilevel"/>
    <w:tmpl w:val="9EFA8454"/>
    <w:lvl w:ilvl="0" w:tplc="FFFFFFFF">
      <w:start w:val="1"/>
      <w:numFmt w:val="bullet"/>
      <w:lvlText w:val=""/>
      <w:lvlJc w:val="left"/>
      <w:pPr>
        <w:tabs>
          <w:tab w:val="num" w:pos="521"/>
        </w:tabs>
        <w:ind w:left="52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241"/>
        </w:tabs>
        <w:ind w:left="12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61"/>
        </w:tabs>
        <w:ind w:left="19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81"/>
        </w:tabs>
        <w:ind w:left="26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01"/>
        </w:tabs>
        <w:ind w:left="34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21"/>
        </w:tabs>
        <w:ind w:left="41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41"/>
        </w:tabs>
        <w:ind w:left="48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61"/>
        </w:tabs>
        <w:ind w:left="55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81"/>
        </w:tabs>
        <w:ind w:left="6281" w:hanging="360"/>
      </w:pPr>
      <w:rPr>
        <w:rFonts w:ascii="Wingdings" w:hAnsi="Wingdings" w:hint="default"/>
      </w:rPr>
    </w:lvl>
  </w:abstractNum>
  <w:abstractNum w:abstractNumId="2">
    <w:nsid w:val="16BA0D46"/>
    <w:multiLevelType w:val="hybridMultilevel"/>
    <w:tmpl w:val="B5BEB1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75203C"/>
    <w:multiLevelType w:val="hybridMultilevel"/>
    <w:tmpl w:val="9CE20BB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57C65"/>
    <w:multiLevelType w:val="singleLevel"/>
    <w:tmpl w:val="818C46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5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3E82491"/>
    <w:multiLevelType w:val="hybridMultilevel"/>
    <w:tmpl w:val="C9CAD022"/>
    <w:lvl w:ilvl="0" w:tplc="2D22BD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385353"/>
    <w:multiLevelType w:val="hybridMultilevel"/>
    <w:tmpl w:val="4D4A61DA"/>
    <w:lvl w:ilvl="0" w:tplc="4C689E24">
      <w:numFmt w:val="bullet"/>
      <w:lvlText w:val="-"/>
      <w:lvlJc w:val="left"/>
      <w:pPr>
        <w:ind w:left="720" w:hanging="360"/>
      </w:pPr>
      <w:rPr>
        <w:rFonts w:ascii="Calibri" w:eastAsia="LiberationSerif" w:hAnsi="Calibri" w:cs="LiberationSerif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C2098F"/>
    <w:multiLevelType w:val="hybridMultilevel"/>
    <w:tmpl w:val="C0FC03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08"/>
  <w:hyphenationZone w:val="283"/>
  <w:characterSpacingControl w:val="doNotCompress"/>
  <w:compat/>
  <w:rsids>
    <w:rsidRoot w:val="004241AC"/>
    <w:rsid w:val="000013CC"/>
    <w:rsid w:val="00013020"/>
    <w:rsid w:val="00027AD2"/>
    <w:rsid w:val="00037C59"/>
    <w:rsid w:val="00051F8C"/>
    <w:rsid w:val="000550FF"/>
    <w:rsid w:val="00057A00"/>
    <w:rsid w:val="00060B90"/>
    <w:rsid w:val="00062636"/>
    <w:rsid w:val="00077016"/>
    <w:rsid w:val="000A31EB"/>
    <w:rsid w:val="000B1B56"/>
    <w:rsid w:val="000B1FBB"/>
    <w:rsid w:val="000B60CE"/>
    <w:rsid w:val="000E2128"/>
    <w:rsid w:val="000F53E7"/>
    <w:rsid w:val="00111824"/>
    <w:rsid w:val="00111E9E"/>
    <w:rsid w:val="00136B0D"/>
    <w:rsid w:val="001449DA"/>
    <w:rsid w:val="00146906"/>
    <w:rsid w:val="00147D04"/>
    <w:rsid w:val="00154EB9"/>
    <w:rsid w:val="001575D2"/>
    <w:rsid w:val="001625D4"/>
    <w:rsid w:val="001743D5"/>
    <w:rsid w:val="001A785F"/>
    <w:rsid w:val="001F543F"/>
    <w:rsid w:val="00204906"/>
    <w:rsid w:val="002213E3"/>
    <w:rsid w:val="00232F44"/>
    <w:rsid w:val="002347F2"/>
    <w:rsid w:val="0024701B"/>
    <w:rsid w:val="00247206"/>
    <w:rsid w:val="00251DAB"/>
    <w:rsid w:val="00265228"/>
    <w:rsid w:val="00272E9B"/>
    <w:rsid w:val="00315BF6"/>
    <w:rsid w:val="00317D07"/>
    <w:rsid w:val="003265E4"/>
    <w:rsid w:val="00331C6F"/>
    <w:rsid w:val="003461BA"/>
    <w:rsid w:val="00354BAE"/>
    <w:rsid w:val="00356407"/>
    <w:rsid w:val="00361A14"/>
    <w:rsid w:val="00375A65"/>
    <w:rsid w:val="00394D21"/>
    <w:rsid w:val="003A15F5"/>
    <w:rsid w:val="003A3DB3"/>
    <w:rsid w:val="003B4191"/>
    <w:rsid w:val="003D30FA"/>
    <w:rsid w:val="003E25ED"/>
    <w:rsid w:val="003E335D"/>
    <w:rsid w:val="003E5B64"/>
    <w:rsid w:val="004241AC"/>
    <w:rsid w:val="004344E1"/>
    <w:rsid w:val="004358FE"/>
    <w:rsid w:val="00435C37"/>
    <w:rsid w:val="00442F8E"/>
    <w:rsid w:val="00481DE3"/>
    <w:rsid w:val="004827BB"/>
    <w:rsid w:val="004B20A8"/>
    <w:rsid w:val="004E14AD"/>
    <w:rsid w:val="004E5DDB"/>
    <w:rsid w:val="004F7C47"/>
    <w:rsid w:val="00516368"/>
    <w:rsid w:val="00525BA8"/>
    <w:rsid w:val="0053000F"/>
    <w:rsid w:val="00534062"/>
    <w:rsid w:val="00596DA3"/>
    <w:rsid w:val="005A7B04"/>
    <w:rsid w:val="005C7D44"/>
    <w:rsid w:val="005D0EF0"/>
    <w:rsid w:val="005F3439"/>
    <w:rsid w:val="005F5B5D"/>
    <w:rsid w:val="006045B9"/>
    <w:rsid w:val="0063792C"/>
    <w:rsid w:val="00640FAE"/>
    <w:rsid w:val="0064737A"/>
    <w:rsid w:val="00651F43"/>
    <w:rsid w:val="006615E6"/>
    <w:rsid w:val="006737C4"/>
    <w:rsid w:val="006833A4"/>
    <w:rsid w:val="00684652"/>
    <w:rsid w:val="00686B6F"/>
    <w:rsid w:val="00692F86"/>
    <w:rsid w:val="006B75F0"/>
    <w:rsid w:val="006C0F4B"/>
    <w:rsid w:val="00716C62"/>
    <w:rsid w:val="00724CAF"/>
    <w:rsid w:val="0075033B"/>
    <w:rsid w:val="00755796"/>
    <w:rsid w:val="007577B5"/>
    <w:rsid w:val="007625AF"/>
    <w:rsid w:val="00784A09"/>
    <w:rsid w:val="00793BA0"/>
    <w:rsid w:val="007B2B83"/>
    <w:rsid w:val="007C482D"/>
    <w:rsid w:val="007D68D9"/>
    <w:rsid w:val="007D7D00"/>
    <w:rsid w:val="007F6154"/>
    <w:rsid w:val="00806203"/>
    <w:rsid w:val="0083156C"/>
    <w:rsid w:val="00853768"/>
    <w:rsid w:val="00864E5F"/>
    <w:rsid w:val="00892561"/>
    <w:rsid w:val="008971A2"/>
    <w:rsid w:val="008B4301"/>
    <w:rsid w:val="008C26ED"/>
    <w:rsid w:val="008C2C70"/>
    <w:rsid w:val="008E3280"/>
    <w:rsid w:val="008E4526"/>
    <w:rsid w:val="008E52AA"/>
    <w:rsid w:val="008F117C"/>
    <w:rsid w:val="008F1882"/>
    <w:rsid w:val="008F6F87"/>
    <w:rsid w:val="00901223"/>
    <w:rsid w:val="00906718"/>
    <w:rsid w:val="0092393F"/>
    <w:rsid w:val="00950A7E"/>
    <w:rsid w:val="00970177"/>
    <w:rsid w:val="00971337"/>
    <w:rsid w:val="009A260F"/>
    <w:rsid w:val="009B03DB"/>
    <w:rsid w:val="00A05212"/>
    <w:rsid w:val="00A06135"/>
    <w:rsid w:val="00A1005E"/>
    <w:rsid w:val="00A12887"/>
    <w:rsid w:val="00A146BC"/>
    <w:rsid w:val="00A14796"/>
    <w:rsid w:val="00A35B2D"/>
    <w:rsid w:val="00A40FF3"/>
    <w:rsid w:val="00A42B0C"/>
    <w:rsid w:val="00A46A38"/>
    <w:rsid w:val="00A5706B"/>
    <w:rsid w:val="00A60670"/>
    <w:rsid w:val="00A81DFC"/>
    <w:rsid w:val="00AC076B"/>
    <w:rsid w:val="00AC3D9F"/>
    <w:rsid w:val="00AD5240"/>
    <w:rsid w:val="00AD718E"/>
    <w:rsid w:val="00B248F6"/>
    <w:rsid w:val="00B37FD6"/>
    <w:rsid w:val="00B45F4F"/>
    <w:rsid w:val="00B551AA"/>
    <w:rsid w:val="00B573E3"/>
    <w:rsid w:val="00B63A1F"/>
    <w:rsid w:val="00B73E77"/>
    <w:rsid w:val="00B7524A"/>
    <w:rsid w:val="00B80E70"/>
    <w:rsid w:val="00B849DC"/>
    <w:rsid w:val="00BB1ED2"/>
    <w:rsid w:val="00BB7DE3"/>
    <w:rsid w:val="00BC74C2"/>
    <w:rsid w:val="00BD24FA"/>
    <w:rsid w:val="00BD269C"/>
    <w:rsid w:val="00BD69AF"/>
    <w:rsid w:val="00BE394B"/>
    <w:rsid w:val="00C048BA"/>
    <w:rsid w:val="00C23A2C"/>
    <w:rsid w:val="00C276A1"/>
    <w:rsid w:val="00C37E25"/>
    <w:rsid w:val="00C41506"/>
    <w:rsid w:val="00C45804"/>
    <w:rsid w:val="00C47CDF"/>
    <w:rsid w:val="00C61520"/>
    <w:rsid w:val="00C61EE5"/>
    <w:rsid w:val="00C64244"/>
    <w:rsid w:val="00C861E6"/>
    <w:rsid w:val="00C970DF"/>
    <w:rsid w:val="00CA61D6"/>
    <w:rsid w:val="00CB779C"/>
    <w:rsid w:val="00CC7AFF"/>
    <w:rsid w:val="00CC7B61"/>
    <w:rsid w:val="00CF241C"/>
    <w:rsid w:val="00D20170"/>
    <w:rsid w:val="00D2636B"/>
    <w:rsid w:val="00D37641"/>
    <w:rsid w:val="00D85E7D"/>
    <w:rsid w:val="00DC0EFF"/>
    <w:rsid w:val="00DD17CC"/>
    <w:rsid w:val="00DE6785"/>
    <w:rsid w:val="00DF0ED6"/>
    <w:rsid w:val="00DF79A0"/>
    <w:rsid w:val="00E1054C"/>
    <w:rsid w:val="00E357E0"/>
    <w:rsid w:val="00E35F8C"/>
    <w:rsid w:val="00E43089"/>
    <w:rsid w:val="00E54A66"/>
    <w:rsid w:val="00E83F8D"/>
    <w:rsid w:val="00E863A5"/>
    <w:rsid w:val="00E86941"/>
    <w:rsid w:val="00ED7B18"/>
    <w:rsid w:val="00EF062E"/>
    <w:rsid w:val="00F03AC4"/>
    <w:rsid w:val="00F06608"/>
    <w:rsid w:val="00F3715C"/>
    <w:rsid w:val="00F54CB1"/>
    <w:rsid w:val="00F5767E"/>
    <w:rsid w:val="00F620D0"/>
    <w:rsid w:val="00F66767"/>
    <w:rsid w:val="00FA0130"/>
    <w:rsid w:val="00FA2702"/>
    <w:rsid w:val="00FB2726"/>
    <w:rsid w:val="00FB3514"/>
    <w:rsid w:val="00FC659F"/>
    <w:rsid w:val="00FD54EC"/>
    <w:rsid w:val="00FE7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41AC"/>
  </w:style>
  <w:style w:type="paragraph" w:styleId="Titolo1">
    <w:name w:val="heading 1"/>
    <w:basedOn w:val="Normale"/>
    <w:link w:val="Titolo1Carattere"/>
    <w:uiPriority w:val="9"/>
    <w:qFormat/>
    <w:rsid w:val="003A3D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E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86B6F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A3DB3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Paragrafoelenco">
    <w:name w:val="List Paragraph"/>
    <w:basedOn w:val="Normale"/>
    <w:uiPriority w:val="34"/>
    <w:qFormat/>
    <w:rsid w:val="003A3DB3"/>
    <w:pPr>
      <w:ind w:left="720"/>
      <w:contextualSpacing/>
    </w:pPr>
  </w:style>
  <w:style w:type="character" w:customStyle="1" w:styleId="s1">
    <w:name w:val="s1"/>
    <w:basedOn w:val="Carpredefinitoparagrafo"/>
    <w:rsid w:val="003A3DB3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3A3DB3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Sarkain2">
    <w:name w:val="Sarkain2"/>
    <w:basedOn w:val="Normale"/>
    <w:rsid w:val="00027AD2"/>
    <w:pPr>
      <w:spacing w:after="0" w:line="240" w:lineRule="auto"/>
      <w:ind w:left="851"/>
    </w:pPr>
    <w:rPr>
      <w:rFonts w:ascii="Times New Roman" w:eastAsia="Times New Roman" w:hAnsi="Times New Roman" w:cs="Times New Roman"/>
      <w:b/>
      <w:sz w:val="24"/>
      <w:szCs w:val="20"/>
      <w:lang w:val="fi-FI" w:eastAsia="fi-FI"/>
    </w:rPr>
  </w:style>
  <w:style w:type="table" w:styleId="Grigliatabella">
    <w:name w:val="Table Grid"/>
    <w:basedOn w:val="Tabellanormale"/>
    <w:uiPriority w:val="59"/>
    <w:rsid w:val="003B4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49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E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abletextrowsAgency">
    <w:name w:val="Table text rows (Agency)"/>
    <w:basedOn w:val="Normale"/>
    <w:semiHidden/>
    <w:rsid w:val="008C2C70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C276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276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276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276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276A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aci.agenziafarmaco.gov.it/bancadatifarma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rmaci.agenziafarmaco.gov.it/bancadatifarmac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armaci.agenziafarmaco.gov.it/bancadatifarmac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2836</Words>
  <Characters>16167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dellutri</dc:creator>
  <cp:lastModifiedBy>dellutri</cp:lastModifiedBy>
  <cp:revision>6</cp:revision>
  <dcterms:created xsi:type="dcterms:W3CDTF">2016-06-21T16:22:00Z</dcterms:created>
  <dcterms:modified xsi:type="dcterms:W3CDTF">2017-02-16T15:33:00Z</dcterms:modified>
</cp:coreProperties>
</file>