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55A3B" w:rsidRDefault="00762D04" w:rsidP="00F55A3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</w:t>
      </w:r>
      <w:r w:rsidR="00F55A3B">
        <w:rPr>
          <w:b/>
          <w:sz w:val="28"/>
        </w:rPr>
        <w:t>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55A3B" w:rsidRDefault="00F55A3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2695" w:rsidRDefault="0066269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608F7" w:rsidRDefault="00762D0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JITIDE</w:t>
      </w:r>
    </w:p>
    <w:p w:rsidR="00762D04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762D04">
        <w:rPr>
          <w:snapToGrid w:val="0"/>
        </w:rPr>
        <w:t>timalfasina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5529F" w:rsidRDefault="0085529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762D0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Lyomark</w:t>
      </w:r>
      <w:proofErr w:type="spellEnd"/>
      <w:r>
        <w:rPr>
          <w:b/>
        </w:rPr>
        <w:t xml:space="preserve"> Pharma</w:t>
      </w:r>
    </w:p>
    <w:p w:rsidR="00214672" w:rsidRDefault="0021467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5F0D" w:rsidRPr="00062636" w:rsidRDefault="00895F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>Numero di AIC:</w:t>
      </w:r>
      <w:r w:rsidR="00762D04" w:rsidRPr="00762D04">
        <w:t xml:space="preserve"> </w:t>
      </w:r>
      <w:r w:rsidR="00762D04" w:rsidRPr="00762D04">
        <w:rPr>
          <w:b/>
        </w:rPr>
        <w:t>044516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762D04" w:rsidRPr="00762D04" w:rsidRDefault="00762D04" w:rsidP="004241AC">
      <w:pPr>
        <w:spacing w:after="0" w:line="240" w:lineRule="auto"/>
        <w:jc w:val="center"/>
        <w:rPr>
          <w:b/>
        </w:rPr>
      </w:pPr>
    </w:p>
    <w:p w:rsidR="00762D04" w:rsidRPr="00762D04" w:rsidRDefault="00762D04" w:rsidP="00762D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762D04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762D04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762D04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762D0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62D04">
        <w:rPr>
          <w:rFonts w:eastAsia="Calibri" w:cs="Calibri"/>
          <w:color w:val="000000"/>
          <w:lang w:eastAsia="it-IT"/>
        </w:rPr>
        <w:t xml:space="preserve">Questa è la sintesi del </w:t>
      </w:r>
      <w:r w:rsidRPr="00762D0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762D0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762D04">
        <w:rPr>
          <w:rFonts w:eastAsia="Calibri" w:cs="Calibri"/>
          <w:i/>
          <w:color w:val="000000"/>
          <w:lang w:eastAsia="it-IT"/>
        </w:rPr>
        <w:t xml:space="preserve"> Report</w:t>
      </w:r>
      <w:r w:rsidRPr="00762D0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62D04" w:rsidRPr="00762D04">
        <w:rPr>
          <w:rFonts w:eastAsia="Calibri" w:cs="Calibri"/>
          <w:color w:val="000000"/>
          <w:lang w:eastAsia="it-IT"/>
        </w:rPr>
        <w:t>Jitide</w:t>
      </w:r>
      <w:proofErr w:type="spellEnd"/>
      <w:r w:rsidRPr="00762D04">
        <w:rPr>
          <w:rFonts w:eastAsia="Calibri" w:cs="Calibri"/>
          <w:color w:val="000000"/>
          <w:lang w:eastAsia="it-IT"/>
        </w:rPr>
        <w:t>.</w:t>
      </w:r>
      <w:r w:rsidRPr="00762D04">
        <w:rPr>
          <w:rFonts w:eastAsia="Calibri" w:cs="Calibri"/>
          <w:bCs/>
          <w:color w:val="000000"/>
          <w:lang w:eastAsia="it-IT"/>
        </w:rPr>
        <w:t xml:space="preserve"> </w:t>
      </w:r>
      <w:r w:rsidRPr="00762D0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62D04" w:rsidRPr="00762D04">
        <w:rPr>
          <w:rFonts w:eastAsia="Calibri" w:cs="Calibri"/>
          <w:color w:val="000000"/>
          <w:lang w:eastAsia="it-IT"/>
        </w:rPr>
        <w:t>Jitide</w:t>
      </w:r>
      <w:proofErr w:type="spellEnd"/>
      <w:r w:rsidR="00062636" w:rsidRPr="00762D04">
        <w:rPr>
          <w:rFonts w:eastAsia="Calibri" w:cs="Calibri"/>
          <w:color w:val="000000"/>
          <w:lang w:eastAsia="it-IT"/>
        </w:rPr>
        <w:t xml:space="preserve"> </w:t>
      </w:r>
      <w:r w:rsidRPr="00762D04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444157" w:rsidRPr="00762D04">
        <w:rPr>
          <w:rFonts w:eastAsia="Calibri" w:cs="Calibri"/>
          <w:color w:val="000000"/>
          <w:lang w:eastAsia="it-IT"/>
        </w:rPr>
        <w:t>e le sue condizioni di impiego</w:t>
      </w:r>
      <w:r w:rsidRPr="00762D04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62D04" w:rsidRPr="00762D04">
        <w:rPr>
          <w:rFonts w:eastAsia="Calibri" w:cs="Calibri"/>
          <w:color w:val="000000"/>
          <w:lang w:eastAsia="it-IT"/>
        </w:rPr>
        <w:t>Jitide</w:t>
      </w:r>
      <w:proofErr w:type="spellEnd"/>
      <w:r w:rsidRPr="00762D04">
        <w:rPr>
          <w:rFonts w:eastAsia="Calibri" w:cs="Calibri"/>
          <w:bCs/>
          <w:color w:val="000000"/>
          <w:lang w:eastAsia="it-IT"/>
        </w:rPr>
        <w:t>.</w:t>
      </w: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2D04">
        <w:rPr>
          <w:rFonts w:eastAsia="Calibri" w:cs="Calibri"/>
          <w:color w:val="000000"/>
          <w:lang w:eastAsia="it-IT"/>
        </w:rPr>
        <w:t>Per informazioni pratiche sull'utilizzo di</w:t>
      </w:r>
      <w:r w:rsidRPr="00762D0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62D04" w:rsidRPr="00762D04">
        <w:rPr>
          <w:rFonts w:eastAsia="Calibri" w:cs="Calibri"/>
          <w:color w:val="000000"/>
          <w:lang w:eastAsia="it-IT"/>
        </w:rPr>
        <w:t>Jitide</w:t>
      </w:r>
      <w:proofErr w:type="spellEnd"/>
      <w:r w:rsidR="00062636" w:rsidRPr="00762D04">
        <w:rPr>
          <w:rFonts w:eastAsia="Calibri" w:cs="Calibri"/>
          <w:color w:val="000000"/>
          <w:lang w:eastAsia="it-IT"/>
        </w:rPr>
        <w:t xml:space="preserve"> </w:t>
      </w:r>
      <w:r w:rsidRPr="00762D0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762D04">
        <w:rPr>
          <w:rFonts w:eastAsia="Calibri" w:cs="Calibri"/>
          <w:color w:val="000000"/>
          <w:lang w:eastAsia="it-IT"/>
        </w:rPr>
        <w:t xml:space="preserve">il </w:t>
      </w:r>
      <w:r w:rsidRPr="00762D0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62D0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2D0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62D04" w:rsidRPr="00762D04">
        <w:rPr>
          <w:rFonts w:eastAsia="Calibri" w:cs="Calibri"/>
          <w:b/>
          <w:bCs/>
          <w:color w:val="000000"/>
          <w:lang w:eastAsia="it-IT"/>
        </w:rPr>
        <w:t>Jitide</w:t>
      </w:r>
      <w:proofErr w:type="spellEnd"/>
      <w:r w:rsidR="00E83F8D" w:rsidRPr="00762D0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D13C9" w:rsidRPr="00762D04">
        <w:rPr>
          <w:rFonts w:eastAsia="Calibri" w:cs="Calibri"/>
          <w:b/>
          <w:bCs/>
          <w:color w:val="000000"/>
          <w:lang w:eastAsia="it-IT"/>
        </w:rPr>
        <w:t>E A COSA SERVE</w:t>
      </w:r>
      <w:r w:rsidRPr="00762D0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762D04" w:rsidP="0081652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62D04">
        <w:rPr>
          <w:rFonts w:eastAsia="Calibri" w:cs="Calibri"/>
          <w:bCs/>
          <w:color w:val="000000"/>
          <w:lang w:eastAsia="it-IT"/>
        </w:rPr>
        <w:t>Jitide</w:t>
      </w:r>
      <w:proofErr w:type="spellEnd"/>
      <w:r w:rsidR="00E83F8D" w:rsidRPr="00762D04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762D04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762D04">
        <w:rPr>
          <w:rFonts w:eastAsia="Calibri" w:cs="Calibri"/>
          <w:color w:val="000000"/>
          <w:lang w:eastAsia="it-IT"/>
        </w:rPr>
        <w:t>i</w:t>
      </w:r>
      <w:r w:rsidR="005E2E89" w:rsidRPr="00762D04">
        <w:rPr>
          <w:rFonts w:eastAsia="Calibri" w:cs="Calibri"/>
          <w:color w:val="000000"/>
          <w:lang w:eastAsia="it-IT"/>
        </w:rPr>
        <w:t>l</w:t>
      </w:r>
      <w:r w:rsidR="004241AC" w:rsidRPr="00762D04">
        <w:rPr>
          <w:rFonts w:eastAsia="Calibri" w:cs="Calibri"/>
          <w:color w:val="000000"/>
          <w:lang w:eastAsia="it-IT"/>
        </w:rPr>
        <w:t xml:space="preserve"> principi</w:t>
      </w:r>
      <w:r w:rsidR="005E2E89" w:rsidRPr="00762D04">
        <w:rPr>
          <w:rFonts w:eastAsia="Calibri" w:cs="Calibri"/>
          <w:color w:val="000000"/>
          <w:lang w:eastAsia="it-IT"/>
        </w:rPr>
        <w:t>o</w:t>
      </w:r>
      <w:r w:rsidR="004241AC" w:rsidRPr="00762D04">
        <w:rPr>
          <w:rFonts w:eastAsia="Calibri" w:cs="Calibri"/>
          <w:color w:val="000000"/>
          <w:lang w:eastAsia="it-IT"/>
        </w:rPr>
        <w:t xml:space="preserve"> attiv</w:t>
      </w:r>
      <w:r w:rsidR="005E2E89" w:rsidRPr="00762D04">
        <w:rPr>
          <w:rFonts w:eastAsia="Calibri" w:cs="Calibri"/>
          <w:color w:val="000000"/>
          <w:lang w:eastAsia="it-IT"/>
        </w:rPr>
        <w:t>o</w:t>
      </w:r>
      <w:r w:rsidR="004241AC" w:rsidRPr="00762D0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62D04">
        <w:rPr>
          <w:rFonts w:eastAsia="Calibri" w:cs="Calibri"/>
          <w:color w:val="000000"/>
          <w:lang w:eastAsia="it-IT"/>
        </w:rPr>
        <w:t>timalfasina</w:t>
      </w:r>
      <w:proofErr w:type="spellEnd"/>
      <w:r w:rsidR="007F142F">
        <w:rPr>
          <w:rFonts w:eastAsia="Calibri" w:cs="Calibri"/>
          <w:color w:val="000000"/>
          <w:lang w:eastAsia="it-IT"/>
        </w:rPr>
        <w:t xml:space="preserve"> (</w:t>
      </w:r>
      <w:proofErr w:type="spellStart"/>
      <w:r w:rsidR="007F142F">
        <w:rPr>
          <w:rFonts w:eastAsia="Calibri" w:cs="Calibri"/>
          <w:color w:val="000000"/>
          <w:lang w:eastAsia="it-IT"/>
        </w:rPr>
        <w:t>timosina</w:t>
      </w:r>
      <w:proofErr w:type="spellEnd"/>
      <w:r w:rsidR="007F142F">
        <w:rPr>
          <w:rFonts w:eastAsia="Calibri" w:cs="Calibri"/>
          <w:color w:val="000000"/>
          <w:lang w:eastAsia="it-IT"/>
        </w:rPr>
        <w:t xml:space="preserve"> alfa-1)</w:t>
      </w:r>
      <w:r w:rsidR="005E2E89" w:rsidRPr="00762D04">
        <w:rPr>
          <w:rFonts w:eastAsia="Calibri" w:cs="Calibri"/>
          <w:color w:val="000000"/>
          <w:lang w:eastAsia="it-IT"/>
        </w:rPr>
        <w:t xml:space="preserve"> </w:t>
      </w:r>
      <w:r w:rsidR="00214672" w:rsidRPr="00762D04">
        <w:rPr>
          <w:rFonts w:eastAsia="Calibri" w:cs="Calibri"/>
          <w:color w:val="000000"/>
          <w:lang w:eastAsia="it-IT"/>
        </w:rPr>
        <w:t xml:space="preserve">ed </w:t>
      </w:r>
      <w:r w:rsidR="004241AC" w:rsidRPr="00762D04">
        <w:rPr>
          <w:rFonts w:eastAsia="Calibri" w:cs="Calibri"/>
          <w:color w:val="000000"/>
          <w:lang w:eastAsia="it-IT"/>
        </w:rPr>
        <w:t xml:space="preserve">è disponibile </w:t>
      </w:r>
      <w:r w:rsidR="00965735" w:rsidRPr="00762D04">
        <w:rPr>
          <w:rFonts w:eastAsia="Calibri" w:cs="Calibri"/>
          <w:color w:val="000000"/>
          <w:lang w:eastAsia="it-IT"/>
        </w:rPr>
        <w:t>come</w:t>
      </w:r>
      <w:r w:rsidR="004241AC" w:rsidRPr="00762D04">
        <w:rPr>
          <w:rFonts w:eastAsia="Calibri" w:cs="Calibri"/>
          <w:color w:val="000000"/>
          <w:lang w:eastAsia="it-IT"/>
        </w:rPr>
        <w:t xml:space="preserve"> </w:t>
      </w:r>
      <w:r w:rsidR="004D13C9" w:rsidRPr="00762D04">
        <w:rPr>
          <w:rFonts w:eastAsia="Calibri" w:cs="Calibri"/>
          <w:color w:val="000000"/>
          <w:lang w:eastAsia="it-IT"/>
        </w:rPr>
        <w:t>soluzione iniettabile</w:t>
      </w:r>
      <w:r w:rsidR="00F913EE">
        <w:rPr>
          <w:rFonts w:eastAsia="Calibri" w:cs="Calibri"/>
          <w:color w:val="000000"/>
          <w:lang w:eastAsia="it-IT"/>
        </w:rPr>
        <w:t xml:space="preserve">; </w:t>
      </w:r>
      <w:r w:rsidR="004D13C9" w:rsidRPr="00762D04">
        <w:rPr>
          <w:rFonts w:eastAsia="Calibri" w:cs="Calibri"/>
          <w:color w:val="000000"/>
          <w:lang w:eastAsia="it-IT"/>
        </w:rPr>
        <w:t xml:space="preserve">la confezione contiene </w:t>
      </w:r>
      <w:r w:rsidRPr="00762D04">
        <w:rPr>
          <w:rFonts w:eastAsia="Calibri" w:cs="Calibri"/>
          <w:color w:val="000000"/>
          <w:lang w:eastAsia="it-IT"/>
        </w:rPr>
        <w:t xml:space="preserve">un </w:t>
      </w:r>
      <w:r w:rsidR="004D13C9" w:rsidRPr="00762D04">
        <w:rPr>
          <w:rFonts w:eastAsia="Calibri" w:cs="Calibri"/>
          <w:color w:val="000000"/>
          <w:lang w:eastAsia="it-IT"/>
        </w:rPr>
        <w:t>flaconcin</w:t>
      </w:r>
      <w:r w:rsidRPr="00762D04">
        <w:rPr>
          <w:rFonts w:eastAsia="Calibri" w:cs="Calibri"/>
          <w:color w:val="000000"/>
          <w:lang w:eastAsia="it-IT"/>
        </w:rPr>
        <w:t>o</w:t>
      </w:r>
      <w:r w:rsidR="004D13C9" w:rsidRPr="00762D04">
        <w:rPr>
          <w:rFonts w:eastAsia="Calibri" w:cs="Calibri"/>
          <w:color w:val="000000"/>
          <w:lang w:eastAsia="it-IT"/>
        </w:rPr>
        <w:t xml:space="preserve"> di polvere </w:t>
      </w:r>
      <w:r w:rsidR="00F913EE">
        <w:rPr>
          <w:rFonts w:eastAsia="Calibri" w:cs="Calibri"/>
          <w:color w:val="000000"/>
          <w:lang w:eastAsia="it-IT"/>
        </w:rPr>
        <w:t xml:space="preserve">con 1,6 mg </w:t>
      </w:r>
      <w:r w:rsidR="00F913EE" w:rsidRPr="00762D04">
        <w:rPr>
          <w:rFonts w:eastAsia="Calibri" w:cs="Calibri"/>
          <w:color w:val="000000"/>
          <w:lang w:eastAsia="it-IT"/>
        </w:rPr>
        <w:t xml:space="preserve">di principio attivo </w:t>
      </w:r>
      <w:r w:rsidR="004D13C9" w:rsidRPr="00762D04">
        <w:rPr>
          <w:rFonts w:eastAsia="Calibri" w:cs="Calibri"/>
          <w:color w:val="000000"/>
          <w:lang w:eastAsia="it-IT"/>
        </w:rPr>
        <w:t xml:space="preserve">e </w:t>
      </w:r>
      <w:r w:rsidRPr="00762D04">
        <w:rPr>
          <w:rFonts w:eastAsia="Calibri" w:cs="Calibri"/>
          <w:color w:val="000000"/>
          <w:lang w:eastAsia="it-IT"/>
        </w:rPr>
        <w:t xml:space="preserve">una </w:t>
      </w:r>
      <w:r w:rsidR="004D13C9" w:rsidRPr="00762D04">
        <w:rPr>
          <w:rFonts w:eastAsia="Calibri" w:cs="Calibri"/>
          <w:color w:val="000000"/>
          <w:lang w:eastAsia="it-IT"/>
        </w:rPr>
        <w:t>fial</w:t>
      </w:r>
      <w:r w:rsidRPr="00762D04">
        <w:rPr>
          <w:rFonts w:eastAsia="Calibri" w:cs="Calibri"/>
          <w:color w:val="000000"/>
          <w:lang w:eastAsia="it-IT"/>
        </w:rPr>
        <w:t>a</w:t>
      </w:r>
      <w:r w:rsidR="00F913EE">
        <w:rPr>
          <w:rFonts w:eastAsia="Calibri" w:cs="Calibri"/>
          <w:color w:val="000000"/>
          <w:lang w:eastAsia="it-IT"/>
        </w:rPr>
        <w:t xml:space="preserve"> di solvente</w:t>
      </w:r>
      <w:r w:rsidR="005D4EA7" w:rsidRPr="00762D04">
        <w:rPr>
          <w:rFonts w:eastAsia="Calibri" w:cs="Calibri"/>
          <w:color w:val="000000"/>
          <w:lang w:eastAsia="it-IT"/>
        </w:rPr>
        <w:t xml:space="preserve"> </w:t>
      </w:r>
      <w:r w:rsidR="00F913EE" w:rsidRPr="00807F21">
        <w:rPr>
          <w:rFonts w:cs="LiberationSans"/>
        </w:rPr>
        <w:t>(acqua per preparazioni iniettabili)</w:t>
      </w:r>
      <w:r w:rsidR="005E2E89" w:rsidRPr="00762D04">
        <w:rPr>
          <w:rFonts w:eastAsia="Calibri" w:cs="Calibri"/>
          <w:color w:val="000000"/>
          <w:lang w:eastAsia="it-IT"/>
        </w:rPr>
        <w:t>.</w:t>
      </w:r>
    </w:p>
    <w:p w:rsidR="002122E2" w:rsidRPr="00762D04" w:rsidRDefault="00762D04" w:rsidP="00816525">
      <w:pPr>
        <w:widowControl w:val="0"/>
        <w:spacing w:after="0" w:line="240" w:lineRule="auto"/>
        <w:jc w:val="both"/>
      </w:pPr>
      <w:proofErr w:type="spellStart"/>
      <w:r w:rsidRPr="00762D04">
        <w:rPr>
          <w:rFonts w:eastAsia="Calibri" w:cs="Calibri"/>
          <w:color w:val="000000"/>
          <w:lang w:eastAsia="it-IT"/>
        </w:rPr>
        <w:t>Jitide</w:t>
      </w:r>
      <w:proofErr w:type="spellEnd"/>
      <w:r w:rsidR="00E83F8D" w:rsidRPr="00762D04">
        <w:rPr>
          <w:rFonts w:eastAsia="Calibri" w:cs="Calibri"/>
          <w:color w:val="000000"/>
          <w:lang w:eastAsia="it-IT"/>
        </w:rPr>
        <w:t xml:space="preserve"> </w:t>
      </w:r>
      <w:r w:rsidR="00013020" w:rsidRPr="00762D04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762D04">
        <w:rPr>
          <w:rFonts w:eastAsia="Calibri" w:cs="Calibri"/>
          <w:color w:val="000000"/>
          <w:lang w:eastAsia="it-IT"/>
        </w:rPr>
        <w:t>Italia</w:t>
      </w:r>
      <w:r w:rsidR="00013020" w:rsidRPr="00762D04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762D04">
        <w:rPr>
          <w:rFonts w:eastAsia="Calibri" w:cs="Calibri"/>
          <w:color w:val="000000"/>
          <w:lang w:eastAsia="it-IT"/>
        </w:rPr>
        <w:t>Zadaxin</w:t>
      </w:r>
      <w:proofErr w:type="spellEnd"/>
      <w:r w:rsidR="002122E2" w:rsidRPr="00762D04">
        <w:rPr>
          <w:rFonts w:eastAsia="Calibri" w:cs="Calibri"/>
          <w:color w:val="000000"/>
          <w:lang w:eastAsia="it-IT"/>
        </w:rPr>
        <w:t>.</w:t>
      </w:r>
    </w:p>
    <w:p w:rsidR="008A4F11" w:rsidRPr="00762D04" w:rsidRDefault="00762D04" w:rsidP="00816525">
      <w:pPr>
        <w:suppressAutoHyphens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 w:rsidRPr="00762D04">
        <w:rPr>
          <w:rFonts w:eastAsia="Calibri" w:cs="Calibri"/>
          <w:color w:val="000000"/>
          <w:lang w:eastAsia="it-IT"/>
        </w:rPr>
        <w:t>Jitide</w:t>
      </w:r>
      <w:proofErr w:type="spellEnd"/>
      <w:r w:rsidR="00E83F8D" w:rsidRPr="00762D04">
        <w:rPr>
          <w:rFonts w:eastAsia="Calibri" w:cs="Calibri"/>
          <w:color w:val="000000"/>
          <w:lang w:eastAsia="it-IT"/>
        </w:rPr>
        <w:t xml:space="preserve"> </w:t>
      </w:r>
      <w:r w:rsidR="00947492" w:rsidRPr="00762D04">
        <w:rPr>
          <w:rFonts w:eastAsia="Calibri" w:cs="Calibri"/>
          <w:color w:val="000000"/>
          <w:lang w:eastAsia="it-IT"/>
        </w:rPr>
        <w:t>si usa</w:t>
      </w:r>
      <w:r w:rsidR="00816525" w:rsidRPr="00762D04">
        <w:rPr>
          <w:rFonts w:eastAsia="Calibri" w:cs="Calibri"/>
          <w:color w:val="000000"/>
          <w:lang w:eastAsia="it-IT"/>
        </w:rPr>
        <w:t xml:space="preserve"> negli adulti </w:t>
      </w:r>
      <w:r w:rsidRPr="00762D04">
        <w:rPr>
          <w:lang w:eastAsia="it-IT"/>
        </w:rPr>
        <w:t xml:space="preserve">come coadiuvante della vaccinazione antinfluenzale in soggetti </w:t>
      </w:r>
      <w:proofErr w:type="spellStart"/>
      <w:r w:rsidRPr="00762D04">
        <w:rPr>
          <w:lang w:eastAsia="it-IT"/>
        </w:rPr>
        <w:t>immunocompromessi</w:t>
      </w:r>
      <w:proofErr w:type="spellEnd"/>
      <w:r w:rsidRPr="00762D04">
        <w:rPr>
          <w:lang w:eastAsia="it-IT"/>
        </w:rPr>
        <w:t>.</w:t>
      </w:r>
    </w:p>
    <w:p w:rsidR="00816525" w:rsidRPr="00762D04" w:rsidRDefault="00816525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816525" w:rsidRPr="00762D04" w:rsidRDefault="00816525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762D04" w:rsidRDefault="004241AC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2D0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62D04" w:rsidRPr="00762D04">
        <w:rPr>
          <w:rFonts w:eastAsia="Calibri" w:cs="Calibri"/>
          <w:b/>
          <w:bCs/>
          <w:color w:val="000000"/>
          <w:lang w:eastAsia="it-IT"/>
        </w:rPr>
        <w:t>Jitide</w:t>
      </w:r>
      <w:proofErr w:type="spellEnd"/>
      <w:r w:rsidRPr="00762D0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762D04" w:rsidRDefault="00762D04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62D04">
        <w:rPr>
          <w:rFonts w:eastAsia="Calibri" w:cs="Calibri"/>
          <w:color w:val="000000"/>
          <w:lang w:eastAsia="it-IT"/>
        </w:rPr>
        <w:t>Jitide</w:t>
      </w:r>
      <w:proofErr w:type="spellEnd"/>
      <w:r w:rsidR="00214672" w:rsidRPr="00762D04">
        <w:rPr>
          <w:rFonts w:eastAsia="Calibri" w:cs="Calibri"/>
          <w:color w:val="000000"/>
          <w:lang w:eastAsia="it-IT"/>
        </w:rPr>
        <w:t xml:space="preserve"> </w:t>
      </w:r>
      <w:r w:rsidR="004241AC" w:rsidRPr="00762D04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16525" w:rsidRPr="00762D04" w:rsidRDefault="00816525" w:rsidP="00816525">
      <w:pPr>
        <w:spacing w:after="0" w:line="240" w:lineRule="auto"/>
        <w:jc w:val="both"/>
        <w:outlineLvl w:val="2"/>
      </w:pPr>
      <w:r w:rsidRPr="00762D04">
        <w:t xml:space="preserve">La dose raccomandata negli adulti è di </w:t>
      </w:r>
      <w:r w:rsidR="00BA69F1">
        <w:t>una</w:t>
      </w:r>
      <w:r w:rsidRPr="00762D04">
        <w:rPr>
          <w:rFonts w:ascii="Calibri" w:hAnsi="Calibri"/>
        </w:rPr>
        <w:t xml:space="preserve"> somministrazione</w:t>
      </w:r>
      <w:r w:rsidR="00BA69F1">
        <w:rPr>
          <w:rFonts w:ascii="Calibri" w:hAnsi="Calibri"/>
        </w:rPr>
        <w:t xml:space="preserve"> giornaliera per via </w:t>
      </w:r>
      <w:r w:rsidRPr="00762D04">
        <w:rPr>
          <w:rFonts w:ascii="Calibri" w:hAnsi="Calibri"/>
        </w:rPr>
        <w:t xml:space="preserve">intramuscolare o </w:t>
      </w:r>
      <w:r w:rsidR="00BA69F1">
        <w:rPr>
          <w:rFonts w:ascii="Calibri" w:hAnsi="Calibri"/>
        </w:rPr>
        <w:t xml:space="preserve">sottocutanea per due volte a settimana per 4 settimane; la prima dose è somministrata </w:t>
      </w:r>
      <w:r w:rsidR="00894910">
        <w:rPr>
          <w:rFonts w:ascii="Calibri" w:hAnsi="Calibri"/>
        </w:rPr>
        <w:t>alla data della prima</w:t>
      </w:r>
      <w:r w:rsidR="00BA69F1">
        <w:rPr>
          <w:rFonts w:ascii="Calibri" w:hAnsi="Calibri"/>
        </w:rPr>
        <w:t xml:space="preserve"> vaccinazione antinfluenzale. E’ possibile ripetere il trattamento, con lo stesso schema, </w:t>
      </w:r>
      <w:r w:rsidR="00857508">
        <w:rPr>
          <w:rFonts w:ascii="Calibri" w:hAnsi="Calibri"/>
        </w:rPr>
        <w:t xml:space="preserve">cominciando dalla seconda vaccinazione antinfluenzale, </w:t>
      </w:r>
      <w:r w:rsidR="00BA69F1">
        <w:rPr>
          <w:rFonts w:ascii="Calibri" w:hAnsi="Calibri"/>
        </w:rPr>
        <w:t>dalla ottava settimana per ulteriori 4 settimane.</w:t>
      </w:r>
    </w:p>
    <w:p w:rsidR="005E2E89" w:rsidRPr="00762D04" w:rsidRDefault="00816525" w:rsidP="00816525">
      <w:pPr>
        <w:spacing w:after="0" w:line="240" w:lineRule="auto"/>
        <w:jc w:val="both"/>
        <w:outlineLvl w:val="2"/>
        <w:rPr>
          <w:rFonts w:ascii="Calibri" w:hAnsi="Calibri"/>
        </w:rPr>
      </w:pPr>
      <w:r w:rsidRPr="00762D04">
        <w:t>I</w:t>
      </w:r>
      <w:r w:rsidR="005E2E89" w:rsidRPr="00762D04">
        <w:t>l contenuto del flaconcino deve essere disciolto nel solvente presente nella fiala annessa</w:t>
      </w:r>
      <w:r w:rsidRPr="00762D04">
        <w:t xml:space="preserve"> alla confezione</w:t>
      </w:r>
      <w:r w:rsidR="00BA69F1">
        <w:t>.</w:t>
      </w:r>
      <w:r w:rsidRPr="00762D04">
        <w:t xml:space="preserve"> </w:t>
      </w:r>
      <w:r w:rsidR="005E2E89" w:rsidRPr="00762D04">
        <w:rPr>
          <w:rFonts w:ascii="Calibri" w:hAnsi="Calibri"/>
        </w:rPr>
        <w:t>La soluzione ricostituita deve essere utilizzata immediatamente dopo la preparazione.</w:t>
      </w:r>
    </w:p>
    <w:p w:rsidR="005E2E89" w:rsidRPr="00762D04" w:rsidRDefault="00816525" w:rsidP="00816525">
      <w:pPr>
        <w:spacing w:after="0" w:line="240" w:lineRule="auto"/>
        <w:jc w:val="both"/>
        <w:outlineLvl w:val="2"/>
        <w:rPr>
          <w:rFonts w:ascii="Calibri" w:hAnsi="Calibri"/>
        </w:rPr>
      </w:pPr>
      <w:r w:rsidRPr="00762D04">
        <w:rPr>
          <w:rFonts w:ascii="Calibri" w:hAnsi="Calibri"/>
        </w:rPr>
        <w:lastRenderedPageBreak/>
        <w:t>Questo medicinale non è raccomandato n</w:t>
      </w:r>
      <w:r w:rsidR="005E2E89" w:rsidRPr="00762D04">
        <w:rPr>
          <w:rFonts w:ascii="Calibri" w:hAnsi="Calibri"/>
        </w:rPr>
        <w:t>ei bambini</w:t>
      </w:r>
      <w:r w:rsidRPr="00762D04">
        <w:rPr>
          <w:rFonts w:ascii="Calibri" w:hAnsi="Calibri"/>
        </w:rPr>
        <w:t xml:space="preserve"> e negli adolescenti (età inferiore a 18 anni) in quanto</w:t>
      </w:r>
      <w:r w:rsidR="005E2E89" w:rsidRPr="00762D04">
        <w:rPr>
          <w:rFonts w:ascii="Calibri" w:hAnsi="Calibri"/>
        </w:rPr>
        <w:t xml:space="preserve"> la sicurezza e l'efficacia non sono state </w:t>
      </w:r>
      <w:r w:rsidRPr="00762D04">
        <w:rPr>
          <w:rFonts w:ascii="Calibri" w:hAnsi="Calibri"/>
        </w:rPr>
        <w:t>definite in questa fascia di età</w:t>
      </w:r>
      <w:r w:rsidR="005E2E89" w:rsidRPr="00762D04">
        <w:rPr>
          <w:rFonts w:ascii="Calibri" w:hAnsi="Calibri"/>
        </w:rPr>
        <w:t>.</w:t>
      </w:r>
    </w:p>
    <w:p w:rsidR="000766E7" w:rsidRDefault="000766E7" w:rsidP="008165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762D04" w:rsidRPr="00762D04" w:rsidRDefault="00762D04" w:rsidP="008165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241AC" w:rsidRPr="00762D04" w:rsidRDefault="004241AC" w:rsidP="008165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2D0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762D04" w:rsidRPr="00762D04">
        <w:rPr>
          <w:rFonts w:eastAsia="Calibri" w:cs="Calibri"/>
          <w:b/>
          <w:bCs/>
          <w:color w:val="000000"/>
          <w:lang w:eastAsia="it-IT"/>
        </w:rPr>
        <w:t>Jitide</w:t>
      </w:r>
      <w:proofErr w:type="spellEnd"/>
      <w:r w:rsidRPr="00762D0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16525" w:rsidRPr="00E979CF" w:rsidRDefault="00762D04" w:rsidP="00BA69F1">
      <w:pPr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Jitide</w:t>
      </w:r>
      <w:proofErr w:type="spellEnd"/>
      <w:r w:rsidR="000256A8" w:rsidRPr="00816525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A69F1">
        <w:rPr>
          <w:rFonts w:ascii="Calibri" w:hAnsi="Calibri"/>
        </w:rPr>
        <w:t>L03AX</w:t>
      </w:r>
      <w:r w:rsidR="000256A8" w:rsidRPr="00816525">
        <w:rPr>
          <w:rFonts w:eastAsia="Times New Roman"/>
          <w:lang w:eastAsia="it-IT"/>
        </w:rPr>
        <w:t>,</w:t>
      </w:r>
      <w:r w:rsidR="00E43089" w:rsidRPr="00816525">
        <w:rPr>
          <w:rFonts w:eastAsia="DejaVuSans" w:cs="DejaVuSans"/>
        </w:rPr>
        <w:t xml:space="preserve"> </w:t>
      </w:r>
      <w:r w:rsidR="004241AC" w:rsidRPr="00816525">
        <w:rPr>
          <w:rFonts w:eastAsia="Calibri" w:cs="Calibri"/>
          <w:color w:val="000000"/>
          <w:lang w:eastAsia="it-IT"/>
        </w:rPr>
        <w:t>contiene i</w:t>
      </w:r>
      <w:r w:rsidR="00816525" w:rsidRPr="00816525">
        <w:rPr>
          <w:rFonts w:eastAsia="Calibri" w:cs="Calibri"/>
          <w:color w:val="000000"/>
          <w:lang w:eastAsia="it-IT"/>
        </w:rPr>
        <w:t>l</w:t>
      </w:r>
      <w:r w:rsidR="004241AC" w:rsidRPr="00816525">
        <w:rPr>
          <w:rFonts w:eastAsia="Calibri" w:cs="Calibri"/>
          <w:color w:val="000000"/>
          <w:lang w:eastAsia="it-IT"/>
        </w:rPr>
        <w:t xml:space="preserve"> principi</w:t>
      </w:r>
      <w:r w:rsidR="00816525" w:rsidRPr="00816525">
        <w:rPr>
          <w:rFonts w:eastAsia="Calibri" w:cs="Calibri"/>
          <w:color w:val="000000"/>
          <w:lang w:eastAsia="it-IT"/>
        </w:rPr>
        <w:t>o</w:t>
      </w:r>
      <w:r w:rsidR="004241AC" w:rsidRPr="00816525">
        <w:rPr>
          <w:rFonts w:eastAsia="Calibri" w:cs="Calibri"/>
          <w:color w:val="000000"/>
          <w:lang w:eastAsia="it-IT"/>
        </w:rPr>
        <w:t xml:space="preserve"> attiv</w:t>
      </w:r>
      <w:r w:rsidR="00816525" w:rsidRPr="00816525">
        <w:rPr>
          <w:rFonts w:eastAsia="Calibri" w:cs="Calibri"/>
          <w:color w:val="000000"/>
          <w:lang w:eastAsia="it-IT"/>
        </w:rPr>
        <w:t>o</w:t>
      </w:r>
      <w:r w:rsidR="004241AC" w:rsidRPr="00816525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timalfasina</w:t>
      </w:r>
      <w:proofErr w:type="spellEnd"/>
      <w:r w:rsidR="007F142F">
        <w:rPr>
          <w:rFonts w:eastAsia="Calibri" w:cs="Calibri"/>
          <w:color w:val="000000"/>
          <w:lang w:eastAsia="it-IT"/>
        </w:rPr>
        <w:t xml:space="preserve"> (</w:t>
      </w:r>
      <w:proofErr w:type="spellStart"/>
      <w:r w:rsidR="007F142F">
        <w:rPr>
          <w:rFonts w:eastAsia="Calibri" w:cs="Calibri"/>
          <w:color w:val="000000"/>
          <w:lang w:eastAsia="it-IT"/>
        </w:rPr>
        <w:t>timosina</w:t>
      </w:r>
      <w:proofErr w:type="spellEnd"/>
      <w:r w:rsidR="007F142F">
        <w:rPr>
          <w:rFonts w:eastAsia="Calibri" w:cs="Calibri"/>
          <w:color w:val="000000"/>
          <w:lang w:eastAsia="it-IT"/>
        </w:rPr>
        <w:t xml:space="preserve"> alfa-1)</w:t>
      </w:r>
      <w:r w:rsidR="00816525" w:rsidRPr="00816525">
        <w:rPr>
          <w:rFonts w:eastAsia="Calibri" w:cs="Calibri"/>
          <w:color w:val="000000"/>
          <w:lang w:eastAsia="it-IT"/>
        </w:rPr>
        <w:t xml:space="preserve"> che</w:t>
      </w:r>
      <w:r w:rsidR="00BA69F1">
        <w:rPr>
          <w:rFonts w:eastAsia="Calibri" w:cs="Calibri"/>
          <w:color w:val="000000"/>
          <w:lang w:eastAsia="it-IT"/>
        </w:rPr>
        <w:t xml:space="preserve"> è un polipeptide simile nella struttura ad un ormone naturale, la </w:t>
      </w:r>
      <w:proofErr w:type="spellStart"/>
      <w:r w:rsidR="00BA69F1">
        <w:rPr>
          <w:rFonts w:eastAsia="Calibri" w:cs="Calibri"/>
          <w:color w:val="000000"/>
          <w:lang w:eastAsia="it-IT"/>
        </w:rPr>
        <w:t>timosina</w:t>
      </w:r>
      <w:proofErr w:type="spellEnd"/>
      <w:r w:rsidR="00BA69F1">
        <w:rPr>
          <w:rFonts w:eastAsia="Calibri" w:cs="Calibri"/>
          <w:color w:val="000000"/>
          <w:lang w:eastAsia="it-IT"/>
        </w:rPr>
        <w:t>, che ha una funzione di stimolazione del sistema immunitario</w:t>
      </w:r>
      <w:r w:rsidR="006636C4">
        <w:rPr>
          <w:rFonts w:eastAsia="Calibri" w:cs="Calibri"/>
          <w:color w:val="000000"/>
          <w:lang w:eastAsia="it-IT"/>
        </w:rPr>
        <w:t>, mediante la stimolazione della formazione e maturazione delle cellule T del sistema immunitario</w:t>
      </w:r>
      <w:r w:rsidR="00BA69F1">
        <w:rPr>
          <w:rFonts w:eastAsia="Calibri" w:cs="Calibri"/>
          <w:color w:val="000000"/>
          <w:lang w:eastAsia="it-IT"/>
        </w:rPr>
        <w:t>.</w:t>
      </w:r>
    </w:p>
    <w:p w:rsidR="00816525" w:rsidRPr="00816525" w:rsidRDefault="00816525" w:rsidP="00816525">
      <w:pPr>
        <w:suppressAutoHyphens/>
        <w:spacing w:after="0" w:line="240" w:lineRule="auto"/>
        <w:jc w:val="both"/>
        <w:rPr>
          <w:rFonts w:ascii="Calibri" w:hAnsi="Calibri"/>
        </w:rPr>
      </w:pPr>
    </w:p>
    <w:p w:rsidR="00816525" w:rsidRPr="00816525" w:rsidRDefault="00816525" w:rsidP="00816525">
      <w:pPr>
        <w:suppressAutoHyphens/>
        <w:spacing w:after="0" w:line="240" w:lineRule="auto"/>
        <w:jc w:val="both"/>
        <w:rPr>
          <w:rFonts w:ascii="Calibri" w:hAnsi="Calibri"/>
        </w:rPr>
      </w:pP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62D04">
        <w:rPr>
          <w:rFonts w:eastAsia="Calibri" w:cs="Calibri"/>
          <w:b/>
          <w:bCs/>
          <w:color w:val="000000"/>
          <w:lang w:eastAsia="it-IT"/>
        </w:rPr>
        <w:t>Jitide</w:t>
      </w:r>
      <w:proofErr w:type="spellEnd"/>
      <w:r w:rsidRPr="00FC69FD">
        <w:rPr>
          <w:rFonts w:eastAsia="Calibri" w:cs="Calibri"/>
          <w:b/>
          <w:bCs/>
          <w:lang w:eastAsia="it-IT"/>
        </w:rPr>
        <w:t xml:space="preserve">? </w:t>
      </w:r>
    </w:p>
    <w:p w:rsidR="004241AC" w:rsidRPr="00FC69FD" w:rsidRDefault="004241AC" w:rsidP="00662695">
      <w:pPr>
        <w:spacing w:after="0" w:line="240" w:lineRule="auto"/>
        <w:jc w:val="both"/>
        <w:rPr>
          <w:rFonts w:cs="Arial"/>
        </w:rPr>
      </w:pPr>
      <w:r w:rsidRPr="00FC69FD">
        <w:rPr>
          <w:rFonts w:cs="Arial"/>
        </w:rPr>
        <w:t xml:space="preserve">Poiché </w:t>
      </w:r>
      <w:proofErr w:type="spellStart"/>
      <w:r w:rsidR="00762D04">
        <w:rPr>
          <w:rFonts w:cs="Arial"/>
        </w:rPr>
        <w:t>Jitide</w:t>
      </w:r>
      <w:proofErr w:type="spellEnd"/>
      <w:r w:rsidR="00062636" w:rsidRPr="00FC69FD">
        <w:rPr>
          <w:rFonts w:cs="Arial"/>
        </w:rPr>
        <w:t xml:space="preserve"> </w:t>
      </w:r>
      <w:r w:rsidR="00013020" w:rsidRPr="00FC69FD">
        <w:rPr>
          <w:rFonts w:cs="Arial"/>
        </w:rPr>
        <w:t>è un medicinale generico</w:t>
      </w:r>
      <w:r w:rsidR="004D13C9">
        <w:rPr>
          <w:rFonts w:cs="Arial"/>
        </w:rPr>
        <w:t xml:space="preserve"> ed è somministrato come soluzione iniettabile</w:t>
      </w:r>
      <w:r w:rsidRPr="00FC69FD">
        <w:rPr>
          <w:rFonts w:cs="Arial"/>
        </w:rPr>
        <w:t xml:space="preserve">, </w:t>
      </w:r>
      <w:r w:rsidR="004D13C9">
        <w:rPr>
          <w:rFonts w:cs="Arial"/>
        </w:rPr>
        <w:t xml:space="preserve">non </w:t>
      </w:r>
      <w:r w:rsidRPr="00FC69FD">
        <w:rPr>
          <w:rFonts w:cs="Arial"/>
        </w:rPr>
        <w:t xml:space="preserve">è stato </w:t>
      </w:r>
      <w:r w:rsidR="004D13C9">
        <w:rPr>
          <w:rFonts w:cs="Arial"/>
        </w:rPr>
        <w:t xml:space="preserve">necessario </w:t>
      </w:r>
      <w:r w:rsidRPr="00FC69FD">
        <w:rPr>
          <w:rFonts w:cs="Arial"/>
        </w:rPr>
        <w:t>effettuare</w:t>
      </w:r>
      <w:r w:rsidR="004D13C9">
        <w:rPr>
          <w:rFonts w:cs="Arial"/>
        </w:rPr>
        <w:t xml:space="preserve"> ulteriori</w:t>
      </w:r>
      <w:r w:rsidRPr="00FC69FD">
        <w:rPr>
          <w:rFonts w:cs="Arial"/>
        </w:rPr>
        <w:t xml:space="preserve"> prove cliniche. </w:t>
      </w: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762D04">
        <w:rPr>
          <w:rFonts w:eastAsia="Calibri" w:cs="Calibri"/>
          <w:b/>
          <w:bCs/>
          <w:color w:val="000000"/>
          <w:lang w:eastAsia="it-IT"/>
        </w:rPr>
        <w:t>Jitide</w:t>
      </w:r>
      <w:proofErr w:type="spellEnd"/>
      <w:r w:rsidRPr="00FC69FD">
        <w:rPr>
          <w:rFonts w:eastAsia="Calibri" w:cs="Calibri"/>
          <w:b/>
          <w:lang w:eastAsia="it-IT"/>
        </w:rPr>
        <w:t>?</w:t>
      </w:r>
      <w:r w:rsidRPr="00FC69FD">
        <w:rPr>
          <w:rFonts w:eastAsia="Calibri" w:cs="Calibri"/>
          <w:lang w:eastAsia="it-IT"/>
        </w:rPr>
        <w:t xml:space="preserve"> </w:t>
      </w:r>
    </w:p>
    <w:p w:rsidR="004241AC" w:rsidRPr="00FC69FD" w:rsidRDefault="00762D04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Jitide</w:t>
      </w:r>
      <w:proofErr w:type="spellEnd"/>
      <w:r w:rsidR="009B03DB" w:rsidRPr="00FC69F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C69FD">
        <w:rPr>
          <w:rFonts w:eastAsia="Calibri" w:cs="Calibri"/>
          <w:lang w:eastAsia="it-IT"/>
        </w:rPr>
        <w:t xml:space="preserve">è un medicinale </w:t>
      </w:r>
      <w:r w:rsidR="00013020" w:rsidRPr="00FC69FD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FC69FD">
        <w:rPr>
          <w:rFonts w:eastAsia="Calibri" w:cs="Calibri"/>
          <w:lang w:eastAsia="it-IT"/>
        </w:rPr>
        <w:t>bioequivale</w:t>
      </w:r>
      <w:r w:rsidR="009B03DB" w:rsidRPr="00FC69FD">
        <w:rPr>
          <w:rFonts w:eastAsia="Calibri" w:cs="Calibri"/>
          <w:lang w:eastAsia="it-IT"/>
        </w:rPr>
        <w:t>n</w:t>
      </w:r>
      <w:r w:rsidR="00013020" w:rsidRPr="00FC69FD">
        <w:rPr>
          <w:rFonts w:eastAsia="Calibri" w:cs="Calibri"/>
          <w:lang w:eastAsia="it-IT"/>
        </w:rPr>
        <w:t>te</w:t>
      </w:r>
      <w:proofErr w:type="spellEnd"/>
      <w:r w:rsidR="00013020" w:rsidRPr="00FC69FD">
        <w:rPr>
          <w:rFonts w:eastAsia="Calibri" w:cs="Calibri"/>
          <w:lang w:eastAsia="it-IT"/>
        </w:rPr>
        <w:t xml:space="preserve"> al medicinale di riferimento</w:t>
      </w:r>
      <w:r w:rsidR="00BA7D67" w:rsidRPr="00FC69FD">
        <w:rPr>
          <w:rFonts w:eastAsia="Calibri" w:cs="Calibri"/>
          <w:lang w:eastAsia="it-IT"/>
        </w:rPr>
        <w:t xml:space="preserve">; pertanto, </w:t>
      </w:r>
      <w:r w:rsidR="00013020" w:rsidRPr="00FC69FD">
        <w:rPr>
          <w:rFonts w:eastAsia="Calibri" w:cs="Calibri"/>
          <w:lang w:eastAsia="it-IT"/>
        </w:rPr>
        <w:t>i suoi</w:t>
      </w:r>
      <w:r w:rsidR="004241AC" w:rsidRPr="00FC69FD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C69FD">
        <w:rPr>
          <w:rFonts w:eastAsia="Calibri" w:cs="Calibri"/>
          <w:lang w:eastAsia="it-IT"/>
        </w:rPr>
        <w:t>l</w:t>
      </w:r>
      <w:r w:rsidR="004241AC" w:rsidRPr="00FC69FD">
        <w:rPr>
          <w:rFonts w:eastAsia="Calibri" w:cs="Calibri"/>
          <w:lang w:eastAsia="it-IT"/>
        </w:rPr>
        <w:t xml:space="preserve"> medicinal</w:t>
      </w:r>
      <w:r w:rsidR="00013020" w:rsidRPr="00FC69FD">
        <w:rPr>
          <w:rFonts w:eastAsia="Calibri" w:cs="Calibri"/>
          <w:lang w:eastAsia="it-IT"/>
        </w:rPr>
        <w:t>e</w:t>
      </w:r>
      <w:r w:rsidR="004241AC" w:rsidRPr="00FC69FD">
        <w:rPr>
          <w:rFonts w:eastAsia="Calibri" w:cs="Calibri"/>
          <w:lang w:eastAsia="it-IT"/>
        </w:rPr>
        <w:t xml:space="preserve"> di riferimento. </w:t>
      </w: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62D04">
        <w:rPr>
          <w:rFonts w:eastAsia="Calibri" w:cs="Calibri"/>
          <w:b/>
          <w:bCs/>
          <w:color w:val="000000"/>
          <w:lang w:eastAsia="it-IT"/>
        </w:rPr>
        <w:t>Jitide</w:t>
      </w:r>
      <w:proofErr w:type="spellEnd"/>
      <w:r w:rsidR="009B03DB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C69FD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031A5">
        <w:rPr>
          <w:rFonts w:eastAsia="Calibri" w:cs="Calibri"/>
          <w:lang w:eastAsia="it-IT"/>
        </w:rPr>
        <w:t>La Commissione Tecnico Scientifica (CTS</w:t>
      </w:r>
      <w:r w:rsidR="004D13C9" w:rsidRPr="006031A5">
        <w:rPr>
          <w:rFonts w:eastAsia="Calibri" w:cs="Calibri"/>
          <w:lang w:eastAsia="it-IT"/>
        </w:rPr>
        <w:t>)</w:t>
      </w:r>
      <w:r w:rsidR="005E2E89" w:rsidRPr="006031A5">
        <w:rPr>
          <w:rFonts w:eastAsia="Calibri" w:cs="Calibri"/>
          <w:lang w:eastAsia="it-IT"/>
        </w:rPr>
        <w:t>, nella riunione del</w:t>
      </w:r>
      <w:r w:rsidR="006031A5" w:rsidRPr="006031A5">
        <w:rPr>
          <w:rFonts w:eastAsia="Calibri" w:cs="Calibri"/>
          <w:lang w:eastAsia="it-IT"/>
        </w:rPr>
        <w:t xml:space="preserve"> 7-9 novembre 2016</w:t>
      </w:r>
      <w:r w:rsidR="005E2E89" w:rsidRPr="006031A5">
        <w:rPr>
          <w:rFonts w:eastAsia="Calibri" w:cs="Calibri"/>
          <w:lang w:eastAsia="it-IT"/>
        </w:rPr>
        <w:t>,</w:t>
      </w:r>
      <w:r w:rsidRPr="006031A5">
        <w:rPr>
          <w:rFonts w:eastAsia="Calibri" w:cs="Calibri"/>
          <w:lang w:eastAsia="it-IT"/>
        </w:rPr>
        <w:t xml:space="preserve"> ha concluso che,</w:t>
      </w:r>
      <w:r w:rsidRPr="00FC69FD"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 w:rsidRPr="00FC69FD">
        <w:rPr>
          <w:rFonts w:eastAsia="Calibri" w:cs="Calibri"/>
          <w:lang w:eastAsia="it-IT"/>
        </w:rPr>
        <w:t>del</w:t>
      </w:r>
      <w:r w:rsidRPr="00FC69FD">
        <w:rPr>
          <w:rFonts w:eastAsia="Calibri" w:cs="Calibri"/>
          <w:lang w:eastAsia="it-IT"/>
        </w:rPr>
        <w:t xml:space="preserve"> medicinal</w:t>
      </w:r>
      <w:r w:rsidR="00D20170" w:rsidRPr="00FC69FD">
        <w:rPr>
          <w:rFonts w:eastAsia="Calibri" w:cs="Calibri"/>
          <w:lang w:eastAsia="it-IT"/>
        </w:rPr>
        <w:t>e</w:t>
      </w:r>
      <w:r w:rsidR="00214672">
        <w:rPr>
          <w:rFonts w:eastAsia="Calibri" w:cs="Calibri"/>
          <w:lang w:eastAsia="it-IT"/>
        </w:rPr>
        <w:t xml:space="preserve"> di riferimento</w:t>
      </w:r>
      <w:r w:rsidRPr="00FC69FD">
        <w:rPr>
          <w:rFonts w:eastAsia="Calibri" w:cs="Calibri"/>
          <w:lang w:eastAsia="it-IT"/>
        </w:rPr>
        <w:t xml:space="preserve"> </w:t>
      </w:r>
      <w:proofErr w:type="spellStart"/>
      <w:r w:rsidR="00762D04">
        <w:rPr>
          <w:rFonts w:eastAsia="Calibri" w:cs="Calibri"/>
          <w:lang w:eastAsia="it-IT"/>
        </w:rPr>
        <w:t>Zadaxin</w:t>
      </w:r>
      <w:proofErr w:type="spellEnd"/>
      <w:r w:rsidRPr="00FC69FD">
        <w:rPr>
          <w:rFonts w:eastAsia="Calibri" w:cs="Calibri"/>
          <w:lang w:eastAsia="it-IT"/>
        </w:rPr>
        <w:t>, i</w:t>
      </w:r>
      <w:r>
        <w:rPr>
          <w:rFonts w:eastAsia="Calibri" w:cs="Calibri"/>
          <w:lang w:eastAsia="it-IT"/>
        </w:rPr>
        <w:t xml:space="preserve"> benefici di </w:t>
      </w:r>
      <w:proofErr w:type="spellStart"/>
      <w:r w:rsidR="00762D04">
        <w:rPr>
          <w:rFonts w:eastAsia="Calibri" w:cs="Calibri"/>
          <w:lang w:eastAsia="it-IT"/>
        </w:rPr>
        <w:t>Jitide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424BF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14672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BA69F1">
        <w:rPr>
          <w:rFonts w:eastAsia="Calibri" w:cs="Calibri"/>
          <w:lang w:eastAsia="it-IT"/>
        </w:rPr>
        <w:t>classificazione</w:t>
      </w:r>
      <w:r w:rsidR="005E2E89">
        <w:rPr>
          <w:rFonts w:eastAsia="Calibri" w:cs="Calibri"/>
          <w:lang w:eastAsia="it-IT"/>
        </w:rPr>
        <w:t xml:space="preserve"> provvisoria Cnn</w:t>
      </w:r>
      <w:r w:rsidR="004D13C9">
        <w:rPr>
          <w:rFonts w:eastAsia="Calibri" w:cs="Calibri"/>
          <w:lang w:eastAsia="it-IT"/>
        </w:rPr>
        <w:t>)</w:t>
      </w:r>
      <w:r w:rsidRPr="0011250C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62D04">
        <w:rPr>
          <w:rFonts w:eastAsia="Calibri" w:cs="Calibri"/>
          <w:b/>
          <w:bCs/>
          <w:color w:val="000000"/>
          <w:lang w:eastAsia="it-IT"/>
        </w:rPr>
        <w:t>Jitide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A69F1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>, in accordo con quanto richiesto dalla Direttiva 2001/83/CE e successivi emendamenti, descrivendo le attività di Farmacovigilanza e gli interventi finalizzati ad identificare, caratterizzare, prevenire o minimizzare i rischi correlati</w:t>
      </w:r>
      <w:r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 xml:space="preserve">a </w:t>
      </w:r>
      <w:proofErr w:type="spellStart"/>
      <w:r w:rsidR="00762D04">
        <w:rPr>
          <w:rFonts w:eastAsia="Calibri" w:cs="Calibri"/>
          <w:lang w:eastAsia="it-IT"/>
        </w:rPr>
        <w:t>Jitide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62D04">
        <w:rPr>
          <w:rFonts w:eastAsia="Calibri" w:cs="Calibri"/>
          <w:b/>
          <w:bCs/>
          <w:color w:val="000000"/>
          <w:lang w:eastAsia="it-IT"/>
        </w:rPr>
        <w:t>Jitide</w:t>
      </w:r>
      <w:proofErr w:type="spellEnd"/>
    </w:p>
    <w:p w:rsidR="004241AC" w:rsidRPr="00CA3A1E" w:rsidRDefault="005E2E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6031A5">
        <w:rPr>
          <w:rFonts w:eastAsia="Calibri" w:cs="Calibri"/>
          <w:bCs/>
          <w:iCs/>
          <w:lang w:eastAsia="it-IT"/>
        </w:rPr>
        <w:t>20 dicembre 2016</w:t>
      </w:r>
      <w:r w:rsidR="00CF38AE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>l’AIFA ha rilasciato l’autorizzazione all’immissione in commercio</w:t>
      </w:r>
      <w:r w:rsidR="004D13C9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762D04">
        <w:rPr>
          <w:rFonts w:eastAsia="Calibri" w:cs="Calibri"/>
          <w:bCs/>
          <w:color w:val="000000"/>
          <w:lang w:eastAsia="it-IT"/>
        </w:rPr>
        <w:t>Jitide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C608F7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A69F1" w:rsidRDefault="00BA69F1" w:rsidP="00BA69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62D04">
        <w:rPr>
          <w:rFonts w:eastAsia="Calibri" w:cs="Calibri"/>
          <w:bCs/>
          <w:color w:val="000000"/>
          <w:lang w:eastAsia="it-IT"/>
        </w:rPr>
        <w:t>Jitide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33792">
        <w:rPr>
          <w:rFonts w:eastAsia="Calibri" w:cs="Calibri"/>
          <w:lang w:eastAsia="it-IT"/>
        </w:rPr>
        <w:t>(</w:t>
      </w:r>
      <w:hyperlink r:id="rId6" w:history="1">
        <w:r w:rsidR="00533792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33792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701D8" w:rsidRDefault="006701D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</w:t>
      </w:r>
      <w:r w:rsidRPr="0067216D">
        <w:rPr>
          <w:rFonts w:eastAsia="Calibri" w:cs="Calibri"/>
          <w:lang w:eastAsia="it-IT"/>
        </w:rPr>
        <w:t xml:space="preserve">in data </w:t>
      </w:r>
      <w:r w:rsidR="00E92447">
        <w:rPr>
          <w:rFonts w:eastAsia="Calibri" w:cs="Calibri"/>
          <w:lang w:eastAsia="it-IT"/>
        </w:rPr>
        <w:t>18.10.2016</w:t>
      </w:r>
      <w:r w:rsidRPr="002A3F14">
        <w:rPr>
          <w:rFonts w:eastAsia="Calibri" w:cs="Calibri"/>
          <w:lang w:eastAsia="it-IT"/>
        </w:rPr>
        <w:t xml:space="preserve"> </w:t>
      </w:r>
    </w:p>
    <w:p w:rsidR="00DF4F68" w:rsidRDefault="00DF4F68" w:rsidP="00C608F7">
      <w:pPr>
        <w:spacing w:after="0" w:line="240" w:lineRule="auto"/>
        <w:jc w:val="center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</w:p>
    <w:p w:rsidR="00BA69F1" w:rsidRDefault="00BA69F1" w:rsidP="00BA69F1">
      <w:pPr>
        <w:spacing w:after="0" w:line="240" w:lineRule="auto"/>
        <w:jc w:val="both"/>
      </w:pPr>
    </w:p>
    <w:p w:rsidR="00BA69F1" w:rsidRDefault="00BA69F1" w:rsidP="00BA69F1">
      <w:pPr>
        <w:spacing w:after="0" w:line="240" w:lineRule="auto"/>
        <w:jc w:val="both"/>
      </w:pPr>
    </w:p>
    <w:p w:rsidR="00BA69F1" w:rsidRDefault="00BA69F1" w:rsidP="00BA69F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BA69F1" w:rsidRDefault="00BA69F1" w:rsidP="00BA69F1">
      <w:pPr>
        <w:spacing w:after="0" w:line="240" w:lineRule="auto"/>
        <w:jc w:val="center"/>
        <w:rPr>
          <w:b/>
        </w:rPr>
      </w:pPr>
    </w:p>
    <w:p w:rsidR="00BA69F1" w:rsidRDefault="00BA69F1" w:rsidP="00BA69F1">
      <w:pPr>
        <w:spacing w:after="0" w:line="240" w:lineRule="auto"/>
        <w:jc w:val="center"/>
        <w:rPr>
          <w:b/>
        </w:rPr>
      </w:pPr>
    </w:p>
    <w:p w:rsidR="00BA69F1" w:rsidRDefault="00BA69F1" w:rsidP="00BA69F1">
      <w:pPr>
        <w:spacing w:after="0" w:line="240" w:lineRule="auto"/>
        <w:jc w:val="center"/>
        <w:rPr>
          <w:b/>
        </w:rPr>
      </w:pPr>
    </w:p>
    <w:p w:rsidR="00BA69F1" w:rsidRDefault="00BA69F1" w:rsidP="00BA69F1">
      <w:pPr>
        <w:spacing w:after="0" w:line="240" w:lineRule="auto"/>
        <w:jc w:val="center"/>
        <w:rPr>
          <w:b/>
        </w:rPr>
      </w:pPr>
    </w:p>
    <w:p w:rsidR="00BA69F1" w:rsidRPr="0033523E" w:rsidRDefault="00BA69F1" w:rsidP="00BA69F1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BA69F1" w:rsidRDefault="00BA69F1" w:rsidP="00BA69F1">
      <w:pPr>
        <w:spacing w:after="0" w:line="240" w:lineRule="auto"/>
        <w:jc w:val="both"/>
      </w:pPr>
    </w:p>
    <w:p w:rsidR="00BA69F1" w:rsidRDefault="00BA69F1" w:rsidP="00BA69F1">
      <w:pPr>
        <w:spacing w:after="0" w:line="240" w:lineRule="auto"/>
        <w:jc w:val="both"/>
      </w:pPr>
    </w:p>
    <w:p w:rsidR="00BA69F1" w:rsidRDefault="00BA69F1" w:rsidP="00BA69F1">
      <w:pPr>
        <w:spacing w:after="0" w:line="240" w:lineRule="auto"/>
        <w:jc w:val="both"/>
      </w:pPr>
    </w:p>
    <w:p w:rsidR="00BA69F1" w:rsidRPr="008206E7" w:rsidRDefault="00BA69F1" w:rsidP="00BA69F1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BA69F1" w:rsidRPr="002A3F14" w:rsidRDefault="00BA69F1" w:rsidP="00BA69F1">
      <w:pPr>
        <w:spacing w:after="0" w:line="240" w:lineRule="auto"/>
        <w:jc w:val="both"/>
      </w:pPr>
    </w:p>
    <w:p w:rsidR="00BA69F1" w:rsidRDefault="00BA69F1" w:rsidP="00BA69F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BA69F1" w:rsidRPr="0033523E" w:rsidRDefault="00BA69F1" w:rsidP="00BA69F1">
      <w:pPr>
        <w:pStyle w:val="Paragrafoelenco"/>
        <w:rPr>
          <w:b/>
        </w:rPr>
      </w:pPr>
    </w:p>
    <w:p w:rsidR="00BA69F1" w:rsidRDefault="00BA69F1" w:rsidP="00BA69F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BA69F1" w:rsidRPr="0033523E" w:rsidRDefault="00BA69F1" w:rsidP="00BA69F1">
      <w:pPr>
        <w:pStyle w:val="Paragrafoelenco"/>
        <w:rPr>
          <w:b/>
        </w:rPr>
      </w:pPr>
    </w:p>
    <w:p w:rsidR="00BA69F1" w:rsidRDefault="00BA69F1" w:rsidP="00BA69F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BA69F1" w:rsidRPr="0033523E" w:rsidRDefault="00BA69F1" w:rsidP="00BA69F1">
      <w:pPr>
        <w:pStyle w:val="Paragrafoelenco"/>
        <w:rPr>
          <w:b/>
        </w:rPr>
      </w:pPr>
    </w:p>
    <w:p w:rsidR="00BA69F1" w:rsidRPr="002E4DCB" w:rsidRDefault="00BA69F1" w:rsidP="00BA69F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BA69F1" w:rsidRDefault="00BA69F1" w:rsidP="00BA69F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BA69F1" w:rsidRPr="00BC23ED" w:rsidRDefault="00BA69F1" w:rsidP="00BA69F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Default="00BA69F1" w:rsidP="00BA69F1"/>
    <w:p w:rsidR="00BA69F1" w:rsidRPr="007F142F" w:rsidRDefault="00BA69F1" w:rsidP="007F142F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7F142F">
        <w:rPr>
          <w:b/>
        </w:rPr>
        <w:lastRenderedPageBreak/>
        <w:t>INTRODUZIONE</w:t>
      </w:r>
    </w:p>
    <w:p w:rsidR="00BA69F1" w:rsidRPr="007F142F" w:rsidRDefault="00BA69F1" w:rsidP="007F14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F142F">
        <w:t xml:space="preserve">Sulla base dei dati di qualità, sicurezza ed efficacia, l’AIFA ha rilasciato a </w:t>
      </w:r>
      <w:proofErr w:type="spellStart"/>
      <w:r w:rsidRPr="007F142F">
        <w:t>Lyomark</w:t>
      </w:r>
      <w:proofErr w:type="spellEnd"/>
      <w:r w:rsidRPr="007F142F">
        <w:t xml:space="preserve"> Pharma</w:t>
      </w:r>
      <w:r w:rsidR="007F142F" w:rsidRPr="007F142F">
        <w:t xml:space="preserve"> </w:t>
      </w:r>
      <w:r w:rsidRPr="007F142F">
        <w:t xml:space="preserve"> l’autorizzazione </w:t>
      </w:r>
      <w:r w:rsidRPr="006031A5">
        <w:t xml:space="preserve">all’immissione in commercio (AIC) </w:t>
      </w:r>
      <w:r w:rsidRPr="006031A5">
        <w:rPr>
          <w:rFonts w:eastAsia="Calibri" w:cs="Calibri"/>
          <w:bCs/>
          <w:iCs/>
          <w:lang w:eastAsia="it-IT"/>
        </w:rPr>
        <w:t xml:space="preserve">per </w:t>
      </w:r>
      <w:proofErr w:type="spellStart"/>
      <w:r w:rsidRPr="006031A5">
        <w:rPr>
          <w:rFonts w:eastAsia="Calibri" w:cs="Calibri"/>
          <w:bCs/>
          <w:iCs/>
          <w:lang w:eastAsia="it-IT"/>
        </w:rPr>
        <w:t>Jitide</w:t>
      </w:r>
      <w:proofErr w:type="spellEnd"/>
      <w:r w:rsidR="007F142F" w:rsidRPr="006031A5">
        <w:rPr>
          <w:rFonts w:eastAsia="Calibri" w:cs="Calibri"/>
          <w:bCs/>
          <w:iCs/>
          <w:lang w:eastAsia="it-IT"/>
        </w:rPr>
        <w:t xml:space="preserve"> il </w:t>
      </w:r>
      <w:r w:rsidR="006031A5" w:rsidRPr="006031A5">
        <w:rPr>
          <w:rFonts w:eastAsia="Calibri" w:cs="Calibri"/>
          <w:bCs/>
          <w:iCs/>
          <w:lang w:eastAsia="it-IT"/>
        </w:rPr>
        <w:t>20 dicembre 2016</w:t>
      </w:r>
      <w:r w:rsidRPr="006031A5">
        <w:rPr>
          <w:rFonts w:eastAsia="Calibri" w:cs="Calibri"/>
          <w:lang w:eastAsia="it-IT"/>
        </w:rPr>
        <w:t>.</w:t>
      </w:r>
    </w:p>
    <w:p w:rsidR="00BA69F1" w:rsidRPr="007F142F" w:rsidRDefault="00BA69F1" w:rsidP="007F142F">
      <w:pPr>
        <w:spacing w:after="0" w:line="240" w:lineRule="auto"/>
        <w:jc w:val="both"/>
      </w:pPr>
    </w:p>
    <w:p w:rsidR="00BA69F1" w:rsidRPr="007F142F" w:rsidRDefault="007F142F" w:rsidP="007F14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F142F">
        <w:rPr>
          <w:rFonts w:eastAsia="Calibri" w:cs="Calibri"/>
          <w:color w:val="000000"/>
          <w:lang w:eastAsia="it-IT"/>
        </w:rPr>
        <w:t>Jitide</w:t>
      </w:r>
      <w:proofErr w:type="spellEnd"/>
      <w:r w:rsidR="00BA69F1" w:rsidRPr="007F142F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BA69F1" w:rsidRPr="007F142F" w:rsidRDefault="00BA69F1" w:rsidP="007F142F">
      <w:pPr>
        <w:spacing w:after="0" w:line="240" w:lineRule="auto"/>
        <w:jc w:val="both"/>
      </w:pPr>
    </w:p>
    <w:p w:rsidR="007F142F" w:rsidRPr="007F142F" w:rsidRDefault="007F142F" w:rsidP="007F142F">
      <w:pPr>
        <w:spacing w:after="0" w:line="240" w:lineRule="auto"/>
        <w:jc w:val="both"/>
      </w:pPr>
      <w:r w:rsidRPr="007F142F">
        <w:t xml:space="preserve">Questa procedura è stata presentata ai sensi dell’art. 10(1) della Direttiva 2001/83/EU </w:t>
      </w:r>
      <w:proofErr w:type="spellStart"/>
      <w:r w:rsidRPr="007F142F">
        <w:t>s.m.i.</w:t>
      </w:r>
      <w:proofErr w:type="spellEnd"/>
    </w:p>
    <w:p w:rsidR="00BA69F1" w:rsidRPr="007F142F" w:rsidRDefault="00BA69F1" w:rsidP="007F142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F142F" w:rsidRPr="007F142F" w:rsidRDefault="007F142F" w:rsidP="007F142F">
      <w:pPr>
        <w:suppressAutoHyphens/>
        <w:spacing w:after="0" w:line="240" w:lineRule="auto"/>
        <w:jc w:val="both"/>
        <w:rPr>
          <w:rFonts w:ascii="Calibri" w:hAnsi="Calibri"/>
        </w:rPr>
      </w:pPr>
      <w:proofErr w:type="spellStart"/>
      <w:r w:rsidRPr="007F142F">
        <w:rPr>
          <w:rFonts w:eastAsia="Calibri" w:cs="Calibri"/>
          <w:bCs/>
          <w:color w:val="000000"/>
          <w:lang w:eastAsia="it-IT"/>
        </w:rPr>
        <w:t>Jitide</w:t>
      </w:r>
      <w:proofErr w:type="spellEnd"/>
      <w:r w:rsidR="00BA69F1" w:rsidRPr="007F142F">
        <w:rPr>
          <w:rFonts w:eastAsia="Calibri" w:cs="Calibri"/>
          <w:bCs/>
          <w:color w:val="000000"/>
          <w:lang w:eastAsia="it-IT"/>
        </w:rPr>
        <w:t xml:space="preserve"> </w:t>
      </w:r>
      <w:r w:rsidR="00BA69F1" w:rsidRPr="007F142F">
        <w:rPr>
          <w:rFonts w:eastAsia="Calibri" w:cs="Calibri"/>
          <w:color w:val="000000"/>
          <w:lang w:eastAsia="it-IT"/>
        </w:rPr>
        <w:t xml:space="preserve">è un medicinale, il cui </w:t>
      </w:r>
      <w:r w:rsidR="00BA69F1" w:rsidRPr="007F142F">
        <w:rPr>
          <w:color w:val="000000"/>
        </w:rPr>
        <w:t>c</w:t>
      </w:r>
      <w:r w:rsidR="00BA69F1" w:rsidRPr="007F142F">
        <w:rPr>
          <w:iCs/>
        </w:rPr>
        <w:t xml:space="preserve">odice ATC è </w:t>
      </w:r>
      <w:r w:rsidRPr="007F142F">
        <w:rPr>
          <w:rFonts w:ascii="Calibri" w:hAnsi="Calibri"/>
        </w:rPr>
        <w:t xml:space="preserve">L03AX, contenente il principio attivo </w:t>
      </w:r>
      <w:proofErr w:type="spellStart"/>
      <w:r w:rsidRPr="007F142F">
        <w:rPr>
          <w:rFonts w:ascii="Calibri" w:hAnsi="Calibri"/>
        </w:rPr>
        <w:t>timalfasina</w:t>
      </w:r>
      <w:proofErr w:type="spellEnd"/>
      <w:r w:rsidRPr="007F142F">
        <w:rPr>
          <w:rFonts w:ascii="Calibri" w:hAnsi="Calibri"/>
        </w:rPr>
        <w:t xml:space="preserve"> </w:t>
      </w:r>
      <w:r w:rsidRPr="007F142F">
        <w:rPr>
          <w:rFonts w:eastAsia="Calibri" w:cs="Calibri"/>
          <w:color w:val="000000"/>
          <w:lang w:eastAsia="it-IT"/>
        </w:rPr>
        <w:t>(</w:t>
      </w:r>
      <w:proofErr w:type="spellStart"/>
      <w:r w:rsidRPr="007F142F">
        <w:rPr>
          <w:rFonts w:eastAsia="Calibri" w:cs="Calibri"/>
          <w:color w:val="000000"/>
          <w:lang w:eastAsia="it-IT"/>
        </w:rPr>
        <w:t>timosina</w:t>
      </w:r>
      <w:proofErr w:type="spellEnd"/>
      <w:r w:rsidRPr="007F142F">
        <w:rPr>
          <w:rFonts w:eastAsia="Calibri" w:cs="Calibri"/>
          <w:color w:val="000000"/>
          <w:lang w:eastAsia="it-IT"/>
        </w:rPr>
        <w:t xml:space="preserve"> alfa-1). </w:t>
      </w:r>
      <w:r w:rsidRPr="007F142F">
        <w:rPr>
          <w:rFonts w:ascii="Calibri" w:hAnsi="Calibri"/>
        </w:rPr>
        <w:t xml:space="preserve">La </w:t>
      </w:r>
      <w:proofErr w:type="spellStart"/>
      <w:r w:rsidRPr="007F142F">
        <w:rPr>
          <w:rFonts w:ascii="Calibri" w:hAnsi="Calibri"/>
        </w:rPr>
        <w:t>timosina</w:t>
      </w:r>
      <w:proofErr w:type="spellEnd"/>
      <w:r w:rsidRPr="007F142F">
        <w:rPr>
          <w:rFonts w:ascii="Calibri" w:hAnsi="Calibri"/>
        </w:rPr>
        <w:t xml:space="preserve"> alfa-1 è un polipeptide sintetico costituito da 28 aminoacidi, identico per struttura molecolare alla </w:t>
      </w:r>
      <w:proofErr w:type="spellStart"/>
      <w:r w:rsidRPr="007F142F">
        <w:rPr>
          <w:rFonts w:ascii="Calibri" w:hAnsi="Calibri"/>
        </w:rPr>
        <w:t>timosina</w:t>
      </w:r>
      <w:proofErr w:type="spellEnd"/>
      <w:r w:rsidRPr="007F142F">
        <w:rPr>
          <w:rFonts w:ascii="Calibri" w:hAnsi="Calibri"/>
        </w:rPr>
        <w:t xml:space="preserve"> alfa-1 naturale, isolata originariamente dalla </w:t>
      </w:r>
      <w:proofErr w:type="spellStart"/>
      <w:r w:rsidRPr="007F142F">
        <w:rPr>
          <w:rFonts w:ascii="Calibri" w:hAnsi="Calibri"/>
        </w:rPr>
        <w:t>timosina</w:t>
      </w:r>
      <w:proofErr w:type="spellEnd"/>
      <w:r w:rsidRPr="007F142F">
        <w:rPr>
          <w:rFonts w:ascii="Calibri" w:hAnsi="Calibri"/>
        </w:rPr>
        <w:t xml:space="preserve"> frazione 5. Si tratta di un ormone timico pleiotropico capace di agire come </w:t>
      </w:r>
      <w:proofErr w:type="spellStart"/>
      <w:r w:rsidRPr="007F142F">
        <w:rPr>
          <w:rFonts w:ascii="Calibri" w:hAnsi="Calibri"/>
        </w:rPr>
        <w:t>immunomodulatore</w:t>
      </w:r>
      <w:proofErr w:type="spellEnd"/>
      <w:r w:rsidRPr="007F142F">
        <w:rPr>
          <w:rFonts w:ascii="Calibri" w:hAnsi="Calibri"/>
        </w:rPr>
        <w:t xml:space="preserve"> </w:t>
      </w:r>
    </w:p>
    <w:p w:rsidR="00BA69F1" w:rsidRPr="007F142F" w:rsidRDefault="00BA69F1" w:rsidP="007F142F">
      <w:pPr>
        <w:widowControl w:val="0"/>
        <w:spacing w:after="0" w:line="240" w:lineRule="auto"/>
        <w:jc w:val="both"/>
        <w:rPr>
          <w:iCs/>
          <w:highlight w:val="yellow"/>
        </w:rPr>
      </w:pPr>
    </w:p>
    <w:p w:rsidR="00BA69F1" w:rsidRPr="007F142F" w:rsidRDefault="007F142F" w:rsidP="007F142F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 w:rsidRPr="007F142F">
        <w:rPr>
          <w:rFonts w:eastAsia="Calibri" w:cs="Calibri"/>
          <w:color w:val="000000"/>
          <w:lang w:eastAsia="it-IT"/>
        </w:rPr>
        <w:t>Jitide</w:t>
      </w:r>
      <w:proofErr w:type="spellEnd"/>
      <w:r w:rsidR="00BA69F1" w:rsidRPr="007F142F">
        <w:rPr>
          <w:rFonts w:eastAsia="Calibri" w:cs="Calibri"/>
          <w:color w:val="000000"/>
          <w:lang w:eastAsia="it-IT"/>
        </w:rPr>
        <w:t xml:space="preserve"> </w:t>
      </w:r>
      <w:r w:rsidR="00BA69F1" w:rsidRPr="007F142F">
        <w:rPr>
          <w:rFonts w:cs="Helvetica"/>
        </w:rPr>
        <w:t xml:space="preserve">è indicato </w:t>
      </w:r>
      <w:r w:rsidRPr="007F142F">
        <w:rPr>
          <w:rFonts w:ascii="Calibri" w:hAnsi="Calibri"/>
        </w:rPr>
        <w:t xml:space="preserve">come adiuvante della vaccinazione anti-influenzale in soggetti </w:t>
      </w:r>
      <w:proofErr w:type="spellStart"/>
      <w:r w:rsidRPr="007F142F">
        <w:rPr>
          <w:rFonts w:ascii="Calibri" w:hAnsi="Calibri"/>
        </w:rPr>
        <w:t>immunocompromessi</w:t>
      </w:r>
      <w:proofErr w:type="spellEnd"/>
      <w:r w:rsidR="00BA69F1" w:rsidRPr="007F142F">
        <w:rPr>
          <w:rFonts w:cs="Calibri"/>
        </w:rPr>
        <w:t>.</w:t>
      </w:r>
    </w:p>
    <w:p w:rsidR="00BA69F1" w:rsidRPr="007F142F" w:rsidRDefault="00BA69F1" w:rsidP="007F142F">
      <w:pPr>
        <w:spacing w:after="0" w:line="240" w:lineRule="auto"/>
        <w:jc w:val="both"/>
      </w:pPr>
    </w:p>
    <w:p w:rsidR="006636C4" w:rsidRDefault="007F142F" w:rsidP="006636C4">
      <w:pPr>
        <w:spacing w:after="0" w:line="240" w:lineRule="auto"/>
        <w:jc w:val="both"/>
        <w:rPr>
          <w:rFonts w:cs="Arial"/>
        </w:rPr>
      </w:pPr>
      <w:r w:rsidRPr="001F321C">
        <w:t xml:space="preserve">Poiché </w:t>
      </w:r>
      <w:proofErr w:type="spellStart"/>
      <w:r>
        <w:t>Jitide</w:t>
      </w:r>
      <w:proofErr w:type="spellEnd"/>
      <w:r w:rsidRPr="001F321C">
        <w:t xml:space="preserve"> contiene un principio attivo noto non sono stati forniti nuovi dati non clinici e clinici: questo approccio è accettabile poiché il medicinale di riferimento </w:t>
      </w:r>
      <w:proofErr w:type="spellStart"/>
      <w:r>
        <w:t>Zadaxin</w:t>
      </w:r>
      <w:proofErr w:type="spellEnd"/>
      <w:r w:rsidRPr="001F321C">
        <w:t xml:space="preserve"> è autorizzato in Italia da oltre 10 anni.</w:t>
      </w:r>
      <w:r>
        <w:t xml:space="preserve"> Inoltre, poiché </w:t>
      </w:r>
      <w:proofErr w:type="spellStart"/>
      <w:r>
        <w:t>Jitide</w:t>
      </w:r>
      <w:proofErr w:type="spellEnd"/>
      <w:r>
        <w:t xml:space="preserve"> è somministrato come soluzione iniettabile </w:t>
      </w:r>
      <w:r w:rsidR="006636C4">
        <w:rPr>
          <w:rFonts w:cs="Arial"/>
        </w:rPr>
        <w:t>è stata concessa l’esenzione dalla conduzione di studi clinici di confronto con il medicinale di riferimento.</w:t>
      </w:r>
    </w:p>
    <w:p w:rsidR="00BA69F1" w:rsidRDefault="00BA69F1" w:rsidP="007F142F">
      <w:pPr>
        <w:spacing w:after="0" w:line="240" w:lineRule="auto"/>
        <w:jc w:val="both"/>
      </w:pPr>
    </w:p>
    <w:p w:rsidR="00BA69F1" w:rsidRPr="007F142F" w:rsidRDefault="00BA69F1" w:rsidP="007F142F">
      <w:pPr>
        <w:spacing w:after="0" w:line="240" w:lineRule="auto"/>
        <w:jc w:val="both"/>
      </w:pPr>
      <w:r w:rsidRPr="007F142F">
        <w:t>Le officine coinvolte nella produzione sono conformi alle linee guida di Buona Pratica di Fabbricazione (</w:t>
      </w:r>
      <w:proofErr w:type="spellStart"/>
      <w:r w:rsidRPr="007F142F">
        <w:rPr>
          <w:i/>
        </w:rPr>
        <w:t>Good</w:t>
      </w:r>
      <w:proofErr w:type="spellEnd"/>
      <w:r w:rsidRPr="007F142F">
        <w:rPr>
          <w:i/>
        </w:rPr>
        <w:t xml:space="preserve"> Manufacturing </w:t>
      </w:r>
      <w:proofErr w:type="spellStart"/>
      <w:r w:rsidRPr="007F142F">
        <w:rPr>
          <w:i/>
        </w:rPr>
        <w:t>Practice</w:t>
      </w:r>
      <w:proofErr w:type="spellEnd"/>
      <w:r w:rsidRPr="007F142F">
        <w:t xml:space="preserve"> - GMP). Le autorità </w:t>
      </w:r>
      <w:proofErr w:type="spellStart"/>
      <w:r w:rsidRPr="007F142F">
        <w:t>regolatorie</w:t>
      </w:r>
      <w:proofErr w:type="spellEnd"/>
      <w:r w:rsidRPr="007F142F">
        <w:t xml:space="preserve"> competenti hanno rilasciato i certificati GMP per i siti di produzione.</w:t>
      </w:r>
    </w:p>
    <w:p w:rsidR="00BA69F1" w:rsidRPr="007F142F" w:rsidRDefault="00BA69F1" w:rsidP="007F142F">
      <w:pPr>
        <w:spacing w:after="0" w:line="240" w:lineRule="auto"/>
        <w:jc w:val="both"/>
        <w:rPr>
          <w:highlight w:val="yellow"/>
        </w:rPr>
      </w:pPr>
    </w:p>
    <w:p w:rsidR="00BA69F1" w:rsidRPr="007F142F" w:rsidRDefault="00BA69F1" w:rsidP="007F142F">
      <w:pPr>
        <w:spacing w:after="0" w:line="240" w:lineRule="auto"/>
        <w:jc w:val="both"/>
      </w:pPr>
      <w:r w:rsidRPr="007F142F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7F142F">
        <w:rPr>
          <w:i/>
        </w:rPr>
        <w:t>Risk</w:t>
      </w:r>
      <w:proofErr w:type="spellEnd"/>
      <w:r w:rsidRPr="007F142F">
        <w:rPr>
          <w:i/>
        </w:rPr>
        <w:t xml:space="preserve"> Management </w:t>
      </w:r>
      <w:proofErr w:type="spellStart"/>
      <w:r w:rsidRPr="007F142F">
        <w:rPr>
          <w:i/>
        </w:rPr>
        <w:t>Plan</w:t>
      </w:r>
      <w:proofErr w:type="spellEnd"/>
      <w:r w:rsidRPr="007F142F">
        <w:t xml:space="preserve"> – RMP) accettabile.</w:t>
      </w:r>
    </w:p>
    <w:p w:rsidR="00BA69F1" w:rsidRPr="007F142F" w:rsidRDefault="00BA69F1" w:rsidP="007F142F">
      <w:pPr>
        <w:spacing w:after="0" w:line="240" w:lineRule="auto"/>
        <w:jc w:val="both"/>
      </w:pPr>
    </w:p>
    <w:p w:rsidR="00BA69F1" w:rsidRPr="007F142F" w:rsidRDefault="00BA69F1" w:rsidP="007F142F">
      <w:pPr>
        <w:spacing w:after="0" w:line="240" w:lineRule="auto"/>
        <w:jc w:val="both"/>
      </w:pPr>
      <w:r w:rsidRPr="007F142F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7F142F" w:rsidRPr="007F142F">
        <w:t>Jitide</w:t>
      </w:r>
      <w:proofErr w:type="spellEnd"/>
      <w:r w:rsidRPr="007F142F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BA69F1" w:rsidRPr="007F142F" w:rsidRDefault="00BA69F1" w:rsidP="00BA69F1">
      <w:pPr>
        <w:spacing w:after="0" w:line="240" w:lineRule="auto"/>
        <w:jc w:val="both"/>
      </w:pPr>
    </w:p>
    <w:p w:rsidR="00BA69F1" w:rsidRDefault="00BA69F1" w:rsidP="00BA69F1">
      <w:pPr>
        <w:spacing w:after="0" w:line="240" w:lineRule="auto"/>
        <w:jc w:val="both"/>
      </w:pPr>
    </w:p>
    <w:p w:rsidR="00BA69F1" w:rsidRDefault="00BA69F1" w:rsidP="00BA69F1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BA69F1" w:rsidRPr="006636C4" w:rsidRDefault="00BA69F1" w:rsidP="006636C4">
      <w:pPr>
        <w:spacing w:after="0" w:line="240" w:lineRule="auto"/>
        <w:jc w:val="both"/>
      </w:pPr>
      <w:r w:rsidRPr="006636C4">
        <w:rPr>
          <w:b/>
        </w:rPr>
        <w:t xml:space="preserve">II.1 PRINCIPIO ATTIVO </w:t>
      </w:r>
      <w:r w:rsidR="006636C4" w:rsidRPr="006636C4">
        <w:rPr>
          <w:b/>
        </w:rPr>
        <w:t>TIMALFASINA (TIMOSINA ALFA-1)</w:t>
      </w:r>
    </w:p>
    <w:p w:rsidR="00BA69F1" w:rsidRPr="0030348A" w:rsidRDefault="00BA69F1" w:rsidP="006636C4">
      <w:pPr>
        <w:autoSpaceDE w:val="0"/>
        <w:autoSpaceDN w:val="0"/>
        <w:adjustRightInd w:val="0"/>
        <w:spacing w:after="0" w:line="240" w:lineRule="auto"/>
      </w:pPr>
      <w:r w:rsidRPr="0030348A">
        <w:rPr>
          <w:u w:val="single"/>
        </w:rPr>
        <w:t>Nome chimico</w:t>
      </w:r>
      <w:r w:rsidRPr="0030348A">
        <w:t xml:space="preserve">:  </w:t>
      </w:r>
      <w:r w:rsidR="006636C4" w:rsidRPr="0030348A">
        <w:rPr>
          <w:rFonts w:cs="Times New Roman"/>
        </w:rPr>
        <w:t>N-Acetyl-Ser-Asp-Ala-Ala-Val-Asp-Thr-Ser-Ser-Glu-Ile-Thr-Thr-Lys-Asp-Leu-Lys-Glu-Lys-Lys-Glu-Val-Val-Glu-Glu-Ala-Glu-Asn-OH</w:t>
      </w:r>
      <w:r w:rsidRPr="0030348A">
        <w:rPr>
          <w:rStyle w:val="s1"/>
          <w:rFonts w:asciiTheme="minorHAnsi" w:hAnsiTheme="minorHAnsi"/>
        </w:rPr>
        <w:t>.</w:t>
      </w:r>
    </w:p>
    <w:p w:rsidR="00BA69F1" w:rsidRPr="0030348A" w:rsidRDefault="00BA69F1" w:rsidP="00BA69F1">
      <w:pPr>
        <w:spacing w:after="0" w:line="240" w:lineRule="auto"/>
        <w:jc w:val="both"/>
      </w:pPr>
      <w:r w:rsidRPr="0030348A">
        <w:rPr>
          <w:u w:val="single"/>
        </w:rPr>
        <w:t>Formula molecolare</w:t>
      </w:r>
      <w:r w:rsidRPr="0030348A">
        <w:t>:</w:t>
      </w:r>
      <w:r w:rsidR="006636C4" w:rsidRPr="0030348A">
        <w:rPr>
          <w:rFonts w:cs="Times New Roman"/>
        </w:rPr>
        <w:t xml:space="preserve"> C</w:t>
      </w:r>
      <w:r w:rsidR="006636C4" w:rsidRPr="0030348A">
        <w:rPr>
          <w:rFonts w:cs="Times New Roman"/>
          <w:vertAlign w:val="subscript"/>
        </w:rPr>
        <w:t>129</w:t>
      </w:r>
      <w:r w:rsidR="006636C4" w:rsidRPr="0030348A">
        <w:rPr>
          <w:rFonts w:cs="Times New Roman"/>
        </w:rPr>
        <w:t>H</w:t>
      </w:r>
      <w:r w:rsidR="006636C4" w:rsidRPr="0030348A">
        <w:rPr>
          <w:rFonts w:cs="Times New Roman"/>
          <w:vertAlign w:val="subscript"/>
        </w:rPr>
        <w:t>215</w:t>
      </w:r>
      <w:r w:rsidR="006636C4" w:rsidRPr="0030348A">
        <w:rPr>
          <w:rFonts w:cs="Times New Roman"/>
        </w:rPr>
        <w:t>N</w:t>
      </w:r>
      <w:r w:rsidR="006636C4" w:rsidRPr="0030348A">
        <w:rPr>
          <w:rFonts w:cs="Times New Roman"/>
          <w:vertAlign w:val="subscript"/>
        </w:rPr>
        <w:t>33</w:t>
      </w:r>
      <w:r w:rsidR="006636C4" w:rsidRPr="0030348A">
        <w:rPr>
          <w:rFonts w:cs="Times New Roman"/>
        </w:rPr>
        <w:t>O</w:t>
      </w:r>
      <w:r w:rsidR="006636C4" w:rsidRPr="0030348A">
        <w:rPr>
          <w:rFonts w:cs="Times New Roman"/>
          <w:vertAlign w:val="subscript"/>
        </w:rPr>
        <w:t>55</w:t>
      </w:r>
    </w:p>
    <w:p w:rsidR="00BA69F1" w:rsidRPr="0030348A" w:rsidRDefault="00BA69F1" w:rsidP="00BA69F1">
      <w:pPr>
        <w:spacing w:after="0" w:line="240" w:lineRule="auto"/>
        <w:jc w:val="both"/>
      </w:pPr>
      <w:r w:rsidRPr="0030348A">
        <w:rPr>
          <w:u w:val="single"/>
        </w:rPr>
        <w:t>Peso molecolare</w:t>
      </w:r>
      <w:r w:rsidRPr="0030348A">
        <w:t>:</w:t>
      </w:r>
      <w:r w:rsidRPr="0030348A">
        <w:rPr>
          <w:rFonts w:cs="Arial"/>
          <w:color w:val="252525"/>
          <w:shd w:val="clear" w:color="auto" w:fill="F9F9F9"/>
        </w:rPr>
        <w:t xml:space="preserve"> </w:t>
      </w:r>
      <w:r w:rsidR="006636C4" w:rsidRPr="0030348A">
        <w:rPr>
          <w:rFonts w:cs="Times New Roman"/>
        </w:rPr>
        <w:t>3108.28</w:t>
      </w:r>
      <w:r w:rsidRPr="0030348A">
        <w:rPr>
          <w:rStyle w:val="s1"/>
          <w:rFonts w:asciiTheme="minorHAnsi" w:hAnsiTheme="minorHAnsi"/>
        </w:rPr>
        <w:t xml:space="preserve"> g/mol</w:t>
      </w:r>
    </w:p>
    <w:p w:rsidR="00BA69F1" w:rsidRPr="00453FC8" w:rsidRDefault="00BA69F1" w:rsidP="00BA69F1">
      <w:pPr>
        <w:spacing w:after="0" w:line="240" w:lineRule="auto"/>
        <w:jc w:val="both"/>
      </w:pPr>
      <w:r w:rsidRPr="00453FC8">
        <w:rPr>
          <w:u w:val="single"/>
        </w:rPr>
        <w:t>CAS</w:t>
      </w:r>
      <w:r w:rsidRPr="00453FC8">
        <w:t xml:space="preserve">: </w:t>
      </w:r>
      <w:r w:rsidRPr="00453FC8">
        <w:rPr>
          <w:rStyle w:val="s1"/>
          <w:rFonts w:asciiTheme="minorHAnsi" w:hAnsiTheme="minorHAnsi"/>
        </w:rPr>
        <w:t>[</w:t>
      </w:r>
      <w:r w:rsidR="006636C4" w:rsidRPr="00453FC8">
        <w:rPr>
          <w:rFonts w:cs="Times New Roman"/>
        </w:rPr>
        <w:t>62304-98-7</w:t>
      </w:r>
      <w:r w:rsidRPr="00453FC8">
        <w:rPr>
          <w:rStyle w:val="s1"/>
          <w:rFonts w:asciiTheme="minorHAnsi" w:hAnsiTheme="minorHAnsi"/>
        </w:rPr>
        <w:t>]</w:t>
      </w:r>
    </w:p>
    <w:p w:rsidR="00BA69F1" w:rsidRPr="0030348A" w:rsidRDefault="00BA69F1" w:rsidP="00BA69F1">
      <w:pPr>
        <w:spacing w:after="0" w:line="240" w:lineRule="auto"/>
        <w:jc w:val="both"/>
      </w:pPr>
      <w:r w:rsidRPr="0030348A">
        <w:rPr>
          <w:u w:val="single"/>
        </w:rPr>
        <w:t>Aspetto</w:t>
      </w:r>
      <w:r w:rsidRPr="0030348A">
        <w:t xml:space="preserve">: </w:t>
      </w:r>
      <w:r w:rsidR="0030348A" w:rsidRPr="0030348A">
        <w:t>polvere bianca o biancastra</w:t>
      </w:r>
      <w:r w:rsidR="0030348A">
        <w:t xml:space="preserve"> con scaglie quasi sciolte</w:t>
      </w:r>
    </w:p>
    <w:p w:rsidR="006636C4" w:rsidRPr="0030348A" w:rsidRDefault="00BA69F1" w:rsidP="006636C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30348A">
        <w:rPr>
          <w:u w:val="single"/>
        </w:rPr>
        <w:t>Solubilità</w:t>
      </w:r>
      <w:r w:rsidRPr="0030348A">
        <w:t xml:space="preserve">: </w:t>
      </w:r>
      <w:r w:rsidR="0030348A" w:rsidRPr="0030348A">
        <w:rPr>
          <w:rFonts w:cs="Times New Roman"/>
        </w:rPr>
        <w:t xml:space="preserve">solubile </w:t>
      </w:r>
      <w:r w:rsidR="006636C4" w:rsidRPr="0030348A">
        <w:rPr>
          <w:rFonts w:cs="Times New Roman"/>
        </w:rPr>
        <w:t xml:space="preserve">in </w:t>
      </w:r>
      <w:r w:rsidR="0030348A" w:rsidRPr="0030348A">
        <w:rPr>
          <w:rFonts w:cs="Times New Roman"/>
        </w:rPr>
        <w:t xml:space="preserve">acido </w:t>
      </w:r>
      <w:proofErr w:type="spellStart"/>
      <w:r w:rsidR="006636C4" w:rsidRPr="0030348A">
        <w:rPr>
          <w:rFonts w:cs="Times New Roman"/>
        </w:rPr>
        <w:t>trifluoroacetic</w:t>
      </w:r>
      <w:r w:rsidR="0030348A" w:rsidRPr="0030348A">
        <w:rPr>
          <w:rFonts w:cs="Times New Roman"/>
        </w:rPr>
        <w:t>o</w:t>
      </w:r>
      <w:proofErr w:type="spellEnd"/>
      <w:r w:rsidR="006636C4" w:rsidRPr="0030348A">
        <w:rPr>
          <w:rFonts w:cs="Times New Roman"/>
        </w:rPr>
        <w:t xml:space="preserve">, </w:t>
      </w:r>
      <w:r w:rsidR="0030348A" w:rsidRPr="0030348A">
        <w:rPr>
          <w:rFonts w:cs="Times New Roman"/>
        </w:rPr>
        <w:t>leggermente</w:t>
      </w:r>
      <w:r w:rsidR="006636C4" w:rsidRPr="0030348A">
        <w:rPr>
          <w:rFonts w:cs="Times New Roman"/>
        </w:rPr>
        <w:t xml:space="preserve"> </w:t>
      </w:r>
      <w:proofErr w:type="spellStart"/>
      <w:r w:rsidR="006636C4" w:rsidRPr="0030348A">
        <w:rPr>
          <w:rFonts w:cs="Times New Roman"/>
        </w:rPr>
        <w:t>soluble</w:t>
      </w:r>
      <w:proofErr w:type="spellEnd"/>
      <w:r w:rsidR="006636C4" w:rsidRPr="0030348A">
        <w:rPr>
          <w:rFonts w:cs="Times New Roman"/>
        </w:rPr>
        <w:t xml:space="preserve"> in </w:t>
      </w:r>
      <w:r w:rsidR="0030348A" w:rsidRPr="0030348A">
        <w:rPr>
          <w:rFonts w:cs="Times New Roman"/>
        </w:rPr>
        <w:t>acqua</w:t>
      </w:r>
      <w:r w:rsidR="006636C4" w:rsidRPr="0030348A">
        <w:rPr>
          <w:rFonts w:cs="Times New Roman"/>
        </w:rPr>
        <w:t xml:space="preserve"> </w:t>
      </w:r>
      <w:r w:rsidR="0030348A" w:rsidRPr="0030348A">
        <w:rPr>
          <w:rFonts w:cs="Times New Roman"/>
        </w:rPr>
        <w:t>e in acido acetico</w:t>
      </w:r>
      <w:r w:rsidR="006636C4" w:rsidRPr="0030348A">
        <w:rPr>
          <w:rFonts w:cs="Times New Roman"/>
        </w:rPr>
        <w:t xml:space="preserve"> 1%, insolub</w:t>
      </w:r>
      <w:r w:rsidR="0030348A" w:rsidRPr="0030348A">
        <w:rPr>
          <w:rFonts w:cs="Times New Roman"/>
        </w:rPr>
        <w:t>i</w:t>
      </w:r>
      <w:r w:rsidR="006636C4" w:rsidRPr="0030348A">
        <w:rPr>
          <w:rFonts w:cs="Times New Roman"/>
        </w:rPr>
        <w:t xml:space="preserve">le in </w:t>
      </w:r>
      <w:proofErr w:type="spellStart"/>
      <w:r w:rsidR="006636C4" w:rsidRPr="0030348A">
        <w:rPr>
          <w:rFonts w:cs="Times New Roman"/>
        </w:rPr>
        <w:t>acetonitrile</w:t>
      </w:r>
      <w:proofErr w:type="spellEnd"/>
      <w:r w:rsidR="006636C4" w:rsidRPr="0030348A">
        <w:rPr>
          <w:rFonts w:cs="Times New Roman"/>
        </w:rPr>
        <w:t xml:space="preserve"> </w:t>
      </w:r>
      <w:r w:rsidR="0030348A" w:rsidRPr="0030348A">
        <w:rPr>
          <w:rFonts w:cs="Times New Roman"/>
        </w:rPr>
        <w:t>e in meta</w:t>
      </w:r>
      <w:r w:rsidR="006636C4" w:rsidRPr="0030348A">
        <w:rPr>
          <w:rFonts w:cs="Times New Roman"/>
        </w:rPr>
        <w:t>nol</w:t>
      </w:r>
      <w:r w:rsidR="0030348A" w:rsidRPr="0030348A">
        <w:rPr>
          <w:rFonts w:cs="Times New Roman"/>
        </w:rPr>
        <w:t>o</w:t>
      </w:r>
      <w:r w:rsidR="006636C4" w:rsidRPr="0030348A">
        <w:rPr>
          <w:rFonts w:cs="Times New Roman"/>
        </w:rPr>
        <w:t>.</w:t>
      </w:r>
    </w:p>
    <w:p w:rsidR="006636C4" w:rsidRPr="0030348A" w:rsidRDefault="006636C4" w:rsidP="006636C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A69F1" w:rsidRDefault="00BA69F1" w:rsidP="006636C4">
      <w:pPr>
        <w:autoSpaceDE w:val="0"/>
        <w:autoSpaceDN w:val="0"/>
        <w:adjustRightInd w:val="0"/>
        <w:spacing w:after="0" w:line="240" w:lineRule="auto"/>
        <w:jc w:val="both"/>
      </w:pPr>
      <w:r w:rsidRPr="006636C4">
        <w:t xml:space="preserve">Il principio attivo </w:t>
      </w:r>
      <w:proofErr w:type="spellStart"/>
      <w:r w:rsidR="0030348A">
        <w:t>timalfasina</w:t>
      </w:r>
      <w:proofErr w:type="spellEnd"/>
      <w:r w:rsidRPr="006636C4">
        <w:t xml:space="preserve"> </w:t>
      </w:r>
      <w:r w:rsidR="0030348A">
        <w:t xml:space="preserve">non </w:t>
      </w:r>
      <w:r w:rsidRPr="006636C4">
        <w:t xml:space="preserve">è presente in Farmacopea Europea </w:t>
      </w:r>
      <w:r w:rsidR="0030348A">
        <w:t xml:space="preserve">e il produttore di principio attivo </w:t>
      </w:r>
      <w:r w:rsidR="0085529F">
        <w:t>n</w:t>
      </w:r>
      <w:r w:rsidR="0030348A">
        <w:t>on ha presentato un ASMF in quanto tutte le informazioni, anche quelle riservate, sono state fornite dal titolare del medicinale.</w:t>
      </w:r>
    </w:p>
    <w:p w:rsidR="0030348A" w:rsidRPr="006636C4" w:rsidRDefault="0030348A" w:rsidP="006636C4">
      <w:pPr>
        <w:autoSpaceDE w:val="0"/>
        <w:autoSpaceDN w:val="0"/>
        <w:adjustRightInd w:val="0"/>
        <w:spacing w:after="0" w:line="240" w:lineRule="auto"/>
        <w:jc w:val="both"/>
      </w:pPr>
    </w:p>
    <w:p w:rsidR="0030348A" w:rsidRPr="00B32D81" w:rsidRDefault="0030348A" w:rsidP="0030348A">
      <w:pPr>
        <w:spacing w:after="0" w:line="240" w:lineRule="auto"/>
        <w:jc w:val="both"/>
      </w:pPr>
      <w:r w:rsidRPr="00B32D81">
        <w:t>La sintesi del principio attivo è stata adeguatamente descritta a partire da idonei materiali di partenza; sono utilizzati appropriati controlli di processo e degli intermedi di sintesi.</w:t>
      </w:r>
    </w:p>
    <w:p w:rsidR="0030348A" w:rsidRPr="00B32D81" w:rsidRDefault="0030348A" w:rsidP="0030348A">
      <w:pPr>
        <w:spacing w:after="0" w:line="240" w:lineRule="auto"/>
        <w:jc w:val="both"/>
      </w:pPr>
      <w:r w:rsidRPr="00B32D81">
        <w:t>I materiali e i reagenti utilizzati nella sintesi sono di qualità adeguata.</w:t>
      </w:r>
    </w:p>
    <w:p w:rsidR="0030348A" w:rsidRPr="00B32D81" w:rsidRDefault="0030348A" w:rsidP="0030348A">
      <w:pPr>
        <w:spacing w:after="0" w:line="240" w:lineRule="auto"/>
        <w:jc w:val="both"/>
      </w:pPr>
      <w:r w:rsidRPr="00B32D81">
        <w:lastRenderedPageBreak/>
        <w:t>I materiali, gli intermedi, i reagenti utilizzati nella sintesi non sono di origine umana, biologica o geneticamente modificata. Sono state fornite prove adeguate della struttura isolata nonché della stabilità della forma polimorfica utilizzata. Tutte le potenziali impurezze note sono state identificate e caratterizzate.</w:t>
      </w:r>
    </w:p>
    <w:p w:rsidR="0030348A" w:rsidRPr="00B32D81" w:rsidRDefault="0030348A" w:rsidP="0030348A">
      <w:pPr>
        <w:spacing w:after="0" w:line="240" w:lineRule="auto"/>
        <w:jc w:val="both"/>
      </w:pPr>
      <w:r w:rsidRPr="00B32D81">
        <w:t>Le specifiche del principio attivo sono appropriate e controllate con metodi analitici adeguatamente convalidati. Sono stati forniti certificati analitici che confermano la qualità del principio attivo.</w:t>
      </w:r>
    </w:p>
    <w:p w:rsidR="0030348A" w:rsidRPr="00B32D81" w:rsidRDefault="0030348A" w:rsidP="00453FC8">
      <w:pPr>
        <w:spacing w:after="0" w:line="240" w:lineRule="auto"/>
        <w:jc w:val="both"/>
      </w:pPr>
      <w:r w:rsidRPr="00B32D81">
        <w:t xml:space="preserve">Il principio attivo è confezionato in un adeguato contenitore, per il quale sono stati forniti specifiche e certificati analitici. Il confezionamento primario è una </w:t>
      </w:r>
      <w:r w:rsidR="00F913EE">
        <w:t>sacca</w:t>
      </w:r>
      <w:r w:rsidRPr="00B32D81">
        <w:t xml:space="preserve"> di polietilene a </w:t>
      </w:r>
      <w:r w:rsidR="00F913EE">
        <w:t>bassa</w:t>
      </w:r>
      <w:r w:rsidRPr="00B32D81">
        <w:t xml:space="preserve"> densità </w:t>
      </w:r>
      <w:r w:rsidR="00F913EE">
        <w:t>ricoperta di un foglio di alluminio laminato</w:t>
      </w:r>
      <w:r w:rsidRPr="00B32D81">
        <w:t xml:space="preserve">. Sono stati forniti adeguati studi di stabilità per il principio attivo conservato nel confezionamento proposto per il commercio. Sulla base di questi dati, è stato approvato un periodo di </w:t>
      </w:r>
      <w:proofErr w:type="spellStart"/>
      <w:r w:rsidRPr="00B32D81">
        <w:t>retest</w:t>
      </w:r>
      <w:proofErr w:type="spellEnd"/>
      <w:r w:rsidRPr="00B32D81">
        <w:t xml:space="preserve"> di </w:t>
      </w:r>
      <w:r w:rsidR="00814D86">
        <w:t>18 mes</w:t>
      </w:r>
      <w:r w:rsidRPr="00B32D81">
        <w:t xml:space="preserve">i </w:t>
      </w:r>
      <w:r>
        <w:t xml:space="preserve">con conservazione </w:t>
      </w:r>
      <w:r w:rsidRPr="00B32D81">
        <w:t>a -</w:t>
      </w:r>
      <w:r w:rsidR="00F913EE">
        <w:t>20</w:t>
      </w:r>
      <w:r w:rsidRPr="00B32D81">
        <w:t>°C.</w:t>
      </w:r>
    </w:p>
    <w:p w:rsidR="00BA69F1" w:rsidRPr="00900C91" w:rsidRDefault="00BA69F1" w:rsidP="00453FC8">
      <w:pPr>
        <w:spacing w:after="0" w:line="240" w:lineRule="auto"/>
        <w:jc w:val="both"/>
        <w:rPr>
          <w:highlight w:val="yellow"/>
        </w:rPr>
      </w:pPr>
    </w:p>
    <w:p w:rsidR="00BA69F1" w:rsidRDefault="00BA69F1" w:rsidP="00453FC8">
      <w:pPr>
        <w:spacing w:after="0" w:line="240" w:lineRule="auto"/>
        <w:jc w:val="both"/>
      </w:pPr>
    </w:p>
    <w:p w:rsidR="00BA69F1" w:rsidRPr="00532E32" w:rsidRDefault="00BA69F1" w:rsidP="00453FC8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BA69F1" w:rsidRPr="00532E32" w:rsidRDefault="00BA69F1" w:rsidP="00453FC8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F913EE" w:rsidRDefault="007F142F" w:rsidP="00453FC8">
      <w:pPr>
        <w:widowControl w:val="0"/>
        <w:spacing w:after="0" w:line="240" w:lineRule="auto"/>
        <w:jc w:val="both"/>
        <w:rPr>
          <w:rFonts w:cs="LiberationSans"/>
        </w:rPr>
      </w:pPr>
      <w:proofErr w:type="spellStart"/>
      <w:r>
        <w:rPr>
          <w:rFonts w:eastAsia="Calibri" w:cs="Calibri"/>
          <w:color w:val="000000"/>
          <w:lang w:eastAsia="it-IT"/>
        </w:rPr>
        <w:t>Jitide</w:t>
      </w:r>
      <w:proofErr w:type="spellEnd"/>
      <w:r w:rsidR="00BA69F1" w:rsidRPr="00D33431">
        <w:rPr>
          <w:rFonts w:eastAsia="Calibri" w:cs="Calibri"/>
          <w:color w:val="000000"/>
          <w:lang w:eastAsia="it-IT"/>
        </w:rPr>
        <w:t xml:space="preserve"> è </w:t>
      </w:r>
      <w:r w:rsidR="00BA69F1" w:rsidRPr="000E0632">
        <w:rPr>
          <w:rFonts w:eastAsia="Calibri" w:cs="Calibri"/>
          <w:color w:val="000000"/>
          <w:lang w:eastAsia="it-IT"/>
        </w:rPr>
        <w:t xml:space="preserve">disponibile </w:t>
      </w:r>
      <w:r w:rsidR="00F913EE">
        <w:rPr>
          <w:rFonts w:eastAsia="Calibri" w:cs="Calibri"/>
          <w:color w:val="000000"/>
          <w:lang w:eastAsia="it-IT"/>
        </w:rPr>
        <w:t xml:space="preserve">come </w:t>
      </w:r>
      <w:r w:rsidR="00F913EE" w:rsidRPr="008C7F8B">
        <w:rPr>
          <w:rFonts w:eastAsia="Calibri" w:cs="Calibri"/>
          <w:lang w:eastAsia="it-IT"/>
        </w:rPr>
        <w:t xml:space="preserve">polvere e solvente per soluzione iniettabile: la polvere è contenuta in un flaconcino con </w:t>
      </w:r>
      <w:r w:rsidR="00F913EE">
        <w:rPr>
          <w:rFonts w:eastAsia="Calibri" w:cs="Calibri"/>
          <w:lang w:eastAsia="it-IT"/>
        </w:rPr>
        <w:t xml:space="preserve">1,6 mg di </w:t>
      </w:r>
      <w:r w:rsidR="00F913EE" w:rsidRPr="008C7F8B">
        <w:rPr>
          <w:rFonts w:eastAsia="Calibri" w:cs="Calibri"/>
          <w:lang w:eastAsia="it-IT"/>
        </w:rPr>
        <w:t xml:space="preserve">principio attivo </w:t>
      </w:r>
      <w:proofErr w:type="spellStart"/>
      <w:r w:rsidR="00F913EE">
        <w:rPr>
          <w:rFonts w:eastAsia="Calibri" w:cs="Calibri"/>
          <w:lang w:eastAsia="it-IT"/>
        </w:rPr>
        <w:t>timalfasina</w:t>
      </w:r>
      <w:proofErr w:type="spellEnd"/>
      <w:r w:rsidR="00F913EE" w:rsidRPr="008C7F8B">
        <w:rPr>
          <w:rFonts w:cs="LiberationSans"/>
        </w:rPr>
        <w:t>; il solvente (acqua per preparazioni iniettabili) è contenut</w:t>
      </w:r>
      <w:r w:rsidR="00F913EE">
        <w:rPr>
          <w:rFonts w:cs="LiberationSans"/>
        </w:rPr>
        <w:t>o</w:t>
      </w:r>
      <w:r w:rsidR="00F913EE" w:rsidRPr="008C7F8B">
        <w:rPr>
          <w:rFonts w:cs="LiberationSans"/>
        </w:rPr>
        <w:t xml:space="preserve"> in </w:t>
      </w:r>
      <w:r w:rsidR="00F913EE">
        <w:rPr>
          <w:rFonts w:cs="LiberationSans"/>
        </w:rPr>
        <w:t xml:space="preserve">una </w:t>
      </w:r>
      <w:r w:rsidR="00F913EE" w:rsidRPr="008C7F8B">
        <w:rPr>
          <w:rFonts w:cs="LiberationSans"/>
        </w:rPr>
        <w:t>fial</w:t>
      </w:r>
      <w:r w:rsidR="00F913EE">
        <w:rPr>
          <w:rFonts w:cs="LiberationSans"/>
        </w:rPr>
        <w:t>a.</w:t>
      </w:r>
    </w:p>
    <w:p w:rsidR="00453FC8" w:rsidRDefault="00453FC8" w:rsidP="00453FC8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rFonts w:cs="LiberationSans"/>
        </w:rPr>
        <w:t xml:space="preserve">Gli eccipienti del flaconcino di polvere sono </w:t>
      </w:r>
      <w:r>
        <w:rPr>
          <w:lang w:eastAsia="it-IT"/>
        </w:rPr>
        <w:t xml:space="preserve">mannitolo, </w:t>
      </w:r>
      <w:proofErr w:type="spellStart"/>
      <w:r>
        <w:rPr>
          <w:lang w:eastAsia="it-IT"/>
        </w:rPr>
        <w:t>disodio</w:t>
      </w:r>
      <w:proofErr w:type="spellEnd"/>
      <w:r>
        <w:rPr>
          <w:lang w:eastAsia="it-IT"/>
        </w:rPr>
        <w:t xml:space="preserve"> fosfato anidro, sodio </w:t>
      </w:r>
      <w:proofErr w:type="spellStart"/>
      <w:r>
        <w:rPr>
          <w:lang w:eastAsia="it-IT"/>
        </w:rPr>
        <w:t>diidrogeno</w:t>
      </w:r>
      <w:proofErr w:type="spellEnd"/>
      <w:r>
        <w:rPr>
          <w:lang w:eastAsia="it-IT"/>
        </w:rPr>
        <w:t xml:space="preserve"> fosfato monoidrato.</w:t>
      </w:r>
    </w:p>
    <w:p w:rsidR="00453FC8" w:rsidRDefault="00F913EE" w:rsidP="00453FC8">
      <w:pPr>
        <w:widowControl w:val="0"/>
        <w:spacing w:after="0" w:line="240" w:lineRule="auto"/>
        <w:jc w:val="both"/>
      </w:pPr>
      <w:r w:rsidRPr="008C7F8B">
        <w:t>L’eccipiente della fiala solvente è acqua per preparazioni iniettabili</w:t>
      </w:r>
      <w:r w:rsidR="00453FC8">
        <w:t>.</w:t>
      </w:r>
    </w:p>
    <w:p w:rsidR="00F913EE" w:rsidRPr="008C7F8B" w:rsidRDefault="00453FC8" w:rsidP="00453FC8">
      <w:pPr>
        <w:widowControl w:val="0"/>
        <w:spacing w:after="0" w:line="240" w:lineRule="auto"/>
        <w:jc w:val="both"/>
      </w:pPr>
      <w:r>
        <w:t>Tutti gli eccipienti</w:t>
      </w:r>
      <w:r w:rsidR="00F913EE" w:rsidRPr="008C7F8B">
        <w:t xml:space="preserve"> </w:t>
      </w:r>
      <w:r>
        <w:t>sono</w:t>
      </w:r>
      <w:r w:rsidR="00F913EE" w:rsidRPr="008C7F8B">
        <w:t xml:space="preserve"> conform</w:t>
      </w:r>
      <w:r>
        <w:t>i</w:t>
      </w:r>
      <w:r w:rsidR="00F913EE" w:rsidRPr="008C7F8B">
        <w:t xml:space="preserve"> alla relativa monografia di Farmacopea Europea.</w:t>
      </w:r>
    </w:p>
    <w:p w:rsidR="00F913EE" w:rsidRPr="008C7F8B" w:rsidRDefault="00F913EE" w:rsidP="00453FC8">
      <w:pPr>
        <w:spacing w:after="0" w:line="240" w:lineRule="auto"/>
        <w:jc w:val="both"/>
      </w:pPr>
      <w:r w:rsidRPr="008C7F8B">
        <w:t>Nessun eccipiente è ottenuto da organismi geneticamente modificati; non sono presenti eccipienti mai utilizzati nell’uomo.</w:t>
      </w:r>
    </w:p>
    <w:p w:rsidR="00BA69F1" w:rsidRDefault="00BA69F1" w:rsidP="00453FC8">
      <w:pPr>
        <w:spacing w:after="0" w:line="240" w:lineRule="auto"/>
        <w:jc w:val="both"/>
      </w:pPr>
    </w:p>
    <w:p w:rsidR="00BA69F1" w:rsidRPr="009320D1" w:rsidRDefault="00BA69F1" w:rsidP="00453FC8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BA69F1" w:rsidRDefault="00BA69F1" w:rsidP="00453FC8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BA69F1" w:rsidRDefault="00BA69F1" w:rsidP="00453FC8">
      <w:pPr>
        <w:spacing w:after="0" w:line="240" w:lineRule="auto"/>
        <w:jc w:val="both"/>
      </w:pPr>
    </w:p>
    <w:p w:rsidR="00BA69F1" w:rsidRPr="0062626E" w:rsidRDefault="00BA69F1" w:rsidP="00453FC8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BA69F1" w:rsidRDefault="00BA69F1" w:rsidP="00453FC8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BA69F1" w:rsidRDefault="00BA69F1" w:rsidP="00453FC8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BA69F1" w:rsidRDefault="00BA69F1" w:rsidP="00453FC8">
      <w:pPr>
        <w:spacing w:after="0" w:line="240" w:lineRule="auto"/>
        <w:jc w:val="both"/>
      </w:pPr>
    </w:p>
    <w:p w:rsidR="00BA69F1" w:rsidRPr="0062626E" w:rsidRDefault="00BA69F1" w:rsidP="00453FC8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BA69F1" w:rsidRPr="005702AF" w:rsidRDefault="00BA69F1" w:rsidP="00453FC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F913EE">
        <w:t>il</w:t>
      </w:r>
      <w:r w:rsidRPr="005702AF">
        <w:t xml:space="preserve">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BA69F1" w:rsidRDefault="00BA69F1" w:rsidP="00BA69F1">
      <w:pPr>
        <w:spacing w:after="0" w:line="240" w:lineRule="auto"/>
        <w:jc w:val="both"/>
        <w:rPr>
          <w:b/>
        </w:rPr>
      </w:pPr>
    </w:p>
    <w:p w:rsidR="00BA69F1" w:rsidRPr="005702AF" w:rsidRDefault="00BA69F1" w:rsidP="00BA69F1">
      <w:pPr>
        <w:spacing w:after="0" w:line="240" w:lineRule="auto"/>
        <w:jc w:val="both"/>
        <w:rPr>
          <w:b/>
        </w:rPr>
      </w:pPr>
      <w:r w:rsidRPr="005702AF">
        <w:rPr>
          <w:b/>
        </w:rPr>
        <w:t>Contenitore</w:t>
      </w:r>
    </w:p>
    <w:p w:rsidR="00BA69F1" w:rsidRDefault="00F913EE" w:rsidP="00BA69F1">
      <w:pPr>
        <w:spacing w:after="0" w:line="240" w:lineRule="auto"/>
        <w:jc w:val="both"/>
      </w:pPr>
      <w:r w:rsidRPr="003E703D">
        <w:t xml:space="preserve">La polvere di </w:t>
      </w:r>
      <w:proofErr w:type="spellStart"/>
      <w:r>
        <w:t>Jitide</w:t>
      </w:r>
      <w:proofErr w:type="spellEnd"/>
      <w:r w:rsidRPr="003E703D">
        <w:t xml:space="preserve"> è confezionata in</w:t>
      </w:r>
      <w:r>
        <w:t xml:space="preserve"> un</w:t>
      </w:r>
      <w:r w:rsidRPr="003E703D">
        <w:t xml:space="preserve"> flaconcin</w:t>
      </w:r>
      <w:r>
        <w:t>o</w:t>
      </w:r>
      <w:r w:rsidRPr="003E703D">
        <w:t xml:space="preserve"> </w:t>
      </w:r>
      <w:r w:rsidRPr="003E703D">
        <w:rPr>
          <w:rFonts w:ascii="Calibri" w:hAnsi="Calibri"/>
        </w:rPr>
        <w:t>in vetro neutro tipo I</w:t>
      </w:r>
      <w:r>
        <w:rPr>
          <w:rFonts w:ascii="Calibri" w:hAnsi="Calibri"/>
        </w:rPr>
        <w:t xml:space="preserve"> con tappo in gomma e ghiera di alluminio</w:t>
      </w:r>
      <w:r w:rsidRPr="003E703D">
        <w:t>; il solvente è confezionato in</w:t>
      </w:r>
      <w:r>
        <w:t xml:space="preserve"> una</w:t>
      </w:r>
      <w:r w:rsidRPr="003E703D">
        <w:t xml:space="preserve"> fial</w:t>
      </w:r>
      <w:r>
        <w:t>a</w:t>
      </w:r>
      <w:r w:rsidRPr="003E703D">
        <w:t xml:space="preserve"> di </w:t>
      </w:r>
      <w:r w:rsidRPr="003E703D">
        <w:rPr>
          <w:rFonts w:ascii="Calibri" w:hAnsi="Calibri"/>
        </w:rPr>
        <w:t>vetro tipo I</w:t>
      </w:r>
      <w:r w:rsidRPr="003E703D">
        <w:t>.</w:t>
      </w:r>
      <w:r w:rsidR="00BA69F1" w:rsidRPr="008F2E05">
        <w:t xml:space="preserve"> Sono state fornite specifiche e certificati analitici per tutti i componenti del confezionamento primario, che è adeguato per il medicinale.</w:t>
      </w:r>
    </w:p>
    <w:p w:rsidR="00BA69F1" w:rsidRPr="005702AF" w:rsidRDefault="00BA69F1" w:rsidP="00BA69F1">
      <w:pPr>
        <w:spacing w:after="0" w:line="240" w:lineRule="auto"/>
        <w:jc w:val="both"/>
      </w:pPr>
    </w:p>
    <w:p w:rsidR="00BA69F1" w:rsidRPr="005702AF" w:rsidRDefault="00BA69F1" w:rsidP="00BA69F1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BA69F1" w:rsidRDefault="00BA69F1" w:rsidP="00BA69F1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>
        <w:t>,</w:t>
      </w:r>
      <w:r w:rsidRPr="005702AF">
        <w:t xml:space="preserve"> </w:t>
      </w:r>
      <w:r>
        <w:t xml:space="preserve">è stato autorizzato un periodo di validità di </w:t>
      </w:r>
      <w:r w:rsidRPr="00F93450">
        <w:t xml:space="preserve">18 mesi </w:t>
      </w:r>
      <w:r>
        <w:t xml:space="preserve">con conservazione a temperatura </w:t>
      </w:r>
      <w:r w:rsidR="00814D86">
        <w:t>compresa tra 2°C e 8°C (in frigorifero)</w:t>
      </w:r>
      <w:r>
        <w:t>.</w:t>
      </w:r>
    </w:p>
    <w:p w:rsidR="00BA69F1" w:rsidRDefault="00BA69F1" w:rsidP="00BA69F1">
      <w:pPr>
        <w:spacing w:after="0" w:line="240" w:lineRule="auto"/>
        <w:jc w:val="both"/>
      </w:pPr>
    </w:p>
    <w:p w:rsidR="00BA69F1" w:rsidRPr="00DF7B22" w:rsidRDefault="00BA69F1" w:rsidP="00BA69F1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BA69F1" w:rsidRDefault="00BA69F1" w:rsidP="00BA69F1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7F142F">
        <w:t>Jitide</w:t>
      </w:r>
      <w:proofErr w:type="spellEnd"/>
      <w:r>
        <w:t xml:space="preserve"> è considerata adeguata. Non ci sono obiezioni per l’approvazione di </w:t>
      </w:r>
      <w:proofErr w:type="spellStart"/>
      <w:r w:rsidR="007F142F">
        <w:t>Jitide</w:t>
      </w:r>
      <w:proofErr w:type="spellEnd"/>
      <w:r>
        <w:t xml:space="preserve"> dal punto di vista chimico-farmaceutico.</w:t>
      </w:r>
    </w:p>
    <w:p w:rsidR="00BA69F1" w:rsidRDefault="00BA69F1" w:rsidP="00BA69F1">
      <w:pPr>
        <w:spacing w:after="0" w:line="240" w:lineRule="auto"/>
        <w:jc w:val="both"/>
      </w:pPr>
    </w:p>
    <w:p w:rsidR="00BA69F1" w:rsidRDefault="00BA69F1" w:rsidP="00BA69F1">
      <w:pPr>
        <w:spacing w:after="0" w:line="240" w:lineRule="auto"/>
        <w:jc w:val="both"/>
      </w:pPr>
    </w:p>
    <w:p w:rsidR="00BA69F1" w:rsidRPr="00DF7B22" w:rsidRDefault="00BA69F1" w:rsidP="00BA69F1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lastRenderedPageBreak/>
        <w:t>ASPETTI NON CLINICI</w:t>
      </w:r>
    </w:p>
    <w:p w:rsidR="00814D86" w:rsidRPr="00966F9B" w:rsidRDefault="00814D86" w:rsidP="00814D86">
      <w:pPr>
        <w:spacing w:after="0" w:line="240" w:lineRule="auto"/>
        <w:jc w:val="both"/>
      </w:pPr>
      <w:r w:rsidRPr="00966F9B">
        <w:t xml:space="preserve">Non sono stati condotti specifici studi non clinici, in quanto </w:t>
      </w:r>
      <w:proofErr w:type="spellStart"/>
      <w:r>
        <w:t>Jitide</w:t>
      </w:r>
      <w:proofErr w:type="spellEnd"/>
      <w:r>
        <w:t xml:space="preserve"> </w:t>
      </w:r>
      <w:r w:rsidRPr="00966F9B">
        <w:t xml:space="preserve">contiene un principio attivo noto: questo approccio è accettabile poiché il medicinale di riferimento </w:t>
      </w:r>
      <w:proofErr w:type="spellStart"/>
      <w:r>
        <w:t>Zadaxin</w:t>
      </w:r>
      <w:proofErr w:type="spellEnd"/>
      <w:r>
        <w:t xml:space="preserve"> </w:t>
      </w:r>
      <w:r w:rsidRPr="00966F9B">
        <w:t>è autorizzato in Italia da oltre 10 anni.</w:t>
      </w:r>
    </w:p>
    <w:p w:rsidR="00BA69F1" w:rsidRDefault="00814D86" w:rsidP="00814D86">
      <w:pPr>
        <w:spacing w:after="0" w:line="240" w:lineRule="auto"/>
        <w:jc w:val="both"/>
      </w:pPr>
      <w:r w:rsidRPr="00966F9B">
        <w:t>Non ci sono obiezioni per l’approvazione dal punto di vista non clinico.</w:t>
      </w:r>
    </w:p>
    <w:p w:rsidR="00BA69F1" w:rsidRDefault="00BA69F1" w:rsidP="00BA69F1">
      <w:pPr>
        <w:spacing w:after="0" w:line="240" w:lineRule="auto"/>
        <w:jc w:val="both"/>
      </w:pPr>
    </w:p>
    <w:p w:rsidR="006031A5" w:rsidRDefault="006031A5" w:rsidP="00BA69F1">
      <w:pPr>
        <w:spacing w:after="0" w:line="240" w:lineRule="auto"/>
        <w:jc w:val="both"/>
      </w:pPr>
    </w:p>
    <w:p w:rsidR="00BA69F1" w:rsidRPr="005A38F5" w:rsidRDefault="00BA69F1" w:rsidP="00BA69F1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14D86" w:rsidRPr="007F142F" w:rsidRDefault="00814D86" w:rsidP="00814D86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 w:rsidRPr="007F142F">
        <w:rPr>
          <w:rFonts w:eastAsia="Calibri" w:cs="Calibri"/>
          <w:color w:val="000000"/>
          <w:lang w:eastAsia="it-IT"/>
        </w:rPr>
        <w:t>Jitide</w:t>
      </w:r>
      <w:proofErr w:type="spellEnd"/>
      <w:r w:rsidRPr="007F142F">
        <w:rPr>
          <w:rFonts w:eastAsia="Calibri" w:cs="Calibri"/>
          <w:color w:val="000000"/>
          <w:lang w:eastAsia="it-IT"/>
        </w:rPr>
        <w:t xml:space="preserve"> </w:t>
      </w:r>
      <w:r w:rsidRPr="007F142F">
        <w:rPr>
          <w:rFonts w:cs="Helvetica"/>
        </w:rPr>
        <w:t xml:space="preserve">è </w:t>
      </w:r>
      <w:r>
        <w:rPr>
          <w:rFonts w:cs="Helvetica"/>
        </w:rPr>
        <w:t>utilizzato</w:t>
      </w:r>
      <w:r w:rsidRPr="007F142F">
        <w:rPr>
          <w:rFonts w:cs="Helvetica"/>
        </w:rPr>
        <w:t xml:space="preserve"> </w:t>
      </w:r>
      <w:r w:rsidRPr="007F142F">
        <w:rPr>
          <w:rFonts w:ascii="Calibri" w:hAnsi="Calibri"/>
        </w:rPr>
        <w:t xml:space="preserve">come adiuvante della vaccinazione anti-influenzale in soggetti </w:t>
      </w:r>
      <w:proofErr w:type="spellStart"/>
      <w:r w:rsidRPr="007F142F">
        <w:rPr>
          <w:rFonts w:ascii="Calibri" w:hAnsi="Calibri"/>
        </w:rPr>
        <w:t>immunocompromessi</w:t>
      </w:r>
      <w:proofErr w:type="spellEnd"/>
      <w:r w:rsidRPr="007F142F">
        <w:rPr>
          <w:rFonts w:cs="Calibri"/>
        </w:rPr>
        <w:t>.</w:t>
      </w:r>
    </w:p>
    <w:p w:rsidR="00BA69F1" w:rsidRDefault="00BA69F1" w:rsidP="00BA69F1">
      <w:pPr>
        <w:autoSpaceDE w:val="0"/>
        <w:autoSpaceDN w:val="0"/>
        <w:adjustRightInd w:val="0"/>
        <w:spacing w:after="0" w:line="240" w:lineRule="auto"/>
        <w:jc w:val="both"/>
      </w:pPr>
    </w:p>
    <w:p w:rsidR="00BA69F1" w:rsidRPr="002B6D26" w:rsidRDefault="00BA69F1" w:rsidP="00BA69F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BA69F1" w:rsidRDefault="00BA69F1" w:rsidP="00BA69F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7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BA69F1" w:rsidRDefault="00BA69F1" w:rsidP="00BA69F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BA69F1" w:rsidRPr="006556D6" w:rsidRDefault="00BA69F1" w:rsidP="00BA69F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BA69F1" w:rsidRDefault="00BA69F1" w:rsidP="00BA69F1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30348A">
        <w:t>timalfasina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</w:t>
      </w:r>
      <w:r w:rsidRPr="00DD4CF7">
        <w:t xml:space="preserve"> </w:t>
      </w:r>
      <w:r>
        <w:t>pertanto, non sono richiesti ulteriori studi</w:t>
      </w:r>
      <w:r>
        <w:rPr>
          <w:rFonts w:eastAsia="Calibri" w:cs="Calibri"/>
          <w:lang w:eastAsia="it-IT"/>
        </w:rPr>
        <w:t>.</w:t>
      </w:r>
      <w:r w:rsidRPr="00A34141">
        <w:t xml:space="preserve"> </w:t>
      </w:r>
    </w:p>
    <w:p w:rsidR="00BA69F1" w:rsidRDefault="00BA69F1" w:rsidP="00BA69F1">
      <w:pPr>
        <w:spacing w:after="0" w:line="240" w:lineRule="auto"/>
        <w:jc w:val="both"/>
      </w:pPr>
    </w:p>
    <w:p w:rsidR="006636C4" w:rsidRPr="00814D86" w:rsidRDefault="006636C4" w:rsidP="006636C4">
      <w:pPr>
        <w:spacing w:after="0" w:line="240" w:lineRule="auto"/>
        <w:jc w:val="both"/>
        <w:rPr>
          <w:rFonts w:cs="Arial"/>
          <w:b/>
        </w:rPr>
      </w:pPr>
      <w:r w:rsidRPr="00814D86">
        <w:rPr>
          <w:rFonts w:cs="Arial"/>
          <w:b/>
        </w:rPr>
        <w:t>Efficacia e sicurezza clinica</w:t>
      </w:r>
    </w:p>
    <w:p w:rsidR="006636C4" w:rsidRPr="00D1324F" w:rsidRDefault="006636C4" w:rsidP="006636C4">
      <w:pPr>
        <w:spacing w:after="0" w:line="240" w:lineRule="auto"/>
        <w:jc w:val="both"/>
        <w:rPr>
          <w:rFonts w:cs="Arial"/>
        </w:rPr>
      </w:pPr>
      <w:r w:rsidRPr="00814D86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Pr="00814D86">
        <w:rPr>
          <w:rFonts w:cs="Arial"/>
        </w:rPr>
        <w:t>Jitide</w:t>
      </w:r>
      <w:proofErr w:type="spellEnd"/>
      <w:r w:rsidRPr="00814D86"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Pr="00814D86">
        <w:rPr>
          <w:rFonts w:cs="Arial"/>
        </w:rPr>
        <w:t>Jitide</w:t>
      </w:r>
      <w:proofErr w:type="spellEnd"/>
      <w:r w:rsidRPr="00814D86">
        <w:rPr>
          <w:rFonts w:cs="Arial"/>
        </w:rPr>
        <w:t xml:space="preserve"> è somministrato come soluzione iniettabile.</w:t>
      </w:r>
    </w:p>
    <w:p w:rsidR="00BA69F1" w:rsidRPr="00D1324F" w:rsidRDefault="00BA69F1" w:rsidP="00BA69F1">
      <w:pPr>
        <w:pStyle w:val="Paragrafoelenco"/>
        <w:spacing w:after="0" w:line="240" w:lineRule="auto"/>
        <w:ind w:left="0"/>
        <w:jc w:val="both"/>
      </w:pPr>
    </w:p>
    <w:p w:rsidR="00BA69F1" w:rsidRPr="00D1324F" w:rsidRDefault="00BA69F1" w:rsidP="00BA69F1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BA69F1" w:rsidRPr="00D1324F" w:rsidRDefault="00BA69F1" w:rsidP="00BA69F1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7F142F">
        <w:t>Jitide</w:t>
      </w:r>
      <w:proofErr w:type="spellEnd"/>
      <w:r w:rsidRPr="00D1324F">
        <w:t>.</w:t>
      </w:r>
    </w:p>
    <w:p w:rsidR="00BA69F1" w:rsidRDefault="00BA69F1" w:rsidP="00BA69F1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BA69F1" w:rsidRDefault="00BA69F1" w:rsidP="00BA69F1">
      <w:pPr>
        <w:pStyle w:val="Paragrafoelenco"/>
        <w:spacing w:after="0" w:line="240" w:lineRule="auto"/>
        <w:ind w:left="0"/>
        <w:jc w:val="both"/>
      </w:pPr>
    </w:p>
    <w:tbl>
      <w:tblPr>
        <w:tblW w:w="36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157"/>
        <w:gridCol w:w="3969"/>
      </w:tblGrid>
      <w:tr w:rsidR="00BA69F1" w:rsidRPr="001810E1" w:rsidTr="00046724">
        <w:trPr>
          <w:jc w:val="center"/>
        </w:trPr>
        <w:tc>
          <w:tcPr>
            <w:tcW w:w="2215" w:type="pct"/>
            <w:shd w:val="clear" w:color="auto" w:fill="auto"/>
          </w:tcPr>
          <w:p w:rsidR="00BA69F1" w:rsidRPr="00814D86" w:rsidRDefault="00BA69F1" w:rsidP="00814D86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2785" w:type="pct"/>
            <w:shd w:val="clear" w:color="auto" w:fill="auto"/>
          </w:tcPr>
          <w:p w:rsidR="00814D86" w:rsidRPr="00814D86" w:rsidRDefault="00814D86" w:rsidP="00814D8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  <w:szCs w:val="20"/>
              </w:rPr>
            </w:pPr>
            <w:r w:rsidRPr="00814D86">
              <w:rPr>
                <w:sz w:val="20"/>
                <w:szCs w:val="20"/>
              </w:rPr>
              <w:t>Utilizzo in pazienti con storia di patologie autoimmuni</w:t>
            </w:r>
          </w:p>
          <w:p w:rsidR="00814D86" w:rsidRPr="00814D86" w:rsidRDefault="00814D86" w:rsidP="00814D8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  <w:szCs w:val="20"/>
              </w:rPr>
            </w:pPr>
            <w:r w:rsidRPr="00814D86">
              <w:rPr>
                <w:sz w:val="20"/>
                <w:szCs w:val="20"/>
              </w:rPr>
              <w:t>Utilizzo in pazienti con storia di reazioni atopiche e allergiche (diverse da quelle al p.a.)</w:t>
            </w:r>
          </w:p>
          <w:p w:rsidR="00BA69F1" w:rsidRPr="00814D86" w:rsidRDefault="00814D86" w:rsidP="00814D86">
            <w:pPr>
              <w:pStyle w:val="Testodelblocco"/>
              <w:numPr>
                <w:ilvl w:val="0"/>
                <w:numId w:val="10"/>
              </w:numPr>
              <w:ind w:left="142" w:right="567" w:hanging="142"/>
              <w:rPr>
                <w:rFonts w:asciiTheme="minorHAnsi" w:hAnsiTheme="minorHAnsi"/>
                <w:sz w:val="20"/>
              </w:rPr>
            </w:pPr>
            <w:r w:rsidRPr="00814D86">
              <w:rPr>
                <w:rFonts w:asciiTheme="minorHAnsi" w:hAnsiTheme="minorHAnsi"/>
                <w:sz w:val="20"/>
              </w:rPr>
              <w:t>Uso concomitante di farmaci che agiscono sulla funzione dei linfociti (bloccanti e stimolanti)</w:t>
            </w:r>
          </w:p>
        </w:tc>
      </w:tr>
      <w:tr w:rsidR="00BA69F1" w:rsidRPr="001810E1" w:rsidTr="00046724">
        <w:trPr>
          <w:jc w:val="center"/>
        </w:trPr>
        <w:tc>
          <w:tcPr>
            <w:tcW w:w="221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69F1" w:rsidRPr="00814D86" w:rsidRDefault="00BA69F1" w:rsidP="00814D86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2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A69F1" w:rsidRPr="00814D86" w:rsidRDefault="00814D86" w:rsidP="00814D86">
            <w:pPr>
              <w:pStyle w:val="Testodelblocco"/>
              <w:numPr>
                <w:ilvl w:val="0"/>
                <w:numId w:val="10"/>
              </w:numPr>
              <w:ind w:left="142" w:right="567" w:hanging="142"/>
              <w:rPr>
                <w:rFonts w:asciiTheme="minorHAnsi" w:hAnsiTheme="minorHAnsi" w:cs="Arial"/>
                <w:sz w:val="20"/>
                <w:u w:val="single"/>
              </w:rPr>
            </w:pPr>
            <w:r w:rsidRPr="00814D86">
              <w:rPr>
                <w:rFonts w:asciiTheme="minorHAnsi" w:hAnsiTheme="minorHAnsi"/>
                <w:sz w:val="20"/>
              </w:rPr>
              <w:t>Dolore alla sede di iniezione</w:t>
            </w:r>
            <w:r w:rsidRPr="00814D86">
              <w:rPr>
                <w:rFonts w:asciiTheme="minorHAnsi" w:hAnsiTheme="minorHAnsi" w:cs="Arial"/>
                <w:sz w:val="20"/>
                <w:u w:val="single"/>
              </w:rPr>
              <w:t xml:space="preserve"> </w:t>
            </w:r>
          </w:p>
        </w:tc>
      </w:tr>
      <w:tr w:rsidR="00BA69F1" w:rsidRPr="00474E7B" w:rsidTr="00046724">
        <w:trPr>
          <w:jc w:val="center"/>
        </w:trPr>
        <w:tc>
          <w:tcPr>
            <w:tcW w:w="221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A69F1" w:rsidRPr="00814D86" w:rsidRDefault="00BA69F1" w:rsidP="00814D86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14D86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27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D86" w:rsidRPr="00814D86" w:rsidRDefault="00814D86" w:rsidP="00814D86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cs="ArialMT"/>
                <w:sz w:val="20"/>
                <w:szCs w:val="20"/>
              </w:rPr>
            </w:pPr>
            <w:r w:rsidRPr="00814D86">
              <w:rPr>
                <w:rFonts w:cs="ArialMT"/>
                <w:sz w:val="20"/>
                <w:szCs w:val="20"/>
              </w:rPr>
              <w:t>Popolazione pediatrica (età inferiore a 18 anni);</w:t>
            </w:r>
          </w:p>
          <w:p w:rsidR="00BA69F1" w:rsidRPr="00814D86" w:rsidRDefault="00814D86" w:rsidP="00814D86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42" w:right="-143" w:hanging="142"/>
              <w:jc w:val="both"/>
              <w:rPr>
                <w:rFonts w:cs="ArialMT"/>
                <w:sz w:val="20"/>
                <w:szCs w:val="20"/>
              </w:rPr>
            </w:pPr>
            <w:r w:rsidRPr="00814D86">
              <w:rPr>
                <w:rFonts w:cs="ArialMT"/>
                <w:sz w:val="20"/>
                <w:szCs w:val="20"/>
              </w:rPr>
              <w:t>Gravidanza e allattamento.</w:t>
            </w:r>
          </w:p>
        </w:tc>
      </w:tr>
    </w:tbl>
    <w:p w:rsidR="00BA69F1" w:rsidRPr="00164C42" w:rsidRDefault="00BA69F1" w:rsidP="00BA69F1">
      <w:pPr>
        <w:pStyle w:val="Paragrafoelenco"/>
        <w:spacing w:after="0" w:line="240" w:lineRule="auto"/>
        <w:ind w:left="0"/>
        <w:jc w:val="both"/>
      </w:pPr>
    </w:p>
    <w:p w:rsidR="00BA69F1" w:rsidRDefault="00BA69F1" w:rsidP="00BA69F1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BA69F1" w:rsidRDefault="00BA69F1" w:rsidP="00BA69F1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BA69F1" w:rsidRDefault="00BA69F1" w:rsidP="00BA69F1">
      <w:pPr>
        <w:pStyle w:val="Paragrafoelenco"/>
        <w:spacing w:after="0" w:line="240" w:lineRule="auto"/>
        <w:ind w:left="0"/>
        <w:jc w:val="both"/>
      </w:pPr>
    </w:p>
    <w:p w:rsidR="00BA69F1" w:rsidRPr="002E4DCB" w:rsidRDefault="00BA69F1" w:rsidP="00BA69F1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BA69F1" w:rsidRDefault="00BA69F1" w:rsidP="00BA69F1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7F142F">
        <w:t>Jitide</w:t>
      </w:r>
      <w:proofErr w:type="spellEnd"/>
      <w:r>
        <w:t xml:space="preserve"> sono state presentate sufficienti informazioni cliniche.</w:t>
      </w:r>
    </w:p>
    <w:p w:rsidR="00BA69F1" w:rsidRDefault="00BA69F1" w:rsidP="00BA69F1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7F142F">
        <w:t>Jitide</w:t>
      </w:r>
      <w:proofErr w:type="spellEnd"/>
      <w:r>
        <w:t xml:space="preserve"> è considerato favorevole dal punto di vista clinico.</w:t>
      </w:r>
    </w:p>
    <w:p w:rsidR="00BA69F1" w:rsidRDefault="00BA69F1" w:rsidP="00BA69F1">
      <w:pPr>
        <w:pStyle w:val="Paragrafoelenco"/>
        <w:spacing w:after="0" w:line="240" w:lineRule="auto"/>
        <w:ind w:left="0"/>
        <w:jc w:val="both"/>
      </w:pPr>
    </w:p>
    <w:p w:rsidR="00814D86" w:rsidRDefault="00814D86" w:rsidP="00BA69F1">
      <w:pPr>
        <w:pStyle w:val="Paragrafoelenco"/>
        <w:spacing w:after="0" w:line="240" w:lineRule="auto"/>
        <w:ind w:left="0"/>
        <w:jc w:val="both"/>
      </w:pPr>
    </w:p>
    <w:p w:rsidR="006031A5" w:rsidRDefault="006031A5" w:rsidP="00BA69F1">
      <w:pPr>
        <w:pStyle w:val="Paragrafoelenco"/>
        <w:spacing w:after="0" w:line="240" w:lineRule="auto"/>
        <w:ind w:left="0"/>
        <w:jc w:val="both"/>
      </w:pPr>
    </w:p>
    <w:p w:rsidR="006031A5" w:rsidRDefault="006031A5" w:rsidP="00BA69F1">
      <w:pPr>
        <w:pStyle w:val="Paragrafoelenco"/>
        <w:spacing w:after="0" w:line="240" w:lineRule="auto"/>
        <w:ind w:left="0"/>
        <w:jc w:val="both"/>
      </w:pPr>
    </w:p>
    <w:p w:rsidR="00BA69F1" w:rsidRPr="002E4DCB" w:rsidRDefault="00BA69F1" w:rsidP="00BA69F1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lastRenderedPageBreak/>
        <w:t xml:space="preserve">CONSULTAZIONE </w:t>
      </w:r>
      <w:r>
        <w:rPr>
          <w:b/>
        </w:rPr>
        <w:t>SUL FOGLIO ILLUSTRATIVO</w:t>
      </w:r>
    </w:p>
    <w:p w:rsidR="00BA69F1" w:rsidRDefault="00BA69F1" w:rsidP="00BA69F1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BA69F1" w:rsidRDefault="00BA69F1" w:rsidP="00BA69F1">
      <w:pPr>
        <w:pStyle w:val="Paragrafoelenco"/>
        <w:spacing w:after="0" w:line="240" w:lineRule="auto"/>
        <w:ind w:left="0"/>
        <w:jc w:val="both"/>
      </w:pPr>
    </w:p>
    <w:p w:rsidR="00BA69F1" w:rsidRDefault="00BA69F1" w:rsidP="00BA69F1">
      <w:pPr>
        <w:spacing w:after="0" w:line="240" w:lineRule="auto"/>
        <w:jc w:val="both"/>
      </w:pPr>
    </w:p>
    <w:p w:rsidR="00BA69F1" w:rsidRPr="00BC23ED" w:rsidRDefault="00BA69F1" w:rsidP="00BA69F1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BA69F1" w:rsidRDefault="00BA69F1" w:rsidP="00BA69F1">
      <w:pPr>
        <w:spacing w:after="0" w:line="240" w:lineRule="auto"/>
        <w:jc w:val="both"/>
      </w:pPr>
      <w:r>
        <w:t xml:space="preserve">La qualità di </w:t>
      </w:r>
      <w:proofErr w:type="spellStart"/>
      <w:r w:rsidR="007F142F">
        <w:t>Jitide</w:t>
      </w:r>
      <w:proofErr w:type="spellEnd"/>
      <w:r>
        <w:t xml:space="preserve"> è accettabile e non sono state rilevate criticità da un punto di vista non clinico e clinico.</w:t>
      </w:r>
    </w:p>
    <w:p w:rsidR="00BA69F1" w:rsidRDefault="00BA69F1" w:rsidP="00BA69F1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BA69F1" w:rsidRDefault="00BA69F1" w:rsidP="00BA69F1">
      <w:pPr>
        <w:spacing w:after="0" w:line="240" w:lineRule="auto"/>
        <w:jc w:val="both"/>
      </w:pPr>
      <w:r>
        <w:t>Il rapporto beneficio/rischio è considerato positivo.</w:t>
      </w:r>
    </w:p>
    <w:p w:rsidR="00BA69F1" w:rsidRDefault="00BA69F1" w:rsidP="00BA69F1">
      <w:pPr>
        <w:spacing w:after="0" w:line="240" w:lineRule="auto"/>
        <w:jc w:val="both"/>
        <w:rPr>
          <w:b/>
          <w:sz w:val="28"/>
        </w:rPr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</w:t>
      </w:r>
    </w:p>
    <w:sectPr w:rsidR="00BA69F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43AC"/>
    <w:multiLevelType w:val="hybridMultilevel"/>
    <w:tmpl w:val="71008668"/>
    <w:lvl w:ilvl="0" w:tplc="B45827E6">
      <w:start w:val="2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D4DB6"/>
    <w:multiLevelType w:val="hybridMultilevel"/>
    <w:tmpl w:val="EC2CEAD2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A0D46"/>
    <w:multiLevelType w:val="hybridMultilevel"/>
    <w:tmpl w:val="C51C6EC8"/>
    <w:lvl w:ilvl="0" w:tplc="847AE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EF5D2B"/>
    <w:multiLevelType w:val="hybridMultilevel"/>
    <w:tmpl w:val="14C4F1FC"/>
    <w:lvl w:ilvl="0" w:tplc="084A5E5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3661E6"/>
    <w:multiLevelType w:val="hybridMultilevel"/>
    <w:tmpl w:val="0B7AC240"/>
    <w:lvl w:ilvl="0" w:tplc="DF488D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C2098F"/>
    <w:multiLevelType w:val="hybridMultilevel"/>
    <w:tmpl w:val="9F46D22A"/>
    <w:lvl w:ilvl="0" w:tplc="10D299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928"/>
    <w:rsid w:val="0002468C"/>
    <w:rsid w:val="000256A8"/>
    <w:rsid w:val="00037F9B"/>
    <w:rsid w:val="000578E3"/>
    <w:rsid w:val="00057E51"/>
    <w:rsid w:val="00062636"/>
    <w:rsid w:val="000766E7"/>
    <w:rsid w:val="00077016"/>
    <w:rsid w:val="000B4B5B"/>
    <w:rsid w:val="000C634D"/>
    <w:rsid w:val="000D7A65"/>
    <w:rsid w:val="001032EA"/>
    <w:rsid w:val="00103E6F"/>
    <w:rsid w:val="00111E9E"/>
    <w:rsid w:val="0011250C"/>
    <w:rsid w:val="00180C71"/>
    <w:rsid w:val="001C477D"/>
    <w:rsid w:val="001E5BDA"/>
    <w:rsid w:val="001F5015"/>
    <w:rsid w:val="001F7A68"/>
    <w:rsid w:val="002122E2"/>
    <w:rsid w:val="00214672"/>
    <w:rsid w:val="00246D26"/>
    <w:rsid w:val="002817F1"/>
    <w:rsid w:val="002F448E"/>
    <w:rsid w:val="0030348A"/>
    <w:rsid w:val="003460D4"/>
    <w:rsid w:val="00352198"/>
    <w:rsid w:val="00356D1B"/>
    <w:rsid w:val="0037124B"/>
    <w:rsid w:val="00384839"/>
    <w:rsid w:val="004241AC"/>
    <w:rsid w:val="00424BF3"/>
    <w:rsid w:val="00425F62"/>
    <w:rsid w:val="00444157"/>
    <w:rsid w:val="00452364"/>
    <w:rsid w:val="00453FC8"/>
    <w:rsid w:val="004A1685"/>
    <w:rsid w:val="004B20A8"/>
    <w:rsid w:val="004D13C9"/>
    <w:rsid w:val="004E6536"/>
    <w:rsid w:val="00533792"/>
    <w:rsid w:val="005D48A1"/>
    <w:rsid w:val="005D4EA7"/>
    <w:rsid w:val="005E2E89"/>
    <w:rsid w:val="006031A5"/>
    <w:rsid w:val="00641CF9"/>
    <w:rsid w:val="006621D3"/>
    <w:rsid w:val="00662695"/>
    <w:rsid w:val="006636C4"/>
    <w:rsid w:val="006701D8"/>
    <w:rsid w:val="0067216D"/>
    <w:rsid w:val="006B2C91"/>
    <w:rsid w:val="006C4E37"/>
    <w:rsid w:val="006D0D14"/>
    <w:rsid w:val="006E3785"/>
    <w:rsid w:val="00762D04"/>
    <w:rsid w:val="007C5FB1"/>
    <w:rsid w:val="007F142F"/>
    <w:rsid w:val="007F61CE"/>
    <w:rsid w:val="00804D68"/>
    <w:rsid w:val="00814D86"/>
    <w:rsid w:val="00816525"/>
    <w:rsid w:val="0085529F"/>
    <w:rsid w:val="00857508"/>
    <w:rsid w:val="00874733"/>
    <w:rsid w:val="00894910"/>
    <w:rsid w:val="00895F0D"/>
    <w:rsid w:val="008A28D0"/>
    <w:rsid w:val="008A4F11"/>
    <w:rsid w:val="008C2ED1"/>
    <w:rsid w:val="008F0439"/>
    <w:rsid w:val="009361B2"/>
    <w:rsid w:val="009375D1"/>
    <w:rsid w:val="00947492"/>
    <w:rsid w:val="00965735"/>
    <w:rsid w:val="00985EAB"/>
    <w:rsid w:val="009A260F"/>
    <w:rsid w:val="009A6D4C"/>
    <w:rsid w:val="009B03DB"/>
    <w:rsid w:val="009F0AA7"/>
    <w:rsid w:val="00A05212"/>
    <w:rsid w:val="00A1005E"/>
    <w:rsid w:val="00A27C88"/>
    <w:rsid w:val="00A40FF3"/>
    <w:rsid w:val="00A45549"/>
    <w:rsid w:val="00AB7D4A"/>
    <w:rsid w:val="00AC24E9"/>
    <w:rsid w:val="00AD426F"/>
    <w:rsid w:val="00B1392F"/>
    <w:rsid w:val="00B17693"/>
    <w:rsid w:val="00B31E21"/>
    <w:rsid w:val="00B609C4"/>
    <w:rsid w:val="00B878ED"/>
    <w:rsid w:val="00B96A2C"/>
    <w:rsid w:val="00BA69F1"/>
    <w:rsid w:val="00BA7D67"/>
    <w:rsid w:val="00BB3E44"/>
    <w:rsid w:val="00BC38A5"/>
    <w:rsid w:val="00BC74C2"/>
    <w:rsid w:val="00BE5104"/>
    <w:rsid w:val="00BF4D4F"/>
    <w:rsid w:val="00BF5088"/>
    <w:rsid w:val="00C213BB"/>
    <w:rsid w:val="00C2173F"/>
    <w:rsid w:val="00C2355F"/>
    <w:rsid w:val="00C608F7"/>
    <w:rsid w:val="00C82DA8"/>
    <w:rsid w:val="00C97A20"/>
    <w:rsid w:val="00CA365D"/>
    <w:rsid w:val="00CA544A"/>
    <w:rsid w:val="00CC7AFF"/>
    <w:rsid w:val="00CD48EE"/>
    <w:rsid w:val="00CD62CF"/>
    <w:rsid w:val="00CD72F9"/>
    <w:rsid w:val="00CF337E"/>
    <w:rsid w:val="00CF38AE"/>
    <w:rsid w:val="00D06063"/>
    <w:rsid w:val="00D20170"/>
    <w:rsid w:val="00D21432"/>
    <w:rsid w:val="00D22DFC"/>
    <w:rsid w:val="00D23CA7"/>
    <w:rsid w:val="00D85DD6"/>
    <w:rsid w:val="00DA7FA7"/>
    <w:rsid w:val="00DF4F68"/>
    <w:rsid w:val="00E17109"/>
    <w:rsid w:val="00E43089"/>
    <w:rsid w:val="00E4313B"/>
    <w:rsid w:val="00E52A18"/>
    <w:rsid w:val="00E83F8D"/>
    <w:rsid w:val="00E92447"/>
    <w:rsid w:val="00E979CF"/>
    <w:rsid w:val="00EF062E"/>
    <w:rsid w:val="00F55A3B"/>
    <w:rsid w:val="00F60B8A"/>
    <w:rsid w:val="00F65638"/>
    <w:rsid w:val="00F66767"/>
    <w:rsid w:val="00F913EE"/>
    <w:rsid w:val="00F9699C"/>
    <w:rsid w:val="00FA2702"/>
    <w:rsid w:val="00FC69FD"/>
    <w:rsid w:val="00FD3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0246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57E5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E51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C608F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C608F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46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E5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5E2E89"/>
    <w:rPr>
      <w:b/>
      <w:bCs/>
    </w:rPr>
  </w:style>
  <w:style w:type="paragraph" w:customStyle="1" w:styleId="TabletextrowsAgency">
    <w:name w:val="Table text rows (Agency)"/>
    <w:basedOn w:val="Normale"/>
    <w:semiHidden/>
    <w:rsid w:val="00BA69F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delblocco">
    <w:name w:val="Block Text"/>
    <w:basedOn w:val="Normale"/>
    <w:rsid w:val="00814D86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11</cp:revision>
  <cp:lastPrinted>2015-06-17T15:18:00Z</cp:lastPrinted>
  <dcterms:created xsi:type="dcterms:W3CDTF">2016-09-29T12:54:00Z</dcterms:created>
  <dcterms:modified xsi:type="dcterms:W3CDTF">2017-02-16T14:19:00Z</dcterms:modified>
</cp:coreProperties>
</file>