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073" w:rsidRPr="002A3F14" w:rsidRDefault="00AE2073" w:rsidP="00AE2073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073" w:rsidRDefault="00AE2073" w:rsidP="00AE2073">
      <w:pPr>
        <w:spacing w:after="0" w:line="240" w:lineRule="auto"/>
        <w:jc w:val="center"/>
        <w:rPr>
          <w:b/>
        </w:rPr>
      </w:pPr>
    </w:p>
    <w:p w:rsidR="00AE2073" w:rsidRDefault="00AE2073" w:rsidP="00AE207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E2073" w:rsidRPr="00C146E5" w:rsidRDefault="00A950D7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LODICAND</w:t>
      </w:r>
    </w:p>
    <w:p w:rsidR="00AE2073" w:rsidRDefault="00AE2073" w:rsidP="00AE2073">
      <w:pPr>
        <w:widowControl w:val="0"/>
        <w:spacing w:after="0" w:line="240" w:lineRule="auto"/>
        <w:jc w:val="center"/>
        <w:rPr>
          <w:snapToGrid w:val="0"/>
        </w:rPr>
      </w:pPr>
    </w:p>
    <w:p w:rsidR="00AE2073" w:rsidRPr="003A3FEB" w:rsidRDefault="00AE2073" w:rsidP="00AE2073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7C2797">
        <w:rPr>
          <w:snapToGrid w:val="0"/>
        </w:rPr>
        <w:t>candesartan</w:t>
      </w:r>
      <w:proofErr w:type="spellEnd"/>
      <w:r>
        <w:rPr>
          <w:snapToGrid w:val="0"/>
        </w:rPr>
        <w:t xml:space="preserve"> </w:t>
      </w:r>
      <w:r w:rsidRPr="003A3FEB">
        <w:rPr>
          <w:snapToGrid w:val="0"/>
        </w:rPr>
        <w:t xml:space="preserve">e </w:t>
      </w:r>
      <w:proofErr w:type="spellStart"/>
      <w:r w:rsidRPr="003A3FEB">
        <w:rPr>
          <w:snapToGrid w:val="0"/>
        </w:rPr>
        <w:t>amlodipina</w:t>
      </w:r>
      <w:proofErr w:type="spellEnd"/>
      <w:r w:rsidRPr="003A3FEB">
        <w:rPr>
          <w:snapToGrid w:val="0"/>
        </w:rPr>
        <w:t>)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D2FC3" w:rsidRDefault="007D2FC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E2073" w:rsidRPr="003A3FEB" w:rsidRDefault="00FA1BD1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  <w:r>
        <w:rPr>
          <w:b/>
        </w:rPr>
        <w:t>Cipros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D2FC3" w:rsidRDefault="007D2FC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E2073" w:rsidRDefault="00AE2073" w:rsidP="00AE2073">
      <w:pPr>
        <w:spacing w:after="0" w:line="240" w:lineRule="auto"/>
        <w:jc w:val="center"/>
        <w:rPr>
          <w:b/>
        </w:rPr>
      </w:pPr>
      <w:r w:rsidRPr="00761981">
        <w:rPr>
          <w:b/>
        </w:rPr>
        <w:t>Numero di AIC: 045</w:t>
      </w:r>
      <w:r w:rsidR="00FA1BD1">
        <w:rPr>
          <w:b/>
        </w:rPr>
        <w:t>122</w:t>
      </w:r>
    </w:p>
    <w:p w:rsidR="00AE2073" w:rsidRPr="002A3F14" w:rsidRDefault="00AE2073" w:rsidP="00AE2073">
      <w:pPr>
        <w:spacing w:after="0" w:line="240" w:lineRule="auto"/>
        <w:jc w:val="center"/>
        <w:rPr>
          <w:b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E2073" w:rsidRPr="0033523E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E2073" w:rsidRPr="009F1B70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A26C8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A26C8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A26C84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AE2073" w:rsidRPr="009F1B70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="00387B54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E2073" w:rsidRPr="009F1B70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E2073" w:rsidRPr="005E590D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5E590D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5E590D" w:rsidRPr="005E590D">
        <w:rPr>
          <w:rFonts w:eastAsia="Calibri" w:cs="Calibri"/>
          <w:b/>
          <w:color w:val="000000"/>
          <w:lang w:eastAsia="it-IT"/>
        </w:rPr>
        <w:t>Lodicand</w:t>
      </w:r>
      <w:proofErr w:type="spellEnd"/>
      <w:r w:rsidRPr="005E590D">
        <w:rPr>
          <w:rFonts w:eastAsia="Calibri" w:cs="Calibri"/>
          <w:b/>
          <w:bCs/>
          <w:color w:val="000000"/>
          <w:lang w:eastAsia="it-IT"/>
        </w:rPr>
        <w:t xml:space="preserve"> E A COSA SERVE? </w:t>
      </w:r>
    </w:p>
    <w:p w:rsidR="00AE2073" w:rsidRPr="007D2FC3" w:rsidRDefault="005E590D" w:rsidP="00AE207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Lodicand</w:t>
      </w:r>
      <w:proofErr w:type="spellEnd"/>
      <w:r w:rsidR="00AE2073" w:rsidRPr="007D2FC3">
        <w:rPr>
          <w:rFonts w:eastAsia="Calibri" w:cs="Calibri"/>
          <w:bCs/>
          <w:color w:val="000000"/>
          <w:lang w:eastAsia="it-IT"/>
        </w:rPr>
        <w:t xml:space="preserve"> </w:t>
      </w:r>
      <w:r w:rsidR="00AE2073" w:rsidRPr="007D2FC3">
        <w:rPr>
          <w:rFonts w:eastAsia="Calibri" w:cs="Calibri"/>
          <w:color w:val="000000"/>
          <w:lang w:eastAsia="it-IT"/>
        </w:rPr>
        <w:t>è un medicinale contenente in associazione due principi attivi noti (</w:t>
      </w:r>
      <w:proofErr w:type="spellStart"/>
      <w:r w:rsidR="007C2797" w:rsidRPr="007D2FC3">
        <w:rPr>
          <w:rFonts w:eastAsia="Calibri" w:cs="Calibri"/>
          <w:color w:val="000000"/>
          <w:lang w:eastAsia="it-IT"/>
        </w:rPr>
        <w:t>candesartan</w:t>
      </w:r>
      <w:proofErr w:type="spellEnd"/>
      <w:r w:rsidR="00AE2073" w:rsidRPr="007D2FC3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AE2073" w:rsidRPr="007D2FC3">
        <w:rPr>
          <w:rFonts w:eastAsia="Calibri" w:cs="Calibri"/>
          <w:color w:val="000000"/>
          <w:lang w:eastAsia="it-IT"/>
        </w:rPr>
        <w:t>amlodipina</w:t>
      </w:r>
      <w:proofErr w:type="spellEnd"/>
      <w:r w:rsidR="00AE2073" w:rsidRPr="007D2FC3">
        <w:rPr>
          <w:rFonts w:eastAsia="Calibri" w:cs="Calibri"/>
          <w:color w:val="000000"/>
          <w:lang w:eastAsia="it-IT"/>
        </w:rPr>
        <w:t xml:space="preserve">) e presenti separatamente in altri medicinali già autorizzati. </w:t>
      </w:r>
    </w:p>
    <w:p w:rsidR="00AE2073" w:rsidRPr="007D2FC3" w:rsidRDefault="005E590D" w:rsidP="00AE2073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Lodicand</w:t>
      </w:r>
      <w:proofErr w:type="spellEnd"/>
      <w:r w:rsidR="00AE2073" w:rsidRPr="007D2FC3">
        <w:rPr>
          <w:rFonts w:eastAsia="Calibri" w:cs="Calibri"/>
          <w:color w:val="000000"/>
        </w:rPr>
        <w:t xml:space="preserve"> è disponibile in </w:t>
      </w:r>
      <w:r w:rsidR="007C2797" w:rsidRPr="007D2FC3">
        <w:rPr>
          <w:rFonts w:eastAsia="Calibri" w:cs="Calibri"/>
          <w:color w:val="000000"/>
        </w:rPr>
        <w:t>capsule rigide</w:t>
      </w:r>
      <w:r w:rsidR="00AE2073" w:rsidRPr="007D2FC3">
        <w:rPr>
          <w:rFonts w:eastAsia="Calibri" w:cs="Calibri"/>
          <w:color w:val="000000"/>
        </w:rPr>
        <w:t xml:space="preserve"> contenenti diversi dosaggi dei due principi attivi</w:t>
      </w:r>
      <w:r w:rsidR="007C2797" w:rsidRPr="007D2FC3">
        <w:rPr>
          <w:rFonts w:eastAsia="Calibri" w:cs="Calibri"/>
          <w:color w:val="000000"/>
        </w:rPr>
        <w:t xml:space="preserve">, rispettivamente </w:t>
      </w:r>
      <w:proofErr w:type="spellStart"/>
      <w:r w:rsidR="007C2797" w:rsidRPr="007D2FC3">
        <w:rPr>
          <w:rFonts w:eastAsia="Calibri" w:cs="Calibri"/>
          <w:color w:val="000000"/>
        </w:rPr>
        <w:t>candesartan</w:t>
      </w:r>
      <w:proofErr w:type="spellEnd"/>
      <w:r w:rsidR="007C2797" w:rsidRPr="007D2FC3">
        <w:rPr>
          <w:rFonts w:eastAsia="Calibri" w:cs="Calibri"/>
          <w:color w:val="000000"/>
        </w:rPr>
        <w:t xml:space="preserve"> e </w:t>
      </w:r>
      <w:proofErr w:type="spellStart"/>
      <w:r w:rsidR="007C2797" w:rsidRPr="007D2FC3">
        <w:rPr>
          <w:rFonts w:eastAsia="Calibri" w:cs="Calibri"/>
          <w:color w:val="000000"/>
        </w:rPr>
        <w:t>amlodipina</w:t>
      </w:r>
      <w:proofErr w:type="spellEnd"/>
      <w:r w:rsidR="00AE2073" w:rsidRPr="007D2FC3">
        <w:rPr>
          <w:rFonts w:eastAsia="Calibri" w:cs="Calibri"/>
          <w:color w:val="000000"/>
        </w:rPr>
        <w:t>:</w:t>
      </w:r>
      <w:r w:rsidR="00AE2073" w:rsidRPr="007D2FC3">
        <w:t xml:space="preserve"> </w:t>
      </w:r>
      <w:r w:rsidR="007C2797" w:rsidRPr="007D2FC3">
        <w:t>8</w:t>
      </w:r>
      <w:r w:rsidR="00AE2073" w:rsidRPr="007D2FC3">
        <w:t xml:space="preserve"> mg + 5 mg, </w:t>
      </w:r>
      <w:r w:rsidR="007C2797" w:rsidRPr="007D2FC3">
        <w:t>8</w:t>
      </w:r>
      <w:r w:rsidR="00AE2073" w:rsidRPr="007D2FC3">
        <w:t xml:space="preserve"> mg + 10 mg, </w:t>
      </w:r>
      <w:r w:rsidR="007C2797" w:rsidRPr="007D2FC3">
        <w:t>16</w:t>
      </w:r>
      <w:r w:rsidR="00AE2073" w:rsidRPr="007D2FC3">
        <w:t xml:space="preserve"> mg + 5 mg,  </w:t>
      </w:r>
      <w:r w:rsidR="007C2797" w:rsidRPr="007D2FC3">
        <w:t>16</w:t>
      </w:r>
      <w:r w:rsidR="00AE2073" w:rsidRPr="007D2FC3">
        <w:t xml:space="preserve"> mg +  10 mg.</w:t>
      </w:r>
    </w:p>
    <w:p w:rsidR="00AE2073" w:rsidRPr="007D2FC3" w:rsidRDefault="005E590D" w:rsidP="00AE2073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Lodicand</w:t>
      </w:r>
      <w:proofErr w:type="spellEnd"/>
      <w:r w:rsidR="00AE2073" w:rsidRPr="007D2FC3">
        <w:t xml:space="preserve"> è utilizzato </w:t>
      </w:r>
      <w:r w:rsidR="007D2FC3" w:rsidRPr="007D2FC3">
        <w:rPr>
          <w:rFonts w:cs="Times New Roman"/>
        </w:rPr>
        <w:t xml:space="preserve">per trattare la pressione alta in pazienti la cui pressione arteriosa è già controllata dall’associazione di </w:t>
      </w:r>
      <w:proofErr w:type="spellStart"/>
      <w:r w:rsidR="007D2FC3" w:rsidRPr="007D2FC3">
        <w:rPr>
          <w:rFonts w:cs="Times New Roman"/>
        </w:rPr>
        <w:t>candersartan</w:t>
      </w:r>
      <w:proofErr w:type="spellEnd"/>
      <w:r w:rsidR="007D2FC3" w:rsidRPr="007D2FC3">
        <w:rPr>
          <w:rFonts w:cs="Times New Roman"/>
        </w:rPr>
        <w:t xml:space="preserve"> e </w:t>
      </w:r>
      <w:proofErr w:type="spellStart"/>
      <w:r w:rsidR="007D2FC3" w:rsidRPr="007D2FC3">
        <w:rPr>
          <w:rFonts w:cs="Times New Roman"/>
        </w:rPr>
        <w:t>amlodipina</w:t>
      </w:r>
      <w:proofErr w:type="spellEnd"/>
      <w:r w:rsidR="007D2FC3" w:rsidRPr="007D2FC3">
        <w:rPr>
          <w:rFonts w:cs="Times New Roman"/>
        </w:rPr>
        <w:t xml:space="preserve"> assunti separatamente alle stesse dosi contenute in </w:t>
      </w:r>
      <w:proofErr w:type="spellStart"/>
      <w:r>
        <w:rPr>
          <w:rFonts w:eastAsia="Calibri" w:cs="Calibri"/>
          <w:color w:val="000000"/>
          <w:lang w:eastAsia="it-IT"/>
        </w:rPr>
        <w:t>Lodicand</w:t>
      </w:r>
      <w:proofErr w:type="spellEnd"/>
      <w:r w:rsidR="007D2FC3" w:rsidRPr="007D2FC3">
        <w:rPr>
          <w:rFonts w:cs="Times New Roman"/>
        </w:rPr>
        <w:t xml:space="preserve">. </w:t>
      </w:r>
      <w:r w:rsidR="00AE2073" w:rsidRPr="007D2FC3">
        <w:t xml:space="preserve">I pazienti che già prendono </w:t>
      </w:r>
      <w:proofErr w:type="spellStart"/>
      <w:r w:rsidR="007C2797" w:rsidRPr="007D2FC3">
        <w:t>candesartan</w:t>
      </w:r>
      <w:proofErr w:type="spellEnd"/>
      <w:r w:rsidR="00AE2073" w:rsidRPr="007D2FC3">
        <w:t xml:space="preserve"> e </w:t>
      </w:r>
      <w:proofErr w:type="spellStart"/>
      <w:r w:rsidR="00AE2073" w:rsidRPr="007D2FC3">
        <w:t>amlodipina</w:t>
      </w:r>
      <w:proofErr w:type="spellEnd"/>
      <w:r w:rsidR="00AE2073" w:rsidRPr="007D2FC3">
        <w:t xml:space="preserve"> in </w:t>
      </w:r>
      <w:r w:rsidR="007D2FC3" w:rsidRPr="007D2FC3">
        <w:t>formulazioni</w:t>
      </w:r>
      <w:r w:rsidR="00AE2073" w:rsidRPr="007D2FC3">
        <w:t xml:space="preserve"> separate possono prendere al loro posto una </w:t>
      </w:r>
      <w:r w:rsidR="007C2797" w:rsidRPr="007D2FC3">
        <w:t xml:space="preserve">capsula </w:t>
      </w:r>
      <w:r w:rsidR="00AE2073" w:rsidRPr="007D2FC3">
        <w:t xml:space="preserve">di </w:t>
      </w:r>
      <w:proofErr w:type="spellStart"/>
      <w:r>
        <w:rPr>
          <w:rFonts w:eastAsia="Calibri" w:cs="Calibri"/>
          <w:color w:val="000000"/>
          <w:lang w:eastAsia="it-IT"/>
        </w:rPr>
        <w:t>Lodicand</w:t>
      </w:r>
      <w:proofErr w:type="spellEnd"/>
      <w:r w:rsidR="00AE2073" w:rsidRPr="007D2FC3">
        <w:t xml:space="preserve"> che contiene entrambi i principi attivi.</w:t>
      </w:r>
    </w:p>
    <w:p w:rsidR="00AE2073" w:rsidRPr="0038657A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776F2">
        <w:rPr>
          <w:rFonts w:cs="Arial"/>
        </w:rPr>
        <w:t xml:space="preserve">Il medicinale di riferimento contenente </w:t>
      </w:r>
      <w:proofErr w:type="spellStart"/>
      <w:r w:rsidRPr="00B776F2">
        <w:rPr>
          <w:rFonts w:cs="Arial"/>
        </w:rPr>
        <w:t>amlodipina</w:t>
      </w:r>
      <w:proofErr w:type="spellEnd"/>
      <w:r w:rsidRPr="00B776F2">
        <w:rPr>
          <w:rFonts w:cs="Arial"/>
        </w:rPr>
        <w:t xml:space="preserve"> è </w:t>
      </w:r>
      <w:proofErr w:type="spellStart"/>
      <w:r w:rsidRPr="00B776F2">
        <w:rPr>
          <w:rFonts w:cs="Arial"/>
        </w:rPr>
        <w:t>Norvasc</w:t>
      </w:r>
      <w:proofErr w:type="spellEnd"/>
      <w:r w:rsidRPr="00B776F2">
        <w:rPr>
          <w:rFonts w:cs="Arial"/>
        </w:rPr>
        <w:t xml:space="preserve">; il medicinale di riferimento contenente </w:t>
      </w:r>
      <w:proofErr w:type="spellStart"/>
      <w:r w:rsidR="007C2797" w:rsidRPr="00B776F2">
        <w:rPr>
          <w:rFonts w:cs="Arial"/>
        </w:rPr>
        <w:t>candesartan</w:t>
      </w:r>
      <w:proofErr w:type="spellEnd"/>
      <w:r w:rsidRPr="00B776F2">
        <w:rPr>
          <w:rFonts w:cs="Arial"/>
        </w:rPr>
        <w:t xml:space="preserve"> è </w:t>
      </w:r>
      <w:proofErr w:type="spellStart"/>
      <w:r w:rsidR="00B776F2" w:rsidRPr="00B776F2">
        <w:rPr>
          <w:rFonts w:cs="Arial"/>
        </w:rPr>
        <w:t>Ra</w:t>
      </w:r>
      <w:r w:rsidR="007D2FC3" w:rsidRPr="00B776F2">
        <w:rPr>
          <w:rFonts w:cs="Arial"/>
        </w:rPr>
        <w:t>tacand</w:t>
      </w:r>
      <w:proofErr w:type="spellEnd"/>
      <w:r w:rsidR="007D2FC3" w:rsidRPr="00B776F2">
        <w:rPr>
          <w:rFonts w:cs="Arial"/>
        </w:rPr>
        <w:t>;</w:t>
      </w:r>
      <w:r w:rsidRPr="00B776F2">
        <w:rPr>
          <w:rFonts w:cs="Arial"/>
        </w:rPr>
        <w:t xml:space="preserve"> quest’ultimo </w:t>
      </w:r>
      <w:r w:rsidRPr="00B776F2">
        <w:rPr>
          <w:rFonts w:eastAsia="Calibri" w:cs="Calibri"/>
          <w:color w:val="000000"/>
          <w:lang w:eastAsia="it-IT"/>
        </w:rPr>
        <w:t xml:space="preserve">è stato autorizzato con procedura decentrata con </w:t>
      </w:r>
      <w:r w:rsidR="00B776F2" w:rsidRPr="00B776F2">
        <w:rPr>
          <w:rFonts w:eastAsia="Calibri" w:cs="Calibri"/>
          <w:color w:val="000000"/>
          <w:lang w:eastAsia="it-IT"/>
        </w:rPr>
        <w:t>il Regno Unito</w:t>
      </w:r>
      <w:r w:rsidRPr="00B776F2">
        <w:rPr>
          <w:rFonts w:eastAsia="Calibri" w:cs="Calibri"/>
          <w:color w:val="000000"/>
          <w:lang w:eastAsia="it-IT"/>
        </w:rPr>
        <w:t xml:space="preserve"> come stato di riferimento (</w:t>
      </w:r>
      <w:r w:rsidR="00B776F2" w:rsidRPr="00B776F2">
        <w:t>https://www.gov.uk</w:t>
      </w:r>
      <w:r w:rsidRPr="00B776F2">
        <w:rPr>
          <w:rFonts w:eastAsia="Calibri" w:cs="Calibri"/>
          <w:color w:val="000000"/>
          <w:lang w:eastAsia="it-IT"/>
        </w:rPr>
        <w:t>). Sul sito dell’Agenzia Italiana del Farmaco (AIFA) (</w:t>
      </w:r>
      <w:hyperlink r:id="rId6" w:history="1">
        <w:r w:rsidRPr="00B776F2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B776F2">
        <w:rPr>
          <w:rFonts w:eastAsia="Calibri" w:cs="Calibri"/>
          <w:lang w:eastAsia="it-IT"/>
        </w:rPr>
        <w:t>)</w:t>
      </w:r>
      <w:r w:rsidRPr="00B776F2">
        <w:t xml:space="preserve"> </w:t>
      </w:r>
      <w:r w:rsidRPr="00B776F2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Pr="00B776F2">
        <w:rPr>
          <w:rFonts w:eastAsia="Calibri" w:cs="Calibri"/>
          <w:color w:val="000000"/>
          <w:lang w:eastAsia="it-IT"/>
        </w:rPr>
        <w:t>Norvasc</w:t>
      </w:r>
      <w:proofErr w:type="spellEnd"/>
      <w:r w:rsidRPr="00B776F2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B776F2" w:rsidRPr="00B776F2">
        <w:rPr>
          <w:rFonts w:eastAsia="Calibri" w:cs="Calibri"/>
          <w:color w:val="000000"/>
          <w:lang w:eastAsia="it-IT"/>
        </w:rPr>
        <w:t>Ra</w:t>
      </w:r>
      <w:r w:rsidR="007D2FC3" w:rsidRPr="00B776F2">
        <w:rPr>
          <w:rFonts w:eastAsia="Calibri" w:cs="Calibri"/>
          <w:color w:val="000000"/>
          <w:lang w:eastAsia="it-IT"/>
        </w:rPr>
        <w:t>tacand</w:t>
      </w:r>
      <w:proofErr w:type="spellEnd"/>
      <w:r w:rsidRPr="00B776F2">
        <w:rPr>
          <w:rFonts w:eastAsia="Calibri" w:cs="Calibri"/>
          <w:color w:val="000000"/>
          <w:lang w:eastAsia="it-IT"/>
        </w:rPr>
        <w:t>.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7B52C0" w:rsidRPr="0038657A" w:rsidRDefault="007B52C0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E2073" w:rsidRPr="005E590D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5E590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5E590D" w:rsidRPr="005E590D">
        <w:rPr>
          <w:rFonts w:eastAsia="Calibri" w:cs="Calibri"/>
          <w:b/>
          <w:color w:val="000000"/>
          <w:lang w:eastAsia="it-IT"/>
        </w:rPr>
        <w:t>Lodicand</w:t>
      </w:r>
      <w:proofErr w:type="spellEnd"/>
      <w:r w:rsidRPr="005E590D">
        <w:rPr>
          <w:rFonts w:eastAsia="Calibri" w:cs="Calibri"/>
          <w:b/>
          <w:bCs/>
          <w:color w:val="000000"/>
          <w:lang w:eastAsia="it-IT"/>
        </w:rPr>
        <w:t>?</w:t>
      </w:r>
    </w:p>
    <w:p w:rsidR="00AE2073" w:rsidRPr="0038657A" w:rsidRDefault="005E590D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Lodicand</w:t>
      </w:r>
      <w:proofErr w:type="spellEnd"/>
      <w:r w:rsidR="00AE2073" w:rsidRPr="0038657A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AE2073" w:rsidRPr="007D2FC3" w:rsidRDefault="00AE2073" w:rsidP="00AE2073">
      <w:pPr>
        <w:tabs>
          <w:tab w:val="left" w:pos="0"/>
        </w:tabs>
        <w:spacing w:after="0" w:line="240" w:lineRule="auto"/>
        <w:jc w:val="both"/>
      </w:pPr>
      <w:r w:rsidRPr="007D2FC3">
        <w:t xml:space="preserve">La dose raccomandata è di una </w:t>
      </w:r>
      <w:r w:rsidR="007C2797" w:rsidRPr="007D2FC3">
        <w:t xml:space="preserve">capsula </w:t>
      </w:r>
      <w:r w:rsidRPr="007D2FC3">
        <w:t xml:space="preserve">al giorno; il dosaggio della </w:t>
      </w:r>
      <w:r w:rsidR="007C2797" w:rsidRPr="007D2FC3">
        <w:t xml:space="preserve">capsula </w:t>
      </w:r>
      <w:r w:rsidRPr="007D2FC3">
        <w:t>da assumere è definito dal medico per ciascun paziente.</w:t>
      </w:r>
    </w:p>
    <w:p w:rsidR="00AE2073" w:rsidRPr="007D2FC3" w:rsidRDefault="00AE2073" w:rsidP="00AE2073">
      <w:pPr>
        <w:tabs>
          <w:tab w:val="left" w:pos="0"/>
        </w:tabs>
        <w:spacing w:after="0" w:line="240" w:lineRule="auto"/>
        <w:jc w:val="both"/>
      </w:pPr>
      <w:r w:rsidRPr="007D2FC3">
        <w:t>Nei pazienti con problemi ai reni o al fegato e ai pazienti anziani potrebbe essere prescritto un dosaggio minore.</w:t>
      </w:r>
    </w:p>
    <w:p w:rsidR="00AE2073" w:rsidRPr="007D2FC3" w:rsidRDefault="00AE2073" w:rsidP="00AE2073">
      <w:pPr>
        <w:tabs>
          <w:tab w:val="left" w:pos="0"/>
        </w:tabs>
        <w:spacing w:after="0" w:line="240" w:lineRule="auto"/>
        <w:jc w:val="both"/>
      </w:pPr>
      <w:r w:rsidRPr="007D2FC3">
        <w:t>Questo medicinale non deve essere assunto dai bambini e dagli adolescenti (età inferiore a 18 anni)</w:t>
      </w:r>
      <w:r w:rsidRPr="007D2FC3">
        <w:rPr>
          <w:rFonts w:cs="Times New Roman"/>
        </w:rPr>
        <w:t xml:space="preserve"> poiché la sicurezza e l’efficacia non sono state stabilite per questa fascia di età.</w:t>
      </w:r>
    </w:p>
    <w:p w:rsidR="00AE2073" w:rsidRPr="00974FCC" w:rsidRDefault="00AE2073" w:rsidP="00AE2073">
      <w:pPr>
        <w:spacing w:after="0" w:line="240" w:lineRule="auto"/>
        <w:jc w:val="both"/>
      </w:pPr>
      <w:r w:rsidRPr="007D2FC3">
        <w:t xml:space="preserve">Le </w:t>
      </w:r>
      <w:r w:rsidR="007C2797" w:rsidRPr="007D2FC3">
        <w:t xml:space="preserve">capsule </w:t>
      </w:r>
      <w:r w:rsidRPr="007D2FC3">
        <w:t xml:space="preserve">vanno assunte intere con un po’ di acqua, </w:t>
      </w:r>
      <w:r w:rsidR="007D2FC3">
        <w:t>indipendentemente dai pasti</w:t>
      </w:r>
      <w:r w:rsidRPr="007D2FC3">
        <w:t>.</w:t>
      </w:r>
    </w:p>
    <w:p w:rsidR="00AE2073" w:rsidRDefault="00AE2073" w:rsidP="00AE2073">
      <w:pPr>
        <w:tabs>
          <w:tab w:val="left" w:pos="0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E2073" w:rsidRPr="00974FCC" w:rsidRDefault="00AE2073" w:rsidP="00AE2073">
      <w:pPr>
        <w:tabs>
          <w:tab w:val="left" w:pos="0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E2073" w:rsidRPr="005E590D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5E590D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5E590D" w:rsidRPr="005E590D">
        <w:rPr>
          <w:rFonts w:eastAsia="Calibri" w:cs="Calibri"/>
          <w:b/>
          <w:color w:val="000000"/>
          <w:lang w:eastAsia="it-IT"/>
        </w:rPr>
        <w:t>Lodicand</w:t>
      </w:r>
      <w:proofErr w:type="spellEnd"/>
      <w:r w:rsidRPr="005E590D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AE2073" w:rsidRPr="007D2FC3" w:rsidRDefault="005E590D" w:rsidP="00AE207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>
        <w:rPr>
          <w:rFonts w:eastAsia="Calibri" w:cs="Calibri"/>
          <w:color w:val="000000"/>
          <w:lang w:eastAsia="it-IT"/>
        </w:rPr>
        <w:t>Lodicand</w:t>
      </w:r>
      <w:proofErr w:type="spellEnd"/>
      <w:r w:rsidR="00AE2073" w:rsidRPr="007D2FC3">
        <w:rPr>
          <w:rFonts w:eastAsia="Calibri" w:cs="Calibri"/>
          <w:bCs/>
          <w:color w:val="000000"/>
          <w:lang w:eastAsia="it-IT"/>
        </w:rPr>
        <w:t xml:space="preserve">, </w:t>
      </w:r>
      <w:r w:rsidR="00AE2073" w:rsidRPr="007D2FC3">
        <w:rPr>
          <w:color w:val="000000"/>
        </w:rPr>
        <w:t>il cui c</w:t>
      </w:r>
      <w:r w:rsidR="00AE2073" w:rsidRPr="007D2FC3">
        <w:rPr>
          <w:iCs/>
        </w:rPr>
        <w:t xml:space="preserve">odice ATC è </w:t>
      </w:r>
      <w:r w:rsidR="007D2FC3" w:rsidRPr="007D2FC3">
        <w:rPr>
          <w:rFonts w:cs="Times New Roman"/>
        </w:rPr>
        <w:t>C09DB07</w:t>
      </w:r>
      <w:r w:rsidR="00AE2073" w:rsidRPr="007D2FC3">
        <w:rPr>
          <w:rFonts w:eastAsia="DejaVuSans" w:cs="DejaVuSans"/>
        </w:rPr>
        <w:t>,</w:t>
      </w:r>
      <w:r w:rsidR="00AE2073" w:rsidRPr="007D2FC3">
        <w:rPr>
          <w:rFonts w:eastAsia="Calibri" w:cs="Calibri"/>
          <w:bCs/>
          <w:color w:val="000000"/>
          <w:lang w:eastAsia="it-IT"/>
        </w:rPr>
        <w:t xml:space="preserve"> </w:t>
      </w:r>
      <w:r w:rsidR="00AE2073" w:rsidRPr="007D2FC3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7C2797" w:rsidRPr="007D2FC3">
        <w:rPr>
          <w:rFonts w:eastAsia="Calibri" w:cs="Calibri"/>
          <w:color w:val="000000"/>
          <w:lang w:eastAsia="it-IT"/>
        </w:rPr>
        <w:t>candesartan</w:t>
      </w:r>
      <w:proofErr w:type="spellEnd"/>
      <w:r w:rsidR="00AE2073" w:rsidRPr="007D2FC3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AE2073" w:rsidRPr="007D2FC3">
        <w:rPr>
          <w:rFonts w:eastAsia="Calibri" w:cs="Calibri"/>
          <w:color w:val="000000"/>
          <w:lang w:eastAsia="it-IT"/>
        </w:rPr>
        <w:t>amlodipina</w:t>
      </w:r>
      <w:proofErr w:type="spellEnd"/>
      <w:r w:rsidR="00AE2073" w:rsidRPr="007D2FC3">
        <w:rPr>
          <w:rFonts w:eastAsia="Calibri" w:cs="Calibri"/>
          <w:color w:val="000000"/>
          <w:lang w:eastAsia="it-IT"/>
        </w:rPr>
        <w:t xml:space="preserve"> in associazione, due principi attivi che fanno </w:t>
      </w:r>
      <w:r w:rsidR="00AE2073" w:rsidRPr="007D2FC3">
        <w:t xml:space="preserve">parte della categoria farmaco-terapeutica </w:t>
      </w:r>
      <w:r w:rsidR="00AE2073" w:rsidRPr="007D2FC3">
        <w:rPr>
          <w:iCs/>
        </w:rPr>
        <w:t xml:space="preserve">degli </w:t>
      </w:r>
      <w:r w:rsidR="00AE2073" w:rsidRPr="007D2FC3">
        <w:rPr>
          <w:color w:val="000000"/>
        </w:rPr>
        <w:t>antipertensivi</w:t>
      </w:r>
      <w:r w:rsidR="00AE2073" w:rsidRPr="007D2FC3">
        <w:rPr>
          <w:iCs/>
        </w:rPr>
        <w:t>.</w:t>
      </w:r>
    </w:p>
    <w:p w:rsidR="00AE2073" w:rsidRPr="007D2FC3" w:rsidRDefault="007D2FC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7D2FC3">
        <w:rPr>
          <w:rFonts w:eastAsia="DejaVuSans" w:cs="DejaVuSans"/>
        </w:rPr>
        <w:t>A</w:t>
      </w:r>
      <w:r w:rsidR="00AE2073" w:rsidRPr="007D2FC3">
        <w:rPr>
          <w:rFonts w:eastAsia="DejaVuSans" w:cs="DejaVuSans"/>
        </w:rPr>
        <w:t>mlodipina</w:t>
      </w:r>
      <w:proofErr w:type="spellEnd"/>
      <w:r w:rsidR="00AE2073" w:rsidRPr="007D2FC3">
        <w:rPr>
          <w:rFonts w:eastAsia="DejaVuSans" w:cs="DejaVuSans"/>
        </w:rPr>
        <w:t xml:space="preserve"> è un bloccante dei canali del calcio nelle fibre muscolari lisce e provoca il rilassamento della muscolatura liscia dei vasi sanguigni</w:t>
      </w:r>
      <w:r w:rsidR="00AE2073" w:rsidRPr="007D2FC3">
        <w:rPr>
          <w:rFonts w:eastAsia="Calibri" w:cs="Times New Roman"/>
        </w:rPr>
        <w:t xml:space="preserve"> in modo che il sangue possa defluire più facilmente</w:t>
      </w:r>
      <w:r w:rsidR="00AE2073" w:rsidRPr="007D2FC3">
        <w:rPr>
          <w:rFonts w:eastAsia="DejaVuSans" w:cs="DejaVuSans"/>
        </w:rPr>
        <w:t>, con conseguente azione antipertensiva.</w:t>
      </w:r>
    </w:p>
    <w:p w:rsidR="007D2FC3" w:rsidRPr="007E00D8" w:rsidRDefault="007D2FC3" w:rsidP="007D2FC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DejaVuSans" w:cs="DejaVuSans"/>
        </w:rPr>
      </w:pPr>
      <w:proofErr w:type="spellStart"/>
      <w:r w:rsidRPr="007E00D8">
        <w:rPr>
          <w:rFonts w:cs="Calibri"/>
          <w:iCs/>
        </w:rPr>
        <w:t>Can</w:t>
      </w:r>
      <w:r>
        <w:rPr>
          <w:rFonts w:cs="Calibri"/>
          <w:iCs/>
        </w:rPr>
        <w:t>desartan</w:t>
      </w:r>
      <w:proofErr w:type="spellEnd"/>
      <w:r>
        <w:rPr>
          <w:rFonts w:cs="Calibri"/>
          <w:iCs/>
        </w:rPr>
        <w:t xml:space="preserve"> è un antagonista dell’</w:t>
      </w:r>
      <w:proofErr w:type="spellStart"/>
      <w:r>
        <w:rPr>
          <w:rFonts w:cs="Calibri"/>
          <w:iCs/>
        </w:rPr>
        <w:t>a</w:t>
      </w:r>
      <w:r w:rsidRPr="007E00D8">
        <w:rPr>
          <w:rFonts w:cs="Calibri"/>
          <w:iCs/>
        </w:rPr>
        <w:t>ngiotensina</w:t>
      </w:r>
      <w:proofErr w:type="spellEnd"/>
      <w:r w:rsidRPr="007E00D8">
        <w:rPr>
          <w:rFonts w:cs="Calibri"/>
          <w:iCs/>
        </w:rPr>
        <w:t xml:space="preserve"> II</w:t>
      </w:r>
      <w:r w:rsidRPr="007E00D8">
        <w:rPr>
          <w:rFonts w:eastAsia="DejaVuSans" w:cs="DejaVuSans"/>
        </w:rPr>
        <w:t>, sostanza ad attività vasocostrittrice</w:t>
      </w:r>
      <w:r>
        <w:rPr>
          <w:rFonts w:eastAsia="DejaVuSans" w:cs="DejaVuSans"/>
        </w:rPr>
        <w:t>;</w:t>
      </w:r>
      <w:r w:rsidRPr="007E00D8">
        <w:rPr>
          <w:rFonts w:eastAsia="DejaVuSans" w:cs="DejaVuSans"/>
        </w:rPr>
        <w:t xml:space="preserve"> </w:t>
      </w:r>
      <w:proofErr w:type="spellStart"/>
      <w:r w:rsidRPr="007E00D8">
        <w:rPr>
          <w:rFonts w:eastAsia="DejaVuSans" w:cs="DejaVuSans"/>
        </w:rPr>
        <w:t>candesartan</w:t>
      </w:r>
      <w:proofErr w:type="spellEnd"/>
      <w:r>
        <w:rPr>
          <w:rFonts w:eastAsia="DejaVuSans" w:cs="DejaVuSans"/>
        </w:rPr>
        <w:t xml:space="preserve"> agisce</w:t>
      </w:r>
      <w:r w:rsidRPr="007E00D8">
        <w:rPr>
          <w:rFonts w:eastAsia="DejaVuSans" w:cs="DejaVuSans"/>
        </w:rPr>
        <w:t xml:space="preserve"> bloccando l</w:t>
      </w:r>
      <w:r>
        <w:rPr>
          <w:rFonts w:eastAsia="DejaVuSans" w:cs="DejaVuSans"/>
        </w:rPr>
        <w:t>’</w:t>
      </w:r>
      <w:r w:rsidRPr="007E00D8">
        <w:rPr>
          <w:rFonts w:eastAsia="DejaVuSans" w:cs="DejaVuSans"/>
        </w:rPr>
        <w:t>attività</w:t>
      </w:r>
      <w:r>
        <w:rPr>
          <w:rFonts w:eastAsia="DejaVuSans" w:cs="DejaVuSans"/>
        </w:rPr>
        <w:t xml:space="preserve"> di </w:t>
      </w:r>
      <w:proofErr w:type="spellStart"/>
      <w:r>
        <w:rPr>
          <w:rFonts w:eastAsia="DejaVuSans" w:cs="DejaVuSans"/>
        </w:rPr>
        <w:t>angiotensina</w:t>
      </w:r>
      <w:proofErr w:type="spellEnd"/>
      <w:r>
        <w:rPr>
          <w:rFonts w:eastAsia="DejaVuSans" w:cs="DejaVuSans"/>
        </w:rPr>
        <w:t xml:space="preserve"> II e determinando, di conseguenza,</w:t>
      </w:r>
      <w:r w:rsidRPr="007E00D8">
        <w:rPr>
          <w:rFonts w:eastAsia="DejaVuSans" w:cs="DejaVuSans"/>
        </w:rPr>
        <w:t xml:space="preserve"> una vasodilatazione e un abbassamento della pressione del sangue.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AE2073" w:rsidRPr="0038657A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AE2073" w:rsidRPr="005E590D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5E590D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5E590D" w:rsidRPr="005E590D">
        <w:rPr>
          <w:rFonts w:eastAsia="Calibri" w:cs="Calibri"/>
          <w:b/>
          <w:color w:val="000000"/>
          <w:lang w:eastAsia="it-IT"/>
        </w:rPr>
        <w:t>Lodicand</w:t>
      </w:r>
      <w:proofErr w:type="spellEnd"/>
      <w:r w:rsidRPr="005E590D">
        <w:rPr>
          <w:rFonts w:eastAsia="Calibri" w:cs="Calibri"/>
          <w:b/>
          <w:bCs/>
          <w:lang w:eastAsia="it-IT"/>
        </w:rPr>
        <w:t xml:space="preserve">? </w:t>
      </w:r>
    </w:p>
    <w:p w:rsidR="00AE2073" w:rsidRDefault="00AE2073" w:rsidP="00AE2073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ascii="Calibri" w:hAnsi="Calibri" w:cs="Arial"/>
        </w:rPr>
        <w:t xml:space="preserve">Poiché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>
        <w:rPr>
          <w:rFonts w:ascii="Calibri" w:hAnsi="Calibri" w:cs="Arial"/>
        </w:rPr>
        <w:t xml:space="preserve"> contiene due principi attivi noti ed è utilizzato </w:t>
      </w:r>
      <w:r w:rsidRPr="004E389D">
        <w:rPr>
          <w:rFonts w:ascii="Calibri" w:hAnsi="Calibri" w:cs="Arial"/>
        </w:rPr>
        <w:t xml:space="preserve">come terapia di sostituzione per pazienti già trattati con i due farmaci singoli </w:t>
      </w:r>
      <w:r>
        <w:rPr>
          <w:rFonts w:ascii="Calibri" w:hAnsi="Calibri" w:cs="Arial"/>
        </w:rPr>
        <w:t>somministrati</w:t>
      </w:r>
      <w:r w:rsidRPr="004E389D">
        <w:rPr>
          <w:rFonts w:ascii="Calibri" w:hAnsi="Calibri" w:cs="Arial"/>
        </w:rPr>
        <w:t xml:space="preserve"> contemporaneamente alla stessa dose,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bioequivalenza rispetto ai due medicinali di riferimento </w:t>
      </w:r>
      <w:proofErr w:type="spellStart"/>
      <w:r>
        <w:rPr>
          <w:rFonts w:ascii="Calibri" w:hAnsi="Calibri" w:cs="Arial"/>
        </w:rPr>
        <w:t>Norvasc</w:t>
      </w:r>
      <w:proofErr w:type="spellEnd"/>
      <w:r>
        <w:rPr>
          <w:rFonts w:ascii="Calibri" w:hAnsi="Calibri" w:cs="Arial"/>
        </w:rPr>
        <w:t xml:space="preserve"> (</w:t>
      </w:r>
      <w:proofErr w:type="spellStart"/>
      <w:r>
        <w:rPr>
          <w:rFonts w:ascii="Calibri" w:hAnsi="Calibri" w:cs="Arial"/>
        </w:rPr>
        <w:t>amlodipina</w:t>
      </w:r>
      <w:proofErr w:type="spellEnd"/>
      <w:r>
        <w:rPr>
          <w:rFonts w:ascii="Calibri" w:hAnsi="Calibri" w:cs="Arial"/>
        </w:rPr>
        <w:t xml:space="preserve">) e </w:t>
      </w:r>
      <w:proofErr w:type="spellStart"/>
      <w:r w:rsidR="00B776F2">
        <w:rPr>
          <w:rFonts w:ascii="Calibri" w:hAnsi="Calibri" w:cs="Arial"/>
        </w:rPr>
        <w:t>Ra</w:t>
      </w:r>
      <w:r w:rsidR="007D2FC3">
        <w:rPr>
          <w:rFonts w:ascii="Calibri" w:hAnsi="Calibri" w:cs="Arial"/>
        </w:rPr>
        <w:t>tacand</w:t>
      </w:r>
      <w:proofErr w:type="spellEnd"/>
      <w:r>
        <w:rPr>
          <w:rFonts w:ascii="Calibri" w:hAnsi="Calibri" w:cs="Arial"/>
        </w:rPr>
        <w:t xml:space="preserve"> (</w:t>
      </w:r>
      <w:proofErr w:type="spellStart"/>
      <w:r w:rsidR="007C2797">
        <w:rPr>
          <w:rFonts w:ascii="Calibri" w:hAnsi="Calibri" w:cs="Arial"/>
        </w:rPr>
        <w:t>candesartan</w:t>
      </w:r>
      <w:proofErr w:type="spellEnd"/>
      <w:r>
        <w:rPr>
          <w:rFonts w:ascii="Calibri" w:hAnsi="Calibri" w:cs="Arial"/>
        </w:rPr>
        <w:t>) autorizzat</w:t>
      </w:r>
      <w:r w:rsidR="00F11281">
        <w:rPr>
          <w:rFonts w:ascii="Calibri" w:hAnsi="Calibri" w:cs="Arial"/>
        </w:rPr>
        <w:t>i</w:t>
      </w:r>
      <w:r>
        <w:rPr>
          <w:rFonts w:ascii="Calibri" w:hAnsi="Calibri" w:cs="Arial"/>
        </w:rPr>
        <w:t xml:space="preserve"> in Italia</w:t>
      </w:r>
      <w:r w:rsidRPr="004E389D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 xml:space="preserve">Due medicinali sono </w:t>
      </w:r>
      <w:proofErr w:type="spellStart"/>
      <w:r>
        <w:rPr>
          <w:rFonts w:ascii="Calibri" w:hAnsi="Calibri" w:cs="Arial"/>
        </w:rPr>
        <w:t>bioequivalenti</w:t>
      </w:r>
      <w:proofErr w:type="spellEnd"/>
      <w:r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>.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Pr="005E590D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5E590D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Pr="005E590D">
        <w:rPr>
          <w:rFonts w:eastAsia="Calibri" w:cs="Calibri"/>
          <w:b/>
          <w:bCs/>
          <w:lang w:eastAsia="it-IT"/>
        </w:rPr>
        <w:t>DI</w:t>
      </w:r>
      <w:proofErr w:type="spellEnd"/>
      <w:r w:rsidRPr="005E590D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E590D" w:rsidRPr="005E590D">
        <w:rPr>
          <w:rFonts w:eastAsia="Calibri" w:cs="Calibri"/>
          <w:b/>
          <w:color w:val="000000"/>
          <w:lang w:eastAsia="it-IT"/>
        </w:rPr>
        <w:t>Lodicand</w:t>
      </w:r>
      <w:proofErr w:type="spellEnd"/>
      <w:r w:rsidRPr="005E590D">
        <w:rPr>
          <w:rFonts w:eastAsia="Calibri" w:cs="Calibri"/>
          <w:b/>
          <w:lang w:eastAsia="it-IT"/>
        </w:rPr>
        <w:t xml:space="preserve">? </w:t>
      </w:r>
    </w:p>
    <w:p w:rsidR="00AE2073" w:rsidRPr="002A3F14" w:rsidRDefault="005E590D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Lodicand</w:t>
      </w:r>
      <w:proofErr w:type="spellEnd"/>
      <w:r w:rsidR="00AE2073" w:rsidRPr="004241AC">
        <w:rPr>
          <w:rFonts w:eastAsia="Calibri" w:cs="Calibri"/>
          <w:bCs/>
          <w:color w:val="000000"/>
          <w:lang w:eastAsia="it-IT"/>
        </w:rPr>
        <w:t xml:space="preserve"> </w:t>
      </w:r>
      <w:r w:rsidR="00AE2073" w:rsidRPr="004241AC">
        <w:rPr>
          <w:rFonts w:eastAsia="Calibri" w:cs="Calibri"/>
          <w:lang w:eastAsia="it-IT"/>
        </w:rPr>
        <w:t>è un medicinale contenente due principi attivi noti presenti in due medicinali di</w:t>
      </w:r>
      <w:r w:rsidR="00AE2073">
        <w:rPr>
          <w:rFonts w:eastAsia="Calibri" w:cs="Calibri"/>
          <w:lang w:eastAsia="it-IT"/>
        </w:rPr>
        <w:t xml:space="preserve"> riferimento;</w:t>
      </w:r>
      <w:r w:rsidR="00AE2073" w:rsidRPr="002A3F14">
        <w:rPr>
          <w:rFonts w:eastAsia="Calibri" w:cs="Calibri"/>
          <w:lang w:eastAsia="it-IT"/>
        </w:rPr>
        <w:t xml:space="preserve"> </w:t>
      </w:r>
      <w:r w:rsidR="00AE2073">
        <w:rPr>
          <w:rFonts w:eastAsia="Calibri" w:cs="Calibri"/>
          <w:lang w:eastAsia="it-IT"/>
        </w:rPr>
        <w:t xml:space="preserve">pertanto, </w:t>
      </w:r>
      <w:r w:rsidR="00AE2073" w:rsidRPr="002A3F14">
        <w:rPr>
          <w:rFonts w:eastAsia="Calibri" w:cs="Calibri"/>
          <w:lang w:eastAsia="it-IT"/>
        </w:rPr>
        <w:t>i benefici e rischi ad esso associati sono sovrapponibili a quelli de</w:t>
      </w:r>
      <w:r w:rsidR="00AE2073">
        <w:rPr>
          <w:rFonts w:eastAsia="Calibri" w:cs="Calibri"/>
          <w:lang w:eastAsia="it-IT"/>
        </w:rPr>
        <w:t>i</w:t>
      </w:r>
      <w:r w:rsidR="00AE2073" w:rsidRPr="002A3F14">
        <w:rPr>
          <w:rFonts w:eastAsia="Calibri" w:cs="Calibri"/>
          <w:lang w:eastAsia="it-IT"/>
        </w:rPr>
        <w:t xml:space="preserve"> </w:t>
      </w:r>
      <w:r w:rsidR="00AE2073">
        <w:rPr>
          <w:rFonts w:eastAsia="Calibri" w:cs="Calibri"/>
          <w:lang w:eastAsia="it-IT"/>
        </w:rPr>
        <w:t>due medicinali</w:t>
      </w:r>
      <w:r w:rsidR="00AE2073" w:rsidRPr="002A3F14">
        <w:rPr>
          <w:rFonts w:eastAsia="Calibri" w:cs="Calibri"/>
          <w:lang w:eastAsia="it-IT"/>
        </w:rPr>
        <w:t xml:space="preserve"> di riferimento. 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Pr="005E590D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5E590D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E590D" w:rsidRPr="005E590D">
        <w:rPr>
          <w:rFonts w:eastAsia="Calibri" w:cs="Calibri"/>
          <w:b/>
          <w:color w:val="000000"/>
          <w:lang w:eastAsia="it-IT"/>
        </w:rPr>
        <w:t>Lodicand</w:t>
      </w:r>
      <w:proofErr w:type="spellEnd"/>
      <w:r w:rsidRPr="005E590D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5E590D">
        <w:rPr>
          <w:rFonts w:eastAsia="Calibri" w:cs="Calibri"/>
          <w:b/>
          <w:bCs/>
          <w:lang w:eastAsia="it-IT"/>
        </w:rPr>
        <w:t xml:space="preserve">E’ STATO APPROVATO? 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B1F5E">
        <w:rPr>
          <w:rFonts w:eastAsia="Calibri" w:cs="Calibri"/>
          <w:lang w:eastAsia="it-IT"/>
        </w:rPr>
        <w:t xml:space="preserve">La Commissione Tecnico Scientifica (CTS), nella seduta </w:t>
      </w:r>
      <w:r w:rsidR="000B1F5E" w:rsidRPr="000B1F5E">
        <w:rPr>
          <w:rFonts w:eastAsia="Calibri" w:cs="Calibri"/>
          <w:lang w:eastAsia="it-IT"/>
        </w:rPr>
        <w:t>del 9-11</w:t>
      </w:r>
      <w:r w:rsidR="000B1F5E">
        <w:rPr>
          <w:rFonts w:eastAsia="Calibri" w:cs="Calibri"/>
          <w:lang w:eastAsia="it-IT"/>
        </w:rPr>
        <w:t xml:space="preserve"> ottobre 2017</w:t>
      </w:r>
      <w:r w:rsidRPr="00761981">
        <w:rPr>
          <w:rFonts w:eastAsia="Calibri" w:cs="Calibri"/>
          <w:lang w:eastAsia="it-IT"/>
        </w:rPr>
        <w:t>, ha concluso che,</w:t>
      </w:r>
      <w:r>
        <w:rPr>
          <w:rFonts w:eastAsia="Calibri" w:cs="Calibri"/>
          <w:lang w:eastAsia="it-IT"/>
        </w:rPr>
        <w:t xml:space="preserve"> conformemente ai requisiti della normativa vigente, come nel caso dei due medicinali di riferimento </w:t>
      </w:r>
      <w:proofErr w:type="spellStart"/>
      <w:r>
        <w:rPr>
          <w:rFonts w:eastAsia="Calibri" w:cs="Calibri"/>
          <w:lang w:eastAsia="it-IT"/>
        </w:rPr>
        <w:t>Norvasc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 w:rsidR="00B776F2">
        <w:rPr>
          <w:rFonts w:eastAsia="Calibri" w:cs="Calibri"/>
          <w:lang w:eastAsia="it-IT"/>
        </w:rPr>
        <w:t>Ra</w:t>
      </w:r>
      <w:r w:rsidR="007D2FC3">
        <w:rPr>
          <w:rFonts w:eastAsia="Calibri" w:cs="Calibri"/>
          <w:lang w:eastAsia="it-IT"/>
        </w:rPr>
        <w:t>tacand</w:t>
      </w:r>
      <w:proofErr w:type="spellEnd"/>
      <w:r w:rsidR="007D2FC3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i benefici di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>
        <w:rPr>
          <w:rFonts w:eastAsia="Calibri" w:cs="Calibri"/>
          <w:lang w:eastAsia="it-IT"/>
        </w:rPr>
        <w:t xml:space="preserve"> sono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medicinale (</w:t>
      </w:r>
      <w:r>
        <w:rPr>
          <w:rFonts w:eastAsia="Calibri" w:cs="Calibri"/>
          <w:lang w:eastAsia="it-IT"/>
        </w:rPr>
        <w:t>classificazione provvisoria Cnn</w:t>
      </w:r>
      <w:r w:rsidRPr="002A3F14">
        <w:rPr>
          <w:rFonts w:eastAsia="Calibri" w:cs="Calibri"/>
          <w:lang w:eastAsia="it-IT"/>
        </w:rPr>
        <w:t xml:space="preserve">). 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AE2073" w:rsidRPr="005E590D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E590D" w:rsidRPr="005E590D">
        <w:rPr>
          <w:rFonts w:eastAsia="Calibri" w:cs="Calibri"/>
          <w:b/>
          <w:color w:val="000000"/>
          <w:lang w:eastAsia="it-IT"/>
        </w:rPr>
        <w:t>Lodicand</w:t>
      </w:r>
      <w:proofErr w:type="spellEnd"/>
      <w:r w:rsidRPr="005E590D">
        <w:rPr>
          <w:rFonts w:eastAsia="Calibri" w:cs="Calibri"/>
          <w:b/>
          <w:bCs/>
          <w:color w:val="000000"/>
          <w:lang w:eastAsia="it-IT"/>
        </w:rPr>
        <w:t>?</w:t>
      </w:r>
    </w:p>
    <w:p w:rsidR="00AE2073" w:rsidRPr="002A3F1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 w:rsidRPr="002A3F14">
        <w:rPr>
          <w:rFonts w:eastAsia="Calibri" w:cs="Calibri"/>
          <w:lang w:eastAsia="it-IT"/>
        </w:rPr>
        <w:t>.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Pr="002A3F1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Pr="005E590D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5E590D">
        <w:rPr>
          <w:rFonts w:eastAsia="Calibri" w:cs="Calibri"/>
          <w:b/>
          <w:bCs/>
          <w:lang w:eastAsia="it-IT"/>
        </w:rPr>
        <w:lastRenderedPageBreak/>
        <w:t xml:space="preserve">8) ALTRE INFORMAZIONI RELATIVE A </w:t>
      </w:r>
      <w:proofErr w:type="spellStart"/>
      <w:r w:rsidR="005E590D" w:rsidRPr="005E590D">
        <w:rPr>
          <w:rFonts w:eastAsia="Calibri" w:cs="Calibri"/>
          <w:b/>
          <w:color w:val="000000"/>
          <w:lang w:eastAsia="it-IT"/>
        </w:rPr>
        <w:t>Lodicand</w:t>
      </w:r>
      <w:proofErr w:type="spellEnd"/>
    </w:p>
    <w:p w:rsidR="00AE2073" w:rsidRPr="00CA3A1E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5E590D">
        <w:rPr>
          <w:rFonts w:eastAsia="Calibri" w:cs="Calibri"/>
          <w:bCs/>
          <w:iCs/>
          <w:lang w:eastAsia="it-IT"/>
        </w:rPr>
        <w:t xml:space="preserve">Il </w:t>
      </w:r>
      <w:r w:rsidR="005E590D" w:rsidRPr="005E590D">
        <w:rPr>
          <w:rFonts w:eastAsia="Calibri" w:cs="Calibri"/>
          <w:bCs/>
          <w:iCs/>
          <w:lang w:eastAsia="it-IT"/>
        </w:rPr>
        <w:t>13 novembre</w:t>
      </w:r>
      <w:r w:rsidRPr="005E590D">
        <w:rPr>
          <w:rFonts w:eastAsia="Calibri" w:cs="Calibri"/>
          <w:bCs/>
          <w:iCs/>
          <w:lang w:eastAsia="it-IT"/>
        </w:rPr>
        <w:t xml:space="preserve"> 2017 l’AIFA ha rilasciato l’autorizzazione all’immissione in commercio di </w:t>
      </w:r>
      <w:r w:rsidR="00A950D7" w:rsidRPr="005E590D">
        <w:rPr>
          <w:rFonts w:eastAsia="Calibri" w:cs="Calibri"/>
          <w:color w:val="000000"/>
          <w:lang w:eastAsia="it-IT"/>
        </w:rPr>
        <w:t>LODICAND</w:t>
      </w:r>
      <w:r w:rsidRPr="005E590D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AE2073" w:rsidRPr="002A3F1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>
        <w:rPr>
          <w:rFonts w:eastAsia="Calibri" w:cs="Calibri"/>
          <w:lang w:eastAsia="it-IT"/>
        </w:rPr>
        <w:t xml:space="preserve"> (</w:t>
      </w:r>
      <w:hyperlink r:id="rId7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 o</w:t>
      </w:r>
      <w:r>
        <w:rPr>
          <w:rFonts w:eastAsia="Calibri" w:cs="Calibri"/>
          <w:lang w:eastAsia="it-IT"/>
        </w:rPr>
        <w:t xml:space="preserve"> il</w:t>
      </w:r>
      <w:r w:rsidRPr="002A3F14">
        <w:rPr>
          <w:rFonts w:eastAsia="Calibri" w:cs="Calibri"/>
          <w:lang w:eastAsia="it-IT"/>
        </w:rPr>
        <w:t xml:space="preserve"> farmacista. </w:t>
      </w:r>
    </w:p>
    <w:p w:rsidR="00AE2073" w:rsidRDefault="00AE2073" w:rsidP="00AE2073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Pr="00FA7C92" w:rsidRDefault="00AE2073" w:rsidP="00AE2073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FB1ABB" w:rsidRPr="00FB1ABB">
        <w:rPr>
          <w:rFonts w:eastAsia="Calibri" w:cs="Calibri"/>
          <w:lang w:eastAsia="it-IT"/>
        </w:rPr>
        <w:t>19</w:t>
      </w:r>
      <w:r w:rsidRPr="00FB1ABB">
        <w:rPr>
          <w:rFonts w:eastAsia="Calibri" w:cs="Calibri"/>
          <w:lang w:eastAsia="it-IT"/>
        </w:rPr>
        <w:t>.</w:t>
      </w:r>
      <w:r w:rsidR="00FB1ABB" w:rsidRPr="00FB1ABB">
        <w:rPr>
          <w:rFonts w:eastAsia="Calibri" w:cs="Calibri"/>
          <w:lang w:eastAsia="it-IT"/>
        </w:rPr>
        <w:t>10</w:t>
      </w:r>
      <w:r w:rsidRPr="00FB1ABB">
        <w:rPr>
          <w:rFonts w:eastAsia="Calibri" w:cs="Calibri"/>
          <w:lang w:eastAsia="it-IT"/>
        </w:rPr>
        <w:t>.2017.</w:t>
      </w:r>
      <w:r w:rsidRPr="002A3F14">
        <w:rPr>
          <w:rFonts w:eastAsia="Calibri" w:cs="Calibri"/>
          <w:lang w:eastAsia="it-IT"/>
        </w:rPr>
        <w:t xml:space="preserve"> </w:t>
      </w:r>
      <w:r>
        <w:rPr>
          <w:b/>
          <w:sz w:val="28"/>
        </w:rPr>
        <w:br w:type="page"/>
      </w:r>
    </w:p>
    <w:p w:rsidR="00AE2073" w:rsidRDefault="00AE2073" w:rsidP="00AE2073">
      <w:pPr>
        <w:spacing w:after="0" w:line="240" w:lineRule="auto"/>
        <w:jc w:val="center"/>
        <w:rPr>
          <w:b/>
          <w:sz w:val="28"/>
        </w:rPr>
      </w:pPr>
    </w:p>
    <w:p w:rsidR="00AE2073" w:rsidRDefault="00AE2073" w:rsidP="00AE2073">
      <w:pPr>
        <w:spacing w:after="0" w:line="240" w:lineRule="auto"/>
        <w:jc w:val="center"/>
        <w:rPr>
          <w:b/>
          <w:sz w:val="28"/>
        </w:rPr>
      </w:pPr>
    </w:p>
    <w:p w:rsidR="00AE2073" w:rsidRDefault="00AE2073" w:rsidP="00AE2073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E2073" w:rsidRDefault="00AE2073" w:rsidP="00AE2073">
      <w:pPr>
        <w:spacing w:after="0" w:line="240" w:lineRule="auto"/>
        <w:jc w:val="center"/>
        <w:rPr>
          <w:b/>
        </w:rPr>
      </w:pPr>
    </w:p>
    <w:p w:rsidR="00AE2073" w:rsidRDefault="00AE2073" w:rsidP="00AE2073">
      <w:pPr>
        <w:spacing w:after="0" w:line="240" w:lineRule="auto"/>
        <w:jc w:val="center"/>
        <w:rPr>
          <w:b/>
        </w:rPr>
      </w:pPr>
    </w:p>
    <w:p w:rsidR="00AE2073" w:rsidRDefault="00AE2073" w:rsidP="00AE2073">
      <w:pPr>
        <w:spacing w:after="0" w:line="240" w:lineRule="auto"/>
        <w:jc w:val="center"/>
        <w:rPr>
          <w:b/>
        </w:rPr>
      </w:pPr>
    </w:p>
    <w:p w:rsidR="00AE2073" w:rsidRDefault="00AE2073" w:rsidP="00AE2073">
      <w:pPr>
        <w:spacing w:after="0" w:line="240" w:lineRule="auto"/>
        <w:jc w:val="center"/>
        <w:rPr>
          <w:b/>
        </w:rPr>
      </w:pPr>
    </w:p>
    <w:p w:rsidR="00AE2073" w:rsidRPr="0033523E" w:rsidRDefault="00AE2073" w:rsidP="00AE2073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Pr="008206E7" w:rsidRDefault="00AE2073" w:rsidP="00AE2073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E2073" w:rsidRPr="002A3F14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E2073" w:rsidRPr="0033523E" w:rsidRDefault="00AE2073" w:rsidP="00AE2073">
      <w:pPr>
        <w:pStyle w:val="Paragrafoelenco"/>
        <w:rPr>
          <w:b/>
        </w:rPr>
      </w:pPr>
    </w:p>
    <w:p w:rsidR="00AE2073" w:rsidRDefault="00AE2073" w:rsidP="00AE20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E2073" w:rsidRPr="0033523E" w:rsidRDefault="00AE2073" w:rsidP="00AE2073">
      <w:pPr>
        <w:pStyle w:val="Paragrafoelenco"/>
        <w:rPr>
          <w:b/>
        </w:rPr>
      </w:pPr>
    </w:p>
    <w:p w:rsidR="00AE2073" w:rsidRDefault="00AE2073" w:rsidP="00AE20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E2073" w:rsidRPr="0033523E" w:rsidRDefault="00AE2073" w:rsidP="00AE2073">
      <w:pPr>
        <w:pStyle w:val="Paragrafoelenco"/>
        <w:rPr>
          <w:b/>
        </w:rPr>
      </w:pPr>
    </w:p>
    <w:p w:rsidR="00AE2073" w:rsidRPr="002E4DCB" w:rsidRDefault="00AE2073" w:rsidP="00AE20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E2073" w:rsidRDefault="00AE2073" w:rsidP="00AE2073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E2073" w:rsidRPr="00BC23ED" w:rsidRDefault="00AE2073" w:rsidP="00AE20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Pr="008206E7" w:rsidRDefault="00AE2073" w:rsidP="00AE2073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F11281">
        <w:t xml:space="preserve">Cipros </w:t>
      </w:r>
      <w:r>
        <w:t xml:space="preserve">l’autorizzazione </w:t>
      </w:r>
      <w:r w:rsidRPr="005E590D">
        <w:t xml:space="preserve">all’immissione in commercio (AIC) per il medicinale </w:t>
      </w:r>
      <w:proofErr w:type="spellStart"/>
      <w:r w:rsidR="005E590D" w:rsidRPr="005E590D">
        <w:rPr>
          <w:rFonts w:eastAsia="Calibri" w:cs="Calibri"/>
          <w:color w:val="000000"/>
          <w:lang w:eastAsia="it-IT"/>
        </w:rPr>
        <w:t>Lodicand</w:t>
      </w:r>
      <w:proofErr w:type="spellEnd"/>
      <w:r w:rsidRPr="005E590D">
        <w:t xml:space="preserve"> il </w:t>
      </w:r>
      <w:r w:rsidR="005E590D" w:rsidRPr="005E590D">
        <w:rPr>
          <w:rFonts w:eastAsia="Calibri" w:cs="Calibri"/>
          <w:bCs/>
          <w:iCs/>
          <w:lang w:eastAsia="it-IT"/>
        </w:rPr>
        <w:t>13 novembre</w:t>
      </w:r>
      <w:r w:rsidRPr="005E590D">
        <w:rPr>
          <w:rFonts w:eastAsia="Calibri" w:cs="Calibri"/>
          <w:bCs/>
          <w:iCs/>
          <w:lang w:eastAsia="it-IT"/>
        </w:rPr>
        <w:t xml:space="preserve"> 2017</w:t>
      </w:r>
      <w:r w:rsidR="005E590D" w:rsidRPr="005E590D">
        <w:rPr>
          <w:rFonts w:eastAsia="Calibri" w:cs="Calibri"/>
          <w:bCs/>
          <w:iCs/>
          <w:lang w:eastAsia="it-IT"/>
        </w:rPr>
        <w:t>.</w:t>
      </w:r>
      <w:r>
        <w:t xml:space="preserve"> </w:t>
      </w:r>
    </w:p>
    <w:p w:rsidR="00AE2073" w:rsidRDefault="00AE2073" w:rsidP="00AE2073">
      <w:pPr>
        <w:spacing w:after="0" w:line="240" w:lineRule="auto"/>
        <w:jc w:val="both"/>
      </w:pPr>
    </w:p>
    <w:p w:rsidR="00AE2073" w:rsidRPr="002A3F14" w:rsidRDefault="005E590D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Lodicand</w:t>
      </w:r>
      <w:proofErr w:type="spellEnd"/>
      <w:r w:rsidR="00AE2073" w:rsidRPr="00FE36E7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  <w:r>
        <w:t xml:space="preserve">Questa procedura è stata presentata ai sensi dell’art. 10b della Direttiva 2001/83/EU </w:t>
      </w:r>
      <w:proofErr w:type="spellStart"/>
      <w:r>
        <w:t>s.m.i.</w:t>
      </w:r>
      <w:proofErr w:type="spellEnd"/>
    </w:p>
    <w:p w:rsidR="00AE2073" w:rsidRDefault="005E590D" w:rsidP="00AE207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Lodicand</w:t>
      </w:r>
      <w:proofErr w:type="spellEnd"/>
      <w:r w:rsidR="00AE2073"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AE2073" w:rsidRPr="009F1B70">
        <w:rPr>
          <w:rFonts w:eastAsia="Calibri" w:cs="Calibri"/>
          <w:color w:val="000000"/>
          <w:lang w:eastAsia="it-IT"/>
        </w:rPr>
        <w:t>è un medicinale contenente</w:t>
      </w:r>
      <w:r w:rsidR="00AE2073">
        <w:rPr>
          <w:rFonts w:eastAsia="Calibri" w:cs="Calibri"/>
          <w:color w:val="000000"/>
          <w:lang w:eastAsia="it-IT"/>
        </w:rPr>
        <w:t xml:space="preserve"> in associazione</w:t>
      </w:r>
      <w:r w:rsidR="00AE2073" w:rsidRPr="009F1B70">
        <w:rPr>
          <w:rFonts w:eastAsia="Calibri" w:cs="Calibri"/>
          <w:color w:val="000000"/>
          <w:lang w:eastAsia="it-IT"/>
        </w:rPr>
        <w:t xml:space="preserve"> </w:t>
      </w:r>
      <w:r w:rsidR="00AE2073">
        <w:rPr>
          <w:rFonts w:eastAsia="Calibri" w:cs="Calibri"/>
          <w:color w:val="000000"/>
          <w:lang w:eastAsia="it-IT"/>
        </w:rPr>
        <w:t xml:space="preserve">due </w:t>
      </w:r>
      <w:r w:rsidR="00AE2073" w:rsidRPr="009F1B70">
        <w:rPr>
          <w:rFonts w:eastAsia="Calibri" w:cs="Calibri"/>
          <w:color w:val="000000"/>
          <w:lang w:eastAsia="it-IT"/>
        </w:rPr>
        <w:t xml:space="preserve">principi attivi </w:t>
      </w:r>
      <w:r w:rsidR="00AE2073">
        <w:rPr>
          <w:rFonts w:eastAsia="Calibri" w:cs="Calibri"/>
          <w:color w:val="000000"/>
          <w:lang w:eastAsia="it-IT"/>
        </w:rPr>
        <w:t>noti (</w:t>
      </w:r>
      <w:proofErr w:type="spellStart"/>
      <w:r w:rsidR="007C2797">
        <w:rPr>
          <w:rFonts w:eastAsia="Calibri" w:cs="Calibri"/>
          <w:color w:val="000000"/>
          <w:lang w:eastAsia="it-IT"/>
        </w:rPr>
        <w:t>candesartan</w:t>
      </w:r>
      <w:proofErr w:type="spellEnd"/>
      <w:r w:rsidR="00AE2073">
        <w:rPr>
          <w:rFonts w:eastAsia="Calibri" w:cs="Calibri"/>
          <w:color w:val="000000"/>
          <w:lang w:eastAsia="it-IT"/>
        </w:rPr>
        <w:t xml:space="preserve"> </w:t>
      </w:r>
      <w:r w:rsidR="00AE2073" w:rsidRPr="009F1B70">
        <w:rPr>
          <w:rFonts w:eastAsia="Calibri" w:cs="Calibri"/>
          <w:color w:val="000000"/>
          <w:lang w:eastAsia="it-IT"/>
        </w:rPr>
        <w:t xml:space="preserve">e </w:t>
      </w:r>
      <w:proofErr w:type="spellStart"/>
      <w:r w:rsidR="00AE2073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AE2073">
        <w:rPr>
          <w:rFonts w:eastAsia="Calibri" w:cs="Calibri"/>
          <w:color w:val="000000"/>
          <w:lang w:eastAsia="it-IT"/>
        </w:rPr>
        <w:t xml:space="preserve">) e presenti separatamente in altri medicinali già autorizzati in Italia, </w:t>
      </w:r>
      <w:proofErr w:type="spellStart"/>
      <w:r w:rsidR="00AE2073">
        <w:rPr>
          <w:rFonts w:ascii="Calibri" w:hAnsi="Calibri" w:cs="Arial"/>
        </w:rPr>
        <w:t>Norvasc</w:t>
      </w:r>
      <w:proofErr w:type="spellEnd"/>
      <w:r w:rsidR="00AE2073">
        <w:rPr>
          <w:rFonts w:ascii="Calibri" w:hAnsi="Calibri" w:cs="Arial"/>
        </w:rPr>
        <w:t xml:space="preserve"> (</w:t>
      </w:r>
      <w:proofErr w:type="spellStart"/>
      <w:r w:rsidR="00AE2073">
        <w:rPr>
          <w:rFonts w:ascii="Calibri" w:hAnsi="Calibri" w:cs="Arial"/>
        </w:rPr>
        <w:t>amlodipina</w:t>
      </w:r>
      <w:proofErr w:type="spellEnd"/>
      <w:r w:rsidR="00AE2073">
        <w:rPr>
          <w:rFonts w:ascii="Calibri" w:hAnsi="Calibri" w:cs="Arial"/>
        </w:rPr>
        <w:t xml:space="preserve">) e </w:t>
      </w:r>
      <w:proofErr w:type="spellStart"/>
      <w:r w:rsidR="00B776F2">
        <w:rPr>
          <w:rFonts w:ascii="Calibri" w:hAnsi="Calibri" w:cs="Arial"/>
        </w:rPr>
        <w:t>Ra</w:t>
      </w:r>
      <w:r w:rsidR="007D2FC3">
        <w:rPr>
          <w:rFonts w:ascii="Calibri" w:hAnsi="Calibri" w:cs="Arial"/>
        </w:rPr>
        <w:t>tacand</w:t>
      </w:r>
      <w:proofErr w:type="spellEnd"/>
      <w:r w:rsidR="00AE2073">
        <w:rPr>
          <w:rFonts w:ascii="Calibri" w:hAnsi="Calibri" w:cs="Arial"/>
        </w:rPr>
        <w:t xml:space="preserve"> (</w:t>
      </w:r>
      <w:proofErr w:type="spellStart"/>
      <w:r w:rsidR="007C2797">
        <w:rPr>
          <w:rFonts w:ascii="Calibri" w:hAnsi="Calibri" w:cs="Arial"/>
        </w:rPr>
        <w:t>candesartan</w:t>
      </w:r>
      <w:proofErr w:type="spellEnd"/>
      <w:r w:rsidR="00AE2073">
        <w:rPr>
          <w:rFonts w:ascii="Calibri" w:hAnsi="Calibri" w:cs="Arial"/>
        </w:rPr>
        <w:t>).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5E590D" w:rsidP="00AE207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>
        <w:rPr>
          <w:rFonts w:eastAsia="Calibri" w:cs="Calibri"/>
          <w:color w:val="000000"/>
          <w:lang w:eastAsia="it-IT"/>
        </w:rPr>
        <w:t>Lodicand</w:t>
      </w:r>
      <w:proofErr w:type="spellEnd"/>
      <w:r w:rsidR="00AE2073" w:rsidRPr="0066243B">
        <w:rPr>
          <w:rFonts w:eastAsia="Calibri" w:cs="Calibri"/>
          <w:bCs/>
          <w:color w:val="000000"/>
          <w:lang w:eastAsia="it-IT"/>
        </w:rPr>
        <w:t xml:space="preserve">, </w:t>
      </w:r>
      <w:r w:rsidR="00AE2073" w:rsidRPr="0066243B">
        <w:rPr>
          <w:color w:val="000000"/>
        </w:rPr>
        <w:t>il cui c</w:t>
      </w:r>
      <w:r w:rsidR="00AE2073" w:rsidRPr="0066243B">
        <w:rPr>
          <w:iCs/>
        </w:rPr>
        <w:t xml:space="preserve">odice ATC è </w:t>
      </w:r>
      <w:r w:rsidR="007D2FC3" w:rsidRPr="007D2FC3">
        <w:rPr>
          <w:rFonts w:cs="Times New Roman"/>
        </w:rPr>
        <w:t>C09DB07</w:t>
      </w:r>
      <w:r w:rsidR="00AE2073" w:rsidRPr="0066243B">
        <w:rPr>
          <w:rFonts w:eastAsia="DejaVuSans" w:cs="DejaVuSans"/>
        </w:rPr>
        <w:t>,</w:t>
      </w:r>
      <w:r w:rsidR="00AE2073" w:rsidRPr="0066243B">
        <w:rPr>
          <w:rFonts w:eastAsia="Calibri" w:cs="Calibri"/>
          <w:bCs/>
          <w:color w:val="000000"/>
          <w:lang w:eastAsia="it-IT"/>
        </w:rPr>
        <w:t xml:space="preserve"> </w:t>
      </w:r>
      <w:r w:rsidR="00AE2073" w:rsidRPr="0066243B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4A790D" w:rsidRPr="007E00D8">
        <w:rPr>
          <w:rFonts w:eastAsia="Calibri" w:cs="Calibri"/>
          <w:bCs/>
          <w:color w:val="000000"/>
          <w:lang w:eastAsia="it-IT"/>
        </w:rPr>
        <w:t>candesartan</w:t>
      </w:r>
      <w:proofErr w:type="spellEnd"/>
      <w:r w:rsidR="004A790D" w:rsidRPr="007E00D8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A790D">
        <w:rPr>
          <w:rFonts w:eastAsia="Calibri" w:cs="Calibri"/>
          <w:bCs/>
          <w:color w:val="000000"/>
          <w:lang w:eastAsia="it-IT"/>
        </w:rPr>
        <w:t>cilexetil</w:t>
      </w:r>
      <w:proofErr w:type="spellEnd"/>
      <w:r w:rsidR="00AE2073" w:rsidRPr="0066243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AE2073" w:rsidRPr="0066243B">
        <w:rPr>
          <w:rFonts w:eastAsia="Calibri" w:cs="Calibri"/>
          <w:color w:val="000000"/>
          <w:lang w:eastAsia="it-IT"/>
        </w:rPr>
        <w:t>amlodipina</w:t>
      </w:r>
      <w:proofErr w:type="spellEnd"/>
      <w:r w:rsidR="00AE2073" w:rsidRPr="0066243B">
        <w:rPr>
          <w:rFonts w:eastAsia="Calibri" w:cs="Calibri"/>
          <w:color w:val="000000"/>
          <w:lang w:eastAsia="it-IT"/>
        </w:rPr>
        <w:t xml:space="preserve"> in associazione, due principi attivi che fanno </w:t>
      </w:r>
      <w:r w:rsidR="00AE2073" w:rsidRPr="0066243B">
        <w:t xml:space="preserve">parte della categoria farmaco-terapeutica </w:t>
      </w:r>
      <w:r w:rsidR="00AE2073" w:rsidRPr="0066243B">
        <w:rPr>
          <w:iCs/>
        </w:rPr>
        <w:t xml:space="preserve">degli </w:t>
      </w:r>
      <w:r w:rsidR="00AE2073" w:rsidRPr="0066243B">
        <w:rPr>
          <w:color w:val="000000"/>
        </w:rPr>
        <w:t>antipertensivi</w:t>
      </w:r>
      <w:r w:rsidR="00AE2073" w:rsidRPr="0066243B">
        <w:rPr>
          <w:iCs/>
        </w:rPr>
        <w:t>.</w:t>
      </w:r>
    </w:p>
    <w:p w:rsidR="00AE2073" w:rsidRPr="0066243B" w:rsidRDefault="00AE2073" w:rsidP="00AE207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AE2073" w:rsidRPr="0066243B" w:rsidRDefault="00AE2073" w:rsidP="00AE2073">
      <w:pPr>
        <w:spacing w:after="0" w:line="240" w:lineRule="auto"/>
        <w:ind w:right="13"/>
        <w:jc w:val="both"/>
        <w:rPr>
          <w:rFonts w:eastAsia="Times New Roman" w:cs="Times New Roman"/>
          <w:szCs w:val="20"/>
        </w:rPr>
      </w:pP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è un inibitore dell'afflusso degli ioni calcio appartenente al gruppo delle </w:t>
      </w:r>
      <w:proofErr w:type="spellStart"/>
      <w:r w:rsidRPr="0066243B">
        <w:rPr>
          <w:rFonts w:eastAsia="Times New Roman" w:cs="Times New Roman"/>
          <w:szCs w:val="20"/>
        </w:rPr>
        <w:t>diidropiridine</w:t>
      </w:r>
      <w:proofErr w:type="spellEnd"/>
      <w:r w:rsidRPr="0066243B">
        <w:rPr>
          <w:rFonts w:eastAsia="Times New Roman" w:cs="Times New Roman"/>
          <w:szCs w:val="20"/>
        </w:rPr>
        <w:t xml:space="preserve"> (bloccanti attivi sui canali lenti o antagonisti degli ioni di calcio) ed inibisce il flusso degli ioni calcio attraverso la membrana dei </w:t>
      </w:r>
      <w:proofErr w:type="spellStart"/>
      <w:r w:rsidRPr="0066243B">
        <w:rPr>
          <w:rFonts w:eastAsia="Times New Roman" w:cs="Times New Roman"/>
          <w:szCs w:val="20"/>
        </w:rPr>
        <w:t>miocardiociti</w:t>
      </w:r>
      <w:proofErr w:type="spellEnd"/>
      <w:r w:rsidRPr="0066243B">
        <w:rPr>
          <w:rFonts w:eastAsia="Times New Roman" w:cs="Times New Roman"/>
          <w:szCs w:val="20"/>
        </w:rPr>
        <w:t xml:space="preserve"> e delle cellule muscolari lisce vascolari.</w:t>
      </w:r>
    </w:p>
    <w:p w:rsidR="00AE2073" w:rsidRPr="0066243B" w:rsidRDefault="00AE2073" w:rsidP="00AE2073">
      <w:pPr>
        <w:spacing w:after="0" w:line="240" w:lineRule="auto"/>
        <w:ind w:right="13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L'azione antipertensiva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è dovuta al diretto rilassamento della muscolatura liscia vascolare. L'esatto meccanismo di azione che determina l'effetto antianginoso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non è ancora del tutto noto, ma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riduce il carico totale ischemico in base alle seguenti due azioni:</w:t>
      </w:r>
    </w:p>
    <w:p w:rsidR="00AE2073" w:rsidRPr="0066243B" w:rsidRDefault="00AE2073" w:rsidP="00AE2073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right="13" w:hanging="284"/>
        <w:jc w:val="both"/>
        <w:rPr>
          <w:rFonts w:eastAsia="Times New Roman" w:cs="Times New Roman"/>
          <w:szCs w:val="20"/>
        </w:rPr>
      </w:pP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dilata le arteriole periferiche riducendo così le resistenze periferiche totali (</w:t>
      </w:r>
      <w:proofErr w:type="spellStart"/>
      <w:r w:rsidRPr="0066243B">
        <w:rPr>
          <w:rFonts w:eastAsia="Times New Roman" w:cs="Times New Roman"/>
          <w:szCs w:val="20"/>
        </w:rPr>
        <w:t>postcarico</w:t>
      </w:r>
      <w:proofErr w:type="spellEnd"/>
      <w:r w:rsidRPr="0066243B">
        <w:rPr>
          <w:rFonts w:eastAsia="Times New Roman" w:cs="Times New Roman"/>
          <w:szCs w:val="20"/>
        </w:rPr>
        <w:t>) nei confronti delle quali il cuore lavora. Poiché la frequenza cardiaca rimane stabile, questa riduzione di lavoro cardiaco si traduce in una diminuzione della richiesta di ossigeno e del consumo di energia da parte del miocardio.</w:t>
      </w:r>
    </w:p>
    <w:p w:rsidR="00AE2073" w:rsidRDefault="00AE2073" w:rsidP="00AE2073">
      <w:pPr>
        <w:numPr>
          <w:ilvl w:val="0"/>
          <w:numId w:val="3"/>
        </w:numPr>
        <w:spacing w:after="0" w:line="240" w:lineRule="auto"/>
        <w:ind w:left="426" w:right="13" w:hanging="284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Il meccanismo di azione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probabilmente determina anche la dilatazione delle principali arterie coronarie e delle arteriole coronariche, sia nelle regioni normalmente irrorate che in quelle ischemiche. Questa dilatazione aumenta l'apporto di ossigeno al miocardio in pazienti con spasmo coronarico (angina di </w:t>
      </w:r>
      <w:proofErr w:type="spellStart"/>
      <w:r w:rsidRPr="0066243B">
        <w:rPr>
          <w:rFonts w:eastAsia="Times New Roman" w:cs="Times New Roman"/>
          <w:szCs w:val="20"/>
        </w:rPr>
        <w:t>Prinzmetal</w:t>
      </w:r>
      <w:proofErr w:type="spellEnd"/>
      <w:r w:rsidRPr="0066243B">
        <w:rPr>
          <w:rFonts w:eastAsia="Times New Roman" w:cs="Times New Roman"/>
          <w:szCs w:val="20"/>
        </w:rPr>
        <w:t xml:space="preserve"> o variante).</w:t>
      </w:r>
    </w:p>
    <w:p w:rsidR="004A790D" w:rsidRPr="007461B9" w:rsidRDefault="004A790D" w:rsidP="004A790D">
      <w:pPr>
        <w:spacing w:after="0" w:line="240" w:lineRule="auto"/>
        <w:jc w:val="both"/>
        <w:rPr>
          <w:rFonts w:cs="Calibri"/>
          <w:iCs/>
        </w:rPr>
      </w:pPr>
      <w:proofErr w:type="spellStart"/>
      <w:r w:rsidRPr="007461B9">
        <w:rPr>
          <w:rFonts w:cs="Calibri"/>
          <w:iCs/>
        </w:rPr>
        <w:t>Candesartan</w:t>
      </w:r>
      <w:proofErr w:type="spellEnd"/>
      <w:r w:rsidRPr="007461B9">
        <w:rPr>
          <w:rFonts w:cs="Calibri"/>
          <w:iCs/>
        </w:rPr>
        <w:t xml:space="preserve"> </w:t>
      </w:r>
      <w:proofErr w:type="spellStart"/>
      <w:r w:rsidRPr="007461B9">
        <w:rPr>
          <w:rFonts w:cs="Calibri"/>
          <w:iCs/>
        </w:rPr>
        <w:t>cilexetil</w:t>
      </w:r>
      <w:proofErr w:type="spellEnd"/>
      <w:r w:rsidRPr="007461B9">
        <w:rPr>
          <w:rFonts w:cs="Calibri"/>
          <w:iCs/>
        </w:rPr>
        <w:t xml:space="preserve"> è un pro-farmaco che è rapidamente convertito in sostanza attiva, </w:t>
      </w:r>
      <w:proofErr w:type="spellStart"/>
      <w:r w:rsidRPr="007461B9">
        <w:rPr>
          <w:rFonts w:cs="Calibri"/>
          <w:iCs/>
        </w:rPr>
        <w:t>candesartan</w:t>
      </w:r>
      <w:proofErr w:type="spellEnd"/>
      <w:r w:rsidRPr="007461B9">
        <w:rPr>
          <w:rFonts w:cs="Calibri"/>
          <w:iCs/>
        </w:rPr>
        <w:t>, per idrolisi dell’estere durante l’assorbimento dal tratto gastrointestinale.</w:t>
      </w:r>
    </w:p>
    <w:p w:rsidR="004A790D" w:rsidRPr="004A790D" w:rsidRDefault="004A790D" w:rsidP="004A790D">
      <w:pPr>
        <w:spacing w:after="0" w:line="240" w:lineRule="auto"/>
        <w:jc w:val="both"/>
        <w:rPr>
          <w:rFonts w:cs="Calibri"/>
          <w:iCs/>
        </w:rPr>
      </w:pPr>
      <w:proofErr w:type="spellStart"/>
      <w:r w:rsidRPr="007461B9">
        <w:rPr>
          <w:rFonts w:cs="Calibri"/>
          <w:iCs/>
        </w:rPr>
        <w:t>Can</w:t>
      </w:r>
      <w:r>
        <w:rPr>
          <w:rFonts w:cs="Calibri"/>
          <w:iCs/>
        </w:rPr>
        <w:t>desartan</w:t>
      </w:r>
      <w:proofErr w:type="spellEnd"/>
      <w:r>
        <w:rPr>
          <w:rFonts w:cs="Calibri"/>
          <w:iCs/>
        </w:rPr>
        <w:t xml:space="preserve"> è un antagonista dell’</w:t>
      </w:r>
      <w:proofErr w:type="spellStart"/>
      <w:r>
        <w:rPr>
          <w:rFonts w:cs="Calibri"/>
          <w:iCs/>
        </w:rPr>
        <w:t>a</w:t>
      </w:r>
      <w:r w:rsidRPr="007461B9">
        <w:rPr>
          <w:rFonts w:cs="Calibri"/>
          <w:iCs/>
        </w:rPr>
        <w:t>ngiotensina</w:t>
      </w:r>
      <w:proofErr w:type="spellEnd"/>
      <w:r w:rsidRPr="007461B9">
        <w:rPr>
          <w:rFonts w:cs="Calibri"/>
          <w:iCs/>
        </w:rPr>
        <w:t xml:space="preserve"> II. L’</w:t>
      </w:r>
      <w:proofErr w:type="spellStart"/>
      <w:r w:rsidRPr="007461B9">
        <w:rPr>
          <w:rFonts w:cs="Calibri"/>
          <w:iCs/>
        </w:rPr>
        <w:t>angiotensina</w:t>
      </w:r>
      <w:proofErr w:type="spellEnd"/>
      <w:r w:rsidRPr="007461B9">
        <w:rPr>
          <w:rFonts w:cs="Calibri"/>
          <w:iCs/>
        </w:rPr>
        <w:t xml:space="preserve"> II è l’ormone vasoattivo principale del sistema </w:t>
      </w:r>
      <w:proofErr w:type="spellStart"/>
      <w:r w:rsidRPr="007461B9">
        <w:rPr>
          <w:rFonts w:cs="Calibri"/>
          <w:iCs/>
        </w:rPr>
        <w:t>renina-angiotensina-aldosterone</w:t>
      </w:r>
      <w:proofErr w:type="spellEnd"/>
      <w:r w:rsidRPr="007461B9">
        <w:rPr>
          <w:rFonts w:cs="Calibri"/>
          <w:iCs/>
        </w:rPr>
        <w:t xml:space="preserve"> e gioca un ruolo nella fisiopatologia dell’ipertensione e di altre </w:t>
      </w:r>
      <w:r w:rsidRPr="004A790D">
        <w:rPr>
          <w:rFonts w:cs="Calibri"/>
          <w:iCs/>
        </w:rPr>
        <w:t>malattie cardiovascolari. Esso ha anche un ruolo nella patogenesi dell’ipertrofia e del danno d’organo. Gli effetti fisiologici maggiori dell’</w:t>
      </w:r>
      <w:proofErr w:type="spellStart"/>
      <w:r w:rsidRPr="004A790D">
        <w:rPr>
          <w:rFonts w:cs="Calibri"/>
          <w:iCs/>
        </w:rPr>
        <w:t>angiotensina</w:t>
      </w:r>
      <w:proofErr w:type="spellEnd"/>
      <w:r w:rsidRPr="004A790D">
        <w:rPr>
          <w:rFonts w:cs="Calibri"/>
          <w:iCs/>
        </w:rPr>
        <w:t xml:space="preserve"> II, come vasocostrizione, stimolazione di </w:t>
      </w:r>
      <w:proofErr w:type="spellStart"/>
      <w:r w:rsidRPr="004A790D">
        <w:rPr>
          <w:rFonts w:cs="Calibri"/>
          <w:iCs/>
        </w:rPr>
        <w:t>aldosterone</w:t>
      </w:r>
      <w:proofErr w:type="spellEnd"/>
      <w:r w:rsidRPr="004A790D">
        <w:rPr>
          <w:rFonts w:cs="Calibri"/>
          <w:iCs/>
        </w:rPr>
        <w:t xml:space="preserve">, regolazione dell’equilibrio </w:t>
      </w:r>
      <w:proofErr w:type="spellStart"/>
      <w:r w:rsidRPr="004A790D">
        <w:rPr>
          <w:rFonts w:cs="Calibri"/>
          <w:iCs/>
        </w:rPr>
        <w:t>idrosalino</w:t>
      </w:r>
      <w:proofErr w:type="spellEnd"/>
      <w:r w:rsidRPr="004A790D">
        <w:rPr>
          <w:rFonts w:cs="Calibri"/>
          <w:iCs/>
        </w:rPr>
        <w:t xml:space="preserve"> e stimolazione della crescita cellulare, sono mediati attraverso il recettore di tipo 1 (AT</w:t>
      </w:r>
      <w:r w:rsidRPr="004A790D">
        <w:rPr>
          <w:rFonts w:cs="Calibri"/>
          <w:iCs/>
          <w:vertAlign w:val="subscript"/>
        </w:rPr>
        <w:t>1</w:t>
      </w:r>
      <w:r w:rsidRPr="004A790D">
        <w:rPr>
          <w:rFonts w:cs="Calibri"/>
          <w:iCs/>
        </w:rPr>
        <w:t>).</w:t>
      </w:r>
    </w:p>
    <w:p w:rsidR="00AE2073" w:rsidRPr="004A790D" w:rsidRDefault="00AE2073" w:rsidP="00AE2073">
      <w:pPr>
        <w:spacing w:after="0" w:line="240" w:lineRule="auto"/>
        <w:jc w:val="both"/>
        <w:rPr>
          <w:rFonts w:eastAsia="Times New Roman" w:cs="Times New Roman"/>
          <w:szCs w:val="20"/>
        </w:rPr>
      </w:pPr>
    </w:p>
    <w:p w:rsidR="00AE2073" w:rsidRPr="004A790D" w:rsidRDefault="005E590D" w:rsidP="00AE2073">
      <w:pPr>
        <w:spacing w:after="0" w:line="240" w:lineRule="auto"/>
        <w:jc w:val="both"/>
        <w:rPr>
          <w:bCs/>
        </w:rPr>
      </w:pPr>
      <w:proofErr w:type="spellStart"/>
      <w:r>
        <w:rPr>
          <w:rFonts w:eastAsia="Calibri" w:cs="Calibri"/>
          <w:color w:val="000000"/>
          <w:lang w:eastAsia="it-IT"/>
        </w:rPr>
        <w:t>Lodicand</w:t>
      </w:r>
      <w:proofErr w:type="spellEnd"/>
      <w:r w:rsidR="00AE2073" w:rsidRPr="004A790D">
        <w:rPr>
          <w:rFonts w:eastAsia="Calibri" w:cs="Calibri"/>
          <w:color w:val="000000"/>
          <w:lang w:eastAsia="it-IT"/>
        </w:rPr>
        <w:t xml:space="preserve"> </w:t>
      </w:r>
      <w:r w:rsidR="00AE2073" w:rsidRPr="004A790D">
        <w:rPr>
          <w:rFonts w:cs="Times New Roman"/>
        </w:rPr>
        <w:t xml:space="preserve">è indicato come </w:t>
      </w:r>
      <w:r w:rsidR="004A790D" w:rsidRPr="004A790D">
        <w:rPr>
          <w:rFonts w:cs="Times New Roman"/>
        </w:rPr>
        <w:t xml:space="preserve">terapia di sostituzione per il trattamento dell’ipertensione essenziale in pazienti adulti la cui pressione arteriosa è già controllata adeguatamente con </w:t>
      </w:r>
      <w:proofErr w:type="spellStart"/>
      <w:r w:rsidR="004A790D" w:rsidRPr="004A790D">
        <w:rPr>
          <w:rFonts w:cs="Times New Roman"/>
        </w:rPr>
        <w:t>candesartan</w:t>
      </w:r>
      <w:proofErr w:type="spellEnd"/>
      <w:r w:rsidR="004A790D" w:rsidRPr="004A790D">
        <w:rPr>
          <w:rFonts w:cs="Times New Roman"/>
        </w:rPr>
        <w:t xml:space="preserve"> e </w:t>
      </w:r>
      <w:proofErr w:type="spellStart"/>
      <w:r w:rsidR="004A790D" w:rsidRPr="004A790D">
        <w:rPr>
          <w:rFonts w:cs="Times New Roman"/>
        </w:rPr>
        <w:t>amlodipina</w:t>
      </w:r>
      <w:proofErr w:type="spellEnd"/>
      <w:r w:rsidR="004A790D" w:rsidRPr="004A790D">
        <w:rPr>
          <w:rFonts w:cs="Times New Roman"/>
        </w:rPr>
        <w:t xml:space="preserve"> somministrati in concomitanza agli stessi livelli di dose</w:t>
      </w:r>
      <w:r w:rsidR="00AE2073" w:rsidRPr="004A790D">
        <w:rPr>
          <w:rFonts w:cs="Helvetica"/>
        </w:rPr>
        <w:t>.</w:t>
      </w:r>
    </w:p>
    <w:p w:rsidR="00AE2073" w:rsidRPr="004A790D" w:rsidRDefault="00AE2073" w:rsidP="00AE2073">
      <w:pPr>
        <w:spacing w:after="0" w:line="240" w:lineRule="auto"/>
        <w:jc w:val="both"/>
      </w:pPr>
    </w:p>
    <w:p w:rsidR="00AE2073" w:rsidRPr="004A790D" w:rsidRDefault="00AE2073" w:rsidP="00AE2073">
      <w:pPr>
        <w:spacing w:after="0" w:line="240" w:lineRule="auto"/>
        <w:jc w:val="both"/>
      </w:pPr>
      <w:r w:rsidRPr="004A790D">
        <w:t>Poiché</w:t>
      </w:r>
      <w:r w:rsidR="005E590D">
        <w:t xml:space="preserve">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 w:rsidRPr="004A790D">
        <w:t xml:space="preserve"> contiene due principi attivi noti già usati contemporaneamente nella terapia dell’ipertensione, non sono stati forniti nuovi dati non clinici e clinici: questo approccio è accettabile poiché i medicinali </w:t>
      </w:r>
      <w:proofErr w:type="spellStart"/>
      <w:r w:rsidRPr="004A790D">
        <w:t>Norvasc</w:t>
      </w:r>
      <w:proofErr w:type="spellEnd"/>
      <w:r w:rsidRPr="004A790D">
        <w:t xml:space="preserve"> (</w:t>
      </w:r>
      <w:proofErr w:type="spellStart"/>
      <w:r w:rsidRPr="004A790D">
        <w:t>amlodipina</w:t>
      </w:r>
      <w:proofErr w:type="spellEnd"/>
      <w:r w:rsidRPr="004A790D">
        <w:t xml:space="preserve">) e </w:t>
      </w:r>
      <w:proofErr w:type="spellStart"/>
      <w:r w:rsidR="00B776F2">
        <w:t>Ra</w:t>
      </w:r>
      <w:r w:rsidR="007D2FC3" w:rsidRPr="004A790D">
        <w:t>tacand</w:t>
      </w:r>
      <w:proofErr w:type="spellEnd"/>
      <w:r w:rsidRPr="004A790D">
        <w:t xml:space="preserve"> (</w:t>
      </w:r>
      <w:proofErr w:type="spellStart"/>
      <w:r w:rsidR="007C2797" w:rsidRPr="004A790D">
        <w:t>candesartan</w:t>
      </w:r>
      <w:proofErr w:type="spellEnd"/>
      <w:r w:rsidRPr="004A790D">
        <w:t>)  sono autorizzati da oltre 10 anni.</w:t>
      </w:r>
    </w:p>
    <w:p w:rsidR="00AE2073" w:rsidRPr="00231543" w:rsidRDefault="00AE2073" w:rsidP="00AE2073">
      <w:pPr>
        <w:spacing w:after="0" w:line="240" w:lineRule="auto"/>
        <w:jc w:val="both"/>
      </w:pPr>
      <w:r w:rsidRPr="00231543">
        <w:t xml:space="preserve">La richiesta di AIC è supportata da uno studio di bioequivalenza che ha confrontato i profili farmacocinetici del medicinale test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 w:rsidRPr="00231543">
        <w:t xml:space="preserve"> e quelli dei medicinali </w:t>
      </w:r>
      <w:proofErr w:type="spellStart"/>
      <w:r w:rsidRPr="00231543">
        <w:t>Norvasc</w:t>
      </w:r>
      <w:proofErr w:type="spellEnd"/>
      <w:r w:rsidRPr="00231543">
        <w:t xml:space="preserve"> e </w:t>
      </w:r>
      <w:proofErr w:type="spellStart"/>
      <w:r w:rsidR="00B776F2">
        <w:t>Ra</w:t>
      </w:r>
      <w:r w:rsidR="004A790D">
        <w:t>tacand</w:t>
      </w:r>
      <w:proofErr w:type="spellEnd"/>
      <w:r w:rsidR="00E82AD1">
        <w:t xml:space="preserve"> e da uno studio di interazione farmacocinetica tra i due principi attivi.</w:t>
      </w:r>
    </w:p>
    <w:p w:rsidR="00AE2073" w:rsidRPr="00231543" w:rsidRDefault="00AE2073" w:rsidP="00AE2073">
      <w:pPr>
        <w:spacing w:after="0" w:line="240" w:lineRule="auto"/>
        <w:jc w:val="both"/>
      </w:pPr>
      <w:r w:rsidRPr="00231543">
        <w:t xml:space="preserve">Lo studio di bioequivalenza </w:t>
      </w:r>
      <w:r w:rsidR="00E82AD1">
        <w:t>e di farmacocinetica sono</w:t>
      </w:r>
      <w:r w:rsidRPr="00231543">
        <w:t xml:space="preserve"> stat</w:t>
      </w:r>
      <w:r w:rsidR="00E82AD1">
        <w:t>i</w:t>
      </w:r>
      <w:r w:rsidRPr="00231543">
        <w:t xml:space="preserve"> condott</w:t>
      </w:r>
      <w:r w:rsidR="00E82AD1">
        <w:t xml:space="preserve">i </w:t>
      </w:r>
      <w:r w:rsidRPr="00231543">
        <w:t>in conformità alle linee guida di Buona Pratica Clinica (</w:t>
      </w:r>
      <w:proofErr w:type="spellStart"/>
      <w:r w:rsidRPr="00231543">
        <w:rPr>
          <w:i/>
        </w:rPr>
        <w:t>Good</w:t>
      </w:r>
      <w:proofErr w:type="spellEnd"/>
      <w:r w:rsidRPr="00231543">
        <w:rPr>
          <w:i/>
        </w:rPr>
        <w:t xml:space="preserve"> </w:t>
      </w:r>
      <w:proofErr w:type="spellStart"/>
      <w:r w:rsidRPr="00231543">
        <w:rPr>
          <w:i/>
        </w:rPr>
        <w:t>Clinical</w:t>
      </w:r>
      <w:proofErr w:type="spellEnd"/>
      <w:r w:rsidRPr="00231543">
        <w:rPr>
          <w:i/>
        </w:rPr>
        <w:t xml:space="preserve"> </w:t>
      </w:r>
      <w:proofErr w:type="spellStart"/>
      <w:r w:rsidRPr="00231543">
        <w:rPr>
          <w:i/>
        </w:rPr>
        <w:t>Practice</w:t>
      </w:r>
      <w:proofErr w:type="spellEnd"/>
      <w:r w:rsidRPr="00231543">
        <w:t xml:space="preserve"> - GCP).</w:t>
      </w:r>
    </w:p>
    <w:p w:rsidR="00AE2073" w:rsidRPr="0023154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  <w:r>
        <w:t>Le officine coinvolte nella produzione sono conformi alle linee guida di Buona Pratica di Fabbricazione (</w:t>
      </w:r>
      <w:proofErr w:type="spellStart"/>
      <w:r w:rsidRPr="009320D1">
        <w:rPr>
          <w:i/>
        </w:rPr>
        <w:t>Good</w:t>
      </w:r>
      <w:proofErr w:type="spellEnd"/>
      <w:r w:rsidRPr="009320D1">
        <w:rPr>
          <w:i/>
        </w:rPr>
        <w:t xml:space="preserve"> </w:t>
      </w:r>
      <w:r>
        <w:rPr>
          <w:i/>
        </w:rPr>
        <w:t>Manufacturing</w:t>
      </w:r>
      <w:r w:rsidRPr="009320D1">
        <w:rPr>
          <w:i/>
        </w:rPr>
        <w:t xml:space="preserve"> </w:t>
      </w:r>
      <w:proofErr w:type="spellStart"/>
      <w:r w:rsidRPr="009320D1">
        <w:rPr>
          <w:i/>
        </w:rPr>
        <w:t>Practice</w:t>
      </w:r>
      <w:proofErr w:type="spellEnd"/>
      <w:r>
        <w:t xml:space="preserve"> - GMP). Le autorità </w:t>
      </w:r>
      <w:proofErr w:type="spellStart"/>
      <w:r>
        <w:t>regolatorie</w:t>
      </w:r>
      <w:proofErr w:type="spellEnd"/>
      <w:r>
        <w:t xml:space="preserve"> europee competenti hanno rilasciato i certificati GMP per i siti di produzione.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  <w:r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785643">
        <w:rPr>
          <w:i/>
        </w:rPr>
        <w:t>Risk</w:t>
      </w:r>
      <w:proofErr w:type="spellEnd"/>
      <w:r w:rsidRPr="00785643">
        <w:rPr>
          <w:i/>
        </w:rPr>
        <w:t xml:space="preserve"> Management </w:t>
      </w:r>
      <w:proofErr w:type="spellStart"/>
      <w:r w:rsidRPr="00785643">
        <w:rPr>
          <w:i/>
        </w:rPr>
        <w:t>Plan</w:t>
      </w:r>
      <w:proofErr w:type="spellEnd"/>
      <w:r>
        <w:t xml:space="preserve"> – RMP) accettabile.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  <w:r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>
        <w:t xml:space="preserve"> 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:rsidR="00AE2073" w:rsidRDefault="00AE2073" w:rsidP="00AE2073">
      <w:pPr>
        <w:spacing w:after="0" w:line="240" w:lineRule="auto"/>
        <w:jc w:val="both"/>
      </w:pPr>
    </w:p>
    <w:p w:rsidR="00AE2073" w:rsidRPr="00231543" w:rsidRDefault="00AE2073" w:rsidP="00AE2073">
      <w:pPr>
        <w:spacing w:after="0" w:line="240" w:lineRule="auto"/>
        <w:jc w:val="both"/>
      </w:pPr>
    </w:p>
    <w:p w:rsidR="00AE2073" w:rsidRPr="00231543" w:rsidRDefault="00AE2073" w:rsidP="00AE207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31543">
        <w:rPr>
          <w:b/>
        </w:rPr>
        <w:t xml:space="preserve">ASPETTI </w:t>
      </w:r>
      <w:proofErr w:type="spellStart"/>
      <w:r w:rsidRPr="00231543">
        <w:rPr>
          <w:b/>
        </w:rPr>
        <w:t>DI</w:t>
      </w:r>
      <w:proofErr w:type="spellEnd"/>
      <w:r w:rsidRPr="00231543">
        <w:rPr>
          <w:b/>
        </w:rPr>
        <w:t xml:space="preserve"> QUALITA’</w:t>
      </w:r>
    </w:p>
    <w:p w:rsidR="00AE2073" w:rsidRPr="00231543" w:rsidRDefault="00AE2073" w:rsidP="00AE2073">
      <w:pPr>
        <w:spacing w:after="0" w:line="240" w:lineRule="auto"/>
        <w:jc w:val="both"/>
      </w:pPr>
      <w:r w:rsidRPr="00231543">
        <w:rPr>
          <w:b/>
        </w:rPr>
        <w:t xml:space="preserve">II.1a PRINCIPIO ATTIVO </w:t>
      </w:r>
      <w:r w:rsidR="007C2797">
        <w:rPr>
          <w:b/>
        </w:rPr>
        <w:t>CANDESARTAN</w:t>
      </w:r>
      <w:r w:rsidRPr="00231543">
        <w:rPr>
          <w:b/>
        </w:rPr>
        <w:t xml:space="preserve"> </w:t>
      </w:r>
      <w:r w:rsidR="007C2797">
        <w:rPr>
          <w:b/>
        </w:rPr>
        <w:t>CILEXETIL</w:t>
      </w:r>
    </w:p>
    <w:p w:rsidR="004A790D" w:rsidRPr="00FD0C63" w:rsidRDefault="004A790D" w:rsidP="004A790D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FD0C63">
        <w:rPr>
          <w:u w:val="single"/>
        </w:rPr>
        <w:t>Nome chimico</w:t>
      </w:r>
      <w:r w:rsidRPr="00FD0C63">
        <w:t xml:space="preserve"> </w:t>
      </w:r>
      <w:r w:rsidRPr="00FD0C63">
        <w:rPr>
          <w:rStyle w:val="s1"/>
          <w:rFonts w:asciiTheme="minorHAnsi" w:hAnsiTheme="minorHAnsi"/>
        </w:rPr>
        <w:t>(1</w:t>
      </w:r>
      <w:r w:rsidRPr="00FD0C63">
        <w:rPr>
          <w:rStyle w:val="s1"/>
          <w:rFonts w:asciiTheme="minorHAnsi" w:hAnsiTheme="minorHAnsi"/>
          <w:i/>
          <w:iCs/>
        </w:rPr>
        <w:t>RS</w:t>
      </w:r>
      <w:r w:rsidRPr="00FD0C63">
        <w:rPr>
          <w:rStyle w:val="s1"/>
          <w:rFonts w:asciiTheme="minorHAnsi" w:hAnsiTheme="minorHAnsi"/>
        </w:rPr>
        <w:t>)-1-[[(</w:t>
      </w:r>
      <w:proofErr w:type="spellStart"/>
      <w:r w:rsidRPr="00FD0C63">
        <w:rPr>
          <w:rStyle w:val="s1"/>
          <w:rFonts w:asciiTheme="minorHAnsi" w:hAnsiTheme="minorHAnsi"/>
        </w:rPr>
        <w:t>Cyclohexyloxy</w:t>
      </w:r>
      <w:proofErr w:type="spellEnd"/>
      <w:r w:rsidRPr="00FD0C63">
        <w:rPr>
          <w:rStyle w:val="s1"/>
          <w:rFonts w:asciiTheme="minorHAnsi" w:hAnsiTheme="minorHAnsi"/>
        </w:rPr>
        <w:t>)</w:t>
      </w:r>
      <w:proofErr w:type="spellStart"/>
      <w:r w:rsidRPr="00FD0C63">
        <w:rPr>
          <w:rStyle w:val="s1"/>
          <w:rFonts w:asciiTheme="minorHAnsi" w:hAnsiTheme="minorHAnsi"/>
        </w:rPr>
        <w:t>carbonyl</w:t>
      </w:r>
      <w:proofErr w:type="spellEnd"/>
      <w:r w:rsidRPr="00FD0C63">
        <w:rPr>
          <w:rStyle w:val="s1"/>
          <w:rFonts w:asciiTheme="minorHAnsi" w:hAnsiTheme="minorHAnsi"/>
        </w:rPr>
        <w:t>]</w:t>
      </w:r>
      <w:proofErr w:type="spellStart"/>
      <w:r w:rsidRPr="00FD0C63">
        <w:rPr>
          <w:rStyle w:val="s1"/>
          <w:rFonts w:asciiTheme="minorHAnsi" w:hAnsiTheme="minorHAnsi"/>
        </w:rPr>
        <w:t>oxy</w:t>
      </w:r>
      <w:proofErr w:type="spellEnd"/>
      <w:r w:rsidRPr="00FD0C63">
        <w:rPr>
          <w:rStyle w:val="s1"/>
          <w:rFonts w:asciiTheme="minorHAnsi" w:hAnsiTheme="minorHAnsi"/>
        </w:rPr>
        <w:t>]</w:t>
      </w:r>
      <w:proofErr w:type="spellStart"/>
      <w:r w:rsidRPr="00FD0C63">
        <w:rPr>
          <w:rStyle w:val="s1"/>
          <w:rFonts w:asciiTheme="minorHAnsi" w:hAnsiTheme="minorHAnsi"/>
        </w:rPr>
        <w:t>ethyl</w:t>
      </w:r>
      <w:proofErr w:type="spellEnd"/>
      <w:r w:rsidRPr="00FD0C63">
        <w:rPr>
          <w:rStyle w:val="s1"/>
          <w:rFonts w:asciiTheme="minorHAnsi" w:hAnsiTheme="minorHAnsi"/>
        </w:rPr>
        <w:t xml:space="preserve"> 2-ethoxy-1-[[2′-(1</w:t>
      </w:r>
      <w:r w:rsidRPr="00FD0C63">
        <w:rPr>
          <w:rStyle w:val="s1"/>
          <w:rFonts w:asciiTheme="minorHAnsi" w:hAnsiTheme="minorHAnsi"/>
          <w:i/>
          <w:iCs/>
        </w:rPr>
        <w:t>H</w:t>
      </w:r>
      <w:r w:rsidRPr="00FD0C63">
        <w:rPr>
          <w:rStyle w:val="s1"/>
          <w:rFonts w:asciiTheme="minorHAnsi" w:hAnsiTheme="minorHAnsi"/>
        </w:rPr>
        <w:t>-tetrazol-5-yl)biphenyl-4-yl]methyl]-1</w:t>
      </w:r>
      <w:r w:rsidRPr="00FD0C63">
        <w:rPr>
          <w:rStyle w:val="s1"/>
          <w:rFonts w:asciiTheme="minorHAnsi" w:hAnsiTheme="minorHAnsi"/>
          <w:i/>
          <w:iCs/>
        </w:rPr>
        <w:t>H</w:t>
      </w:r>
      <w:r w:rsidRPr="00FD0C63">
        <w:rPr>
          <w:rStyle w:val="s1"/>
          <w:rFonts w:asciiTheme="minorHAnsi" w:hAnsiTheme="minorHAnsi"/>
        </w:rPr>
        <w:t>-benzimidazole-7-carboxylate.</w:t>
      </w:r>
    </w:p>
    <w:p w:rsidR="004A790D" w:rsidRPr="00FD0C63" w:rsidRDefault="004A790D" w:rsidP="004A790D">
      <w:pPr>
        <w:spacing w:after="0" w:line="240" w:lineRule="auto"/>
        <w:jc w:val="both"/>
      </w:pPr>
      <w:r w:rsidRPr="00FD0C63">
        <w:rPr>
          <w:u w:val="single"/>
        </w:rPr>
        <w:t>Struttura</w:t>
      </w:r>
      <w:r w:rsidRPr="00FD0C63">
        <w:t>:</w:t>
      </w:r>
    </w:p>
    <w:p w:rsidR="004A790D" w:rsidRDefault="004A790D" w:rsidP="004A790D">
      <w:pPr>
        <w:spacing w:after="0" w:line="240" w:lineRule="auto"/>
        <w:jc w:val="center"/>
        <w:rPr>
          <w:noProof/>
          <w:highlight w:val="yellow"/>
          <w:lang w:eastAsia="it-IT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1731168" cy="1147827"/>
            <wp:effectExtent l="19050" t="0" r="2382" b="0"/>
            <wp:docPr id="3" name="Immagine 1" descr="P:\_dp\804\XML-IN\Images\CF2573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2573-E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887" cy="1151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90D" w:rsidRPr="00A41EA1" w:rsidRDefault="004A790D" w:rsidP="004A790D">
      <w:pPr>
        <w:spacing w:after="0" w:line="240" w:lineRule="auto"/>
        <w:jc w:val="both"/>
      </w:pPr>
      <w:r w:rsidRPr="00A41EA1">
        <w:rPr>
          <w:u w:val="single"/>
        </w:rPr>
        <w:t>Formula molecolare</w:t>
      </w:r>
      <w:r w:rsidRPr="00A41EA1">
        <w:t>:</w:t>
      </w:r>
      <w:r w:rsidRPr="00A41EA1">
        <w:rPr>
          <w:rStyle w:val="s1"/>
          <w:rFonts w:asciiTheme="minorHAnsi" w:hAnsiTheme="minorHAnsi"/>
        </w:rPr>
        <w:t xml:space="preserve"> </w:t>
      </w:r>
      <w:r w:rsidRPr="00A41EA1">
        <w:rPr>
          <w:rFonts w:cs="Arial"/>
          <w:color w:val="252525"/>
          <w:shd w:val="clear" w:color="auto" w:fill="F9F9F9"/>
        </w:rPr>
        <w:t>C</w:t>
      </w:r>
      <w:r w:rsidRPr="00A41EA1">
        <w:rPr>
          <w:rFonts w:cs="Arial"/>
          <w:color w:val="252525"/>
          <w:shd w:val="clear" w:color="auto" w:fill="F9F9F9"/>
          <w:vertAlign w:val="subscript"/>
        </w:rPr>
        <w:t>24</w:t>
      </w:r>
      <w:r w:rsidRPr="00A41EA1">
        <w:rPr>
          <w:rFonts w:cs="Arial"/>
          <w:color w:val="252525"/>
          <w:shd w:val="clear" w:color="auto" w:fill="F9F9F9"/>
        </w:rPr>
        <w:t>H</w:t>
      </w:r>
      <w:r w:rsidRPr="00A41EA1">
        <w:rPr>
          <w:rFonts w:cs="Arial"/>
          <w:color w:val="252525"/>
          <w:shd w:val="clear" w:color="auto" w:fill="F9F9F9"/>
          <w:vertAlign w:val="subscript"/>
        </w:rPr>
        <w:t>20</w:t>
      </w:r>
      <w:r w:rsidRPr="00A41EA1">
        <w:rPr>
          <w:rFonts w:cs="Arial"/>
          <w:color w:val="252525"/>
          <w:shd w:val="clear" w:color="auto" w:fill="F9F9F9"/>
        </w:rPr>
        <w:t>N</w:t>
      </w:r>
      <w:r w:rsidRPr="00A41EA1">
        <w:rPr>
          <w:rFonts w:cs="Arial"/>
          <w:color w:val="252525"/>
          <w:shd w:val="clear" w:color="auto" w:fill="F9F9F9"/>
          <w:vertAlign w:val="subscript"/>
        </w:rPr>
        <w:t>6</w:t>
      </w:r>
      <w:r w:rsidRPr="00A41EA1">
        <w:rPr>
          <w:rFonts w:cs="Arial"/>
          <w:color w:val="252525"/>
          <w:shd w:val="clear" w:color="auto" w:fill="F9F9F9"/>
        </w:rPr>
        <w:t>O</w:t>
      </w:r>
      <w:r w:rsidRPr="00A41EA1">
        <w:rPr>
          <w:rFonts w:cs="Arial"/>
          <w:color w:val="252525"/>
          <w:shd w:val="clear" w:color="auto" w:fill="F9F9F9"/>
          <w:vertAlign w:val="subscript"/>
        </w:rPr>
        <w:t>3</w:t>
      </w:r>
    </w:p>
    <w:p w:rsidR="004A790D" w:rsidRPr="00FD0C63" w:rsidRDefault="004A790D" w:rsidP="004A790D">
      <w:pPr>
        <w:spacing w:after="0" w:line="240" w:lineRule="auto"/>
        <w:jc w:val="both"/>
      </w:pPr>
      <w:r w:rsidRPr="00FD0C63">
        <w:rPr>
          <w:u w:val="single"/>
        </w:rPr>
        <w:t>Peso molecolare</w:t>
      </w:r>
      <w:r w:rsidRPr="00FD0C63">
        <w:t>:</w:t>
      </w:r>
      <w:r w:rsidRPr="00FD0C63">
        <w:rPr>
          <w:rFonts w:cs="Arial"/>
          <w:color w:val="252525"/>
          <w:shd w:val="clear" w:color="auto" w:fill="F9F9F9"/>
        </w:rPr>
        <w:t xml:space="preserve"> </w:t>
      </w:r>
      <w:r w:rsidRPr="00FD0C63">
        <w:rPr>
          <w:rStyle w:val="s1"/>
          <w:rFonts w:asciiTheme="minorHAnsi" w:hAnsiTheme="minorHAnsi"/>
        </w:rPr>
        <w:t>611</w:t>
      </w:r>
      <w:r>
        <w:rPr>
          <w:rStyle w:val="s1"/>
          <w:rFonts w:asciiTheme="minorHAnsi" w:hAnsiTheme="minorHAnsi"/>
        </w:rPr>
        <w:t xml:space="preserve"> </w:t>
      </w:r>
      <w:r w:rsidRPr="00FD0C63">
        <w:rPr>
          <w:rStyle w:val="s1"/>
          <w:rFonts w:asciiTheme="minorHAnsi" w:hAnsiTheme="minorHAnsi"/>
        </w:rPr>
        <w:t>g/mol</w:t>
      </w:r>
    </w:p>
    <w:p w:rsidR="004A790D" w:rsidRPr="00FD0C63" w:rsidRDefault="004A790D" w:rsidP="004A790D">
      <w:pPr>
        <w:spacing w:after="0" w:line="240" w:lineRule="auto"/>
        <w:jc w:val="both"/>
      </w:pPr>
      <w:r w:rsidRPr="00FD0C63">
        <w:rPr>
          <w:u w:val="single"/>
        </w:rPr>
        <w:t>CAS</w:t>
      </w:r>
      <w:r w:rsidRPr="00FD0C63">
        <w:t xml:space="preserve">: </w:t>
      </w:r>
      <w:r w:rsidRPr="00FD0C63">
        <w:rPr>
          <w:rStyle w:val="s1"/>
          <w:rFonts w:asciiTheme="minorHAnsi" w:hAnsiTheme="minorHAnsi"/>
        </w:rPr>
        <w:t>[145040-37-5]</w:t>
      </w:r>
    </w:p>
    <w:p w:rsidR="004A790D" w:rsidRPr="00FD0C63" w:rsidRDefault="004A790D" w:rsidP="004A790D">
      <w:pPr>
        <w:spacing w:after="0" w:line="240" w:lineRule="auto"/>
        <w:jc w:val="both"/>
      </w:pPr>
      <w:r w:rsidRPr="00FD0C63">
        <w:rPr>
          <w:u w:val="single"/>
        </w:rPr>
        <w:t>Aspetto</w:t>
      </w:r>
      <w:r w:rsidRPr="00FD0C63">
        <w:t>: polvere bianca o quasi bianca</w:t>
      </w:r>
    </w:p>
    <w:p w:rsidR="004A790D" w:rsidRPr="00FD0C63" w:rsidRDefault="004A790D" w:rsidP="004A790D">
      <w:pPr>
        <w:spacing w:after="0" w:line="240" w:lineRule="auto"/>
        <w:jc w:val="both"/>
        <w:rPr>
          <w:highlight w:val="yellow"/>
        </w:rPr>
      </w:pPr>
      <w:r w:rsidRPr="00FD0C63">
        <w:rPr>
          <w:u w:val="single"/>
        </w:rPr>
        <w:t>Solubilità</w:t>
      </w:r>
      <w:r w:rsidRPr="00972CE3">
        <w:t xml:space="preserve">: </w:t>
      </w:r>
      <w:r w:rsidRPr="00FD0C63">
        <w:t>praticamente insolubile in acqua</w:t>
      </w:r>
      <w:r w:rsidRPr="00FD0C63">
        <w:rPr>
          <w:rStyle w:val="s1"/>
          <w:rFonts w:asciiTheme="minorHAnsi" w:hAnsiTheme="minorHAnsi"/>
        </w:rPr>
        <w:t>, molto solubile in metilene cloruro, poco solubile in etanolo anidro.</w:t>
      </w:r>
    </w:p>
    <w:p w:rsidR="004A790D" w:rsidRPr="00FD0C63" w:rsidRDefault="004A790D" w:rsidP="004A790D">
      <w:pPr>
        <w:spacing w:after="0" w:line="240" w:lineRule="auto"/>
        <w:jc w:val="both"/>
      </w:pPr>
      <w:r w:rsidRPr="00FD0C63">
        <w:rPr>
          <w:u w:val="single"/>
        </w:rPr>
        <w:t>Polimorfismo</w:t>
      </w:r>
      <w:r w:rsidRPr="00FD0C63">
        <w:t xml:space="preserve">: </w:t>
      </w:r>
      <w:proofErr w:type="spellStart"/>
      <w:r w:rsidRPr="00FD0C63">
        <w:rPr>
          <w:lang w:eastAsia="it-IT"/>
        </w:rPr>
        <w:t>candesartan</w:t>
      </w:r>
      <w:proofErr w:type="spellEnd"/>
      <w:r w:rsidRPr="00FD0C63">
        <w:rPr>
          <w:lang w:eastAsia="it-IT"/>
        </w:rPr>
        <w:t xml:space="preserve"> </w:t>
      </w:r>
      <w:proofErr w:type="spellStart"/>
      <w:r w:rsidRPr="00FD0C63">
        <w:rPr>
          <w:lang w:eastAsia="it-IT"/>
        </w:rPr>
        <w:t>cilexetil</w:t>
      </w:r>
      <w:proofErr w:type="spellEnd"/>
      <w:r w:rsidRPr="00FD0C63">
        <w:rPr>
          <w:lang w:eastAsia="it-IT"/>
        </w:rPr>
        <w:t xml:space="preserve"> mostra polimorfismo</w:t>
      </w:r>
      <w:r w:rsidRPr="00FD0C63">
        <w:t>.</w:t>
      </w:r>
    </w:p>
    <w:p w:rsidR="004A790D" w:rsidRPr="00FD0C63" w:rsidRDefault="004A790D" w:rsidP="004A790D">
      <w:pPr>
        <w:spacing w:after="0" w:line="240" w:lineRule="auto"/>
        <w:jc w:val="both"/>
        <w:rPr>
          <w:highlight w:val="yellow"/>
        </w:rPr>
      </w:pPr>
    </w:p>
    <w:p w:rsidR="004A790D" w:rsidRPr="005A6BF3" w:rsidRDefault="004A790D" w:rsidP="004A790D">
      <w:pPr>
        <w:spacing w:after="0" w:line="240" w:lineRule="auto"/>
        <w:jc w:val="both"/>
      </w:pPr>
      <w:r w:rsidRPr="005A6BF3">
        <w:t xml:space="preserve">Il principio attivo </w:t>
      </w:r>
      <w:proofErr w:type="spellStart"/>
      <w:r w:rsidRPr="005A6BF3">
        <w:t>candesartan</w:t>
      </w:r>
      <w:proofErr w:type="spellEnd"/>
      <w:r w:rsidRPr="005A6BF3">
        <w:t xml:space="preserve"> </w:t>
      </w:r>
      <w:proofErr w:type="spellStart"/>
      <w:r w:rsidRPr="005A6BF3">
        <w:t>cilexetil</w:t>
      </w:r>
      <w:proofErr w:type="spellEnd"/>
      <w:r w:rsidRPr="005A6BF3">
        <w:t xml:space="preserve"> è presente in Farmacopea Europea e il </w:t>
      </w:r>
      <w:proofErr w:type="spellStart"/>
      <w:r w:rsidRPr="005A6BF3">
        <w:t>Direttorato</w:t>
      </w:r>
      <w:proofErr w:type="spellEnd"/>
      <w:r w:rsidRPr="005A6BF3">
        <w:t xml:space="preserve"> Europeo per la Qualità dei Medicinali (</w:t>
      </w:r>
      <w:proofErr w:type="spellStart"/>
      <w:r w:rsidRPr="005A6BF3">
        <w:rPr>
          <w:i/>
        </w:rPr>
        <w:t>European</w:t>
      </w:r>
      <w:proofErr w:type="spellEnd"/>
      <w:r w:rsidRPr="005A6BF3">
        <w:rPr>
          <w:i/>
        </w:rPr>
        <w:t xml:space="preserve"> </w:t>
      </w:r>
      <w:proofErr w:type="spellStart"/>
      <w:r w:rsidRPr="005A6BF3">
        <w:rPr>
          <w:i/>
        </w:rPr>
        <w:t>Directorate</w:t>
      </w:r>
      <w:proofErr w:type="spellEnd"/>
      <w:r w:rsidRPr="005A6BF3">
        <w:rPr>
          <w:i/>
        </w:rPr>
        <w:t xml:space="preserve"> </w:t>
      </w:r>
      <w:proofErr w:type="spellStart"/>
      <w:r w:rsidRPr="005A6BF3">
        <w:rPr>
          <w:i/>
        </w:rPr>
        <w:t>for</w:t>
      </w:r>
      <w:proofErr w:type="spellEnd"/>
      <w:r w:rsidRPr="005A6BF3">
        <w:rPr>
          <w:i/>
        </w:rPr>
        <w:t xml:space="preserve"> </w:t>
      </w:r>
      <w:proofErr w:type="spellStart"/>
      <w:r w:rsidRPr="005A6BF3">
        <w:rPr>
          <w:i/>
        </w:rPr>
        <w:t>Quality</w:t>
      </w:r>
      <w:proofErr w:type="spellEnd"/>
      <w:r w:rsidRPr="005A6BF3">
        <w:rPr>
          <w:i/>
        </w:rPr>
        <w:t xml:space="preserve"> </w:t>
      </w:r>
      <w:proofErr w:type="spellStart"/>
      <w:r w:rsidRPr="005A6BF3">
        <w:rPr>
          <w:i/>
        </w:rPr>
        <w:t>of</w:t>
      </w:r>
      <w:proofErr w:type="spellEnd"/>
      <w:r w:rsidRPr="005A6BF3">
        <w:rPr>
          <w:i/>
        </w:rPr>
        <w:t xml:space="preserve"> </w:t>
      </w:r>
      <w:proofErr w:type="spellStart"/>
      <w:r w:rsidRPr="005A6BF3">
        <w:rPr>
          <w:i/>
        </w:rPr>
        <w:t>Medicnals</w:t>
      </w:r>
      <w:proofErr w:type="spellEnd"/>
      <w:r w:rsidRPr="005A6BF3">
        <w:t xml:space="preserve"> – EDQM) ha rilasciato a</w:t>
      </w:r>
      <w:r>
        <w:t>i</w:t>
      </w:r>
      <w:r w:rsidRPr="005A6BF3">
        <w:t xml:space="preserve"> </w:t>
      </w:r>
      <w:r>
        <w:t xml:space="preserve">due </w:t>
      </w:r>
      <w:r w:rsidRPr="005A6BF3">
        <w:t>produttor</w:t>
      </w:r>
      <w:r>
        <w:t>i proposti</w:t>
      </w:r>
      <w:r w:rsidRPr="005A6BF3">
        <w:t xml:space="preserve"> il certificato di conformità alla farmacopea europea.</w:t>
      </w:r>
    </w:p>
    <w:p w:rsidR="004A790D" w:rsidRDefault="004A790D" w:rsidP="004A790D">
      <w:pPr>
        <w:spacing w:after="0" w:line="240" w:lineRule="auto"/>
        <w:jc w:val="both"/>
      </w:pPr>
      <w:r>
        <w:t>T</w:t>
      </w:r>
      <w:r w:rsidRPr="005A6BF3">
        <w:t xml:space="preserve">utti gli aspetti di produzione e controllo sono coperti dal </w:t>
      </w:r>
      <w:r>
        <w:t>C</w:t>
      </w:r>
      <w:r w:rsidRPr="005A6BF3">
        <w:t xml:space="preserve">ertificato di </w:t>
      </w:r>
      <w:r>
        <w:t>C</w:t>
      </w:r>
      <w:r w:rsidRPr="005A6BF3">
        <w:t xml:space="preserve">onformità alla </w:t>
      </w:r>
      <w:r>
        <w:t>F</w:t>
      </w:r>
      <w:r w:rsidRPr="005A6BF3">
        <w:t xml:space="preserve">armacopea </w:t>
      </w:r>
      <w:r>
        <w:t>E</w:t>
      </w:r>
      <w:r w:rsidRPr="005A6BF3">
        <w:t>uropea.</w:t>
      </w:r>
      <w:r>
        <w:t xml:space="preserve"> </w:t>
      </w:r>
    </w:p>
    <w:p w:rsidR="004A790D" w:rsidRDefault="004A790D" w:rsidP="004A790D">
      <w:pPr>
        <w:spacing w:after="0" w:line="240" w:lineRule="auto"/>
        <w:jc w:val="both"/>
      </w:pPr>
      <w:r>
        <w:t>Per un produttore, i</w:t>
      </w:r>
      <w:r w:rsidRPr="005A6BF3">
        <w:t xml:space="preserve">l principio attivo è </w:t>
      </w:r>
      <w:r w:rsidRPr="004A790D">
        <w:t xml:space="preserve">confezionato in </w:t>
      </w:r>
      <w:r w:rsidRPr="004A790D">
        <w:rPr>
          <w:rFonts w:cs="Arial"/>
        </w:rPr>
        <w:t>sacca in polietilene in sacca di foglio di alluminio sotto azoto e barattolo di alluminio</w:t>
      </w:r>
      <w:r>
        <w:t>;</w:t>
      </w:r>
      <w:r w:rsidRPr="004A790D">
        <w:t xml:space="preserve"> il periodo di </w:t>
      </w:r>
      <w:proofErr w:type="spellStart"/>
      <w:r w:rsidRPr="004A790D">
        <w:t>retest</w:t>
      </w:r>
      <w:proofErr w:type="spellEnd"/>
      <w:r w:rsidRPr="004A790D">
        <w:t xml:space="preserve"> è definito in 36 mesi.</w:t>
      </w:r>
    </w:p>
    <w:p w:rsidR="004A790D" w:rsidRPr="004A790D" w:rsidRDefault="004A790D" w:rsidP="004A790D">
      <w:pPr>
        <w:spacing w:after="0" w:line="240" w:lineRule="auto"/>
        <w:jc w:val="both"/>
        <w:rPr>
          <w:sz w:val="32"/>
        </w:rPr>
      </w:pPr>
      <w:r>
        <w:t>Per il secondo produttore ì, i</w:t>
      </w:r>
      <w:r w:rsidRPr="005A6BF3">
        <w:t xml:space="preserve">l principio attivo è </w:t>
      </w:r>
      <w:r w:rsidRPr="004A790D">
        <w:t xml:space="preserve">confezionato </w:t>
      </w:r>
      <w:r>
        <w:t xml:space="preserve">in </w:t>
      </w:r>
      <w:r w:rsidRPr="004A790D">
        <w:rPr>
          <w:rFonts w:cs="Arial"/>
          <w:szCs w:val="16"/>
        </w:rPr>
        <w:t>doppia sacca in polietilene (esterna nera) in contenitore di polietilene</w:t>
      </w:r>
      <w:r>
        <w:t>;</w:t>
      </w:r>
      <w:r w:rsidRPr="004A790D">
        <w:t xml:space="preserve"> il periodo di </w:t>
      </w:r>
      <w:proofErr w:type="spellStart"/>
      <w:r w:rsidRPr="004A790D">
        <w:t>retest</w:t>
      </w:r>
      <w:proofErr w:type="spellEnd"/>
      <w:r w:rsidRPr="004A790D">
        <w:t xml:space="preserve"> è definito in </w:t>
      </w:r>
      <w:r>
        <w:t>48</w:t>
      </w:r>
      <w:r w:rsidRPr="004A790D">
        <w:t xml:space="preserve"> mesi.</w:t>
      </w:r>
    </w:p>
    <w:p w:rsidR="00AE2073" w:rsidRPr="004A790D" w:rsidRDefault="00AE2073" w:rsidP="00AE2073">
      <w:pPr>
        <w:spacing w:after="0" w:line="240" w:lineRule="auto"/>
        <w:jc w:val="both"/>
      </w:pPr>
    </w:p>
    <w:p w:rsidR="00AE2073" w:rsidRPr="006C0B0D" w:rsidRDefault="00AE2073" w:rsidP="00AE2073">
      <w:pPr>
        <w:spacing w:after="0" w:line="240" w:lineRule="auto"/>
        <w:jc w:val="both"/>
      </w:pPr>
      <w:r w:rsidRPr="006C0B0D">
        <w:rPr>
          <w:b/>
        </w:rPr>
        <w:t>II.1b PRINCIPIO ATTIVO AMLODIPINA BESILATO</w:t>
      </w:r>
    </w:p>
    <w:p w:rsidR="00AE2073" w:rsidRPr="006C0B0D" w:rsidRDefault="00AE2073" w:rsidP="00AE2073">
      <w:pPr>
        <w:autoSpaceDE w:val="0"/>
        <w:autoSpaceDN w:val="0"/>
        <w:adjustRightInd w:val="0"/>
        <w:spacing w:after="0" w:line="240" w:lineRule="auto"/>
      </w:pPr>
      <w:r w:rsidRPr="006C0B0D">
        <w:rPr>
          <w:u w:val="single"/>
        </w:rPr>
        <w:t>Nome chimico</w:t>
      </w:r>
      <w:r w:rsidRPr="006C0B0D">
        <w:t xml:space="preserve">: </w:t>
      </w:r>
      <w:r w:rsidRPr="006C0B0D">
        <w:rPr>
          <w:lang w:eastAsia="it-IT"/>
        </w:rPr>
        <w:t xml:space="preserve">3-Ethyl-5-methyl (4RS)-2-[(2-aminoethoxy)methyl]-4-(2-chlorophenyl)-6-methyl-1,4-dihydropyridine-3,5-dicarboxylate </w:t>
      </w:r>
      <w:proofErr w:type="spellStart"/>
      <w:r w:rsidRPr="006C0B0D">
        <w:rPr>
          <w:lang w:eastAsia="it-IT"/>
        </w:rPr>
        <w:t>benzenesulfonate</w:t>
      </w:r>
      <w:proofErr w:type="spellEnd"/>
      <w:r w:rsidRPr="006C0B0D">
        <w:t xml:space="preserve"> </w:t>
      </w:r>
    </w:p>
    <w:p w:rsidR="00AE2073" w:rsidRPr="006C0B0D" w:rsidRDefault="00AE2073" w:rsidP="00AE2073">
      <w:pPr>
        <w:spacing w:after="0" w:line="240" w:lineRule="auto"/>
        <w:jc w:val="both"/>
      </w:pPr>
      <w:r w:rsidRPr="006C0B0D">
        <w:rPr>
          <w:u w:val="single"/>
        </w:rPr>
        <w:t>Struttura</w:t>
      </w:r>
      <w:r w:rsidRPr="006C0B0D">
        <w:t>:</w:t>
      </w:r>
    </w:p>
    <w:p w:rsidR="00AE2073" w:rsidRPr="006C0B0D" w:rsidRDefault="00AE2073" w:rsidP="00AE2073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>
            <wp:extent cx="947389" cy="1114618"/>
            <wp:effectExtent l="19050" t="0" r="5111" b="0"/>
            <wp:docPr id="11" name="Immagine 4" descr="(±)-Amlodipine Enantiomers Structural Formul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(±)-Amlodipine Enantiomers Structural Formula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61" cy="1128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62FE">
        <w:t xml:space="preserve"> </w:t>
      </w:r>
      <w:r>
        <w:rPr>
          <w:noProof/>
          <w:lang w:eastAsia="it-IT"/>
        </w:rPr>
        <w:drawing>
          <wp:inline distT="0" distB="0" distL="0" distR="0">
            <wp:extent cx="635155" cy="1197390"/>
            <wp:effectExtent l="19050" t="0" r="0" b="0"/>
            <wp:docPr id="12" name="Immagine 7" descr="Risultati immagini per besil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besilat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55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68" cy="1195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073" w:rsidRPr="00BE62FE" w:rsidRDefault="00AE2073" w:rsidP="00AE2073">
      <w:pPr>
        <w:spacing w:after="0" w:line="240" w:lineRule="auto"/>
        <w:jc w:val="both"/>
      </w:pPr>
      <w:r w:rsidRPr="00BE62FE">
        <w:rPr>
          <w:u w:val="single"/>
        </w:rPr>
        <w:t>Formula molecolare</w:t>
      </w:r>
      <w:r w:rsidRPr="00BE62FE">
        <w:t xml:space="preserve">: </w:t>
      </w:r>
      <w:r w:rsidRPr="00BE62FE">
        <w:rPr>
          <w:rStyle w:val="s1"/>
          <w:rFonts w:asciiTheme="minorHAnsi" w:hAnsiTheme="minorHAnsi"/>
        </w:rPr>
        <w:t>C</w:t>
      </w:r>
      <w:r w:rsidRPr="00BE62FE">
        <w:rPr>
          <w:rStyle w:val="s1"/>
          <w:rFonts w:asciiTheme="minorHAnsi" w:hAnsiTheme="minorHAnsi"/>
          <w:vertAlign w:val="subscript"/>
        </w:rPr>
        <w:t>26</w:t>
      </w:r>
      <w:r w:rsidRPr="00BE62FE">
        <w:rPr>
          <w:rStyle w:val="s1"/>
          <w:rFonts w:asciiTheme="minorHAnsi" w:hAnsiTheme="minorHAnsi"/>
        </w:rPr>
        <w:t>H</w:t>
      </w:r>
      <w:r w:rsidRPr="00BE62FE">
        <w:rPr>
          <w:rStyle w:val="s1"/>
          <w:rFonts w:asciiTheme="minorHAnsi" w:hAnsiTheme="minorHAnsi"/>
          <w:vertAlign w:val="subscript"/>
        </w:rPr>
        <w:t>31</w:t>
      </w:r>
      <w:r w:rsidRPr="00BE62FE">
        <w:rPr>
          <w:rStyle w:val="s1"/>
          <w:rFonts w:asciiTheme="minorHAnsi" w:hAnsiTheme="minorHAnsi"/>
        </w:rPr>
        <w:t>ClN</w:t>
      </w:r>
      <w:r w:rsidRPr="00BE62FE">
        <w:rPr>
          <w:rStyle w:val="s1"/>
          <w:rFonts w:asciiTheme="minorHAnsi" w:hAnsiTheme="minorHAnsi"/>
          <w:vertAlign w:val="subscript"/>
        </w:rPr>
        <w:t>2</w:t>
      </w:r>
      <w:r w:rsidRPr="00BE62FE">
        <w:rPr>
          <w:rStyle w:val="s1"/>
          <w:rFonts w:asciiTheme="minorHAnsi" w:hAnsiTheme="minorHAnsi"/>
        </w:rPr>
        <w:t>O</w:t>
      </w:r>
      <w:r w:rsidRPr="00BE62FE">
        <w:rPr>
          <w:rStyle w:val="s1"/>
          <w:rFonts w:asciiTheme="minorHAnsi" w:hAnsiTheme="minorHAnsi"/>
          <w:vertAlign w:val="subscript"/>
        </w:rPr>
        <w:t>8</w:t>
      </w:r>
      <w:r w:rsidRPr="00BE62FE">
        <w:rPr>
          <w:rStyle w:val="s1"/>
          <w:rFonts w:asciiTheme="minorHAnsi" w:hAnsiTheme="minorHAnsi"/>
        </w:rPr>
        <w:t>S</w:t>
      </w:r>
    </w:p>
    <w:p w:rsidR="00AE2073" w:rsidRPr="00BE62FE" w:rsidRDefault="00AE2073" w:rsidP="00AE2073">
      <w:pPr>
        <w:spacing w:after="0" w:line="240" w:lineRule="auto"/>
        <w:jc w:val="both"/>
      </w:pPr>
      <w:r w:rsidRPr="00BE62FE">
        <w:rPr>
          <w:u w:val="single"/>
        </w:rPr>
        <w:t>Peso molecolare</w:t>
      </w:r>
      <w:r w:rsidRPr="00BE62FE">
        <w:t xml:space="preserve">: </w:t>
      </w:r>
      <w:r w:rsidRPr="00BE62FE">
        <w:rPr>
          <w:rStyle w:val="s1"/>
          <w:rFonts w:asciiTheme="minorHAnsi" w:hAnsiTheme="minorHAnsi"/>
        </w:rPr>
        <w:t>567.1</w:t>
      </w:r>
      <w:r>
        <w:rPr>
          <w:rStyle w:val="s1"/>
          <w:rFonts w:asciiTheme="minorHAnsi" w:hAnsiTheme="minorHAnsi"/>
        </w:rPr>
        <w:t xml:space="preserve"> g/mol</w:t>
      </w:r>
    </w:p>
    <w:p w:rsidR="00AE2073" w:rsidRPr="0078557E" w:rsidRDefault="00AE2073" w:rsidP="00AE2073">
      <w:pPr>
        <w:spacing w:after="0" w:line="240" w:lineRule="auto"/>
        <w:jc w:val="both"/>
      </w:pPr>
      <w:r w:rsidRPr="0078557E">
        <w:rPr>
          <w:u w:val="single"/>
        </w:rPr>
        <w:t>CAS</w:t>
      </w:r>
      <w:r w:rsidRPr="0078557E">
        <w:t xml:space="preserve">: </w:t>
      </w:r>
      <w:r w:rsidRPr="0078557E">
        <w:rPr>
          <w:rStyle w:val="s1"/>
          <w:rFonts w:asciiTheme="minorHAnsi" w:hAnsiTheme="minorHAnsi"/>
        </w:rPr>
        <w:t>[111470-99-6]</w:t>
      </w:r>
    </w:p>
    <w:p w:rsidR="00AE2073" w:rsidRPr="00BE62FE" w:rsidRDefault="00AE2073" w:rsidP="00AE2073">
      <w:pPr>
        <w:spacing w:after="0" w:line="240" w:lineRule="auto"/>
        <w:jc w:val="both"/>
      </w:pPr>
      <w:r w:rsidRPr="00BE62FE">
        <w:rPr>
          <w:u w:val="single"/>
        </w:rPr>
        <w:lastRenderedPageBreak/>
        <w:t>Aspetto</w:t>
      </w:r>
      <w:r w:rsidRPr="00BE62FE">
        <w:t>: polvere bianca o quasi bianca</w:t>
      </w:r>
      <w:r w:rsidRPr="00BE62FE">
        <w:rPr>
          <w:rStyle w:val="s1"/>
          <w:rFonts w:asciiTheme="minorHAnsi" w:hAnsiTheme="minorHAnsi"/>
        </w:rPr>
        <w:t xml:space="preserve"> </w:t>
      </w:r>
    </w:p>
    <w:p w:rsidR="00AE2073" w:rsidRPr="00BE62FE" w:rsidRDefault="00AE2073" w:rsidP="00AE2073">
      <w:pPr>
        <w:spacing w:after="0" w:line="240" w:lineRule="auto"/>
        <w:jc w:val="both"/>
      </w:pPr>
      <w:r w:rsidRPr="00BE62FE">
        <w:rPr>
          <w:u w:val="single"/>
        </w:rPr>
        <w:t>Solubilità</w:t>
      </w:r>
      <w:r w:rsidRPr="00BE62FE">
        <w:t>: poco solubile in acqua</w:t>
      </w:r>
      <w:r w:rsidRPr="00BE62FE">
        <w:rPr>
          <w:rStyle w:val="s1"/>
          <w:rFonts w:asciiTheme="minorHAnsi" w:hAnsiTheme="minorHAnsi"/>
        </w:rPr>
        <w:t xml:space="preserve"> e 2-propanolo</w:t>
      </w:r>
      <w:r w:rsidRPr="00BE62FE">
        <w:t>, molto solubile in metanolo, moderatamente solubile in etanolo anidro</w:t>
      </w:r>
    </w:p>
    <w:p w:rsidR="00AE2073" w:rsidRPr="00BE62FE" w:rsidRDefault="00AE2073" w:rsidP="00AE2073">
      <w:pPr>
        <w:spacing w:after="0" w:line="240" w:lineRule="auto"/>
        <w:jc w:val="both"/>
      </w:pPr>
      <w:r w:rsidRPr="00BE62FE">
        <w:rPr>
          <w:u w:val="single"/>
        </w:rPr>
        <w:t>Polimorfismo</w:t>
      </w:r>
      <w:r w:rsidRPr="00BE62FE">
        <w:t xml:space="preserve">: </w:t>
      </w:r>
      <w:proofErr w:type="spellStart"/>
      <w:r w:rsidRPr="00BE62FE">
        <w:rPr>
          <w:lang w:eastAsia="it-IT"/>
        </w:rPr>
        <w:t>amlodipina</w:t>
      </w:r>
      <w:proofErr w:type="spellEnd"/>
      <w:r w:rsidRPr="00BE62FE">
        <w:rPr>
          <w:lang w:eastAsia="it-IT"/>
        </w:rPr>
        <w:t xml:space="preserve"> </w:t>
      </w:r>
      <w:proofErr w:type="spellStart"/>
      <w:r w:rsidRPr="00BE62FE">
        <w:rPr>
          <w:lang w:eastAsia="it-IT"/>
        </w:rPr>
        <w:t>besilato</w:t>
      </w:r>
      <w:proofErr w:type="spellEnd"/>
      <w:r w:rsidRPr="00BE62FE">
        <w:rPr>
          <w:lang w:eastAsia="it-IT"/>
        </w:rPr>
        <w:t xml:space="preserve"> non mostra polimorfismo</w:t>
      </w:r>
      <w:r w:rsidRPr="00BE62FE">
        <w:t>.</w:t>
      </w:r>
    </w:p>
    <w:p w:rsidR="00AE2073" w:rsidRPr="006C0B0D" w:rsidRDefault="00AE2073" w:rsidP="00AE2073">
      <w:pPr>
        <w:spacing w:after="0" w:line="240" w:lineRule="auto"/>
        <w:jc w:val="both"/>
      </w:pPr>
    </w:p>
    <w:p w:rsidR="00AE2073" w:rsidRPr="004A790D" w:rsidRDefault="00AE2073" w:rsidP="00AE2073">
      <w:pPr>
        <w:spacing w:after="0" w:line="240" w:lineRule="auto"/>
        <w:jc w:val="both"/>
      </w:pPr>
      <w:r w:rsidRPr="004A790D">
        <w:t xml:space="preserve">Il principio attivo </w:t>
      </w:r>
      <w:proofErr w:type="spellStart"/>
      <w:r w:rsidRPr="004A790D">
        <w:t>Amlodipina</w:t>
      </w:r>
      <w:proofErr w:type="spellEnd"/>
      <w:r w:rsidRPr="004A790D">
        <w:t xml:space="preserve"> </w:t>
      </w:r>
      <w:proofErr w:type="spellStart"/>
      <w:r w:rsidRPr="004A790D">
        <w:t>besilato</w:t>
      </w:r>
      <w:proofErr w:type="spellEnd"/>
      <w:r w:rsidRPr="004A790D">
        <w:t xml:space="preserve"> è presente in Farmacopea Europea e il </w:t>
      </w:r>
      <w:proofErr w:type="spellStart"/>
      <w:r w:rsidRPr="004A790D">
        <w:t>Direttorato</w:t>
      </w:r>
      <w:proofErr w:type="spellEnd"/>
      <w:r w:rsidRPr="004A790D">
        <w:t xml:space="preserve"> Europeo per la Qualità dei Medicinali (</w:t>
      </w:r>
      <w:proofErr w:type="spellStart"/>
      <w:r w:rsidRPr="004A790D">
        <w:rPr>
          <w:i/>
        </w:rPr>
        <w:t>European</w:t>
      </w:r>
      <w:proofErr w:type="spellEnd"/>
      <w:r w:rsidRPr="004A790D">
        <w:rPr>
          <w:i/>
        </w:rPr>
        <w:t xml:space="preserve"> </w:t>
      </w:r>
      <w:proofErr w:type="spellStart"/>
      <w:r w:rsidRPr="004A790D">
        <w:rPr>
          <w:i/>
        </w:rPr>
        <w:t>Directorate</w:t>
      </w:r>
      <w:proofErr w:type="spellEnd"/>
      <w:r w:rsidRPr="004A790D">
        <w:rPr>
          <w:i/>
        </w:rPr>
        <w:t xml:space="preserve"> </w:t>
      </w:r>
      <w:proofErr w:type="spellStart"/>
      <w:r w:rsidRPr="004A790D">
        <w:rPr>
          <w:i/>
        </w:rPr>
        <w:t>for</w:t>
      </w:r>
      <w:proofErr w:type="spellEnd"/>
      <w:r w:rsidRPr="004A790D">
        <w:rPr>
          <w:i/>
        </w:rPr>
        <w:t xml:space="preserve"> </w:t>
      </w:r>
      <w:proofErr w:type="spellStart"/>
      <w:r w:rsidRPr="004A790D">
        <w:rPr>
          <w:i/>
        </w:rPr>
        <w:t>Quality</w:t>
      </w:r>
      <w:proofErr w:type="spellEnd"/>
      <w:r w:rsidRPr="004A790D">
        <w:rPr>
          <w:i/>
        </w:rPr>
        <w:t xml:space="preserve"> </w:t>
      </w:r>
      <w:proofErr w:type="spellStart"/>
      <w:r w:rsidRPr="004A790D">
        <w:rPr>
          <w:i/>
        </w:rPr>
        <w:t>of</w:t>
      </w:r>
      <w:proofErr w:type="spellEnd"/>
      <w:r w:rsidRPr="004A790D">
        <w:rPr>
          <w:i/>
        </w:rPr>
        <w:t xml:space="preserve"> </w:t>
      </w:r>
      <w:proofErr w:type="spellStart"/>
      <w:r w:rsidRPr="004A790D">
        <w:rPr>
          <w:i/>
        </w:rPr>
        <w:t>Medicnals</w:t>
      </w:r>
      <w:proofErr w:type="spellEnd"/>
      <w:r w:rsidRPr="004A790D">
        <w:t xml:space="preserve"> – EDQM) ha rilasciato a</w:t>
      </w:r>
      <w:r w:rsidR="004A790D" w:rsidRPr="004A790D">
        <w:t>i due</w:t>
      </w:r>
      <w:r w:rsidRPr="004A790D">
        <w:t xml:space="preserve"> produttor</w:t>
      </w:r>
      <w:r w:rsidR="004A790D" w:rsidRPr="004A790D">
        <w:t>i proposti</w:t>
      </w:r>
      <w:r w:rsidRPr="004A790D">
        <w:t xml:space="preserve"> il certificato di conformità alla Farmacopea Europea</w:t>
      </w:r>
    </w:p>
    <w:p w:rsidR="004A790D" w:rsidRPr="004A790D" w:rsidRDefault="00AE2073" w:rsidP="00AE2073">
      <w:pPr>
        <w:spacing w:after="0" w:line="240" w:lineRule="auto"/>
        <w:jc w:val="both"/>
      </w:pPr>
      <w:r w:rsidRPr="004A790D">
        <w:t xml:space="preserve">Tutti gli aspetti di produzione e controllo sono coperti dal certificato di conformità alla Farmacopea Europea. </w:t>
      </w:r>
    </w:p>
    <w:p w:rsidR="004A790D" w:rsidRDefault="004A790D" w:rsidP="004A790D">
      <w:pPr>
        <w:spacing w:after="0" w:line="240" w:lineRule="auto"/>
        <w:jc w:val="both"/>
      </w:pPr>
      <w:r>
        <w:t>Per un produttore, i</w:t>
      </w:r>
      <w:r w:rsidRPr="005A6BF3">
        <w:t xml:space="preserve">l principio attivo è </w:t>
      </w:r>
      <w:r w:rsidRPr="004A790D">
        <w:t xml:space="preserve">confezionato in </w:t>
      </w:r>
      <w:r w:rsidRPr="004A790D">
        <w:rPr>
          <w:rFonts w:cs="Arial"/>
          <w:szCs w:val="16"/>
          <w:lang w:eastAsia="it-IT"/>
        </w:rPr>
        <w:t xml:space="preserve">doppia sacca in polietilene (esterno nero) in </w:t>
      </w:r>
      <w:proofErr w:type="spellStart"/>
      <w:r w:rsidRPr="004A790D">
        <w:rPr>
          <w:rFonts w:cs="Arial"/>
          <w:szCs w:val="16"/>
          <w:lang w:eastAsia="it-IT"/>
        </w:rPr>
        <w:t>contenitorie</w:t>
      </w:r>
      <w:proofErr w:type="spellEnd"/>
      <w:r w:rsidRPr="004A790D">
        <w:rPr>
          <w:rFonts w:cs="Arial"/>
          <w:szCs w:val="16"/>
          <w:lang w:eastAsia="it-IT"/>
        </w:rPr>
        <w:t xml:space="preserve"> di polietilene</w:t>
      </w:r>
      <w:r>
        <w:t>;</w:t>
      </w:r>
      <w:r w:rsidRPr="004A790D">
        <w:t xml:space="preserve"> il periodo di </w:t>
      </w:r>
      <w:proofErr w:type="spellStart"/>
      <w:r w:rsidRPr="004A790D">
        <w:t>retest</w:t>
      </w:r>
      <w:proofErr w:type="spellEnd"/>
      <w:r w:rsidRPr="004A790D">
        <w:t xml:space="preserve"> è definito in </w:t>
      </w:r>
      <w:r>
        <w:t>60</w:t>
      </w:r>
      <w:r w:rsidRPr="004A790D">
        <w:t xml:space="preserve"> mesi.</w:t>
      </w:r>
    </w:p>
    <w:p w:rsidR="004A790D" w:rsidRPr="004A790D" w:rsidRDefault="00F11281" w:rsidP="004A790D">
      <w:pPr>
        <w:spacing w:after="0" w:line="240" w:lineRule="auto"/>
        <w:jc w:val="both"/>
        <w:rPr>
          <w:sz w:val="32"/>
        </w:rPr>
      </w:pPr>
      <w:r>
        <w:t>Per il secondo produttore</w:t>
      </w:r>
      <w:r w:rsidR="004A790D">
        <w:t>, i</w:t>
      </w:r>
      <w:r w:rsidR="004A790D" w:rsidRPr="005A6BF3">
        <w:t xml:space="preserve">l principio attivo è </w:t>
      </w:r>
      <w:r w:rsidR="004A790D" w:rsidRPr="004A790D">
        <w:t xml:space="preserve">confezionato </w:t>
      </w:r>
      <w:r w:rsidR="004A790D">
        <w:t xml:space="preserve">in </w:t>
      </w:r>
      <w:r w:rsidR="004A790D" w:rsidRPr="004A790D">
        <w:rPr>
          <w:rFonts w:cs="Arial"/>
          <w:szCs w:val="16"/>
          <w:lang w:eastAsia="it-IT"/>
        </w:rPr>
        <w:t xml:space="preserve">doppia sacca in polietilene in contenitore </w:t>
      </w:r>
      <w:r w:rsidR="004A790D">
        <w:rPr>
          <w:rFonts w:cs="Arial"/>
          <w:sz w:val="16"/>
          <w:szCs w:val="16"/>
          <w:lang w:eastAsia="it-IT"/>
        </w:rPr>
        <w:t>HDPE</w:t>
      </w:r>
      <w:r w:rsidR="004A790D">
        <w:t>;</w:t>
      </w:r>
      <w:r w:rsidR="004A790D" w:rsidRPr="004A790D">
        <w:t xml:space="preserve"> il periodo di </w:t>
      </w:r>
      <w:proofErr w:type="spellStart"/>
      <w:r w:rsidR="004A790D" w:rsidRPr="004A790D">
        <w:t>retest</w:t>
      </w:r>
      <w:proofErr w:type="spellEnd"/>
      <w:r w:rsidR="004A790D" w:rsidRPr="004A790D">
        <w:t xml:space="preserve"> è definito in </w:t>
      </w:r>
      <w:r w:rsidR="004A790D">
        <w:t>60</w:t>
      </w:r>
      <w:r w:rsidR="004A790D" w:rsidRPr="004A790D">
        <w:t xml:space="preserve"> mesi.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Pr="00532E32" w:rsidRDefault="00AE2073" w:rsidP="00AE2073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:rsidR="00AE2073" w:rsidRPr="00653660" w:rsidRDefault="00AE2073" w:rsidP="00653660">
      <w:pPr>
        <w:spacing w:after="0" w:line="240" w:lineRule="auto"/>
        <w:jc w:val="both"/>
        <w:rPr>
          <w:b/>
        </w:rPr>
      </w:pPr>
      <w:r w:rsidRPr="00653660">
        <w:rPr>
          <w:b/>
        </w:rPr>
        <w:t>Descrizione e composizione</w:t>
      </w:r>
    </w:p>
    <w:p w:rsidR="00AE2073" w:rsidRPr="00711FEC" w:rsidRDefault="005E590D" w:rsidP="00653660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Lodicand</w:t>
      </w:r>
      <w:proofErr w:type="spellEnd"/>
      <w:r w:rsidR="00AE2073" w:rsidRPr="00711FEC">
        <w:rPr>
          <w:rFonts w:eastAsia="Calibri" w:cs="Calibri"/>
          <w:color w:val="000000"/>
        </w:rPr>
        <w:t xml:space="preserve"> è disponibile in </w:t>
      </w:r>
      <w:r w:rsidR="007C2797" w:rsidRPr="00711FEC">
        <w:rPr>
          <w:rFonts w:eastAsia="Calibri" w:cs="Calibri"/>
          <w:color w:val="000000"/>
        </w:rPr>
        <w:t>capsule rigide</w:t>
      </w:r>
      <w:r w:rsidR="00AE2073" w:rsidRPr="00711FEC">
        <w:rPr>
          <w:rFonts w:eastAsia="Calibri" w:cs="Calibri"/>
          <w:color w:val="000000"/>
        </w:rPr>
        <w:t xml:space="preserve"> contenenti diversi dosaggi dei due principi attivi</w:t>
      </w:r>
      <w:r w:rsidR="007C2797" w:rsidRPr="00711FEC">
        <w:rPr>
          <w:rFonts w:eastAsia="Calibri" w:cs="Calibri"/>
          <w:color w:val="000000"/>
        </w:rPr>
        <w:t xml:space="preserve">, rispettivamente </w:t>
      </w:r>
      <w:proofErr w:type="spellStart"/>
      <w:r w:rsidR="007C2797" w:rsidRPr="00711FEC">
        <w:rPr>
          <w:rFonts w:eastAsia="Calibri" w:cs="Calibri"/>
          <w:color w:val="000000"/>
        </w:rPr>
        <w:t>candesartan</w:t>
      </w:r>
      <w:proofErr w:type="spellEnd"/>
      <w:r w:rsidR="007C2797" w:rsidRPr="00711FEC">
        <w:rPr>
          <w:rFonts w:eastAsia="Calibri" w:cs="Calibri"/>
          <w:color w:val="000000"/>
        </w:rPr>
        <w:t xml:space="preserve"> e </w:t>
      </w:r>
      <w:proofErr w:type="spellStart"/>
      <w:r w:rsidR="007C2797" w:rsidRPr="00711FEC">
        <w:rPr>
          <w:rFonts w:eastAsia="Calibri" w:cs="Calibri"/>
          <w:color w:val="000000"/>
        </w:rPr>
        <w:t>amlodipina</w:t>
      </w:r>
      <w:proofErr w:type="spellEnd"/>
      <w:r w:rsidR="00AE2073" w:rsidRPr="00711FEC">
        <w:rPr>
          <w:rFonts w:eastAsia="Calibri" w:cs="Calibri"/>
          <w:color w:val="000000"/>
        </w:rPr>
        <w:t>:</w:t>
      </w:r>
      <w:r w:rsidR="00AE2073" w:rsidRPr="00711FEC">
        <w:t xml:space="preserve"> </w:t>
      </w:r>
      <w:r w:rsidR="007C2797" w:rsidRPr="00711FEC">
        <w:t xml:space="preserve">8 </w:t>
      </w:r>
      <w:r w:rsidR="00AE2073" w:rsidRPr="00711FEC">
        <w:t xml:space="preserve">mg + 5 mg, 8 mg + </w:t>
      </w:r>
      <w:r w:rsidR="007C2797" w:rsidRPr="00711FEC">
        <w:t>10</w:t>
      </w:r>
      <w:r w:rsidR="00AE2073" w:rsidRPr="00711FEC">
        <w:t xml:space="preserve"> mg, </w:t>
      </w:r>
      <w:r w:rsidR="007C2797" w:rsidRPr="00711FEC">
        <w:t>16</w:t>
      </w:r>
      <w:r w:rsidR="00AE2073" w:rsidRPr="00711FEC">
        <w:t xml:space="preserve"> mg + 5 mg,  </w:t>
      </w:r>
      <w:r w:rsidR="007C2797" w:rsidRPr="00711FEC">
        <w:t>16</w:t>
      </w:r>
      <w:r w:rsidR="00AE2073" w:rsidRPr="00711FEC">
        <w:t xml:space="preserve"> mg + 10 mg.</w:t>
      </w:r>
    </w:p>
    <w:p w:rsidR="00653660" w:rsidRPr="00711FEC" w:rsidRDefault="00653660" w:rsidP="00653660">
      <w:pPr>
        <w:autoSpaceDE w:val="0"/>
        <w:autoSpaceDN w:val="0"/>
        <w:adjustRightInd w:val="0"/>
        <w:spacing w:after="0" w:line="240" w:lineRule="auto"/>
        <w:jc w:val="both"/>
        <w:rPr>
          <w:highlight w:val="cyan"/>
        </w:rPr>
      </w:pPr>
      <w:r w:rsidRPr="00711FEC">
        <w:rPr>
          <w:rFonts w:cs="Times New Roman"/>
          <w:i/>
        </w:rPr>
        <w:t>Le capsule da 8 mg/5 mg</w:t>
      </w:r>
      <w:r w:rsidRPr="00711FEC">
        <w:rPr>
          <w:rFonts w:cs="Times New Roman"/>
        </w:rPr>
        <w:t xml:space="preserve"> sono capsule di gelatina dura, numero 3, con un corpo bianco opaco e un cappuccio giallo scuro, riempite con microgranuli di colore da bianco a bianco scuro.</w:t>
      </w:r>
    </w:p>
    <w:p w:rsidR="00653660" w:rsidRPr="00711FEC" w:rsidRDefault="00653660" w:rsidP="006536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 w:val="0"/>
        <w:autoSpaceDN w:val="0"/>
        <w:adjustRightInd w:val="0"/>
        <w:spacing w:after="0" w:line="240" w:lineRule="auto"/>
        <w:jc w:val="both"/>
      </w:pPr>
      <w:r w:rsidRPr="00711FEC">
        <w:t xml:space="preserve">Gli eccipienti sono i seguenti: lattosio monoidrato, amido di mais, </w:t>
      </w:r>
      <w:proofErr w:type="spellStart"/>
      <w:r w:rsidRPr="00711FEC">
        <w:t>carmellosa</w:t>
      </w:r>
      <w:proofErr w:type="spellEnd"/>
      <w:r w:rsidRPr="00711FEC">
        <w:t xml:space="preserve"> calcica, macrogol tipo 8000, </w:t>
      </w:r>
      <w:proofErr w:type="spellStart"/>
      <w:r w:rsidRPr="00711FEC">
        <w:t>idrossipropilcellulosa</w:t>
      </w:r>
      <w:proofErr w:type="spellEnd"/>
      <w:r w:rsidRPr="00711FEC">
        <w:t xml:space="preserve"> tipo EXF, </w:t>
      </w:r>
      <w:proofErr w:type="spellStart"/>
      <w:r w:rsidRPr="00711FEC">
        <w:t>idrossipropilcellulosa</w:t>
      </w:r>
      <w:proofErr w:type="spellEnd"/>
      <w:r w:rsidRPr="00711FEC">
        <w:t xml:space="preserve"> tipo LF, magnesio stearato, </w:t>
      </w:r>
    </w:p>
    <w:p w:rsidR="00653660" w:rsidRPr="00711FEC" w:rsidRDefault="00653660" w:rsidP="00653660">
      <w:pPr>
        <w:autoSpaceDE w:val="0"/>
        <w:autoSpaceDN w:val="0"/>
        <w:adjustRightInd w:val="0"/>
        <w:spacing w:after="0" w:line="240" w:lineRule="auto"/>
        <w:jc w:val="both"/>
      </w:pPr>
      <w:r w:rsidRPr="00711FEC">
        <w:t xml:space="preserve">I costituenti della capsula sono: titanio diossido, giallo chinolina (E104), ferro ossido </w:t>
      </w:r>
      <w:r w:rsidR="00711FEC" w:rsidRPr="00711FEC">
        <w:t>giallo</w:t>
      </w:r>
      <w:r w:rsidRPr="00711FEC">
        <w:t xml:space="preserve"> (E172),     gelatina.</w:t>
      </w:r>
    </w:p>
    <w:p w:rsidR="00653660" w:rsidRPr="00711FEC" w:rsidRDefault="00653660" w:rsidP="00653660">
      <w:pPr>
        <w:autoSpaceDE w:val="0"/>
        <w:autoSpaceDN w:val="0"/>
        <w:adjustRightInd w:val="0"/>
        <w:spacing w:after="0" w:line="240" w:lineRule="auto"/>
        <w:jc w:val="both"/>
        <w:rPr>
          <w:highlight w:val="cyan"/>
        </w:rPr>
      </w:pPr>
      <w:r w:rsidRPr="00711FEC">
        <w:rPr>
          <w:rFonts w:cs="Times New Roman"/>
          <w:i/>
        </w:rPr>
        <w:t>Le capsule da 8 mg/10 mg</w:t>
      </w:r>
      <w:r w:rsidRPr="00711FEC">
        <w:rPr>
          <w:rFonts w:cs="Times New Roman"/>
        </w:rPr>
        <w:t xml:space="preserve"> sono capsule di gelatina dura, numero 1, con un corpo bianco opaco e un cappuccio giallo. Sulle capsule è stato impresso con inchiostro nero CAN 8 sul corpo e AML 10 sul cappuccio. Le capsule sono  riempite con microgranuli di colore da bianco a bianco scuro.</w:t>
      </w:r>
    </w:p>
    <w:p w:rsidR="00653660" w:rsidRPr="00711FEC" w:rsidRDefault="00653660" w:rsidP="006536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 w:val="0"/>
        <w:autoSpaceDN w:val="0"/>
        <w:adjustRightInd w:val="0"/>
        <w:spacing w:after="0" w:line="240" w:lineRule="auto"/>
        <w:jc w:val="both"/>
      </w:pPr>
      <w:r w:rsidRPr="00711FEC">
        <w:t xml:space="preserve">Gli eccipienti sono i seguenti: lattosio monoidrato, amido di mais, </w:t>
      </w:r>
      <w:proofErr w:type="spellStart"/>
      <w:r w:rsidRPr="00711FEC">
        <w:t>carmellosa</w:t>
      </w:r>
      <w:proofErr w:type="spellEnd"/>
      <w:r w:rsidRPr="00711FEC">
        <w:t xml:space="preserve"> calcica, macrogol tipo 8000, </w:t>
      </w:r>
      <w:proofErr w:type="spellStart"/>
      <w:r w:rsidRPr="00711FEC">
        <w:t>idrossipropilcellulosa</w:t>
      </w:r>
      <w:proofErr w:type="spellEnd"/>
      <w:r w:rsidRPr="00711FEC">
        <w:t xml:space="preserve"> tipo EXF, </w:t>
      </w:r>
      <w:proofErr w:type="spellStart"/>
      <w:r w:rsidRPr="00711FEC">
        <w:t>idrossipropilcellulosa</w:t>
      </w:r>
      <w:proofErr w:type="spellEnd"/>
      <w:r w:rsidRPr="00711FEC">
        <w:t xml:space="preserve"> tipo LF, magnesio stearato</w:t>
      </w:r>
      <w:r w:rsidR="008C38BA" w:rsidRPr="00711FEC">
        <w:t>.</w:t>
      </w:r>
    </w:p>
    <w:p w:rsidR="00653660" w:rsidRPr="00711FEC" w:rsidRDefault="00653660" w:rsidP="00653660">
      <w:pPr>
        <w:autoSpaceDE w:val="0"/>
        <w:autoSpaceDN w:val="0"/>
        <w:adjustRightInd w:val="0"/>
        <w:spacing w:after="0" w:line="240" w:lineRule="auto"/>
        <w:jc w:val="both"/>
      </w:pPr>
      <w:r w:rsidRPr="00711FEC">
        <w:t xml:space="preserve">I costituenti della capsula sono: titanio diossido, giallo chinolina (E104), ferro ossido </w:t>
      </w:r>
      <w:r w:rsidR="00711FEC" w:rsidRPr="00711FEC">
        <w:t>giallo</w:t>
      </w:r>
      <w:r w:rsidRPr="00711FEC">
        <w:t xml:space="preserve"> (E172),     gelatina.</w:t>
      </w:r>
    </w:p>
    <w:p w:rsidR="008C38BA" w:rsidRPr="00711FEC" w:rsidRDefault="008C38BA" w:rsidP="008C38BA">
      <w:pPr>
        <w:autoSpaceDE w:val="0"/>
        <w:autoSpaceDN w:val="0"/>
        <w:adjustRightInd w:val="0"/>
        <w:spacing w:after="0" w:line="240" w:lineRule="auto"/>
        <w:jc w:val="both"/>
        <w:rPr>
          <w:highlight w:val="cyan"/>
        </w:rPr>
      </w:pPr>
      <w:r w:rsidRPr="00711FEC">
        <w:rPr>
          <w:rFonts w:cs="Times New Roman"/>
          <w:i/>
        </w:rPr>
        <w:t>Le capsule da 16 mg/5 mg</w:t>
      </w:r>
      <w:r w:rsidRPr="00711FEC">
        <w:rPr>
          <w:rFonts w:cs="Times New Roman"/>
        </w:rPr>
        <w:t xml:space="preserve"> sono capsule di gelatina dura, numero 1, con un corpo bianco opaco e un cappuccio giallo pallido. Sulle capsule è stato impresso con inchiostro CAN 16 sul corpo e AML 5 sul cappuccio. Le capsule sono riempite con microgranuli di colore da bianco a bianco scuro.</w:t>
      </w:r>
    </w:p>
    <w:p w:rsidR="008C38BA" w:rsidRPr="00711FEC" w:rsidRDefault="008C38BA" w:rsidP="008C38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 w:val="0"/>
        <w:autoSpaceDN w:val="0"/>
        <w:adjustRightInd w:val="0"/>
        <w:spacing w:after="0" w:line="240" w:lineRule="auto"/>
        <w:jc w:val="both"/>
      </w:pPr>
      <w:r w:rsidRPr="00711FEC">
        <w:t xml:space="preserve">Gli eccipienti sono i seguenti: lattosio monoidrato, amido di mais, </w:t>
      </w:r>
      <w:proofErr w:type="spellStart"/>
      <w:r w:rsidRPr="00711FEC">
        <w:t>carmellosa</w:t>
      </w:r>
      <w:proofErr w:type="spellEnd"/>
      <w:r w:rsidRPr="00711FEC">
        <w:t xml:space="preserve"> calcica, macrogol tipo 8000, </w:t>
      </w:r>
      <w:proofErr w:type="spellStart"/>
      <w:r w:rsidRPr="00711FEC">
        <w:t>idrossipropilcellulosa</w:t>
      </w:r>
      <w:proofErr w:type="spellEnd"/>
      <w:r w:rsidRPr="00711FEC">
        <w:t xml:space="preserve"> tipo EXF, </w:t>
      </w:r>
      <w:proofErr w:type="spellStart"/>
      <w:r w:rsidRPr="00711FEC">
        <w:t>idrossipropilcellulosa</w:t>
      </w:r>
      <w:proofErr w:type="spellEnd"/>
      <w:r w:rsidRPr="00711FEC">
        <w:t xml:space="preserve"> tipo LF, magnesio stearato.</w:t>
      </w:r>
    </w:p>
    <w:p w:rsidR="008C38BA" w:rsidRPr="00711FEC" w:rsidRDefault="008C38BA" w:rsidP="008C38BA">
      <w:pPr>
        <w:autoSpaceDE w:val="0"/>
        <w:autoSpaceDN w:val="0"/>
        <w:adjustRightInd w:val="0"/>
        <w:spacing w:after="0" w:line="240" w:lineRule="auto"/>
        <w:jc w:val="both"/>
      </w:pPr>
      <w:r w:rsidRPr="00711FEC">
        <w:t>I costituenti della capsula sono: titanio diossido, giallo chinolina (E104), gelatina.</w:t>
      </w:r>
    </w:p>
    <w:p w:rsidR="008C38BA" w:rsidRPr="00711FEC" w:rsidRDefault="008C38BA" w:rsidP="008C38BA">
      <w:pPr>
        <w:autoSpaceDE w:val="0"/>
        <w:autoSpaceDN w:val="0"/>
        <w:adjustRightInd w:val="0"/>
        <w:spacing w:after="0" w:line="240" w:lineRule="auto"/>
        <w:jc w:val="both"/>
        <w:rPr>
          <w:highlight w:val="cyan"/>
        </w:rPr>
      </w:pPr>
      <w:r w:rsidRPr="00711FEC">
        <w:rPr>
          <w:rFonts w:cs="Times New Roman"/>
          <w:i/>
        </w:rPr>
        <w:t>Le capsule da 16 mg/10 mg</w:t>
      </w:r>
      <w:r w:rsidRPr="00711FEC">
        <w:rPr>
          <w:rFonts w:cs="Times New Roman"/>
        </w:rPr>
        <w:t xml:space="preserve"> sono capsule di gelatina dura, numero 1, con un corpo e un cappuccio bianco opaco, riempite con microgranuli di colore da bianco a bianco scuro.</w:t>
      </w:r>
    </w:p>
    <w:p w:rsidR="008C38BA" w:rsidRPr="00711FEC" w:rsidRDefault="008C38BA" w:rsidP="008C38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 w:val="0"/>
        <w:autoSpaceDN w:val="0"/>
        <w:adjustRightInd w:val="0"/>
        <w:spacing w:after="0" w:line="240" w:lineRule="auto"/>
        <w:jc w:val="both"/>
      </w:pPr>
      <w:r w:rsidRPr="00711FEC">
        <w:t xml:space="preserve">Gli eccipienti sono i seguenti: lattosio monoidrato, amido di mais, </w:t>
      </w:r>
      <w:proofErr w:type="spellStart"/>
      <w:r w:rsidRPr="00711FEC">
        <w:t>carmellosa</w:t>
      </w:r>
      <w:proofErr w:type="spellEnd"/>
      <w:r w:rsidRPr="00711FEC">
        <w:t xml:space="preserve"> calcica, macrogol tipo 8000, </w:t>
      </w:r>
      <w:proofErr w:type="spellStart"/>
      <w:r w:rsidRPr="00711FEC">
        <w:t>idrossipropilcellulosa</w:t>
      </w:r>
      <w:proofErr w:type="spellEnd"/>
      <w:r w:rsidRPr="00711FEC">
        <w:t xml:space="preserve"> tipo EXF, </w:t>
      </w:r>
      <w:proofErr w:type="spellStart"/>
      <w:r w:rsidRPr="00711FEC">
        <w:t>idrossipropilcellulosa</w:t>
      </w:r>
      <w:proofErr w:type="spellEnd"/>
      <w:r w:rsidRPr="00711FEC">
        <w:t xml:space="preserve"> tipo LF, magnesio stearato.</w:t>
      </w:r>
    </w:p>
    <w:p w:rsidR="008C38BA" w:rsidRPr="00711FEC" w:rsidRDefault="008C38BA" w:rsidP="008C38BA">
      <w:pPr>
        <w:autoSpaceDE w:val="0"/>
        <w:autoSpaceDN w:val="0"/>
        <w:adjustRightInd w:val="0"/>
        <w:spacing w:after="0" w:line="240" w:lineRule="auto"/>
        <w:jc w:val="both"/>
      </w:pPr>
      <w:r w:rsidRPr="00711FEC">
        <w:t>I costituenti della capsula sono: titanio diossido, gelatina.</w:t>
      </w:r>
    </w:p>
    <w:p w:rsidR="00AE2073" w:rsidRPr="00711FEC" w:rsidRDefault="00AE2073" w:rsidP="00653660">
      <w:pPr>
        <w:spacing w:after="0" w:line="240" w:lineRule="auto"/>
        <w:ind w:right="13"/>
        <w:jc w:val="both"/>
      </w:pPr>
      <w:r w:rsidRPr="00711FEC">
        <w:t>Tutti gli eccipienti sono conformi alla relativa monografia di Farmacopea Europea</w:t>
      </w:r>
      <w:r w:rsidR="00653660" w:rsidRPr="00711FEC">
        <w:t xml:space="preserve">, ad eccezione di giallo chinolina (E104), ferro ossido </w:t>
      </w:r>
      <w:r w:rsidR="00711FEC">
        <w:t xml:space="preserve">giallo </w:t>
      </w:r>
      <w:r w:rsidR="00653660" w:rsidRPr="00711FEC">
        <w:t>(E172), per i quali il produttore ha definito idonee specifiche di controllo</w:t>
      </w:r>
      <w:r w:rsidRPr="00711FEC">
        <w:t>.</w:t>
      </w:r>
    </w:p>
    <w:p w:rsidR="00AE2073" w:rsidRPr="00711FEC" w:rsidRDefault="00653660" w:rsidP="00653660">
      <w:pPr>
        <w:spacing w:after="0" w:line="240" w:lineRule="auto"/>
        <w:jc w:val="both"/>
      </w:pPr>
      <w:r w:rsidRPr="00711FEC">
        <w:t>Gli eccipienti</w:t>
      </w:r>
      <w:r w:rsidR="00AE2073" w:rsidRPr="00711FEC">
        <w:t xml:space="preserve"> di originale animale </w:t>
      </w:r>
      <w:r w:rsidRPr="00711FEC">
        <w:t xml:space="preserve">sonno gelatina, </w:t>
      </w:r>
      <w:r w:rsidR="00AE2073" w:rsidRPr="00711FEC">
        <w:t>magnesio stearato</w:t>
      </w:r>
      <w:r w:rsidRPr="00711FEC">
        <w:t>, lattosio</w:t>
      </w:r>
      <w:r w:rsidR="00AE2073" w:rsidRPr="00711FEC">
        <w:t>; è stata fornita una dichiarazione che nella produzione sono utilizzati animali sani della stessa qualità utilizzata per il consumo umano.</w:t>
      </w:r>
    </w:p>
    <w:p w:rsidR="008C38BA" w:rsidRPr="00711FEC" w:rsidRDefault="00AE2073" w:rsidP="00653660">
      <w:pPr>
        <w:spacing w:after="0" w:line="240" w:lineRule="auto"/>
        <w:jc w:val="both"/>
      </w:pPr>
      <w:r w:rsidRPr="00711FEC">
        <w:t>Nessun eccipiente è ottenuto da organismi geneticamente modificati; non sono presenti eccipienti mai utilizzati nell’uomo.</w:t>
      </w:r>
    </w:p>
    <w:p w:rsidR="00AE2073" w:rsidRPr="00653660" w:rsidRDefault="00AE2073" w:rsidP="00653660">
      <w:pPr>
        <w:spacing w:after="0" w:line="240" w:lineRule="auto"/>
        <w:jc w:val="both"/>
        <w:rPr>
          <w:b/>
        </w:rPr>
      </w:pPr>
      <w:r w:rsidRPr="00653660">
        <w:rPr>
          <w:b/>
        </w:rPr>
        <w:t>Sviluppo farmaceutico</w:t>
      </w:r>
    </w:p>
    <w:p w:rsidR="00AE2073" w:rsidRDefault="00AE2073" w:rsidP="00AE2073">
      <w:pPr>
        <w:spacing w:after="0" w:line="240" w:lineRule="auto"/>
        <w:jc w:val="both"/>
      </w:pPr>
      <w:r>
        <w:lastRenderedPageBreak/>
        <w:t>Sono stati forniti dettagli dello sviluppo farmaceutico e questi sono stati ritenuti soddisfacenti.</w:t>
      </w:r>
    </w:p>
    <w:p w:rsidR="00AE2073" w:rsidRDefault="00AE2073" w:rsidP="00AE2073">
      <w:pPr>
        <w:spacing w:after="0" w:line="240" w:lineRule="auto"/>
        <w:jc w:val="both"/>
      </w:pPr>
      <w:r>
        <w:t xml:space="preserve">Lo scopo era quello di ottenere un medicinale </w:t>
      </w:r>
      <w:proofErr w:type="spellStart"/>
      <w:r>
        <w:t>bioequivalente</w:t>
      </w:r>
      <w:proofErr w:type="spellEnd"/>
      <w:r>
        <w:t xml:space="preserve"> ai due medicinali di riferimento contenenti i </w:t>
      </w:r>
      <w:r w:rsidRPr="004A790D">
        <w:t xml:space="preserve">due principi attivi: </w:t>
      </w:r>
      <w:proofErr w:type="spellStart"/>
      <w:r w:rsidRPr="004A790D">
        <w:t>Norvasc</w:t>
      </w:r>
      <w:proofErr w:type="spellEnd"/>
      <w:r w:rsidRPr="004A790D">
        <w:t xml:space="preserve"> (</w:t>
      </w:r>
      <w:proofErr w:type="spellStart"/>
      <w:r w:rsidRPr="004A790D">
        <w:t>amlodipina</w:t>
      </w:r>
      <w:proofErr w:type="spellEnd"/>
      <w:r w:rsidRPr="004A790D">
        <w:t xml:space="preserve">) e </w:t>
      </w:r>
      <w:proofErr w:type="spellStart"/>
      <w:r w:rsidR="00B776F2">
        <w:t>Ra</w:t>
      </w:r>
      <w:r w:rsidR="007D2FC3" w:rsidRPr="004A790D">
        <w:t>tacand</w:t>
      </w:r>
      <w:proofErr w:type="spellEnd"/>
      <w:r w:rsidRPr="004A790D">
        <w:t xml:space="preserve"> (</w:t>
      </w:r>
      <w:proofErr w:type="spellStart"/>
      <w:r w:rsidR="007C2797" w:rsidRPr="004A790D">
        <w:t>candesartan</w:t>
      </w:r>
      <w:proofErr w:type="spellEnd"/>
      <w:r w:rsidRPr="004A790D">
        <w:t>).</w:t>
      </w:r>
    </w:p>
    <w:p w:rsidR="00AE2073" w:rsidRDefault="00AE2073" w:rsidP="00AE2073">
      <w:pPr>
        <w:spacing w:after="0" w:line="240" w:lineRule="auto"/>
        <w:jc w:val="both"/>
      </w:pPr>
      <w:r>
        <w:t>So</w:t>
      </w:r>
      <w:r w:rsidR="00711FEC">
        <w:t>no stati forniti dati comparativ</w:t>
      </w:r>
      <w:r>
        <w:t>i relativi al profilo di dissoluzione e al profilo di impurezze rispetto ai medicinali di riferimento. I dati sono soddisfacenti.</w:t>
      </w:r>
    </w:p>
    <w:p w:rsidR="00AE2073" w:rsidRDefault="00AE2073" w:rsidP="00AE2073">
      <w:pPr>
        <w:spacing w:after="0" w:line="240" w:lineRule="auto"/>
        <w:jc w:val="both"/>
      </w:pPr>
    </w:p>
    <w:p w:rsidR="00AE2073" w:rsidRPr="0062626E" w:rsidRDefault="00AE2073" w:rsidP="00AE2073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AE2073" w:rsidRDefault="00AE2073" w:rsidP="00AE2073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AE2073" w:rsidRDefault="00AE2073" w:rsidP="00AE2073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E2073" w:rsidRDefault="00AE2073" w:rsidP="00AE2073">
      <w:pPr>
        <w:spacing w:after="0" w:line="240" w:lineRule="auto"/>
        <w:jc w:val="both"/>
      </w:pPr>
    </w:p>
    <w:p w:rsidR="00AE2073" w:rsidRPr="0062626E" w:rsidRDefault="00AE2073" w:rsidP="00AE2073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AE2073" w:rsidRPr="005702AF" w:rsidRDefault="00AE2073" w:rsidP="00AE2073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>per tutti i dosaggi del prodotto finito: questi dati dimostrano che i lotti prodotti sono in accordo alle spe</w:t>
      </w:r>
      <w:r>
        <w:t xml:space="preserve">cifiche </w:t>
      </w:r>
      <w:r w:rsidRPr="005702AF">
        <w:t>proposte. Sono stati forniti, infine, certificati analitici per gli standard di riferimento utilizzati.</w:t>
      </w:r>
    </w:p>
    <w:p w:rsidR="00AE2073" w:rsidRDefault="00AE2073" w:rsidP="00AE2073">
      <w:pPr>
        <w:spacing w:after="0" w:line="240" w:lineRule="auto"/>
        <w:jc w:val="both"/>
        <w:rPr>
          <w:b/>
        </w:rPr>
      </w:pPr>
    </w:p>
    <w:p w:rsidR="00AE2073" w:rsidRPr="005702AF" w:rsidRDefault="00AE2073" w:rsidP="00AE2073">
      <w:pPr>
        <w:spacing w:after="0" w:line="240" w:lineRule="auto"/>
        <w:jc w:val="both"/>
        <w:rPr>
          <w:b/>
        </w:rPr>
      </w:pPr>
      <w:r w:rsidRPr="005702AF">
        <w:rPr>
          <w:b/>
        </w:rPr>
        <w:t>Contenitore</w:t>
      </w:r>
    </w:p>
    <w:p w:rsidR="00AE2073" w:rsidRPr="005702AF" w:rsidRDefault="005E590D" w:rsidP="00AE2073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Lodicand</w:t>
      </w:r>
      <w:proofErr w:type="spellEnd"/>
      <w:r w:rsidR="00AE2073" w:rsidRPr="004A790D">
        <w:t xml:space="preserve"> è confezionato in blister di </w:t>
      </w:r>
      <w:r w:rsidR="00AE2073" w:rsidRPr="004A790D">
        <w:rPr>
          <w:rFonts w:ascii="Calibri" w:hAnsi="Calibri"/>
        </w:rPr>
        <w:t xml:space="preserve">PA/Alluminio/PVC </w:t>
      </w:r>
      <w:r w:rsidR="00AE2073" w:rsidRPr="004A790D">
        <w:t>e Alluminio. Sono state fornite specifiche e</w:t>
      </w:r>
      <w:r w:rsidR="00AE2073" w:rsidRPr="005702AF">
        <w:t xml:space="preserve"> certificati analitici per tutti i componenti del confezionamento primario, che è adeguato per il medicinale.</w:t>
      </w:r>
    </w:p>
    <w:p w:rsidR="00AE2073" w:rsidRDefault="00AE2073" w:rsidP="00AE2073">
      <w:pPr>
        <w:spacing w:after="0" w:line="240" w:lineRule="auto"/>
        <w:jc w:val="both"/>
      </w:pPr>
    </w:p>
    <w:p w:rsidR="00AE2073" w:rsidRPr="005702AF" w:rsidRDefault="00AE2073" w:rsidP="00AE2073">
      <w:pPr>
        <w:spacing w:after="0" w:line="240" w:lineRule="auto"/>
        <w:jc w:val="both"/>
        <w:rPr>
          <w:b/>
        </w:rPr>
      </w:pPr>
      <w:r w:rsidRPr="005702AF">
        <w:rPr>
          <w:b/>
        </w:rPr>
        <w:t>Stabilità</w:t>
      </w:r>
    </w:p>
    <w:p w:rsidR="00AE2073" w:rsidRDefault="00AE2073" w:rsidP="00AE2073">
      <w:pPr>
        <w:spacing w:after="0" w:line="240" w:lineRule="auto"/>
        <w:jc w:val="both"/>
      </w:pPr>
      <w:r w:rsidRPr="005702AF">
        <w:t>Studi di stabilità sul prodotto finito sono stati condotti in accordo alle correnti linee guida e i risultati sono entro i limiti delle specifiche autorizzate. Sulla base di questi risultati</w:t>
      </w:r>
      <w:r>
        <w:t>,</w:t>
      </w:r>
      <w:r w:rsidRPr="005702AF">
        <w:t xml:space="preserve"> è stato autorizzato un period</w:t>
      </w:r>
      <w:r>
        <w:t>o</w:t>
      </w:r>
      <w:r w:rsidRPr="005702AF">
        <w:t xml:space="preserve"> di</w:t>
      </w:r>
      <w:r>
        <w:t xml:space="preserve"> </w:t>
      </w:r>
      <w:r w:rsidRPr="00653660">
        <w:t xml:space="preserve">validità di 2 anni </w:t>
      </w:r>
      <w:r w:rsidR="00653660" w:rsidRPr="00653660">
        <w:t>senza particolari condizioni di conservazione</w:t>
      </w:r>
      <w:r w:rsidRPr="00653660">
        <w:t>.</w:t>
      </w:r>
    </w:p>
    <w:p w:rsidR="00AE2073" w:rsidRDefault="00AE2073" w:rsidP="00AE2073">
      <w:pPr>
        <w:spacing w:after="0" w:line="240" w:lineRule="auto"/>
        <w:jc w:val="both"/>
      </w:pPr>
    </w:p>
    <w:p w:rsidR="00AE2073" w:rsidRPr="00DF7B22" w:rsidRDefault="00AE2073" w:rsidP="00AE2073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AE2073" w:rsidRDefault="00AE2073" w:rsidP="00AE2073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>
        <w:t xml:space="preserve"> è considerata adeguata. Non ci sono obiezioni per l’approvazione di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>
        <w:t xml:space="preserve"> dal punto di vista chimico-farmaceutico.</w:t>
      </w:r>
    </w:p>
    <w:p w:rsidR="00AE2073" w:rsidRDefault="00AE2073" w:rsidP="00AE2073">
      <w:pPr>
        <w:spacing w:after="0" w:line="240" w:lineRule="auto"/>
        <w:jc w:val="both"/>
      </w:pPr>
    </w:p>
    <w:p w:rsidR="00AE2073" w:rsidRPr="00DF7B22" w:rsidRDefault="00AE2073" w:rsidP="00AE207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E2073" w:rsidRDefault="00AE2073" w:rsidP="00AE2073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>
        <w:t xml:space="preserve"> contiene due principi attivi noti già usati contemporaneamente nella terapia dell’ipertensione: questo approccio è accettabile poiché i </w:t>
      </w:r>
      <w:r w:rsidRPr="00653660">
        <w:t xml:space="preserve">medicinali di riferimento </w:t>
      </w:r>
      <w:proofErr w:type="spellStart"/>
      <w:r w:rsidRPr="00653660">
        <w:t>Norvasc</w:t>
      </w:r>
      <w:proofErr w:type="spellEnd"/>
      <w:r w:rsidRPr="00653660">
        <w:t xml:space="preserve"> e </w:t>
      </w:r>
      <w:proofErr w:type="spellStart"/>
      <w:r w:rsidR="00B776F2">
        <w:t>Ra</w:t>
      </w:r>
      <w:r w:rsidR="007D2FC3" w:rsidRPr="00653660">
        <w:t>tacand</w:t>
      </w:r>
      <w:proofErr w:type="spellEnd"/>
      <w:r w:rsidRPr="00653660">
        <w:t xml:space="preserve"> sono autorizzati da oltre 10 anni.</w:t>
      </w:r>
    </w:p>
    <w:p w:rsidR="00AE2073" w:rsidRDefault="00AE2073" w:rsidP="00AE2073">
      <w:pPr>
        <w:spacing w:after="0" w:line="240" w:lineRule="auto"/>
        <w:jc w:val="both"/>
      </w:pPr>
      <w:r>
        <w:t>Non ci sono obiezioni per l’approvazione dal punto di vista non clinico.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Pr="005A38F5" w:rsidRDefault="00AE2073" w:rsidP="00AE207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653660" w:rsidRPr="004A790D" w:rsidRDefault="005E590D" w:rsidP="00653660">
      <w:pPr>
        <w:spacing w:after="0" w:line="240" w:lineRule="auto"/>
        <w:jc w:val="both"/>
        <w:rPr>
          <w:bCs/>
        </w:rPr>
      </w:pPr>
      <w:proofErr w:type="spellStart"/>
      <w:r>
        <w:rPr>
          <w:rFonts w:eastAsia="Calibri" w:cs="Calibri"/>
          <w:color w:val="000000"/>
          <w:lang w:eastAsia="it-IT"/>
        </w:rPr>
        <w:t>Lodicand</w:t>
      </w:r>
      <w:proofErr w:type="spellEnd"/>
      <w:r w:rsidR="00653660" w:rsidRPr="004A790D">
        <w:rPr>
          <w:rFonts w:eastAsia="Calibri" w:cs="Calibri"/>
          <w:color w:val="000000"/>
          <w:lang w:eastAsia="it-IT"/>
        </w:rPr>
        <w:t xml:space="preserve"> </w:t>
      </w:r>
      <w:r w:rsidR="00653660" w:rsidRPr="004A790D">
        <w:rPr>
          <w:rFonts w:cs="Times New Roman"/>
        </w:rPr>
        <w:t xml:space="preserve">è indicato come terapia di sostituzione per il trattamento dell’ipertensione essenziale in pazienti adulti la cui pressione arteriosa è già controllata adeguatamente con </w:t>
      </w:r>
      <w:proofErr w:type="spellStart"/>
      <w:r w:rsidR="00653660" w:rsidRPr="004A790D">
        <w:rPr>
          <w:rFonts w:cs="Times New Roman"/>
        </w:rPr>
        <w:t>candesartan</w:t>
      </w:r>
      <w:proofErr w:type="spellEnd"/>
      <w:r w:rsidR="00653660" w:rsidRPr="004A790D">
        <w:rPr>
          <w:rFonts w:cs="Times New Roman"/>
        </w:rPr>
        <w:t xml:space="preserve"> e </w:t>
      </w:r>
      <w:proofErr w:type="spellStart"/>
      <w:r w:rsidR="00653660" w:rsidRPr="004A790D">
        <w:rPr>
          <w:rFonts w:cs="Times New Roman"/>
        </w:rPr>
        <w:t>amlodipina</w:t>
      </w:r>
      <w:proofErr w:type="spellEnd"/>
      <w:r w:rsidR="00653660" w:rsidRPr="004A790D">
        <w:rPr>
          <w:rFonts w:cs="Times New Roman"/>
        </w:rPr>
        <w:t xml:space="preserve"> somministrati in concomitanza agli stessi livelli di dose</w:t>
      </w:r>
      <w:r w:rsidR="00653660" w:rsidRPr="004A790D">
        <w:rPr>
          <w:rFonts w:cs="Helvetica"/>
        </w:rPr>
        <w:t>.</w:t>
      </w:r>
    </w:p>
    <w:p w:rsidR="00653660" w:rsidRDefault="00653660" w:rsidP="00AE2073">
      <w:pPr>
        <w:spacing w:after="0" w:line="240" w:lineRule="auto"/>
        <w:ind w:right="6"/>
        <w:jc w:val="both"/>
      </w:pPr>
    </w:p>
    <w:p w:rsidR="00AE2073" w:rsidRPr="002B6D26" w:rsidRDefault="00AE2073" w:rsidP="00AE2073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AE2073" w:rsidRDefault="00AE2073" w:rsidP="00AE207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AE2073" w:rsidRDefault="00AE2073" w:rsidP="00AE207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E2073" w:rsidRPr="002B6D26" w:rsidRDefault="00AE2073" w:rsidP="00AE2073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E2073" w:rsidRDefault="00AE2073" w:rsidP="00AE207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 w:rsidR="007C2797">
        <w:rPr>
          <w:rFonts w:eastAsia="Calibri" w:cs="Calibri"/>
          <w:lang w:eastAsia="it-IT"/>
        </w:rPr>
        <w:t>candesartan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amlodipina</w:t>
      </w:r>
      <w:proofErr w:type="spellEnd"/>
      <w:r>
        <w:rPr>
          <w:rFonts w:eastAsia="Calibri" w:cs="Calibri"/>
          <w:lang w:eastAsia="it-IT"/>
        </w:rPr>
        <w:t xml:space="preserve"> è ben conosciuta; non è stato necessario presentare ulteriori dati.</w:t>
      </w:r>
    </w:p>
    <w:p w:rsidR="00AE2073" w:rsidRDefault="00AE2073" w:rsidP="00AE207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E2073" w:rsidRPr="006556D6" w:rsidRDefault="00AE2073" w:rsidP="00AE2073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AE2073" w:rsidRDefault="00AE2073" w:rsidP="00AE2073">
      <w:pPr>
        <w:spacing w:after="0" w:line="240" w:lineRule="auto"/>
        <w:jc w:val="both"/>
      </w:pPr>
      <w:r>
        <w:rPr>
          <w:rFonts w:eastAsia="Calibri" w:cs="Calibri"/>
          <w:lang w:eastAsia="it-IT"/>
        </w:rPr>
        <w:lastRenderedPageBreak/>
        <w:t xml:space="preserve">La farmacologia clinica di </w:t>
      </w:r>
      <w:proofErr w:type="spellStart"/>
      <w:r w:rsidR="007C2797">
        <w:rPr>
          <w:rFonts w:eastAsia="Calibri" w:cs="Calibri"/>
          <w:lang w:eastAsia="it-IT"/>
        </w:rPr>
        <w:t>candesartan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amlodipina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besilato</w:t>
      </w:r>
      <w:proofErr w:type="spellEnd"/>
      <w:r>
        <w:rPr>
          <w:rFonts w:eastAsia="Calibri" w:cs="Calibri"/>
          <w:lang w:eastAsia="it-IT"/>
        </w:rPr>
        <w:t xml:space="preserve"> è ben conosciuta.</w:t>
      </w:r>
      <w:r w:rsidRPr="00A34141">
        <w:t xml:space="preserve"> </w:t>
      </w:r>
      <w:r>
        <w:t>Con l’eccezione dello studio di bioequivalenza</w:t>
      </w:r>
      <w:r w:rsidR="007755BC">
        <w:t xml:space="preserve"> e dello studio di interazione farmacocinetica</w:t>
      </w:r>
      <w:r>
        <w:t>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 w:rsidRPr="00A34141">
        <w:t xml:space="preserve"> contiene due principi attivi noti già usati contemporaneamente nella terapia </w:t>
      </w:r>
      <w:r w:rsidRPr="00653660">
        <w:t xml:space="preserve">dell’ipertensione e presenti in due medicinali </w:t>
      </w:r>
      <w:proofErr w:type="spellStart"/>
      <w:r w:rsidRPr="00653660">
        <w:t>Norvasc</w:t>
      </w:r>
      <w:proofErr w:type="spellEnd"/>
      <w:r w:rsidRPr="00653660">
        <w:t xml:space="preserve"> (</w:t>
      </w:r>
      <w:proofErr w:type="spellStart"/>
      <w:r w:rsidRPr="00653660">
        <w:t>amlodipina</w:t>
      </w:r>
      <w:proofErr w:type="spellEnd"/>
      <w:r w:rsidRPr="00653660">
        <w:t xml:space="preserve">) e </w:t>
      </w:r>
      <w:proofErr w:type="spellStart"/>
      <w:r w:rsidR="00B776F2">
        <w:t>Ra</w:t>
      </w:r>
      <w:r w:rsidR="007D2FC3" w:rsidRPr="00653660">
        <w:t>tacand</w:t>
      </w:r>
      <w:proofErr w:type="spellEnd"/>
      <w:r w:rsidRPr="00653660">
        <w:t xml:space="preserve"> (</w:t>
      </w:r>
      <w:proofErr w:type="spellStart"/>
      <w:r w:rsidR="007C2797" w:rsidRPr="00653660">
        <w:t>candesartan</w:t>
      </w:r>
      <w:proofErr w:type="spellEnd"/>
      <w:r w:rsidRPr="00653660">
        <w:t>) autorizzati da</w:t>
      </w:r>
      <w:r w:rsidRPr="00A34141">
        <w:t xml:space="preserve"> più di 10 anni.</w:t>
      </w:r>
    </w:p>
    <w:p w:rsidR="00AE2073" w:rsidRDefault="00AE2073" w:rsidP="00AE2073">
      <w:pPr>
        <w:spacing w:after="0" w:line="240" w:lineRule="auto"/>
        <w:jc w:val="both"/>
      </w:pPr>
    </w:p>
    <w:p w:rsidR="00AE2073" w:rsidRPr="006556D6" w:rsidRDefault="00AE2073" w:rsidP="00AE2073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AE2073" w:rsidRPr="00FA7C92" w:rsidRDefault="00AE2073" w:rsidP="00AE2073">
      <w:pPr>
        <w:pStyle w:val="Paragrafoelenco"/>
        <w:spacing w:after="0" w:line="240" w:lineRule="auto"/>
        <w:ind w:left="0"/>
        <w:jc w:val="both"/>
      </w:pPr>
      <w:r w:rsidRPr="00A34141">
        <w:t>La richiesta di AIC è supportata</w:t>
      </w:r>
      <w:r>
        <w:t xml:space="preserve"> </w:t>
      </w:r>
      <w:r w:rsidRPr="00A34141">
        <w:t xml:space="preserve">da uno studio di bioequivalenza che ha confrontato i profili farmacocinetici di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 w:rsidRPr="00A34141">
        <w:t xml:space="preserve"> e quelli dei medicinali di riferimento </w:t>
      </w:r>
      <w:proofErr w:type="spellStart"/>
      <w:r w:rsidRPr="00A34141">
        <w:t>Norvasc</w:t>
      </w:r>
      <w:proofErr w:type="spellEnd"/>
      <w:r w:rsidRPr="00A34141">
        <w:t xml:space="preserve"> (</w:t>
      </w:r>
      <w:proofErr w:type="spellStart"/>
      <w:r w:rsidRPr="00A34141">
        <w:t>amlodipina</w:t>
      </w:r>
      <w:proofErr w:type="spellEnd"/>
      <w:r w:rsidRPr="00A34141">
        <w:t xml:space="preserve">) e </w:t>
      </w:r>
      <w:proofErr w:type="spellStart"/>
      <w:r w:rsidR="00B776F2">
        <w:t>Ra</w:t>
      </w:r>
      <w:r w:rsidR="00653660">
        <w:t>tacand</w:t>
      </w:r>
      <w:proofErr w:type="spellEnd"/>
      <w:r w:rsidRPr="00FA7C92">
        <w:t xml:space="preserve"> (</w:t>
      </w:r>
      <w:proofErr w:type="spellStart"/>
      <w:r w:rsidR="007C2797">
        <w:t>candesartan</w:t>
      </w:r>
      <w:proofErr w:type="spellEnd"/>
      <w:r w:rsidRPr="00FA7C92">
        <w:t>)</w:t>
      </w:r>
      <w:r w:rsidR="007755BC">
        <w:t xml:space="preserve"> e da uno studio di interazione farmacocinetica</w:t>
      </w:r>
      <w:r w:rsidRPr="00FA7C92">
        <w:t xml:space="preserve">. </w:t>
      </w:r>
    </w:p>
    <w:p w:rsidR="00BD7636" w:rsidRDefault="00BD7636" w:rsidP="00BD7636">
      <w:pPr>
        <w:spacing w:after="0" w:line="240" w:lineRule="auto"/>
        <w:jc w:val="both"/>
      </w:pPr>
      <w:r w:rsidRPr="00333936">
        <w:rPr>
          <w:rFonts w:ascii="Calibri" w:hAnsi="Calibri"/>
        </w:rPr>
        <w:t xml:space="preserve">L’utilizzo del solo dosaggio </w:t>
      </w:r>
      <w:r w:rsidRPr="00333936">
        <w:t>maggiore 1</w:t>
      </w:r>
      <w:r>
        <w:t>6</w:t>
      </w:r>
      <w:r w:rsidRPr="00333936">
        <w:t xml:space="preserve"> mg </w:t>
      </w:r>
      <w:r>
        <w:t xml:space="preserve">di </w:t>
      </w:r>
      <w:proofErr w:type="spellStart"/>
      <w:r>
        <w:t>candesartan</w:t>
      </w:r>
      <w:proofErr w:type="spellEnd"/>
      <w:r>
        <w:t xml:space="preserve"> e 10 mg di </w:t>
      </w:r>
      <w:proofErr w:type="spellStart"/>
      <w:r>
        <w:t>amlodipina</w:t>
      </w:r>
      <w:proofErr w:type="spellEnd"/>
      <w:r>
        <w:t xml:space="preserve"> </w:t>
      </w:r>
      <w:r w:rsidRPr="00333936">
        <w:t>per lo studio di bioequivalenza è st</w:t>
      </w:r>
      <w:r>
        <w:t>ato opportunamente giustificato.</w:t>
      </w:r>
    </w:p>
    <w:p w:rsidR="00AE2073" w:rsidRPr="00FC0A0F" w:rsidRDefault="00AE2073" w:rsidP="00AE2073">
      <w:pPr>
        <w:pStyle w:val="Paragrafoelenco"/>
        <w:spacing w:after="0" w:line="240" w:lineRule="auto"/>
        <w:ind w:left="0"/>
        <w:jc w:val="both"/>
      </w:pPr>
      <w:r w:rsidRPr="00FC0A0F">
        <w:t>Lo studio</w:t>
      </w:r>
      <w:r w:rsidR="007755BC" w:rsidRPr="00FC0A0F">
        <w:t xml:space="preserve"> </w:t>
      </w:r>
      <w:r w:rsidRPr="00FC0A0F">
        <w:t>era caratterizzato da un appropriato disegno ed è stato condotto in accordo ai principi GCP. Sono stati forniti certificati analitici per medicinale test e medicinali di riferimento.</w:t>
      </w:r>
    </w:p>
    <w:p w:rsidR="00AE2073" w:rsidRPr="00FC0A0F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</w:rPr>
        <w:t xml:space="preserve">Lo studio di bioequivalenza è uno studio comparativo, aperto, randomizzato, a dose singola, </w:t>
      </w:r>
      <w:r w:rsidR="00FC0A0F" w:rsidRPr="00FC0A0F">
        <w:rPr>
          <w:rFonts w:cs="Helvetica"/>
        </w:rPr>
        <w:t>3</w:t>
      </w:r>
      <w:r w:rsidRPr="00FC0A0F">
        <w:rPr>
          <w:rFonts w:cs="Helvetica"/>
        </w:rPr>
        <w:t>-periodi,</w:t>
      </w:r>
      <w:r w:rsidR="00711FEC">
        <w:rPr>
          <w:rFonts w:cs="Helvetica"/>
        </w:rPr>
        <w:t xml:space="preserve"> </w:t>
      </w:r>
      <w:r w:rsidR="00FC0A0F" w:rsidRPr="00FC0A0F">
        <w:rPr>
          <w:rFonts w:cs="Helvetica"/>
        </w:rPr>
        <w:t>3 sequenze</w:t>
      </w:r>
      <w:r w:rsidR="00396BCF">
        <w:rPr>
          <w:rFonts w:cs="Helvetica"/>
        </w:rPr>
        <w:t xml:space="preserve"> </w:t>
      </w:r>
      <w:r w:rsidR="00711FEC">
        <w:rPr>
          <w:rFonts w:cs="Helvetica"/>
        </w:rPr>
        <w:t xml:space="preserve">e 3 trattamenti </w:t>
      </w:r>
      <w:r w:rsidRPr="00FC0A0F">
        <w:rPr>
          <w:rFonts w:cs="Helvetica"/>
        </w:rPr>
        <w:t>crossover</w:t>
      </w:r>
      <w:r w:rsidR="00711FEC">
        <w:rPr>
          <w:rFonts w:cs="Helvetica"/>
        </w:rPr>
        <w:t xml:space="preserve"> </w:t>
      </w:r>
      <w:r w:rsidRPr="00FC0A0F">
        <w:rPr>
          <w:rFonts w:cs="Helvetica"/>
        </w:rPr>
        <w:t>condotto in 42 volontari sani con somministrazione a digiuno. Un soddisfacente periodo di wash-out di 2</w:t>
      </w:r>
      <w:r w:rsidR="00FC0A0F" w:rsidRPr="00FC0A0F">
        <w:rPr>
          <w:rFonts w:cs="Helvetica"/>
        </w:rPr>
        <w:t>1</w:t>
      </w:r>
      <w:r w:rsidRPr="00FC0A0F">
        <w:rPr>
          <w:rFonts w:cs="Helvetica"/>
        </w:rPr>
        <w:t xml:space="preserve"> giorni è stato previsto tra le somministrazioni in ogni gruppo.</w:t>
      </w:r>
    </w:p>
    <w:p w:rsidR="00AE2073" w:rsidRPr="00FC0A0F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</w:rPr>
        <w:t>Campioni di sangue sono stati prelevati al tempo zero (</w:t>
      </w:r>
      <w:proofErr w:type="spellStart"/>
      <w:r w:rsidRPr="00FC0A0F">
        <w:rPr>
          <w:rFonts w:cs="Helvetica"/>
        </w:rPr>
        <w:t>pre-dose</w:t>
      </w:r>
      <w:proofErr w:type="spellEnd"/>
      <w:r w:rsidRPr="00FC0A0F">
        <w:rPr>
          <w:rFonts w:cs="Helvetica"/>
        </w:rPr>
        <w:t xml:space="preserve">) e a specificati tempi fino a </w:t>
      </w:r>
      <w:r w:rsidR="00FC0A0F" w:rsidRPr="00FC0A0F">
        <w:rPr>
          <w:rFonts w:cs="Helvetica"/>
        </w:rPr>
        <w:t>48</w:t>
      </w:r>
      <w:r w:rsidRPr="00FC0A0F">
        <w:rPr>
          <w:rFonts w:cs="Helvetica"/>
        </w:rPr>
        <w:t xml:space="preserve"> ore (</w:t>
      </w:r>
      <w:proofErr w:type="spellStart"/>
      <w:r w:rsidR="007C2797" w:rsidRPr="00FC0A0F">
        <w:rPr>
          <w:rFonts w:cs="Helvetica"/>
        </w:rPr>
        <w:t>candesartan</w:t>
      </w:r>
      <w:proofErr w:type="spellEnd"/>
      <w:r w:rsidRPr="00FC0A0F">
        <w:rPr>
          <w:rFonts w:cs="Helvetica"/>
        </w:rPr>
        <w:t>) e 72 ore (</w:t>
      </w:r>
      <w:proofErr w:type="spellStart"/>
      <w:r w:rsidRPr="00FC0A0F">
        <w:rPr>
          <w:rFonts w:cs="Helvetica"/>
        </w:rPr>
        <w:t>amlodipina</w:t>
      </w:r>
      <w:proofErr w:type="spellEnd"/>
      <w:r w:rsidRPr="00FC0A0F">
        <w:rPr>
          <w:rFonts w:cs="Helvetica"/>
        </w:rPr>
        <w:t xml:space="preserve">) dopo la somministrazione. I livelli plasmatici di </w:t>
      </w:r>
      <w:proofErr w:type="spellStart"/>
      <w:r w:rsidR="007C2797" w:rsidRPr="00FC0A0F">
        <w:rPr>
          <w:rFonts w:cs="Helvetica"/>
        </w:rPr>
        <w:t>candesartan</w:t>
      </w:r>
      <w:proofErr w:type="spellEnd"/>
      <w:r w:rsidRPr="00FC0A0F">
        <w:rPr>
          <w:rFonts w:cs="Helvetica"/>
        </w:rPr>
        <w:t xml:space="preserve"> e </w:t>
      </w:r>
      <w:proofErr w:type="spellStart"/>
      <w:r w:rsidRPr="00FC0A0F">
        <w:rPr>
          <w:rFonts w:cs="Helvetica"/>
        </w:rPr>
        <w:t>amlodipina</w:t>
      </w:r>
      <w:proofErr w:type="spellEnd"/>
      <w:r w:rsidRPr="00FC0A0F">
        <w:rPr>
          <w:rFonts w:cs="Helvetica"/>
        </w:rPr>
        <w:t xml:space="preserve"> sono stati determinati mediante un metodo analitico HPLC-MS opportunamente convalidato.</w:t>
      </w:r>
    </w:p>
    <w:p w:rsidR="00AE2073" w:rsidRPr="00FC0A0F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</w:rPr>
        <w:t>Le variabili farmacocinetiche definite sono state AUC</w:t>
      </w:r>
      <w:r w:rsidRPr="00FC0A0F">
        <w:rPr>
          <w:rFonts w:cs="Helvetica"/>
          <w:vertAlign w:val="subscript"/>
        </w:rPr>
        <w:t>0-t</w:t>
      </w:r>
      <w:r w:rsidRPr="00FC0A0F">
        <w:rPr>
          <w:rFonts w:cs="Helvetica"/>
        </w:rPr>
        <w:t>, AUC</w:t>
      </w:r>
      <w:r w:rsidRPr="00FC0A0F">
        <w:rPr>
          <w:rFonts w:cs="Helvetica"/>
          <w:vertAlign w:val="subscript"/>
        </w:rPr>
        <w:t>0-</w:t>
      </w:r>
      <w:r w:rsidRPr="00FC0A0F">
        <w:rPr>
          <w:rFonts w:cs="Helvetica"/>
          <w:vertAlign w:val="subscript"/>
        </w:rPr>
        <w:sym w:font="Symbol" w:char="F0A5"/>
      </w:r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C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t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K</w:t>
      </w:r>
      <w:r w:rsidRPr="00FC0A0F">
        <w:rPr>
          <w:rFonts w:cs="Helvetica"/>
          <w:vertAlign w:val="subscript"/>
        </w:rPr>
        <w:t>el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t</w:t>
      </w:r>
      <w:r w:rsidRPr="00FC0A0F">
        <w:rPr>
          <w:rFonts w:cs="Helvetica"/>
          <w:vertAlign w:val="subscript"/>
        </w:rPr>
        <w:t>½</w:t>
      </w:r>
      <w:proofErr w:type="spellEnd"/>
      <w:r w:rsidRPr="00FC0A0F">
        <w:rPr>
          <w:rFonts w:cs="Helvetica"/>
          <w:vertAlign w:val="subscript"/>
        </w:rPr>
        <w:t xml:space="preserve"> </w:t>
      </w:r>
      <w:r w:rsidRPr="00FC0A0F">
        <w:rPr>
          <w:rFonts w:cs="Helvetica"/>
        </w:rPr>
        <w:t xml:space="preserve">per </w:t>
      </w:r>
      <w:proofErr w:type="spellStart"/>
      <w:r w:rsidR="007C2797" w:rsidRPr="00FC0A0F">
        <w:rPr>
          <w:rFonts w:cs="Helvetica"/>
        </w:rPr>
        <w:t>candesartan</w:t>
      </w:r>
      <w:proofErr w:type="spellEnd"/>
      <w:r w:rsidRPr="00FC0A0F">
        <w:rPr>
          <w:rFonts w:cs="Helvetica"/>
        </w:rPr>
        <w:t xml:space="preserve"> e</w:t>
      </w:r>
      <w:r w:rsidRPr="00FC0A0F">
        <w:rPr>
          <w:rFonts w:cs="Helvetica"/>
          <w:vertAlign w:val="subscript"/>
        </w:rPr>
        <w:t xml:space="preserve"> </w:t>
      </w:r>
      <w:r w:rsidRPr="00FC0A0F">
        <w:rPr>
          <w:rFonts w:cs="Helvetica"/>
        </w:rPr>
        <w:t>AUC</w:t>
      </w:r>
      <w:r w:rsidRPr="00FC0A0F">
        <w:rPr>
          <w:rFonts w:cs="Helvetica"/>
          <w:vertAlign w:val="subscript"/>
        </w:rPr>
        <w:t>0-72h</w:t>
      </w:r>
      <w:r w:rsidRPr="00FC0A0F">
        <w:rPr>
          <w:rFonts w:cs="Helvetica"/>
        </w:rPr>
        <w:t xml:space="preserve">,  </w:t>
      </w:r>
      <w:proofErr w:type="spellStart"/>
      <w:r w:rsidRPr="00FC0A0F">
        <w:rPr>
          <w:rFonts w:cs="Helvetica"/>
        </w:rPr>
        <w:t>C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t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K</w:t>
      </w:r>
      <w:r w:rsidRPr="00FC0A0F">
        <w:rPr>
          <w:rFonts w:cs="Helvetica"/>
          <w:vertAlign w:val="subscript"/>
        </w:rPr>
        <w:t>el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t</w:t>
      </w:r>
      <w:r w:rsidRPr="00FC0A0F">
        <w:rPr>
          <w:rFonts w:cs="Helvetica"/>
          <w:vertAlign w:val="subscript"/>
        </w:rPr>
        <w:t>½</w:t>
      </w:r>
      <w:proofErr w:type="spellEnd"/>
      <w:r w:rsidRPr="00FC0A0F">
        <w:rPr>
          <w:rFonts w:cs="Helvetica"/>
          <w:vertAlign w:val="subscript"/>
        </w:rPr>
        <w:t xml:space="preserve"> </w:t>
      </w:r>
      <w:r w:rsidRPr="00FC0A0F">
        <w:rPr>
          <w:rFonts w:cs="Helvetica"/>
        </w:rPr>
        <w:t xml:space="preserve">per </w:t>
      </w:r>
      <w:proofErr w:type="spellStart"/>
      <w:r w:rsidRPr="00FC0A0F">
        <w:rPr>
          <w:rFonts w:cs="Helvetica"/>
        </w:rPr>
        <w:t>amlodipina</w:t>
      </w:r>
      <w:proofErr w:type="spellEnd"/>
      <w:r w:rsidRPr="00FC0A0F">
        <w:rPr>
          <w:rFonts w:cs="Helvetica"/>
        </w:rPr>
        <w:t xml:space="preserve">. La bioequivalenza tra medicinale test e medicinale di riferimento è dimostrata se gli intervalli di confidenza al 90% per la trasformata logaritmica di </w:t>
      </w:r>
      <w:proofErr w:type="spellStart"/>
      <w:r w:rsidRPr="00FC0A0F">
        <w:rPr>
          <w:rFonts w:cs="Helvetica"/>
        </w:rPr>
        <w:t>C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>, e AUC</w:t>
      </w:r>
      <w:r w:rsidRPr="00FC0A0F">
        <w:rPr>
          <w:rFonts w:cs="Helvetica"/>
          <w:vertAlign w:val="subscript"/>
        </w:rPr>
        <w:t>0-t</w:t>
      </w:r>
      <w:r w:rsidRPr="00FC0A0F">
        <w:rPr>
          <w:rFonts w:cs="Helvetica"/>
        </w:rPr>
        <w:t xml:space="preserve"> cadono nel </w:t>
      </w:r>
      <w:proofErr w:type="spellStart"/>
      <w:r w:rsidRPr="00FC0A0F">
        <w:rPr>
          <w:rFonts w:cs="Helvetica"/>
        </w:rPr>
        <w:t>range</w:t>
      </w:r>
      <w:proofErr w:type="spellEnd"/>
      <w:r w:rsidRPr="00FC0A0F">
        <w:rPr>
          <w:rFonts w:cs="Helvetica"/>
        </w:rPr>
        <w:t xml:space="preserve"> di accettabilità di 0.80-1.25 (80%-125%).</w:t>
      </w:r>
    </w:p>
    <w:p w:rsidR="00AE2073" w:rsidRPr="00F7013E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highlight w:val="yellow"/>
          <w:u w:val="single"/>
        </w:rPr>
      </w:pPr>
    </w:p>
    <w:p w:rsidR="00AE2073" w:rsidRPr="00FC0A0F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u w:val="single"/>
        </w:rPr>
      </w:pPr>
      <w:r w:rsidRPr="00FC0A0F">
        <w:rPr>
          <w:rFonts w:cs="Helvetica"/>
          <w:u w:val="single"/>
        </w:rPr>
        <w:t>Risultati</w:t>
      </w:r>
    </w:p>
    <w:p w:rsidR="00AE2073" w:rsidRPr="00FC0A0F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</w:rPr>
        <w:t>42 volontari sani sono stati arruolati negli studi. 4</w:t>
      </w:r>
      <w:r w:rsidR="00FC0A0F" w:rsidRPr="00FC0A0F">
        <w:rPr>
          <w:rFonts w:cs="Helvetica"/>
        </w:rPr>
        <w:t>1</w:t>
      </w:r>
      <w:r w:rsidRPr="00FC0A0F">
        <w:rPr>
          <w:rFonts w:cs="Helvetica"/>
        </w:rPr>
        <w:t xml:space="preserve"> soggetti hanno completato la fase clinica e sono stati analizzati.</w:t>
      </w:r>
    </w:p>
    <w:p w:rsidR="00AE2073" w:rsidRPr="00F7013E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b/>
          <w:i/>
          <w:highlight w:val="yellow"/>
        </w:rPr>
      </w:pPr>
    </w:p>
    <w:p w:rsidR="00AE2073" w:rsidRPr="00FC0A0F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  <w:i/>
        </w:rPr>
        <w:t>Sicurezza</w:t>
      </w:r>
    </w:p>
    <w:p w:rsidR="00AE2073" w:rsidRPr="00FC0A0F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</w:rPr>
        <w:t>Sono stati  rilevati sei eventi avversi (</w:t>
      </w:r>
      <w:r w:rsidR="00FC0A0F" w:rsidRPr="00FC0A0F">
        <w:rPr>
          <w:rFonts w:cs="Helvetica"/>
        </w:rPr>
        <w:t xml:space="preserve">debolezza, mal di testa, </w:t>
      </w:r>
      <w:r w:rsidRPr="00FC0A0F">
        <w:rPr>
          <w:rFonts w:cs="Helvetica"/>
        </w:rPr>
        <w:t xml:space="preserve"> vomito,</w:t>
      </w:r>
      <w:r w:rsidR="00BD7636">
        <w:rPr>
          <w:rFonts w:cs="Helvetica"/>
        </w:rPr>
        <w:t xml:space="preserve"> </w:t>
      </w:r>
      <w:r w:rsidR="00FC0A0F" w:rsidRPr="00FC0A0F">
        <w:rPr>
          <w:rFonts w:cs="Helvetica"/>
        </w:rPr>
        <w:t>laringite</w:t>
      </w:r>
      <w:r w:rsidRPr="00FC0A0F">
        <w:rPr>
          <w:rFonts w:cs="Helvetica"/>
        </w:rPr>
        <w:t>). Non veniva osservato alcun evento avverso grave durante lo studio.</w:t>
      </w:r>
    </w:p>
    <w:p w:rsidR="00AE2073" w:rsidRPr="00F7013E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highlight w:val="yellow"/>
        </w:rPr>
      </w:pPr>
    </w:p>
    <w:p w:rsidR="00AE2073" w:rsidRPr="00BD7636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BD7636">
        <w:rPr>
          <w:rFonts w:cs="Helvetica"/>
          <w:i/>
        </w:rPr>
        <w:t>Parametri farmacocinetici</w:t>
      </w:r>
      <w:r w:rsidRPr="00BD7636">
        <w:rPr>
          <w:rFonts w:cs="Helvetica"/>
        </w:rPr>
        <w:t xml:space="preserve">. </w:t>
      </w:r>
    </w:p>
    <w:p w:rsidR="00AE2073" w:rsidRPr="00BD7636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BD7636">
        <w:rPr>
          <w:rFonts w:cs="Helvetica"/>
        </w:rPr>
        <w:t>La sintesi dei risultati dello studio di bioequivalenza è riportata nella tabella che segue.</w:t>
      </w:r>
    </w:p>
    <w:p w:rsidR="00AE2073" w:rsidRPr="00BD7636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tbl>
      <w:tblPr>
        <w:tblW w:w="4884" w:type="pct"/>
        <w:jc w:val="center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2089"/>
        <w:gridCol w:w="1769"/>
        <w:gridCol w:w="1954"/>
        <w:gridCol w:w="1418"/>
        <w:gridCol w:w="2409"/>
      </w:tblGrid>
      <w:tr w:rsidR="00AE2073" w:rsidRPr="00BD7636" w:rsidTr="00AE2073">
        <w:trPr>
          <w:trHeight w:val="278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:rsidR="00AE2073" w:rsidRPr="00BD7636" w:rsidRDefault="007C2797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Candesartan</w:t>
            </w:r>
            <w:proofErr w:type="spellEnd"/>
            <w:r w:rsidR="00AE2073" w:rsidRPr="00BD7636">
              <w:rPr>
                <w:rFonts w:cs="Helvetica"/>
                <w:b/>
                <w:lang w:val="en-US"/>
              </w:rPr>
              <w:t xml:space="preserve"> dose (</w:t>
            </w:r>
            <w:r w:rsidR="00265A88" w:rsidRPr="00BD7636">
              <w:rPr>
                <w:rFonts w:cs="Helvetica"/>
                <w:b/>
                <w:lang w:val="en-US"/>
              </w:rPr>
              <w:t>16</w:t>
            </w:r>
            <w:r w:rsidR="00AE2073" w:rsidRPr="00BD7636">
              <w:rPr>
                <w:rFonts w:cs="Helvetica"/>
                <w:b/>
                <w:lang w:val="en-US"/>
              </w:rPr>
              <w:t xml:space="preserve"> mg)</w:t>
            </w:r>
          </w:p>
        </w:tc>
      </w:tr>
      <w:tr w:rsidR="00AE2073" w:rsidRPr="00BD7636" w:rsidTr="00AE2073">
        <w:trPr>
          <w:trHeight w:val="266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:rsidR="00AE2073" w:rsidRPr="005E590D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</w:rPr>
            </w:pPr>
            <w:r w:rsidRPr="005E590D">
              <w:rPr>
                <w:rFonts w:cs="Helvetica"/>
                <w:b/>
              </w:rPr>
              <w:t>Studio di BE a digiuno</w:t>
            </w:r>
          </w:p>
        </w:tc>
      </w:tr>
      <w:tr w:rsidR="00FC0A0F" w:rsidRPr="00BD7636" w:rsidTr="00265A88">
        <w:trPr>
          <w:trHeight w:val="399"/>
          <w:jc w:val="center"/>
        </w:trPr>
        <w:tc>
          <w:tcPr>
            <w:tcW w:w="2089" w:type="dxa"/>
            <w:vAlign w:val="bottom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Parametro</w:t>
            </w:r>
          </w:p>
        </w:tc>
        <w:tc>
          <w:tcPr>
            <w:tcW w:w="1769" w:type="dxa"/>
            <w:vAlign w:val="bottom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Test [LSM]</w:t>
            </w:r>
          </w:p>
        </w:tc>
        <w:tc>
          <w:tcPr>
            <w:tcW w:w="1954" w:type="dxa"/>
            <w:vAlign w:val="bottom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Reference</w:t>
            </w:r>
            <w:r w:rsidR="00265A88" w:rsidRPr="00BD7636">
              <w:rPr>
                <w:rFonts w:cs="Helvetica"/>
                <w:b/>
                <w:lang w:val="en-US"/>
              </w:rPr>
              <w:t xml:space="preserve"> </w:t>
            </w:r>
            <w:r w:rsidRPr="00BD7636">
              <w:rPr>
                <w:rFonts w:cs="Helvetica"/>
                <w:b/>
                <w:lang w:val="en-US"/>
              </w:rPr>
              <w:t>[LSM]</w:t>
            </w:r>
          </w:p>
        </w:tc>
        <w:tc>
          <w:tcPr>
            <w:tcW w:w="1418" w:type="dxa"/>
            <w:vAlign w:val="bottom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T/R Ratio</w:t>
            </w:r>
          </w:p>
        </w:tc>
        <w:tc>
          <w:tcPr>
            <w:tcW w:w="2409" w:type="dxa"/>
            <w:vAlign w:val="bottom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90% C.I.</w:t>
            </w:r>
          </w:p>
        </w:tc>
      </w:tr>
      <w:tr w:rsidR="00FC0A0F" w:rsidRPr="00BD7636" w:rsidTr="00265A88">
        <w:trPr>
          <w:trHeight w:val="302"/>
          <w:jc w:val="center"/>
        </w:trPr>
        <w:tc>
          <w:tcPr>
            <w:tcW w:w="2089" w:type="dxa"/>
            <w:vAlign w:val="bottom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AUC0-t</w:t>
            </w:r>
          </w:p>
        </w:tc>
        <w:tc>
          <w:tcPr>
            <w:tcW w:w="1769" w:type="dxa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1611.9</w:t>
            </w:r>
          </w:p>
        </w:tc>
        <w:tc>
          <w:tcPr>
            <w:tcW w:w="1954" w:type="dxa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1404.2</w:t>
            </w:r>
          </w:p>
        </w:tc>
        <w:tc>
          <w:tcPr>
            <w:tcW w:w="1418" w:type="dxa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114.80</w:t>
            </w:r>
          </w:p>
        </w:tc>
        <w:tc>
          <w:tcPr>
            <w:tcW w:w="2409" w:type="dxa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107.82– 122.23</w:t>
            </w:r>
          </w:p>
        </w:tc>
      </w:tr>
      <w:tr w:rsidR="00FC0A0F" w:rsidRPr="00BD7636" w:rsidTr="00515929">
        <w:trPr>
          <w:trHeight w:val="255"/>
          <w:jc w:val="center"/>
        </w:trPr>
        <w:tc>
          <w:tcPr>
            <w:tcW w:w="2089" w:type="dxa"/>
            <w:vAlign w:val="bottom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Cmax</w:t>
            </w:r>
            <w:proofErr w:type="spellEnd"/>
          </w:p>
        </w:tc>
        <w:tc>
          <w:tcPr>
            <w:tcW w:w="1769" w:type="dxa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132.0</w:t>
            </w:r>
          </w:p>
        </w:tc>
        <w:tc>
          <w:tcPr>
            <w:tcW w:w="1954" w:type="dxa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115.9</w:t>
            </w:r>
          </w:p>
        </w:tc>
        <w:tc>
          <w:tcPr>
            <w:tcW w:w="1418" w:type="dxa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113.89</w:t>
            </w:r>
          </w:p>
        </w:tc>
        <w:tc>
          <w:tcPr>
            <w:tcW w:w="2409" w:type="dxa"/>
          </w:tcPr>
          <w:p w:rsidR="00FC0A0F" w:rsidRPr="00BD7636" w:rsidRDefault="00FC0A0F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104.47– 124.17</w:t>
            </w:r>
          </w:p>
        </w:tc>
      </w:tr>
      <w:tr w:rsidR="00AE2073" w:rsidRPr="00BD7636" w:rsidTr="00AE2073">
        <w:trPr>
          <w:trHeight w:val="252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:rsidR="00AE2073" w:rsidRPr="00BD7636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bCs/>
              </w:rPr>
            </w:pPr>
            <w:proofErr w:type="spellStart"/>
            <w:r w:rsidRPr="00BD7636">
              <w:rPr>
                <w:rFonts w:cs="Helvetica"/>
                <w:b/>
                <w:bCs/>
              </w:rPr>
              <w:t>Amlodipina</w:t>
            </w:r>
            <w:proofErr w:type="spellEnd"/>
            <w:r w:rsidRPr="00BD7636">
              <w:rPr>
                <w:rFonts w:cs="Helvetica"/>
                <w:b/>
                <w:bCs/>
              </w:rPr>
              <w:t xml:space="preserve"> dose (</w:t>
            </w:r>
            <w:r w:rsidRPr="00BD7636">
              <w:rPr>
                <w:rFonts w:cs="Helvetica"/>
                <w:b/>
              </w:rPr>
              <w:t>10 mg</w:t>
            </w:r>
            <w:r w:rsidRPr="00BD7636">
              <w:rPr>
                <w:rFonts w:cs="Helvetica"/>
                <w:b/>
                <w:bCs/>
              </w:rPr>
              <w:t>)</w:t>
            </w:r>
          </w:p>
        </w:tc>
      </w:tr>
      <w:tr w:rsidR="00AE2073" w:rsidRPr="00BD7636" w:rsidTr="00AE2073">
        <w:trPr>
          <w:trHeight w:val="255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:rsidR="00AE2073" w:rsidRPr="00BD7636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bCs/>
              </w:rPr>
            </w:pPr>
            <w:r w:rsidRPr="00BD7636">
              <w:rPr>
                <w:rFonts w:cs="Helvetica"/>
                <w:b/>
                <w:bCs/>
              </w:rPr>
              <w:t>Studio di BE a digiuno</w:t>
            </w:r>
          </w:p>
        </w:tc>
      </w:tr>
      <w:tr w:rsidR="00AE2073" w:rsidRPr="00BD7636" w:rsidTr="00AE2073">
        <w:trPr>
          <w:trHeight w:val="318"/>
          <w:jc w:val="center"/>
        </w:trPr>
        <w:tc>
          <w:tcPr>
            <w:tcW w:w="2089" w:type="dxa"/>
            <w:vAlign w:val="center"/>
          </w:tcPr>
          <w:p w:rsidR="00AE2073" w:rsidRPr="00BD7636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Parametro</w:t>
            </w:r>
            <w:proofErr w:type="spellEnd"/>
          </w:p>
        </w:tc>
        <w:tc>
          <w:tcPr>
            <w:tcW w:w="1769" w:type="dxa"/>
            <w:vAlign w:val="center"/>
          </w:tcPr>
          <w:p w:rsidR="00AE2073" w:rsidRPr="00BD7636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Test [LSM]</w:t>
            </w:r>
          </w:p>
        </w:tc>
        <w:tc>
          <w:tcPr>
            <w:tcW w:w="1954" w:type="dxa"/>
            <w:vAlign w:val="center"/>
          </w:tcPr>
          <w:p w:rsidR="00AE2073" w:rsidRPr="00BD7636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Reference[LSM]</w:t>
            </w:r>
          </w:p>
        </w:tc>
        <w:tc>
          <w:tcPr>
            <w:tcW w:w="1418" w:type="dxa"/>
            <w:vAlign w:val="center"/>
          </w:tcPr>
          <w:p w:rsidR="00AE2073" w:rsidRPr="00BD7636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T/R Ratio</w:t>
            </w:r>
          </w:p>
        </w:tc>
        <w:tc>
          <w:tcPr>
            <w:tcW w:w="2409" w:type="dxa"/>
            <w:vAlign w:val="center"/>
          </w:tcPr>
          <w:p w:rsidR="00AE2073" w:rsidRPr="00BD7636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90% C.I.</w:t>
            </w:r>
          </w:p>
        </w:tc>
      </w:tr>
      <w:tr w:rsidR="00265A88" w:rsidRPr="00BD7636" w:rsidTr="00E41EE9">
        <w:trPr>
          <w:trHeight w:val="255"/>
          <w:jc w:val="center"/>
        </w:trPr>
        <w:tc>
          <w:tcPr>
            <w:tcW w:w="2089" w:type="dxa"/>
            <w:vAlign w:val="bottom"/>
          </w:tcPr>
          <w:p w:rsidR="00265A88" w:rsidRPr="00BD7636" w:rsidRDefault="00265A88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AUC0-72</w:t>
            </w:r>
          </w:p>
        </w:tc>
        <w:tc>
          <w:tcPr>
            <w:tcW w:w="1769" w:type="dxa"/>
          </w:tcPr>
          <w:p w:rsidR="00265A88" w:rsidRPr="00BD7636" w:rsidRDefault="00265A88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245.055</w:t>
            </w:r>
          </w:p>
        </w:tc>
        <w:tc>
          <w:tcPr>
            <w:tcW w:w="1954" w:type="dxa"/>
          </w:tcPr>
          <w:p w:rsidR="00265A88" w:rsidRPr="00BD7636" w:rsidRDefault="00265A88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240.738</w:t>
            </w:r>
          </w:p>
        </w:tc>
        <w:tc>
          <w:tcPr>
            <w:tcW w:w="1418" w:type="dxa"/>
          </w:tcPr>
          <w:p w:rsidR="00265A88" w:rsidRPr="00BD7636" w:rsidRDefault="00265A88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101.79</w:t>
            </w:r>
          </w:p>
        </w:tc>
        <w:tc>
          <w:tcPr>
            <w:tcW w:w="2409" w:type="dxa"/>
          </w:tcPr>
          <w:p w:rsidR="00265A88" w:rsidRPr="00BD7636" w:rsidRDefault="00265A88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98.93– 104.74</w:t>
            </w:r>
          </w:p>
        </w:tc>
      </w:tr>
      <w:tr w:rsidR="00265A88" w:rsidRPr="00FA7C92" w:rsidTr="00E41EE9">
        <w:trPr>
          <w:trHeight w:val="266"/>
          <w:jc w:val="center"/>
        </w:trPr>
        <w:tc>
          <w:tcPr>
            <w:tcW w:w="2089" w:type="dxa"/>
            <w:vAlign w:val="bottom"/>
          </w:tcPr>
          <w:p w:rsidR="00265A88" w:rsidRPr="00BD7636" w:rsidRDefault="00265A88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Cmax</w:t>
            </w:r>
            <w:proofErr w:type="spellEnd"/>
          </w:p>
        </w:tc>
        <w:tc>
          <w:tcPr>
            <w:tcW w:w="1769" w:type="dxa"/>
          </w:tcPr>
          <w:p w:rsidR="00265A88" w:rsidRPr="00BD7636" w:rsidRDefault="00265A88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6.200</w:t>
            </w:r>
          </w:p>
        </w:tc>
        <w:tc>
          <w:tcPr>
            <w:tcW w:w="1954" w:type="dxa"/>
          </w:tcPr>
          <w:p w:rsidR="00265A88" w:rsidRPr="00BD7636" w:rsidRDefault="00265A88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5.906</w:t>
            </w:r>
          </w:p>
        </w:tc>
        <w:tc>
          <w:tcPr>
            <w:tcW w:w="1418" w:type="dxa"/>
          </w:tcPr>
          <w:p w:rsidR="00265A88" w:rsidRPr="00BD7636" w:rsidRDefault="00265A88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104.98</w:t>
            </w:r>
          </w:p>
        </w:tc>
        <w:tc>
          <w:tcPr>
            <w:tcW w:w="2409" w:type="dxa"/>
          </w:tcPr>
          <w:p w:rsidR="00265A88" w:rsidRPr="00BD7636" w:rsidRDefault="00265A88" w:rsidP="00265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101.21– 108.89</w:t>
            </w:r>
          </w:p>
        </w:tc>
      </w:tr>
    </w:tbl>
    <w:p w:rsidR="00AE2073" w:rsidRPr="00FA7C92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p w:rsidR="00AE2073" w:rsidRPr="00FA7C92" w:rsidRDefault="00AE2073" w:rsidP="00AE2073">
      <w:pPr>
        <w:spacing w:after="0" w:line="240" w:lineRule="auto"/>
        <w:rPr>
          <w:rFonts w:cs="Arial"/>
        </w:rPr>
      </w:pPr>
      <w:r w:rsidRPr="00FA7C92">
        <w:rPr>
          <w:rFonts w:cs="Arial"/>
          <w:i/>
        </w:rPr>
        <w:t>Conclusioni sulla bioequivalenza</w:t>
      </w:r>
      <w:r w:rsidRPr="00FA7C92">
        <w:rPr>
          <w:rFonts w:cs="Arial"/>
        </w:rPr>
        <w:t>.</w:t>
      </w:r>
    </w:p>
    <w:p w:rsidR="00AE2073" w:rsidRDefault="008B242A" w:rsidP="00AE2073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I risultati dello studio </w:t>
      </w:r>
      <w:r w:rsidR="00AE2073" w:rsidRPr="00FA7C92">
        <w:rPr>
          <w:rFonts w:cs="Arial"/>
        </w:rPr>
        <w:t xml:space="preserve">di bioequivalenza mostrano che gli intervalli di confidenza dei parametri farmacocinetici studiati cadono nel </w:t>
      </w:r>
      <w:proofErr w:type="spellStart"/>
      <w:r w:rsidR="00AE2073" w:rsidRPr="00FA7C92">
        <w:rPr>
          <w:rFonts w:cs="Arial"/>
        </w:rPr>
        <w:t>range</w:t>
      </w:r>
      <w:proofErr w:type="spellEnd"/>
      <w:r w:rsidR="00AE2073" w:rsidRPr="00FA7C92">
        <w:rPr>
          <w:rFonts w:cs="Arial"/>
        </w:rPr>
        <w:t xml:space="preserve"> di accettabilità di 80-125%, in accordo con le linee guida correnti.</w:t>
      </w:r>
    </w:p>
    <w:p w:rsidR="00BD7636" w:rsidRDefault="00BD7636" w:rsidP="00AE2073">
      <w:pPr>
        <w:spacing w:after="0" w:line="240" w:lineRule="auto"/>
        <w:jc w:val="both"/>
        <w:rPr>
          <w:rFonts w:cs="Arial"/>
        </w:rPr>
      </w:pPr>
    </w:p>
    <w:p w:rsidR="00BD7636" w:rsidRPr="006556D6" w:rsidRDefault="00BD7636" w:rsidP="00BD7636">
      <w:pPr>
        <w:spacing w:after="0" w:line="240" w:lineRule="auto"/>
        <w:jc w:val="both"/>
        <w:rPr>
          <w:b/>
        </w:rPr>
      </w:pPr>
      <w:r w:rsidRPr="006556D6">
        <w:rPr>
          <w:b/>
        </w:rPr>
        <w:t xml:space="preserve">Studio di </w:t>
      </w:r>
      <w:r>
        <w:rPr>
          <w:b/>
        </w:rPr>
        <w:t>farmacocinetica</w:t>
      </w:r>
    </w:p>
    <w:p w:rsidR="00BD7636" w:rsidRPr="00FA7C92" w:rsidRDefault="00BD7636" w:rsidP="00BD7636">
      <w:pPr>
        <w:pStyle w:val="Paragrafoelenco"/>
        <w:spacing w:after="0" w:line="240" w:lineRule="auto"/>
        <w:ind w:left="0"/>
        <w:jc w:val="both"/>
      </w:pPr>
      <w:r w:rsidRPr="00A34141">
        <w:t>La richiesta di AIC è supportata</w:t>
      </w:r>
      <w:r>
        <w:t xml:space="preserve"> anche da uno studio di interazione farmacocinetica</w:t>
      </w:r>
      <w:r w:rsidR="00396BCF">
        <w:t xml:space="preserve"> tra i principi attivi </w:t>
      </w:r>
      <w:proofErr w:type="spellStart"/>
      <w:r w:rsidR="00396BCF">
        <w:t>candasartan</w:t>
      </w:r>
      <w:proofErr w:type="spellEnd"/>
      <w:r w:rsidR="00396BCF">
        <w:t xml:space="preserve"> ed </w:t>
      </w:r>
      <w:proofErr w:type="spellStart"/>
      <w:r w:rsidR="00396BCF">
        <w:t>amlodipina</w:t>
      </w:r>
      <w:proofErr w:type="spellEnd"/>
    </w:p>
    <w:p w:rsidR="00BD7636" w:rsidRPr="00D1324F" w:rsidRDefault="00BD7636" w:rsidP="00AE2073">
      <w:pPr>
        <w:spacing w:after="0" w:line="240" w:lineRule="auto"/>
        <w:jc w:val="both"/>
        <w:rPr>
          <w:rFonts w:cs="Arial"/>
        </w:rPr>
      </w:pPr>
    </w:p>
    <w:p w:rsidR="00BD7636" w:rsidRPr="00FC0A0F" w:rsidRDefault="00BD7636" w:rsidP="00BD7636">
      <w:pPr>
        <w:pStyle w:val="Paragrafoelenco"/>
        <w:spacing w:after="0" w:line="240" w:lineRule="auto"/>
        <w:ind w:left="0"/>
        <w:jc w:val="both"/>
      </w:pPr>
      <w:r>
        <w:t>L</w:t>
      </w:r>
      <w:r w:rsidR="00396BCF">
        <w:t>o</w:t>
      </w:r>
      <w:r w:rsidRPr="00FC0A0F">
        <w:t xml:space="preserve"> studio</w:t>
      </w:r>
      <w:r w:rsidR="00396BCF">
        <w:t xml:space="preserve"> </w:t>
      </w:r>
      <w:r w:rsidRPr="00FC0A0F">
        <w:t>era caratterizzato da un appropriato disegno ed è stato condotto in accordo ai principi GCP. Sono stati forniti certificati analitici per medicinale test e medicinali di riferimento.</w:t>
      </w:r>
    </w:p>
    <w:p w:rsidR="00BD7636" w:rsidRPr="00FC0A0F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</w:rPr>
        <w:t xml:space="preserve">Lo studio </w:t>
      </w:r>
      <w:r w:rsidR="00396BCF">
        <w:rPr>
          <w:rFonts w:cs="Helvetica"/>
        </w:rPr>
        <w:t xml:space="preserve">di interazione farmacocinetica </w:t>
      </w:r>
      <w:r w:rsidRPr="00FC0A0F">
        <w:rPr>
          <w:rFonts w:cs="Helvetica"/>
        </w:rPr>
        <w:t>è uno studio comparativo, aperto, randomizzato, a dose singola, 3-periodi,</w:t>
      </w:r>
      <w:r w:rsidR="00396BCF">
        <w:rPr>
          <w:rFonts w:cs="Helvetica"/>
        </w:rPr>
        <w:t xml:space="preserve"> </w:t>
      </w:r>
      <w:r w:rsidRPr="00FC0A0F">
        <w:rPr>
          <w:rFonts w:cs="Helvetica"/>
        </w:rPr>
        <w:t>3 sequenze</w:t>
      </w:r>
      <w:r w:rsidR="00396BCF">
        <w:rPr>
          <w:rFonts w:cs="Helvetica"/>
        </w:rPr>
        <w:t xml:space="preserve"> </w:t>
      </w:r>
      <w:r w:rsidRPr="00FC0A0F">
        <w:rPr>
          <w:rFonts w:cs="Helvetica"/>
        </w:rPr>
        <w:t xml:space="preserve">e 3 trattamenti  crossover condotto in </w:t>
      </w:r>
      <w:r w:rsidR="001B212F">
        <w:rPr>
          <w:rFonts w:cs="Helvetica"/>
        </w:rPr>
        <w:t>36</w:t>
      </w:r>
      <w:r w:rsidRPr="00FC0A0F">
        <w:rPr>
          <w:rFonts w:cs="Helvetica"/>
        </w:rPr>
        <w:t xml:space="preserve"> volontari sani con somministrazione a digiuno. Un soddisfacente periodo di wash-out di 21 giorni è stato previsto tra le somministrazioni in ogni gruppo.</w:t>
      </w:r>
    </w:p>
    <w:p w:rsidR="00BD7636" w:rsidRPr="00FC0A0F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</w:rPr>
        <w:t>Campioni di sangue sono stati prelevati al tempo zero (</w:t>
      </w:r>
      <w:proofErr w:type="spellStart"/>
      <w:r w:rsidRPr="00FC0A0F">
        <w:rPr>
          <w:rFonts w:cs="Helvetica"/>
        </w:rPr>
        <w:t>pre-dose</w:t>
      </w:r>
      <w:proofErr w:type="spellEnd"/>
      <w:r w:rsidRPr="00FC0A0F">
        <w:rPr>
          <w:rFonts w:cs="Helvetica"/>
        </w:rPr>
        <w:t>) e a specificati tempi fino a 48 ore (</w:t>
      </w:r>
      <w:proofErr w:type="spellStart"/>
      <w:r w:rsidRPr="00FC0A0F">
        <w:rPr>
          <w:rFonts w:cs="Helvetica"/>
        </w:rPr>
        <w:t>candesartan</w:t>
      </w:r>
      <w:proofErr w:type="spellEnd"/>
      <w:r w:rsidRPr="00FC0A0F">
        <w:rPr>
          <w:rFonts w:cs="Helvetica"/>
        </w:rPr>
        <w:t>) e 72 ore (</w:t>
      </w:r>
      <w:proofErr w:type="spellStart"/>
      <w:r w:rsidRPr="00FC0A0F">
        <w:rPr>
          <w:rFonts w:cs="Helvetica"/>
        </w:rPr>
        <w:t>amlodipina</w:t>
      </w:r>
      <w:proofErr w:type="spellEnd"/>
      <w:r w:rsidRPr="00FC0A0F">
        <w:rPr>
          <w:rFonts w:cs="Helvetica"/>
        </w:rPr>
        <w:t xml:space="preserve">) dopo la somministrazione. I livelli plasmatici di </w:t>
      </w:r>
      <w:proofErr w:type="spellStart"/>
      <w:r w:rsidRPr="00FC0A0F">
        <w:rPr>
          <w:rFonts w:cs="Helvetica"/>
        </w:rPr>
        <w:t>candesartan</w:t>
      </w:r>
      <w:proofErr w:type="spellEnd"/>
      <w:r w:rsidRPr="00FC0A0F">
        <w:rPr>
          <w:rFonts w:cs="Helvetica"/>
        </w:rPr>
        <w:t xml:space="preserve"> e </w:t>
      </w:r>
      <w:proofErr w:type="spellStart"/>
      <w:r w:rsidRPr="00FC0A0F">
        <w:rPr>
          <w:rFonts w:cs="Helvetica"/>
        </w:rPr>
        <w:t>amlodipina</w:t>
      </w:r>
      <w:proofErr w:type="spellEnd"/>
      <w:r w:rsidRPr="00FC0A0F">
        <w:rPr>
          <w:rFonts w:cs="Helvetica"/>
        </w:rPr>
        <w:t xml:space="preserve"> sono stati determinati mediante un metodo analitico HPLC-MS opportunamente convalidato.</w:t>
      </w:r>
    </w:p>
    <w:p w:rsidR="008B242A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</w:rPr>
        <w:t>Le variabili farmacocinetiche definite sono state AUC</w:t>
      </w:r>
      <w:r w:rsidRPr="00FC0A0F">
        <w:rPr>
          <w:rFonts w:cs="Helvetica"/>
          <w:vertAlign w:val="subscript"/>
        </w:rPr>
        <w:t>0-t</w:t>
      </w:r>
      <w:r w:rsidRPr="00FC0A0F">
        <w:rPr>
          <w:rFonts w:cs="Helvetica"/>
        </w:rPr>
        <w:t>, AUC</w:t>
      </w:r>
      <w:r w:rsidRPr="00FC0A0F">
        <w:rPr>
          <w:rFonts w:cs="Helvetica"/>
          <w:vertAlign w:val="subscript"/>
        </w:rPr>
        <w:t>0-</w:t>
      </w:r>
      <w:r w:rsidRPr="00FC0A0F">
        <w:rPr>
          <w:rFonts w:cs="Helvetica"/>
          <w:vertAlign w:val="subscript"/>
        </w:rPr>
        <w:sym w:font="Symbol" w:char="F0A5"/>
      </w:r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C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t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K</w:t>
      </w:r>
      <w:r w:rsidRPr="00FC0A0F">
        <w:rPr>
          <w:rFonts w:cs="Helvetica"/>
          <w:vertAlign w:val="subscript"/>
        </w:rPr>
        <w:t>el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t</w:t>
      </w:r>
      <w:r w:rsidRPr="00FC0A0F">
        <w:rPr>
          <w:rFonts w:cs="Helvetica"/>
          <w:vertAlign w:val="subscript"/>
        </w:rPr>
        <w:t>½</w:t>
      </w:r>
      <w:proofErr w:type="spellEnd"/>
      <w:r w:rsidRPr="00FC0A0F">
        <w:rPr>
          <w:rFonts w:cs="Helvetica"/>
          <w:vertAlign w:val="subscript"/>
        </w:rPr>
        <w:t xml:space="preserve"> </w:t>
      </w:r>
      <w:r w:rsidRPr="00FC0A0F">
        <w:rPr>
          <w:rFonts w:cs="Helvetica"/>
        </w:rPr>
        <w:t xml:space="preserve">per </w:t>
      </w:r>
      <w:proofErr w:type="spellStart"/>
      <w:r w:rsidRPr="00FC0A0F">
        <w:rPr>
          <w:rFonts w:cs="Helvetica"/>
        </w:rPr>
        <w:t>candesartan</w:t>
      </w:r>
      <w:proofErr w:type="spellEnd"/>
      <w:r w:rsidRPr="00FC0A0F">
        <w:rPr>
          <w:rFonts w:cs="Helvetica"/>
        </w:rPr>
        <w:t xml:space="preserve"> e</w:t>
      </w:r>
      <w:r w:rsidRPr="00FC0A0F">
        <w:rPr>
          <w:rFonts w:cs="Helvetica"/>
          <w:vertAlign w:val="subscript"/>
        </w:rPr>
        <w:t xml:space="preserve"> </w:t>
      </w:r>
      <w:r w:rsidRPr="00FC0A0F">
        <w:rPr>
          <w:rFonts w:cs="Helvetica"/>
        </w:rPr>
        <w:t>AUC</w:t>
      </w:r>
      <w:r w:rsidRPr="00FC0A0F">
        <w:rPr>
          <w:rFonts w:cs="Helvetica"/>
          <w:vertAlign w:val="subscript"/>
        </w:rPr>
        <w:t>0-72h</w:t>
      </w:r>
      <w:r w:rsidRPr="00FC0A0F">
        <w:rPr>
          <w:rFonts w:cs="Helvetica"/>
        </w:rPr>
        <w:t xml:space="preserve">,  </w:t>
      </w:r>
      <w:proofErr w:type="spellStart"/>
      <w:r w:rsidRPr="00FC0A0F">
        <w:rPr>
          <w:rFonts w:cs="Helvetica"/>
        </w:rPr>
        <w:t>C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t</w:t>
      </w:r>
      <w:r w:rsidRPr="00FC0A0F">
        <w:rPr>
          <w:rFonts w:cs="Helvetica"/>
          <w:vertAlign w:val="subscript"/>
        </w:rPr>
        <w:t>max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K</w:t>
      </w:r>
      <w:r w:rsidRPr="00FC0A0F">
        <w:rPr>
          <w:rFonts w:cs="Helvetica"/>
          <w:vertAlign w:val="subscript"/>
        </w:rPr>
        <w:t>el</w:t>
      </w:r>
      <w:proofErr w:type="spellEnd"/>
      <w:r w:rsidRPr="00FC0A0F">
        <w:rPr>
          <w:rFonts w:cs="Helvetica"/>
        </w:rPr>
        <w:t xml:space="preserve">, </w:t>
      </w:r>
      <w:proofErr w:type="spellStart"/>
      <w:r w:rsidRPr="00FC0A0F">
        <w:rPr>
          <w:rFonts w:cs="Helvetica"/>
        </w:rPr>
        <w:t>t</w:t>
      </w:r>
      <w:r w:rsidRPr="00FC0A0F">
        <w:rPr>
          <w:rFonts w:cs="Helvetica"/>
          <w:vertAlign w:val="subscript"/>
        </w:rPr>
        <w:t>½</w:t>
      </w:r>
      <w:proofErr w:type="spellEnd"/>
      <w:r w:rsidRPr="00FC0A0F">
        <w:rPr>
          <w:rFonts w:cs="Helvetica"/>
          <w:vertAlign w:val="subscript"/>
        </w:rPr>
        <w:t xml:space="preserve"> </w:t>
      </w:r>
      <w:r w:rsidRPr="00FC0A0F">
        <w:rPr>
          <w:rFonts w:cs="Helvetica"/>
        </w:rPr>
        <w:t xml:space="preserve">per </w:t>
      </w:r>
      <w:proofErr w:type="spellStart"/>
      <w:r w:rsidRPr="00FC0A0F">
        <w:rPr>
          <w:rFonts w:cs="Helvetica"/>
        </w:rPr>
        <w:t>amlodipina</w:t>
      </w:r>
      <w:proofErr w:type="spellEnd"/>
      <w:r w:rsidRPr="00FC0A0F">
        <w:rPr>
          <w:rFonts w:cs="Helvetica"/>
        </w:rPr>
        <w:t xml:space="preserve">. </w:t>
      </w:r>
      <w:r w:rsidR="001B212F">
        <w:rPr>
          <w:rFonts w:cs="Helvetica"/>
        </w:rPr>
        <w:t>I risultati confermano che</w:t>
      </w:r>
      <w:r w:rsidR="001B212F" w:rsidRPr="00FC0A0F">
        <w:rPr>
          <w:rFonts w:cs="Helvetica"/>
        </w:rPr>
        <w:t xml:space="preserve"> gli intervalli di confidenza al 90% </w:t>
      </w:r>
      <w:r w:rsidR="008B242A" w:rsidRPr="00FC0A0F">
        <w:rPr>
          <w:rFonts w:cs="Helvetica"/>
        </w:rPr>
        <w:t xml:space="preserve">la trasformata logaritmica di </w:t>
      </w:r>
      <w:proofErr w:type="spellStart"/>
      <w:r w:rsidR="008B242A" w:rsidRPr="00FC0A0F">
        <w:rPr>
          <w:rFonts w:cs="Helvetica"/>
        </w:rPr>
        <w:t>C</w:t>
      </w:r>
      <w:r w:rsidR="008B242A" w:rsidRPr="00FC0A0F">
        <w:rPr>
          <w:rFonts w:cs="Helvetica"/>
          <w:vertAlign w:val="subscript"/>
        </w:rPr>
        <w:t>max</w:t>
      </w:r>
      <w:proofErr w:type="spellEnd"/>
      <w:r w:rsidR="008B242A" w:rsidRPr="00FC0A0F">
        <w:rPr>
          <w:rFonts w:cs="Helvetica"/>
        </w:rPr>
        <w:t>, e AUC</w:t>
      </w:r>
      <w:r w:rsidR="008B242A" w:rsidRPr="00FC0A0F">
        <w:rPr>
          <w:rFonts w:cs="Helvetica"/>
          <w:vertAlign w:val="subscript"/>
        </w:rPr>
        <w:t>0-t</w:t>
      </w:r>
      <w:r w:rsidR="008B242A" w:rsidRPr="00FC0A0F">
        <w:rPr>
          <w:rFonts w:cs="Helvetica"/>
        </w:rPr>
        <w:t xml:space="preserve"> </w:t>
      </w:r>
      <w:r w:rsidR="008B242A">
        <w:rPr>
          <w:rFonts w:cs="Helvetica"/>
        </w:rPr>
        <w:t xml:space="preserve">  calcolati </w:t>
      </w:r>
      <w:r w:rsidR="001B212F" w:rsidRPr="00FC0A0F">
        <w:rPr>
          <w:rFonts w:cs="Helvetica"/>
        </w:rPr>
        <w:t xml:space="preserve">per </w:t>
      </w:r>
      <w:r w:rsidR="001B212F">
        <w:rPr>
          <w:rFonts w:cs="Helvetica"/>
        </w:rPr>
        <w:t xml:space="preserve">i principi attivi somministrati insieme  versus i principi attivi somministrati singolarmente </w:t>
      </w:r>
      <w:r w:rsidR="001B212F" w:rsidRPr="00FC0A0F">
        <w:rPr>
          <w:rFonts w:cs="Helvetica"/>
        </w:rPr>
        <w:t xml:space="preserve">cadono nel </w:t>
      </w:r>
      <w:proofErr w:type="spellStart"/>
      <w:r w:rsidR="001B212F" w:rsidRPr="00FC0A0F">
        <w:rPr>
          <w:rFonts w:cs="Helvetica"/>
        </w:rPr>
        <w:t>range</w:t>
      </w:r>
      <w:proofErr w:type="spellEnd"/>
      <w:r w:rsidR="001B212F" w:rsidRPr="00FC0A0F">
        <w:rPr>
          <w:rFonts w:cs="Helvetica"/>
        </w:rPr>
        <w:t xml:space="preserve"> di accettabilità di 0.80-1.25 (80%-125%).</w:t>
      </w:r>
    </w:p>
    <w:p w:rsidR="00BD7636" w:rsidRPr="00F7013E" w:rsidRDefault="008B242A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highlight w:val="yellow"/>
          <w:u w:val="single"/>
        </w:rPr>
      </w:pPr>
      <w:r w:rsidRPr="00F7013E">
        <w:rPr>
          <w:rFonts w:cs="Helvetica"/>
          <w:highlight w:val="yellow"/>
          <w:u w:val="single"/>
        </w:rPr>
        <w:t xml:space="preserve"> </w:t>
      </w:r>
    </w:p>
    <w:p w:rsidR="00BD7636" w:rsidRPr="00FC0A0F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u w:val="single"/>
        </w:rPr>
      </w:pPr>
      <w:r w:rsidRPr="00FC0A0F">
        <w:rPr>
          <w:rFonts w:cs="Helvetica"/>
          <w:u w:val="single"/>
        </w:rPr>
        <w:t>Risultati</w:t>
      </w:r>
    </w:p>
    <w:p w:rsidR="00BD7636" w:rsidRPr="00FC0A0F" w:rsidRDefault="000901A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>
        <w:rPr>
          <w:rFonts w:cs="Helvetica"/>
        </w:rPr>
        <w:t>36</w:t>
      </w:r>
      <w:r w:rsidR="00BD7636" w:rsidRPr="00FC0A0F">
        <w:rPr>
          <w:rFonts w:cs="Helvetica"/>
        </w:rPr>
        <w:t xml:space="preserve"> volontari sani sono stati arruolati negli studi. </w:t>
      </w:r>
      <w:r w:rsidR="008B242A">
        <w:rPr>
          <w:rFonts w:cs="Helvetica"/>
        </w:rPr>
        <w:t>35</w:t>
      </w:r>
      <w:r w:rsidR="00BD7636" w:rsidRPr="00FC0A0F">
        <w:rPr>
          <w:rFonts w:cs="Helvetica"/>
        </w:rPr>
        <w:t xml:space="preserve"> soggetti hanno completato la fase clinica e sono stati analizzati.</w:t>
      </w:r>
    </w:p>
    <w:p w:rsidR="00BD7636" w:rsidRPr="00F7013E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b/>
          <w:i/>
          <w:highlight w:val="yellow"/>
        </w:rPr>
      </w:pPr>
    </w:p>
    <w:p w:rsidR="00BD7636" w:rsidRPr="00FC0A0F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C0A0F">
        <w:rPr>
          <w:rFonts w:cs="Helvetica"/>
          <w:i/>
        </w:rPr>
        <w:t>Sicurezza</w:t>
      </w:r>
    </w:p>
    <w:p w:rsidR="00BD7636" w:rsidRPr="00FC0A0F" w:rsidRDefault="000901A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>
        <w:rPr>
          <w:rFonts w:cs="Helvetica"/>
        </w:rPr>
        <w:t>Sono stati</w:t>
      </w:r>
      <w:r w:rsidR="00BD7636" w:rsidRPr="00FC0A0F">
        <w:rPr>
          <w:rFonts w:cs="Helvetica"/>
        </w:rPr>
        <w:t xml:space="preserve"> rilevati </w:t>
      </w:r>
      <w:r w:rsidR="008B242A">
        <w:rPr>
          <w:rFonts w:cs="Helvetica"/>
        </w:rPr>
        <w:t>5</w:t>
      </w:r>
      <w:r w:rsidR="00BD7636" w:rsidRPr="00FC0A0F">
        <w:rPr>
          <w:rFonts w:cs="Helvetica"/>
        </w:rPr>
        <w:t xml:space="preserve"> eventi avversi (debolezza, mal di testa,  </w:t>
      </w:r>
      <w:r w:rsidR="008B242A">
        <w:rPr>
          <w:rFonts w:cs="Helvetica"/>
        </w:rPr>
        <w:t>febbre</w:t>
      </w:r>
      <w:r w:rsidR="00BD7636" w:rsidRPr="00FC0A0F">
        <w:rPr>
          <w:rFonts w:cs="Helvetica"/>
        </w:rPr>
        <w:t>). Non veniva osservato alcun evento avverso grave durante lo studio.</w:t>
      </w:r>
    </w:p>
    <w:p w:rsidR="00BD7636" w:rsidRPr="00F7013E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highlight w:val="yellow"/>
        </w:rPr>
      </w:pPr>
    </w:p>
    <w:p w:rsidR="00BD7636" w:rsidRPr="00BD7636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BD7636">
        <w:rPr>
          <w:rFonts w:cs="Helvetica"/>
          <w:i/>
        </w:rPr>
        <w:t>Parametri farmacocinetici</w:t>
      </w:r>
      <w:r w:rsidRPr="00BD7636">
        <w:rPr>
          <w:rFonts w:cs="Helvetica"/>
        </w:rPr>
        <w:t xml:space="preserve">. </w:t>
      </w:r>
    </w:p>
    <w:p w:rsidR="00BD7636" w:rsidRPr="00BD7636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BD7636">
        <w:rPr>
          <w:rFonts w:cs="Helvetica"/>
        </w:rPr>
        <w:t xml:space="preserve">La sintesi dei risultati dello studio di </w:t>
      </w:r>
      <w:r w:rsidR="008B242A">
        <w:rPr>
          <w:rFonts w:cs="Helvetica"/>
        </w:rPr>
        <w:t>interazione farmacocinetica</w:t>
      </w:r>
      <w:r w:rsidRPr="00BD7636">
        <w:rPr>
          <w:rFonts w:cs="Helvetica"/>
        </w:rPr>
        <w:t xml:space="preserve"> è riportata nella tabella che segue.</w:t>
      </w:r>
    </w:p>
    <w:p w:rsidR="00BD7636" w:rsidRPr="00BD7636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tbl>
      <w:tblPr>
        <w:tblW w:w="4884" w:type="pct"/>
        <w:jc w:val="center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2089"/>
        <w:gridCol w:w="1769"/>
        <w:gridCol w:w="1954"/>
        <w:gridCol w:w="1418"/>
        <w:gridCol w:w="2409"/>
      </w:tblGrid>
      <w:tr w:rsidR="00BD7636" w:rsidRPr="00BD7636" w:rsidTr="00BC2BDE">
        <w:trPr>
          <w:trHeight w:val="278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Candesartan</w:t>
            </w:r>
            <w:proofErr w:type="spellEnd"/>
            <w:r w:rsidRPr="00BD7636">
              <w:rPr>
                <w:rFonts w:cs="Helvetica"/>
                <w:b/>
                <w:lang w:val="en-US"/>
              </w:rPr>
              <w:t xml:space="preserve"> dose (16 mg)</w:t>
            </w:r>
          </w:p>
        </w:tc>
      </w:tr>
      <w:tr w:rsidR="00BD7636" w:rsidRPr="00BD7636" w:rsidTr="00BC2BDE">
        <w:trPr>
          <w:trHeight w:val="399"/>
          <w:jc w:val="center"/>
        </w:trPr>
        <w:tc>
          <w:tcPr>
            <w:tcW w:w="2089" w:type="dxa"/>
            <w:vAlign w:val="bottom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Parametro</w:t>
            </w:r>
            <w:proofErr w:type="spellEnd"/>
          </w:p>
        </w:tc>
        <w:tc>
          <w:tcPr>
            <w:tcW w:w="1769" w:type="dxa"/>
            <w:vAlign w:val="bottom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>
              <w:rPr>
                <w:rFonts w:cs="Helvetica"/>
                <w:b/>
                <w:lang w:val="en-US"/>
              </w:rPr>
              <w:t>R1R2</w:t>
            </w:r>
          </w:p>
        </w:tc>
        <w:tc>
          <w:tcPr>
            <w:tcW w:w="1954" w:type="dxa"/>
            <w:vAlign w:val="bottom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>
              <w:rPr>
                <w:rFonts w:cs="Helvetica"/>
                <w:b/>
                <w:lang w:val="en-US"/>
              </w:rPr>
              <w:t>R2</w:t>
            </w:r>
          </w:p>
        </w:tc>
        <w:tc>
          <w:tcPr>
            <w:tcW w:w="1418" w:type="dxa"/>
            <w:vAlign w:val="bottom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Ratio</w:t>
            </w:r>
          </w:p>
        </w:tc>
        <w:tc>
          <w:tcPr>
            <w:tcW w:w="2409" w:type="dxa"/>
            <w:vAlign w:val="bottom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90% C.I.</w:t>
            </w:r>
          </w:p>
        </w:tc>
      </w:tr>
      <w:tr w:rsidR="00BD7636" w:rsidRPr="00BD7636" w:rsidTr="00BC2BDE">
        <w:trPr>
          <w:trHeight w:val="302"/>
          <w:jc w:val="center"/>
        </w:trPr>
        <w:tc>
          <w:tcPr>
            <w:tcW w:w="2089" w:type="dxa"/>
            <w:vAlign w:val="bottom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AUC0-t</w:t>
            </w:r>
          </w:p>
        </w:tc>
        <w:tc>
          <w:tcPr>
            <w:tcW w:w="1769" w:type="dxa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1370.9</w:t>
            </w:r>
          </w:p>
        </w:tc>
        <w:tc>
          <w:tcPr>
            <w:tcW w:w="1954" w:type="dxa"/>
          </w:tcPr>
          <w:p w:rsidR="00BD7636" w:rsidRPr="00BD7636" w:rsidRDefault="00BD7636" w:rsidP="008B2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14</w:t>
            </w:r>
            <w:r w:rsidR="008B242A">
              <w:rPr>
                <w:rFonts w:cs="Helvetica"/>
                <w:lang w:val="en-US"/>
              </w:rPr>
              <w:t>30.5</w:t>
            </w:r>
          </w:p>
        </w:tc>
        <w:tc>
          <w:tcPr>
            <w:tcW w:w="1418" w:type="dxa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95.83</w:t>
            </w:r>
          </w:p>
        </w:tc>
        <w:tc>
          <w:tcPr>
            <w:tcW w:w="2409" w:type="dxa"/>
          </w:tcPr>
          <w:p w:rsidR="00BD7636" w:rsidRPr="00BD7636" w:rsidRDefault="008B242A" w:rsidP="008B2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89.32</w:t>
            </w:r>
            <w:r w:rsidR="00BD7636" w:rsidRPr="00BD7636">
              <w:rPr>
                <w:rFonts w:cs="Helvetica"/>
                <w:lang w:val="en-US"/>
              </w:rPr>
              <w:t xml:space="preserve">– </w:t>
            </w:r>
            <w:r>
              <w:rPr>
                <w:rFonts w:cs="Helvetica"/>
                <w:lang w:val="en-US"/>
              </w:rPr>
              <w:t>102.80</w:t>
            </w:r>
          </w:p>
        </w:tc>
      </w:tr>
      <w:tr w:rsidR="00BD7636" w:rsidRPr="00BD7636" w:rsidTr="00BC2BDE">
        <w:trPr>
          <w:trHeight w:val="255"/>
          <w:jc w:val="center"/>
        </w:trPr>
        <w:tc>
          <w:tcPr>
            <w:tcW w:w="2089" w:type="dxa"/>
            <w:vAlign w:val="bottom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Cmax</w:t>
            </w:r>
            <w:proofErr w:type="spellEnd"/>
          </w:p>
        </w:tc>
        <w:tc>
          <w:tcPr>
            <w:tcW w:w="1769" w:type="dxa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116.8</w:t>
            </w:r>
          </w:p>
        </w:tc>
        <w:tc>
          <w:tcPr>
            <w:tcW w:w="1954" w:type="dxa"/>
          </w:tcPr>
          <w:p w:rsidR="00BD7636" w:rsidRPr="00BD7636" w:rsidRDefault="00BD7636" w:rsidP="008B2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11</w:t>
            </w:r>
            <w:r w:rsidR="008B242A">
              <w:rPr>
                <w:rFonts w:cs="Helvetica"/>
                <w:lang w:val="en-US"/>
              </w:rPr>
              <w:t>7</w:t>
            </w:r>
            <w:r w:rsidRPr="00BD7636">
              <w:rPr>
                <w:rFonts w:cs="Helvetica"/>
                <w:lang w:val="en-US"/>
              </w:rPr>
              <w:t>.</w:t>
            </w:r>
            <w:r w:rsidR="008B242A">
              <w:rPr>
                <w:rFonts w:cs="Helvetica"/>
                <w:lang w:val="en-US"/>
              </w:rPr>
              <w:t>2</w:t>
            </w:r>
          </w:p>
        </w:tc>
        <w:tc>
          <w:tcPr>
            <w:tcW w:w="1418" w:type="dxa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99.68</w:t>
            </w:r>
          </w:p>
        </w:tc>
        <w:tc>
          <w:tcPr>
            <w:tcW w:w="2409" w:type="dxa"/>
          </w:tcPr>
          <w:p w:rsidR="00BD7636" w:rsidRPr="00BD7636" w:rsidRDefault="008B242A" w:rsidP="008B2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90.50</w:t>
            </w:r>
            <w:r w:rsidR="00BD7636" w:rsidRPr="00BD7636">
              <w:rPr>
                <w:rFonts w:cs="Helvetica"/>
                <w:lang w:val="en-US"/>
              </w:rPr>
              <w:t xml:space="preserve">– </w:t>
            </w:r>
            <w:r>
              <w:rPr>
                <w:rFonts w:cs="Helvetica"/>
                <w:lang w:val="en-US"/>
              </w:rPr>
              <w:t>109.68</w:t>
            </w:r>
          </w:p>
        </w:tc>
      </w:tr>
      <w:tr w:rsidR="00BD7636" w:rsidRPr="00BD7636" w:rsidTr="00BC2BDE">
        <w:trPr>
          <w:trHeight w:val="252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bCs/>
              </w:rPr>
            </w:pPr>
            <w:proofErr w:type="spellStart"/>
            <w:r w:rsidRPr="00BD7636">
              <w:rPr>
                <w:rFonts w:cs="Helvetica"/>
                <w:b/>
                <w:bCs/>
              </w:rPr>
              <w:t>Amlodipina</w:t>
            </w:r>
            <w:proofErr w:type="spellEnd"/>
            <w:r w:rsidRPr="00BD7636">
              <w:rPr>
                <w:rFonts w:cs="Helvetica"/>
                <w:b/>
                <w:bCs/>
              </w:rPr>
              <w:t xml:space="preserve"> dose (</w:t>
            </w:r>
            <w:r w:rsidRPr="00BD7636">
              <w:rPr>
                <w:rFonts w:cs="Helvetica"/>
                <w:b/>
              </w:rPr>
              <w:t>10 mg</w:t>
            </w:r>
            <w:r w:rsidRPr="00BD7636">
              <w:rPr>
                <w:rFonts w:cs="Helvetica"/>
                <w:b/>
                <w:bCs/>
              </w:rPr>
              <w:t>)</w:t>
            </w:r>
          </w:p>
        </w:tc>
      </w:tr>
      <w:tr w:rsidR="00BD7636" w:rsidRPr="00BD7636" w:rsidTr="00BC2BDE">
        <w:trPr>
          <w:trHeight w:val="318"/>
          <w:jc w:val="center"/>
        </w:trPr>
        <w:tc>
          <w:tcPr>
            <w:tcW w:w="2089" w:type="dxa"/>
            <w:vAlign w:val="center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Parametro</w:t>
            </w:r>
            <w:proofErr w:type="spellEnd"/>
          </w:p>
        </w:tc>
        <w:tc>
          <w:tcPr>
            <w:tcW w:w="1769" w:type="dxa"/>
            <w:vAlign w:val="center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Test [LSM]</w:t>
            </w:r>
          </w:p>
        </w:tc>
        <w:tc>
          <w:tcPr>
            <w:tcW w:w="1954" w:type="dxa"/>
            <w:vAlign w:val="center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Reference[LSM]</w:t>
            </w:r>
          </w:p>
        </w:tc>
        <w:tc>
          <w:tcPr>
            <w:tcW w:w="1418" w:type="dxa"/>
            <w:vAlign w:val="center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T/R Ratio</w:t>
            </w:r>
          </w:p>
        </w:tc>
        <w:tc>
          <w:tcPr>
            <w:tcW w:w="2409" w:type="dxa"/>
            <w:vAlign w:val="center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90% C.I.</w:t>
            </w:r>
          </w:p>
        </w:tc>
      </w:tr>
      <w:tr w:rsidR="00BD7636" w:rsidRPr="00BD7636" w:rsidTr="00BC2BDE">
        <w:trPr>
          <w:trHeight w:val="255"/>
          <w:jc w:val="center"/>
        </w:trPr>
        <w:tc>
          <w:tcPr>
            <w:tcW w:w="2089" w:type="dxa"/>
            <w:vAlign w:val="bottom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r w:rsidRPr="00BD7636">
              <w:rPr>
                <w:rFonts w:cs="Helvetica"/>
                <w:b/>
                <w:lang w:val="en-US"/>
              </w:rPr>
              <w:t>AUC0-72</w:t>
            </w:r>
          </w:p>
        </w:tc>
        <w:tc>
          <w:tcPr>
            <w:tcW w:w="1769" w:type="dxa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209</w:t>
            </w:r>
            <w:r w:rsidR="00BD7636" w:rsidRPr="00BD7636">
              <w:rPr>
                <w:rFonts w:cs="Helvetica"/>
                <w:lang w:val="en-US"/>
              </w:rPr>
              <w:t>.</w:t>
            </w:r>
            <w:r>
              <w:rPr>
                <w:rFonts w:cs="Helvetica"/>
                <w:lang w:val="en-US"/>
              </w:rPr>
              <w:t>936</w:t>
            </w:r>
          </w:p>
        </w:tc>
        <w:tc>
          <w:tcPr>
            <w:tcW w:w="1954" w:type="dxa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215</w:t>
            </w:r>
            <w:r w:rsidR="00BD7636" w:rsidRPr="00BD7636">
              <w:rPr>
                <w:rFonts w:cs="Helvetica"/>
                <w:lang w:val="en-US"/>
              </w:rPr>
              <w:t>.</w:t>
            </w:r>
            <w:r>
              <w:rPr>
                <w:rFonts w:cs="Helvetica"/>
                <w:lang w:val="en-US"/>
              </w:rPr>
              <w:t>427</w:t>
            </w:r>
          </w:p>
        </w:tc>
        <w:tc>
          <w:tcPr>
            <w:tcW w:w="1418" w:type="dxa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97.45</w:t>
            </w:r>
          </w:p>
        </w:tc>
        <w:tc>
          <w:tcPr>
            <w:tcW w:w="2409" w:type="dxa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9</w:t>
            </w:r>
            <w:r w:rsidR="00BD7636" w:rsidRPr="00BD7636">
              <w:rPr>
                <w:rFonts w:cs="Helvetica"/>
                <w:lang w:val="en-US"/>
              </w:rPr>
              <w:t>3</w:t>
            </w:r>
            <w:r>
              <w:rPr>
                <w:rFonts w:cs="Helvetica"/>
                <w:lang w:val="en-US"/>
              </w:rPr>
              <w:t>.45</w:t>
            </w:r>
            <w:r w:rsidR="00BD7636" w:rsidRPr="00BD7636">
              <w:rPr>
                <w:rFonts w:cs="Helvetica"/>
                <w:lang w:val="en-US"/>
              </w:rPr>
              <w:t xml:space="preserve">– </w:t>
            </w:r>
            <w:r>
              <w:rPr>
                <w:rFonts w:cs="Helvetica"/>
                <w:lang w:val="en-US"/>
              </w:rPr>
              <w:t>101</w:t>
            </w:r>
            <w:r w:rsidR="00BD7636" w:rsidRPr="00BD7636">
              <w:rPr>
                <w:rFonts w:cs="Helvetica"/>
                <w:lang w:val="en-US"/>
              </w:rPr>
              <w:t>.</w:t>
            </w:r>
            <w:r>
              <w:rPr>
                <w:rFonts w:cs="Helvetica"/>
                <w:lang w:val="en-US"/>
              </w:rPr>
              <w:t>62</w:t>
            </w:r>
          </w:p>
        </w:tc>
      </w:tr>
      <w:tr w:rsidR="00BD7636" w:rsidRPr="00FA7C92" w:rsidTr="00BC2BDE">
        <w:trPr>
          <w:trHeight w:val="266"/>
          <w:jc w:val="center"/>
        </w:trPr>
        <w:tc>
          <w:tcPr>
            <w:tcW w:w="2089" w:type="dxa"/>
            <w:vAlign w:val="bottom"/>
          </w:tcPr>
          <w:p w:rsidR="00BD7636" w:rsidRPr="00BD7636" w:rsidRDefault="00BD7636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lang w:val="en-US"/>
              </w:rPr>
            </w:pPr>
            <w:proofErr w:type="spellStart"/>
            <w:r w:rsidRPr="00BD7636">
              <w:rPr>
                <w:rFonts w:cs="Helvetica"/>
                <w:b/>
                <w:lang w:val="en-US"/>
              </w:rPr>
              <w:t>Cmax</w:t>
            </w:r>
            <w:proofErr w:type="spellEnd"/>
          </w:p>
        </w:tc>
        <w:tc>
          <w:tcPr>
            <w:tcW w:w="1769" w:type="dxa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5.198</w:t>
            </w:r>
          </w:p>
        </w:tc>
        <w:tc>
          <w:tcPr>
            <w:tcW w:w="1954" w:type="dxa"/>
          </w:tcPr>
          <w:p w:rsidR="00BD7636" w:rsidRPr="00BD7636" w:rsidRDefault="00BD7636" w:rsidP="008B2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 w:rsidRPr="00BD7636">
              <w:rPr>
                <w:rFonts w:cs="Helvetica"/>
                <w:lang w:val="en-US"/>
              </w:rPr>
              <w:t>5.</w:t>
            </w:r>
            <w:r w:rsidR="008B242A">
              <w:rPr>
                <w:rFonts w:cs="Helvetica"/>
                <w:lang w:val="en-US"/>
              </w:rPr>
              <w:t>414</w:t>
            </w:r>
          </w:p>
        </w:tc>
        <w:tc>
          <w:tcPr>
            <w:tcW w:w="1418" w:type="dxa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96.01</w:t>
            </w:r>
          </w:p>
        </w:tc>
        <w:tc>
          <w:tcPr>
            <w:tcW w:w="2409" w:type="dxa"/>
          </w:tcPr>
          <w:p w:rsidR="00BD7636" w:rsidRPr="00BD7636" w:rsidRDefault="008B242A" w:rsidP="00BC2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lang w:val="en-US"/>
              </w:rPr>
            </w:pPr>
            <w:r>
              <w:rPr>
                <w:rFonts w:cs="Helvetica"/>
                <w:lang w:val="en-US"/>
              </w:rPr>
              <w:t>90.62</w:t>
            </w:r>
            <w:r w:rsidR="00BD7636" w:rsidRPr="00BD7636">
              <w:rPr>
                <w:rFonts w:cs="Helvetica"/>
                <w:lang w:val="en-US"/>
              </w:rPr>
              <w:t xml:space="preserve">– </w:t>
            </w:r>
            <w:r>
              <w:rPr>
                <w:rFonts w:cs="Helvetica"/>
                <w:lang w:val="en-US"/>
              </w:rPr>
              <w:t>101.72</w:t>
            </w:r>
          </w:p>
        </w:tc>
      </w:tr>
    </w:tbl>
    <w:p w:rsidR="00BD7636" w:rsidRPr="00FA7C92" w:rsidRDefault="00BD7636" w:rsidP="00BD7636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p w:rsidR="00BD7636" w:rsidRPr="00FA7C92" w:rsidRDefault="00BD7636" w:rsidP="00BD7636">
      <w:pPr>
        <w:spacing w:after="0" w:line="240" w:lineRule="auto"/>
        <w:rPr>
          <w:rFonts w:cs="Arial"/>
        </w:rPr>
      </w:pPr>
      <w:r w:rsidRPr="00FA7C92">
        <w:rPr>
          <w:rFonts w:cs="Arial"/>
          <w:i/>
        </w:rPr>
        <w:t xml:space="preserve">Conclusioni </w:t>
      </w:r>
      <w:r w:rsidR="008B242A" w:rsidRPr="008B242A">
        <w:rPr>
          <w:rFonts w:cs="Arial"/>
          <w:i/>
        </w:rPr>
        <w:t>dello studio di interazione farmacocinetica</w:t>
      </w:r>
    </w:p>
    <w:p w:rsidR="00AE2073" w:rsidRDefault="00BD7636" w:rsidP="00BD7636">
      <w:pPr>
        <w:spacing w:after="0" w:line="240" w:lineRule="auto"/>
        <w:jc w:val="both"/>
        <w:rPr>
          <w:rFonts w:cs="Arial"/>
        </w:rPr>
      </w:pPr>
      <w:r w:rsidRPr="00FA7C92">
        <w:rPr>
          <w:rFonts w:cs="Arial"/>
        </w:rPr>
        <w:t>I risultati de</w:t>
      </w:r>
      <w:r w:rsidR="008B242A">
        <w:rPr>
          <w:rFonts w:cs="Arial"/>
        </w:rPr>
        <w:t>llo</w:t>
      </w:r>
      <w:r w:rsidRPr="00FA7C92">
        <w:rPr>
          <w:rFonts w:cs="Arial"/>
        </w:rPr>
        <w:t xml:space="preserve"> studi</w:t>
      </w:r>
      <w:r w:rsidR="008B242A">
        <w:rPr>
          <w:rFonts w:cs="Arial"/>
        </w:rPr>
        <w:t>o</w:t>
      </w:r>
      <w:r w:rsidRPr="00FA7C92">
        <w:rPr>
          <w:rFonts w:cs="Arial"/>
        </w:rPr>
        <w:t xml:space="preserve"> di </w:t>
      </w:r>
      <w:r w:rsidR="008B242A">
        <w:rPr>
          <w:rFonts w:cs="Arial"/>
        </w:rPr>
        <w:t xml:space="preserve">interazione farmacocinetica </w:t>
      </w:r>
      <w:r w:rsidRPr="00FA7C92">
        <w:rPr>
          <w:rFonts w:cs="Arial"/>
        </w:rPr>
        <w:t xml:space="preserve">mostrano che gli intervalli di confidenza dei parametri farmacocinetici studiati cadono nel </w:t>
      </w:r>
      <w:proofErr w:type="spellStart"/>
      <w:r w:rsidRPr="00FA7C92">
        <w:rPr>
          <w:rFonts w:cs="Arial"/>
        </w:rPr>
        <w:t>range</w:t>
      </w:r>
      <w:proofErr w:type="spellEnd"/>
      <w:r w:rsidRPr="00FA7C92">
        <w:rPr>
          <w:rFonts w:cs="Arial"/>
        </w:rPr>
        <w:t xml:space="preserve"> di accettabilità di 80-125%, in accordo con le linee guida correnti.</w:t>
      </w:r>
    </w:p>
    <w:p w:rsidR="008B242A" w:rsidRPr="00D1324F" w:rsidRDefault="008B242A" w:rsidP="00BD7636">
      <w:pPr>
        <w:spacing w:after="0" w:line="240" w:lineRule="auto"/>
        <w:jc w:val="both"/>
        <w:rPr>
          <w:rFonts w:cs="Arial"/>
        </w:rPr>
      </w:pPr>
    </w:p>
    <w:p w:rsidR="00AE2073" w:rsidRPr="000B3C59" w:rsidRDefault="00AE2073" w:rsidP="00AE2073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E2073" w:rsidRPr="00D1324F" w:rsidRDefault="00AE2073" w:rsidP="00AE2073">
      <w:pPr>
        <w:spacing w:after="0" w:line="240" w:lineRule="auto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dei due principi attivi di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>
        <w:rPr>
          <w:rFonts w:cs="Arial"/>
        </w:rPr>
        <w:t xml:space="preserve"> (</w:t>
      </w:r>
      <w:proofErr w:type="spellStart"/>
      <w:r w:rsidR="007C2797">
        <w:rPr>
          <w:rFonts w:eastAsia="Calibri" w:cs="Calibri"/>
          <w:lang w:eastAsia="it-IT"/>
        </w:rPr>
        <w:t>candesartan</w:t>
      </w:r>
      <w:proofErr w:type="spellEnd"/>
      <w:r>
        <w:rPr>
          <w:rFonts w:cs="Arial"/>
        </w:rPr>
        <w:t xml:space="preserve"> e </w:t>
      </w:r>
      <w:proofErr w:type="spellStart"/>
      <w:r>
        <w:rPr>
          <w:rFonts w:cs="Arial"/>
        </w:rPr>
        <w:t>amlodipina</w:t>
      </w:r>
      <w:proofErr w:type="spellEnd"/>
      <w:r>
        <w:rPr>
          <w:rFonts w:cs="Arial"/>
        </w:rPr>
        <w:t xml:space="preserve">) sono ben conosciuti. </w:t>
      </w:r>
    </w:p>
    <w:p w:rsidR="00AE2073" w:rsidRPr="00D1324F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Pr="00D1324F" w:rsidRDefault="00AE2073" w:rsidP="00AE2073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AE2073" w:rsidRPr="00D1324F" w:rsidRDefault="00AE2073" w:rsidP="00AE2073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 w:rsidRPr="00D1324F">
        <w:t>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  <w:r w:rsidRPr="00D1324F">
        <w:lastRenderedPageBreak/>
        <w:t>Il riassunto delle problematiche</w:t>
      </w:r>
      <w:r>
        <w:t xml:space="preserve"> di sicurezza è riportato nella tabella seguente.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jc w:val="center"/>
        <w:tblLook w:val="04A0"/>
      </w:tblPr>
      <w:tblGrid>
        <w:gridCol w:w="2748"/>
        <w:gridCol w:w="5843"/>
      </w:tblGrid>
      <w:tr w:rsidR="00AE2073" w:rsidRPr="00B776F2" w:rsidTr="00336861">
        <w:trPr>
          <w:jc w:val="center"/>
        </w:trPr>
        <w:tc>
          <w:tcPr>
            <w:tcW w:w="2748" w:type="dxa"/>
          </w:tcPr>
          <w:p w:rsidR="00AE2073" w:rsidRPr="00B776F2" w:rsidRDefault="00AE2073" w:rsidP="00B776F2">
            <w:pPr>
              <w:pStyle w:val="Paragrafoelenco"/>
              <w:ind w:left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B776F2">
              <w:rPr>
                <w:sz w:val="20"/>
                <w:szCs w:val="20"/>
                <w:lang w:val="en-US"/>
              </w:rPr>
              <w:t>Rischi</w:t>
            </w:r>
            <w:proofErr w:type="spellEnd"/>
            <w:r w:rsidRPr="00B776F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6F2">
              <w:rPr>
                <w:sz w:val="20"/>
                <w:szCs w:val="20"/>
                <w:lang w:val="en-US"/>
              </w:rPr>
              <w:t>identificati</w:t>
            </w:r>
            <w:proofErr w:type="spellEnd"/>
            <w:r w:rsidRPr="00B776F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6F2">
              <w:rPr>
                <w:sz w:val="20"/>
                <w:szCs w:val="20"/>
                <w:lang w:val="en-US"/>
              </w:rPr>
              <w:t>importanti</w:t>
            </w:r>
            <w:proofErr w:type="spellEnd"/>
          </w:p>
        </w:tc>
        <w:tc>
          <w:tcPr>
            <w:tcW w:w="5843" w:type="dxa"/>
          </w:tcPr>
          <w:p w:rsidR="00AE2073" w:rsidRPr="00B776F2" w:rsidRDefault="00481317" w:rsidP="00B776F2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B776F2">
              <w:rPr>
                <w:sz w:val="20"/>
                <w:szCs w:val="20"/>
              </w:rPr>
              <w:t>I</w:t>
            </w:r>
            <w:r w:rsidR="00AE2073" w:rsidRPr="00B776F2">
              <w:rPr>
                <w:sz w:val="20"/>
                <w:szCs w:val="20"/>
              </w:rPr>
              <w:t xml:space="preserve">persensibilità </w:t>
            </w:r>
            <w:r w:rsidRPr="00B776F2">
              <w:rPr>
                <w:sz w:val="20"/>
                <w:szCs w:val="20"/>
              </w:rPr>
              <w:t xml:space="preserve">ai principi attivi, ai derivasti della </w:t>
            </w:r>
            <w:proofErr w:type="spellStart"/>
            <w:r w:rsidRPr="00B776F2">
              <w:rPr>
                <w:sz w:val="20"/>
                <w:szCs w:val="20"/>
              </w:rPr>
              <w:t>diidropiridina</w:t>
            </w:r>
            <w:proofErr w:type="spellEnd"/>
            <w:r w:rsidRPr="00B776F2">
              <w:rPr>
                <w:sz w:val="20"/>
                <w:szCs w:val="20"/>
              </w:rPr>
              <w:t>, o agli eccipienti</w:t>
            </w:r>
          </w:p>
          <w:p w:rsidR="00AE2073" w:rsidRPr="00B776F2" w:rsidRDefault="00AE2073" w:rsidP="00B776F2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B776F2">
              <w:rPr>
                <w:sz w:val="20"/>
                <w:szCs w:val="20"/>
              </w:rPr>
              <w:t xml:space="preserve">Grave ipotensione </w:t>
            </w:r>
          </w:p>
          <w:p w:rsidR="00AE2073" w:rsidRPr="00B776F2" w:rsidRDefault="00AE2073" w:rsidP="00B776F2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B776F2">
              <w:rPr>
                <w:sz w:val="20"/>
                <w:szCs w:val="20"/>
              </w:rPr>
              <w:t xml:space="preserve">Uso in pazienti in stato di shock (compreso shock </w:t>
            </w:r>
            <w:proofErr w:type="spellStart"/>
            <w:r w:rsidRPr="00B776F2">
              <w:rPr>
                <w:sz w:val="20"/>
                <w:szCs w:val="20"/>
              </w:rPr>
              <w:t>cardiogeno</w:t>
            </w:r>
            <w:proofErr w:type="spellEnd"/>
            <w:r w:rsidRPr="00B776F2">
              <w:rPr>
                <w:sz w:val="20"/>
                <w:szCs w:val="20"/>
              </w:rPr>
              <w:t>)</w:t>
            </w:r>
          </w:p>
          <w:p w:rsidR="00481317" w:rsidRPr="00B776F2" w:rsidRDefault="00481317" w:rsidP="00B776F2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B776F2">
              <w:rPr>
                <w:sz w:val="20"/>
                <w:szCs w:val="20"/>
              </w:rPr>
              <w:t>Uso in pazienti con patologia ostruttiva del tratto biliare o insufficienza epatica grave</w:t>
            </w:r>
          </w:p>
          <w:p w:rsidR="00AE2073" w:rsidRPr="00B776F2" w:rsidRDefault="00481317" w:rsidP="00B776F2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B776F2">
              <w:rPr>
                <w:sz w:val="20"/>
                <w:szCs w:val="20"/>
              </w:rPr>
              <w:t>D</w:t>
            </w:r>
            <w:r w:rsidR="00AE2073" w:rsidRPr="00B776F2">
              <w:rPr>
                <w:sz w:val="20"/>
                <w:szCs w:val="20"/>
              </w:rPr>
              <w:t xml:space="preserve">oppio blocco del sistema </w:t>
            </w:r>
            <w:proofErr w:type="spellStart"/>
            <w:r w:rsidR="00AE2073" w:rsidRPr="00B776F2">
              <w:rPr>
                <w:sz w:val="20"/>
                <w:szCs w:val="20"/>
              </w:rPr>
              <w:t>renina-angiotensina-aldosterone</w:t>
            </w:r>
            <w:proofErr w:type="spellEnd"/>
            <w:r w:rsidRPr="00B776F2">
              <w:rPr>
                <w:sz w:val="20"/>
                <w:szCs w:val="20"/>
              </w:rPr>
              <w:t xml:space="preserve"> (RAAS)</w:t>
            </w:r>
          </w:p>
          <w:p w:rsidR="00AE2073" w:rsidRPr="00B776F2" w:rsidRDefault="00481317" w:rsidP="00B776F2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B776F2">
              <w:rPr>
                <w:sz w:val="20"/>
                <w:szCs w:val="20"/>
              </w:rPr>
              <w:t>Feto</w:t>
            </w:r>
            <w:r w:rsidR="00AE2073" w:rsidRPr="00B776F2">
              <w:rPr>
                <w:sz w:val="20"/>
                <w:szCs w:val="20"/>
              </w:rPr>
              <w:t>tossicità</w:t>
            </w:r>
            <w:proofErr w:type="spellEnd"/>
            <w:r w:rsidR="00AE2073" w:rsidRPr="00B776F2">
              <w:rPr>
                <w:sz w:val="20"/>
                <w:szCs w:val="20"/>
              </w:rPr>
              <w:t xml:space="preserve"> per uso nel secondo e terzo trimestre di gravidanza</w:t>
            </w:r>
          </w:p>
          <w:p w:rsidR="00481317" w:rsidRPr="00B776F2" w:rsidRDefault="00481317" w:rsidP="00B776F2">
            <w:pPr>
              <w:jc w:val="both"/>
              <w:rPr>
                <w:sz w:val="20"/>
                <w:szCs w:val="20"/>
              </w:rPr>
            </w:pPr>
            <w:r w:rsidRPr="00B776F2">
              <w:rPr>
                <w:sz w:val="20"/>
                <w:szCs w:val="20"/>
              </w:rPr>
              <w:t>Ostruzione del flusso ventricolare sinistro</w:t>
            </w:r>
          </w:p>
          <w:p w:rsidR="00481317" w:rsidRPr="00B776F2" w:rsidRDefault="00B776F2" w:rsidP="00B776F2">
            <w:pPr>
              <w:jc w:val="both"/>
              <w:rPr>
                <w:sz w:val="20"/>
                <w:szCs w:val="20"/>
              </w:rPr>
            </w:pPr>
            <w:r w:rsidRPr="00B776F2">
              <w:rPr>
                <w:sz w:val="20"/>
                <w:szCs w:val="20"/>
              </w:rPr>
              <w:t>Insufficienza cardiaca emodinamicamente instabile dopo infarto miocardico acuto</w:t>
            </w:r>
          </w:p>
        </w:tc>
      </w:tr>
      <w:tr w:rsidR="00AE2073" w:rsidRPr="00B776F2" w:rsidTr="00336861">
        <w:trPr>
          <w:jc w:val="center"/>
        </w:trPr>
        <w:tc>
          <w:tcPr>
            <w:tcW w:w="2748" w:type="dxa"/>
          </w:tcPr>
          <w:p w:rsidR="00AE2073" w:rsidRPr="00B776F2" w:rsidRDefault="00AE2073" w:rsidP="00B776F2">
            <w:pPr>
              <w:pStyle w:val="Paragrafoelenco"/>
              <w:ind w:left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B776F2">
              <w:rPr>
                <w:sz w:val="20"/>
                <w:szCs w:val="20"/>
                <w:lang w:val="en-US"/>
              </w:rPr>
              <w:t>Rischi</w:t>
            </w:r>
            <w:proofErr w:type="spellEnd"/>
            <w:r w:rsidRPr="00B776F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6F2">
              <w:rPr>
                <w:sz w:val="20"/>
                <w:szCs w:val="20"/>
                <w:lang w:val="en-US"/>
              </w:rPr>
              <w:t>potenziali</w:t>
            </w:r>
            <w:proofErr w:type="spellEnd"/>
            <w:r w:rsidRPr="00B776F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6F2">
              <w:rPr>
                <w:sz w:val="20"/>
                <w:szCs w:val="20"/>
                <w:lang w:val="en-US"/>
              </w:rPr>
              <w:t>importanti</w:t>
            </w:r>
            <w:proofErr w:type="spellEnd"/>
          </w:p>
        </w:tc>
        <w:tc>
          <w:tcPr>
            <w:tcW w:w="5843" w:type="dxa"/>
          </w:tcPr>
          <w:p w:rsidR="00AE2073" w:rsidRPr="00B776F2" w:rsidRDefault="00AE2073" w:rsidP="00B776F2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B776F2">
              <w:rPr>
                <w:sz w:val="20"/>
                <w:szCs w:val="20"/>
              </w:rPr>
              <w:t>Uso nel primo trimestre di gravidanza</w:t>
            </w:r>
          </w:p>
        </w:tc>
      </w:tr>
      <w:tr w:rsidR="00AE2073" w:rsidRPr="007B1628" w:rsidTr="00336861">
        <w:trPr>
          <w:jc w:val="center"/>
        </w:trPr>
        <w:tc>
          <w:tcPr>
            <w:tcW w:w="2748" w:type="dxa"/>
          </w:tcPr>
          <w:p w:rsidR="00AE2073" w:rsidRPr="00B776F2" w:rsidRDefault="00AE2073" w:rsidP="00B776F2">
            <w:pPr>
              <w:pStyle w:val="Paragrafoelenco"/>
              <w:ind w:left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B776F2">
              <w:rPr>
                <w:sz w:val="20"/>
                <w:szCs w:val="20"/>
                <w:lang w:val="en-US"/>
              </w:rPr>
              <w:t>Informazioni</w:t>
            </w:r>
            <w:proofErr w:type="spellEnd"/>
            <w:r w:rsidRPr="00B776F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6F2">
              <w:rPr>
                <w:sz w:val="20"/>
                <w:szCs w:val="20"/>
                <w:lang w:val="en-US"/>
              </w:rPr>
              <w:t>mancanti</w:t>
            </w:r>
            <w:proofErr w:type="spellEnd"/>
          </w:p>
        </w:tc>
        <w:tc>
          <w:tcPr>
            <w:tcW w:w="5843" w:type="dxa"/>
          </w:tcPr>
          <w:p w:rsidR="00AE2073" w:rsidRPr="00B776F2" w:rsidRDefault="00481317" w:rsidP="00B776F2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B776F2">
              <w:rPr>
                <w:sz w:val="20"/>
                <w:szCs w:val="20"/>
              </w:rPr>
              <w:t>Uso nella popolazione pediatrica</w:t>
            </w:r>
          </w:p>
          <w:p w:rsidR="00AE2073" w:rsidRPr="00B776F2" w:rsidRDefault="00AE2073" w:rsidP="00B776F2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B776F2">
              <w:rPr>
                <w:sz w:val="20"/>
                <w:szCs w:val="20"/>
              </w:rPr>
              <w:t>Uso durante l’allattamento</w:t>
            </w:r>
          </w:p>
          <w:p w:rsidR="00481317" w:rsidRPr="00B776F2" w:rsidRDefault="00AE2073" w:rsidP="00B776F2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B776F2">
              <w:rPr>
                <w:sz w:val="20"/>
                <w:szCs w:val="20"/>
              </w:rPr>
              <w:t xml:space="preserve">Uso in pazienti </w:t>
            </w:r>
            <w:r w:rsidR="00481317" w:rsidRPr="00B776F2">
              <w:rPr>
                <w:sz w:val="20"/>
                <w:szCs w:val="20"/>
              </w:rPr>
              <w:t>che hanno subito un trapianto renale</w:t>
            </w:r>
          </w:p>
        </w:tc>
      </w:tr>
    </w:tbl>
    <w:p w:rsidR="00AE2073" w:rsidRPr="007D3507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Pr="002E4DCB" w:rsidRDefault="00AE2073" w:rsidP="00AE2073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>
        <w:t xml:space="preserve"> sono state presentate sufficienti informazioni cliniche.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>
        <w:t xml:space="preserve"> è considerato favorevole dal punto di vista clinico.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Pr="002E4DCB" w:rsidRDefault="00AE2073" w:rsidP="00AE207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E2073" w:rsidRDefault="00AE2073" w:rsidP="00AE2073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Pr="00BC23ED" w:rsidRDefault="00AE2073" w:rsidP="00AE207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E2073" w:rsidRDefault="00AE2073" w:rsidP="00AE2073">
      <w:pPr>
        <w:spacing w:after="0" w:line="240" w:lineRule="auto"/>
        <w:jc w:val="both"/>
      </w:pPr>
      <w:r>
        <w:t xml:space="preserve">La qualità di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>
        <w:t xml:space="preserve"> è accettabile e non sono state rilevate criticità da un punto di vista non clinico e clinico.</w:t>
      </w:r>
    </w:p>
    <w:p w:rsidR="00AE2073" w:rsidRDefault="00AE2073" w:rsidP="00AE2073">
      <w:pPr>
        <w:spacing w:after="0" w:line="240" w:lineRule="auto"/>
        <w:jc w:val="both"/>
      </w:pPr>
      <w:r w:rsidRPr="00653660">
        <w:t xml:space="preserve">Lo studio di bioequivalenza e le sue conclusioni confermano che </w:t>
      </w:r>
      <w:proofErr w:type="spellStart"/>
      <w:r w:rsidR="005E590D">
        <w:rPr>
          <w:rFonts w:eastAsia="Calibri" w:cs="Calibri"/>
          <w:color w:val="000000"/>
          <w:lang w:eastAsia="it-IT"/>
        </w:rPr>
        <w:t>Lodicand</w:t>
      </w:r>
      <w:proofErr w:type="spellEnd"/>
      <w:r w:rsidRPr="00653660">
        <w:t xml:space="preserve"> e i medicinali </w:t>
      </w:r>
      <w:proofErr w:type="spellStart"/>
      <w:r w:rsidRPr="00653660">
        <w:t>Norvasc</w:t>
      </w:r>
      <w:proofErr w:type="spellEnd"/>
      <w:r w:rsidRPr="00653660">
        <w:t xml:space="preserve"> e </w:t>
      </w:r>
      <w:proofErr w:type="spellStart"/>
      <w:r w:rsidR="00B776F2">
        <w:t>Ra</w:t>
      </w:r>
      <w:r w:rsidR="007D2FC3" w:rsidRPr="00653660">
        <w:t>tacand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AE2073" w:rsidRDefault="00AE2073" w:rsidP="00AE2073">
      <w:pPr>
        <w:spacing w:after="0" w:line="240" w:lineRule="auto"/>
        <w:jc w:val="both"/>
      </w:pPr>
      <w:r>
        <w:t>Il rapporto beneficio/rischio è considerato positivo.</w:t>
      </w:r>
    </w:p>
    <w:p w:rsidR="0033523E" w:rsidRPr="00AE2073" w:rsidRDefault="00AE2073" w:rsidP="008C38BA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2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sectPr w:rsidR="0033523E" w:rsidRPr="00AE2073" w:rsidSect="004A7CB3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4241AC"/>
    <w:rsid w:val="00012C6A"/>
    <w:rsid w:val="0001781F"/>
    <w:rsid w:val="00032756"/>
    <w:rsid w:val="00034823"/>
    <w:rsid w:val="00052C1C"/>
    <w:rsid w:val="00072A40"/>
    <w:rsid w:val="000901A6"/>
    <w:rsid w:val="000A18C9"/>
    <w:rsid w:val="000B1F5E"/>
    <w:rsid w:val="000B3C59"/>
    <w:rsid w:val="001014EB"/>
    <w:rsid w:val="00137DF5"/>
    <w:rsid w:val="00146C38"/>
    <w:rsid w:val="00152878"/>
    <w:rsid w:val="0017122C"/>
    <w:rsid w:val="00186802"/>
    <w:rsid w:val="00193951"/>
    <w:rsid w:val="001B212F"/>
    <w:rsid w:val="001B615B"/>
    <w:rsid w:val="001C00DB"/>
    <w:rsid w:val="001E4D72"/>
    <w:rsid w:val="001E7644"/>
    <w:rsid w:val="0020264C"/>
    <w:rsid w:val="00231543"/>
    <w:rsid w:val="00236AB7"/>
    <w:rsid w:val="0025203E"/>
    <w:rsid w:val="00265A88"/>
    <w:rsid w:val="002807B9"/>
    <w:rsid w:val="00297B23"/>
    <w:rsid w:val="002A6CD9"/>
    <w:rsid w:val="002B6D26"/>
    <w:rsid w:val="002E7E72"/>
    <w:rsid w:val="003264FC"/>
    <w:rsid w:val="0033523E"/>
    <w:rsid w:val="00352598"/>
    <w:rsid w:val="0036135B"/>
    <w:rsid w:val="00384927"/>
    <w:rsid w:val="0038657A"/>
    <w:rsid w:val="00387B54"/>
    <w:rsid w:val="00393F9D"/>
    <w:rsid w:val="00396BCF"/>
    <w:rsid w:val="003B58C4"/>
    <w:rsid w:val="0040042A"/>
    <w:rsid w:val="00413A35"/>
    <w:rsid w:val="004241AC"/>
    <w:rsid w:val="004265F3"/>
    <w:rsid w:val="00441AC2"/>
    <w:rsid w:val="00481317"/>
    <w:rsid w:val="004A790D"/>
    <w:rsid w:val="004A7CB3"/>
    <w:rsid w:val="004B7739"/>
    <w:rsid w:val="004C10AD"/>
    <w:rsid w:val="004D032A"/>
    <w:rsid w:val="00513EA0"/>
    <w:rsid w:val="005702AF"/>
    <w:rsid w:val="00596A84"/>
    <w:rsid w:val="005B4CA9"/>
    <w:rsid w:val="005D49FA"/>
    <w:rsid w:val="005E590D"/>
    <w:rsid w:val="005E615E"/>
    <w:rsid w:val="00635C28"/>
    <w:rsid w:val="00636934"/>
    <w:rsid w:val="00643EB9"/>
    <w:rsid w:val="00650900"/>
    <w:rsid w:val="00653660"/>
    <w:rsid w:val="006556D6"/>
    <w:rsid w:val="0066243B"/>
    <w:rsid w:val="006703B0"/>
    <w:rsid w:val="00691136"/>
    <w:rsid w:val="006B0D5F"/>
    <w:rsid w:val="006C0B0D"/>
    <w:rsid w:val="006D3554"/>
    <w:rsid w:val="00705CC6"/>
    <w:rsid w:val="00711FEC"/>
    <w:rsid w:val="0072390B"/>
    <w:rsid w:val="00752B41"/>
    <w:rsid w:val="00761981"/>
    <w:rsid w:val="007755BC"/>
    <w:rsid w:val="00775715"/>
    <w:rsid w:val="0078557E"/>
    <w:rsid w:val="00795F3A"/>
    <w:rsid w:val="007B52C0"/>
    <w:rsid w:val="007C2797"/>
    <w:rsid w:val="007D2FC3"/>
    <w:rsid w:val="007D3E7F"/>
    <w:rsid w:val="007F2996"/>
    <w:rsid w:val="00813113"/>
    <w:rsid w:val="00821F69"/>
    <w:rsid w:val="00830F2F"/>
    <w:rsid w:val="00843757"/>
    <w:rsid w:val="00844A73"/>
    <w:rsid w:val="00864166"/>
    <w:rsid w:val="00877699"/>
    <w:rsid w:val="008808DD"/>
    <w:rsid w:val="00892CB6"/>
    <w:rsid w:val="008B242A"/>
    <w:rsid w:val="008C38BA"/>
    <w:rsid w:val="008E4B02"/>
    <w:rsid w:val="008F03D8"/>
    <w:rsid w:val="00973F56"/>
    <w:rsid w:val="00974FCC"/>
    <w:rsid w:val="009A260F"/>
    <w:rsid w:val="009A2805"/>
    <w:rsid w:val="009A6F68"/>
    <w:rsid w:val="009C454A"/>
    <w:rsid w:val="009F059B"/>
    <w:rsid w:val="00A26C84"/>
    <w:rsid w:val="00A34141"/>
    <w:rsid w:val="00A366FC"/>
    <w:rsid w:val="00A650DA"/>
    <w:rsid w:val="00A70042"/>
    <w:rsid w:val="00A950D7"/>
    <w:rsid w:val="00AA345B"/>
    <w:rsid w:val="00AC1EE2"/>
    <w:rsid w:val="00AE2073"/>
    <w:rsid w:val="00B35DC7"/>
    <w:rsid w:val="00B776F2"/>
    <w:rsid w:val="00BB474A"/>
    <w:rsid w:val="00BC7022"/>
    <w:rsid w:val="00BD7636"/>
    <w:rsid w:val="00BE62FE"/>
    <w:rsid w:val="00BE6380"/>
    <w:rsid w:val="00C0783A"/>
    <w:rsid w:val="00C146E5"/>
    <w:rsid w:val="00C2155B"/>
    <w:rsid w:val="00C2335D"/>
    <w:rsid w:val="00C418E6"/>
    <w:rsid w:val="00C8635B"/>
    <w:rsid w:val="00CD61E5"/>
    <w:rsid w:val="00D06658"/>
    <w:rsid w:val="00D1324F"/>
    <w:rsid w:val="00D20DD6"/>
    <w:rsid w:val="00D33BDA"/>
    <w:rsid w:val="00D55B9F"/>
    <w:rsid w:val="00DA2D3B"/>
    <w:rsid w:val="00DB0D16"/>
    <w:rsid w:val="00DB5D69"/>
    <w:rsid w:val="00DE0CAB"/>
    <w:rsid w:val="00DE5E14"/>
    <w:rsid w:val="00E03039"/>
    <w:rsid w:val="00E22A1C"/>
    <w:rsid w:val="00E23B92"/>
    <w:rsid w:val="00E40E59"/>
    <w:rsid w:val="00E41B66"/>
    <w:rsid w:val="00E46CC1"/>
    <w:rsid w:val="00E567F2"/>
    <w:rsid w:val="00E62234"/>
    <w:rsid w:val="00E63332"/>
    <w:rsid w:val="00E652AC"/>
    <w:rsid w:val="00E82AD1"/>
    <w:rsid w:val="00E82C24"/>
    <w:rsid w:val="00E82D80"/>
    <w:rsid w:val="00EB07B5"/>
    <w:rsid w:val="00EC06ED"/>
    <w:rsid w:val="00F11281"/>
    <w:rsid w:val="00F6665C"/>
    <w:rsid w:val="00F7013E"/>
    <w:rsid w:val="00F70F84"/>
    <w:rsid w:val="00F7180D"/>
    <w:rsid w:val="00FA1BD1"/>
    <w:rsid w:val="00FB1ABB"/>
    <w:rsid w:val="00FC0A0F"/>
    <w:rsid w:val="00FC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0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36AB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3523E"/>
    <w:pPr>
      <w:ind w:left="720"/>
      <w:contextualSpacing/>
    </w:pPr>
  </w:style>
  <w:style w:type="character" w:customStyle="1" w:styleId="s1">
    <w:name w:val="s1"/>
    <w:basedOn w:val="Carpredefinitoparagrafo"/>
    <w:rsid w:val="006C0B0D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6D3554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D33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4127</Words>
  <Characters>23528</Characters>
  <Application>Microsoft Office Word</Application>
  <DocSecurity>0</DocSecurity>
  <Lines>196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54</cp:revision>
  <dcterms:created xsi:type="dcterms:W3CDTF">2015-07-01T10:05:00Z</dcterms:created>
  <dcterms:modified xsi:type="dcterms:W3CDTF">2017-12-11T14:38:00Z</dcterms:modified>
</cp:coreProperties>
</file>