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80B90" w:rsidP="00036C3F">
      <w:pPr>
        <w:spacing w:after="0" w:line="240" w:lineRule="auto"/>
        <w:rPr>
          <w:lang w:val="en-US"/>
        </w:rPr>
      </w:pPr>
      <w:r>
        <w:rPr>
          <w:noProof/>
          <w:lang w:eastAsia="it-IT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1295400</wp:posOffset>
            </wp:positionH>
            <wp:positionV relativeFrom="paragraph">
              <wp:posOffset>-51435</wp:posOffset>
            </wp:positionV>
            <wp:extent cx="3425825" cy="1492250"/>
            <wp:effectExtent l="19050" t="0" r="3175" b="0"/>
            <wp:wrapSquare wrapText="bothSides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5825" cy="149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67961">
        <w:rPr>
          <w:lang w:val="en-US"/>
        </w:rPr>
        <w:br w:type="textWrapping" w:clear="all"/>
      </w:r>
    </w:p>
    <w:p w:rsidR="00467593" w:rsidRDefault="00467593" w:rsidP="00036C3F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036C3F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7593" w:rsidRDefault="00467593" w:rsidP="00036C3F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F16CDC" w:rsidRDefault="00F16CDC" w:rsidP="00036C3F">
      <w:pPr>
        <w:widowControl w:val="0"/>
        <w:spacing w:after="0" w:line="240" w:lineRule="auto"/>
        <w:jc w:val="center"/>
        <w:rPr>
          <w:b/>
          <w:sz w:val="32"/>
        </w:rPr>
      </w:pPr>
      <w:r w:rsidRPr="00F16CDC">
        <w:rPr>
          <w:b/>
          <w:sz w:val="32"/>
        </w:rPr>
        <w:t>MOMENTFENE</w:t>
      </w:r>
    </w:p>
    <w:p w:rsidR="00C05220" w:rsidRDefault="004241AC" w:rsidP="00036C3F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</w:t>
      </w:r>
    </w:p>
    <w:p w:rsidR="004241AC" w:rsidRPr="003A3FEB" w:rsidRDefault="004241AC" w:rsidP="00036C3F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>(</w:t>
      </w:r>
      <w:proofErr w:type="spellStart"/>
      <w:r w:rsidR="00F22C10">
        <w:rPr>
          <w:snapToGrid w:val="0"/>
        </w:rPr>
        <w:t>Ibuprofene</w:t>
      </w:r>
      <w:proofErr w:type="spellEnd"/>
      <w:r w:rsidRPr="003A3FEB">
        <w:rPr>
          <w:snapToGrid w:val="0"/>
        </w:rPr>
        <w:t>)</w:t>
      </w:r>
    </w:p>
    <w:p w:rsidR="004241AC" w:rsidRDefault="004241AC" w:rsidP="00036C3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C05220" w:rsidRDefault="00C05220" w:rsidP="00036C3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BB4CC4" w:rsidRDefault="00F16CDC" w:rsidP="00036C3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F16CDC">
        <w:rPr>
          <w:b/>
        </w:rPr>
        <w:t xml:space="preserve">A.C.R.A.F.  </w:t>
      </w:r>
    </w:p>
    <w:p w:rsidR="00CB2CA1" w:rsidRPr="00062636" w:rsidRDefault="00CB2CA1" w:rsidP="00036C3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036C3F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F16CDC" w:rsidRPr="00F16CDC">
        <w:rPr>
          <w:rFonts w:cs="Helvetica"/>
          <w:b/>
        </w:rPr>
        <w:t>043864</w:t>
      </w:r>
    </w:p>
    <w:bookmarkEnd w:id="0"/>
    <w:p w:rsidR="004241AC" w:rsidRPr="00062636" w:rsidRDefault="004241AC" w:rsidP="00036C3F">
      <w:pPr>
        <w:spacing w:after="0" w:line="240" w:lineRule="auto"/>
        <w:jc w:val="center"/>
        <w:rPr>
          <w:b/>
        </w:rPr>
      </w:pPr>
    </w:p>
    <w:p w:rsidR="004241AC" w:rsidRDefault="004241AC" w:rsidP="00036C3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AB54C2" w:rsidRDefault="00AB54C2" w:rsidP="00036C3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AB54C2" w:rsidRPr="0033523E" w:rsidRDefault="00AB54C2" w:rsidP="00036C3F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color w:val="000000"/>
          <w:lang w:eastAsia="it-IT"/>
        </w:rPr>
      </w:pPr>
      <w:r w:rsidRPr="0033523E">
        <w:rPr>
          <w:rFonts w:cs="Calibri"/>
          <w:b/>
          <w:color w:val="000000"/>
          <w:lang w:eastAsia="it-IT"/>
        </w:rPr>
        <w:t>RIASSUNTO DELLA RELAZIONE PUBBLICA DI VALUTAZIONE</w:t>
      </w:r>
    </w:p>
    <w:p w:rsidR="00AB54C2" w:rsidRDefault="00AB54C2" w:rsidP="00036C3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4241AC" w:rsidRPr="009F1B70" w:rsidRDefault="004241AC" w:rsidP="00036C3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color w:val="000000"/>
          <w:lang w:eastAsia="it-IT"/>
        </w:rPr>
      </w:pPr>
      <w:r w:rsidRPr="009F1B70">
        <w:rPr>
          <w:rFonts w:cs="Calibri"/>
          <w:color w:val="000000"/>
          <w:lang w:eastAsia="it-IT"/>
        </w:rPr>
        <w:t xml:space="preserve">Questa è la sintesi del </w:t>
      </w:r>
      <w:r w:rsidRPr="009B03DB">
        <w:rPr>
          <w:rFonts w:cs="Calibri"/>
          <w:i/>
          <w:color w:val="000000"/>
          <w:lang w:eastAsia="it-IT"/>
        </w:rPr>
        <w:t>Public Assessment Report</w:t>
      </w:r>
      <w:r w:rsidRPr="009F1B70">
        <w:rPr>
          <w:rFonts w:cs="Calibri"/>
          <w:color w:val="000000"/>
          <w:lang w:eastAsia="it-IT"/>
        </w:rPr>
        <w:t xml:space="preserve"> (PAR) per </w:t>
      </w:r>
      <w:proofErr w:type="spellStart"/>
      <w:r w:rsidR="00F16CDC">
        <w:rPr>
          <w:rFonts w:cs="Calibri"/>
          <w:color w:val="000000"/>
          <w:lang w:eastAsia="it-IT"/>
        </w:rPr>
        <w:t>Momentfene</w:t>
      </w:r>
      <w:proofErr w:type="spellEnd"/>
      <w:r w:rsidRPr="009F1B70">
        <w:rPr>
          <w:rFonts w:cs="Calibri"/>
          <w:color w:val="000000"/>
          <w:lang w:eastAsia="it-IT"/>
        </w:rPr>
        <w:t>.</w:t>
      </w:r>
      <w:r w:rsidRPr="009F1B70">
        <w:rPr>
          <w:rFonts w:cs="Calibri"/>
          <w:bCs/>
          <w:color w:val="000000"/>
          <w:lang w:eastAsia="it-IT"/>
        </w:rPr>
        <w:t xml:space="preserve"> </w:t>
      </w:r>
      <w:r w:rsidRPr="009F1B70">
        <w:rPr>
          <w:rFonts w:cs="Calibri"/>
          <w:color w:val="000000"/>
          <w:lang w:eastAsia="it-IT"/>
        </w:rPr>
        <w:t xml:space="preserve">Esso spiega come </w:t>
      </w:r>
      <w:proofErr w:type="spellStart"/>
      <w:r w:rsidR="00F16CDC">
        <w:rPr>
          <w:rFonts w:cs="Calibri"/>
          <w:color w:val="000000"/>
          <w:lang w:eastAsia="it-IT"/>
        </w:rPr>
        <w:t>Momentfene</w:t>
      </w:r>
      <w:proofErr w:type="spellEnd"/>
      <w:r w:rsidR="000357C4">
        <w:rPr>
          <w:rFonts w:cs="Calibri"/>
          <w:color w:val="000000"/>
          <w:lang w:eastAsia="it-IT"/>
        </w:rPr>
        <w:t xml:space="preserve"> </w:t>
      </w:r>
      <w:r w:rsidR="00F16CDC">
        <w:rPr>
          <w:rFonts w:cs="Calibri"/>
          <w:color w:val="000000"/>
          <w:lang w:eastAsia="it-IT"/>
        </w:rPr>
        <w:t xml:space="preserve">sia </w:t>
      </w:r>
      <w:r w:rsidRPr="009F1B70">
        <w:rPr>
          <w:rFonts w:cs="Calibri"/>
          <w:color w:val="000000"/>
          <w:lang w:eastAsia="it-IT"/>
        </w:rPr>
        <w:t xml:space="preserve">stato valutato dalla Commissione Tecnico-Scientifica (CTS) </w:t>
      </w:r>
      <w:r w:rsidR="005A64F7">
        <w:rPr>
          <w:rFonts w:cs="Calibri"/>
          <w:color w:val="000000"/>
          <w:lang w:eastAsia="it-IT"/>
        </w:rPr>
        <w:t>e le sue condizioni di impiego</w:t>
      </w:r>
      <w:r w:rsidRPr="009F1B70">
        <w:rPr>
          <w:rFonts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F16CDC">
        <w:rPr>
          <w:rFonts w:cs="Calibri"/>
          <w:color w:val="000000"/>
          <w:lang w:eastAsia="it-IT"/>
        </w:rPr>
        <w:t>Momentfene</w:t>
      </w:r>
      <w:proofErr w:type="spellEnd"/>
      <w:r w:rsidRPr="009F1B70">
        <w:rPr>
          <w:rFonts w:cs="Calibri"/>
          <w:bCs/>
          <w:color w:val="000000"/>
          <w:lang w:eastAsia="it-IT"/>
        </w:rPr>
        <w:t>.</w:t>
      </w:r>
    </w:p>
    <w:p w:rsidR="004241AC" w:rsidRPr="009F1B70" w:rsidRDefault="004241AC" w:rsidP="00036C3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9F1B70">
        <w:rPr>
          <w:rFonts w:cs="Calibri"/>
          <w:color w:val="000000"/>
          <w:lang w:eastAsia="it-IT"/>
        </w:rPr>
        <w:t>Per informazioni pratiche sull'utilizzo</w:t>
      </w:r>
      <w:r w:rsidR="00C05220">
        <w:rPr>
          <w:rFonts w:cs="Calibri"/>
          <w:color w:val="000000"/>
          <w:lang w:eastAsia="it-IT"/>
        </w:rPr>
        <w:t xml:space="preserve"> </w:t>
      </w:r>
      <w:r w:rsidRPr="009F1B70">
        <w:rPr>
          <w:rFonts w:cs="Calibri"/>
          <w:color w:val="000000"/>
          <w:lang w:eastAsia="it-IT"/>
        </w:rPr>
        <w:t>di</w:t>
      </w:r>
      <w:r w:rsidRPr="009F1B70">
        <w:rPr>
          <w:rFonts w:cs="Calibri"/>
          <w:bCs/>
          <w:color w:val="000000"/>
          <w:lang w:eastAsia="it-IT"/>
        </w:rPr>
        <w:t xml:space="preserve"> </w:t>
      </w:r>
      <w:proofErr w:type="spellStart"/>
      <w:r w:rsidR="00F16CDC">
        <w:rPr>
          <w:rFonts w:cs="Calibri"/>
          <w:color w:val="000000"/>
          <w:lang w:eastAsia="it-IT"/>
        </w:rPr>
        <w:t>Momentfene</w:t>
      </w:r>
      <w:proofErr w:type="spellEnd"/>
      <w:r w:rsidR="00F22C10" w:rsidRPr="009F1B70">
        <w:rPr>
          <w:rFonts w:cs="Calibri"/>
          <w:color w:val="000000"/>
          <w:lang w:eastAsia="it-IT"/>
        </w:rPr>
        <w:t xml:space="preserve"> </w:t>
      </w:r>
      <w:r w:rsidRPr="009F1B70">
        <w:rPr>
          <w:rFonts w:cs="Calibri"/>
          <w:color w:val="000000"/>
          <w:lang w:eastAsia="it-IT"/>
        </w:rPr>
        <w:t xml:space="preserve">i pazienti devono consultare il foglio illustrativo o contattare il loro medico o </w:t>
      </w:r>
      <w:r w:rsidR="009B03DB">
        <w:rPr>
          <w:rFonts w:cs="Calibri"/>
          <w:color w:val="000000"/>
          <w:lang w:eastAsia="it-IT"/>
        </w:rPr>
        <w:t xml:space="preserve">il </w:t>
      </w:r>
      <w:r w:rsidRPr="009F1B70">
        <w:rPr>
          <w:rFonts w:cs="Calibri"/>
          <w:color w:val="000000"/>
          <w:lang w:eastAsia="it-IT"/>
        </w:rPr>
        <w:t xml:space="preserve">farmacista. </w:t>
      </w:r>
    </w:p>
    <w:p w:rsidR="004241AC" w:rsidRPr="009F1B70" w:rsidRDefault="004241AC" w:rsidP="00036C3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4241AC" w:rsidRPr="002A3F14" w:rsidRDefault="004241AC" w:rsidP="00036C3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4241AC" w:rsidRPr="005928E6" w:rsidRDefault="004241AC" w:rsidP="00036C3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color w:val="000000"/>
          <w:lang w:eastAsia="it-IT"/>
        </w:rPr>
      </w:pPr>
      <w:r w:rsidRPr="005928E6">
        <w:rPr>
          <w:rFonts w:cs="Calibri"/>
          <w:b/>
          <w:bCs/>
          <w:color w:val="000000"/>
          <w:lang w:eastAsia="it-IT"/>
        </w:rPr>
        <w:t xml:space="preserve">1) CHE COS’È </w:t>
      </w:r>
      <w:proofErr w:type="spellStart"/>
      <w:r w:rsidR="00F16CDC">
        <w:rPr>
          <w:rFonts w:cs="Calibri"/>
          <w:b/>
          <w:color w:val="000000"/>
          <w:lang w:eastAsia="it-IT"/>
        </w:rPr>
        <w:t>Momentfene</w:t>
      </w:r>
      <w:proofErr w:type="spellEnd"/>
      <w:r w:rsidR="00F22C10" w:rsidRPr="005928E6">
        <w:rPr>
          <w:rFonts w:cs="Calibri"/>
          <w:b/>
          <w:bCs/>
          <w:color w:val="000000"/>
          <w:lang w:eastAsia="it-IT"/>
        </w:rPr>
        <w:t xml:space="preserve"> </w:t>
      </w:r>
      <w:r w:rsidRPr="005928E6">
        <w:rPr>
          <w:rFonts w:cs="Calibri"/>
          <w:b/>
          <w:bCs/>
          <w:color w:val="000000"/>
          <w:lang w:eastAsia="it-IT"/>
        </w:rPr>
        <w:t xml:space="preserve">e a cosa serve? </w:t>
      </w:r>
    </w:p>
    <w:p w:rsidR="004241AC" w:rsidRPr="005928E6" w:rsidRDefault="00F16CDC" w:rsidP="00036C3F">
      <w:pPr>
        <w:widowControl w:val="0"/>
        <w:spacing w:after="0" w:line="240" w:lineRule="auto"/>
        <w:jc w:val="both"/>
      </w:pPr>
      <w:proofErr w:type="spellStart"/>
      <w:r>
        <w:rPr>
          <w:rFonts w:cs="Calibri"/>
          <w:bCs/>
          <w:color w:val="000000"/>
          <w:lang w:eastAsia="it-IT"/>
        </w:rPr>
        <w:t>Momentfene</w:t>
      </w:r>
      <w:proofErr w:type="spellEnd"/>
      <w:r w:rsidR="00E83F8D" w:rsidRPr="005928E6">
        <w:rPr>
          <w:rFonts w:cs="Calibri"/>
          <w:bCs/>
          <w:color w:val="000000"/>
          <w:lang w:eastAsia="it-IT"/>
        </w:rPr>
        <w:t xml:space="preserve"> </w:t>
      </w:r>
      <w:r w:rsidR="004241AC" w:rsidRPr="005928E6">
        <w:rPr>
          <w:rFonts w:cs="Calibri"/>
          <w:color w:val="000000"/>
          <w:lang w:eastAsia="it-IT"/>
        </w:rPr>
        <w:t xml:space="preserve">è un medicinale contenente </w:t>
      </w:r>
      <w:r w:rsidR="00062636" w:rsidRPr="005928E6">
        <w:rPr>
          <w:rFonts w:cs="Calibri"/>
          <w:color w:val="000000"/>
          <w:lang w:eastAsia="it-IT"/>
        </w:rPr>
        <w:t>i</w:t>
      </w:r>
      <w:r w:rsidR="00E83F8D" w:rsidRPr="005928E6">
        <w:rPr>
          <w:rFonts w:cs="Calibri"/>
          <w:color w:val="000000"/>
          <w:lang w:eastAsia="it-IT"/>
        </w:rPr>
        <w:t>l</w:t>
      </w:r>
      <w:r w:rsidR="004241AC" w:rsidRPr="005928E6">
        <w:rPr>
          <w:rFonts w:cs="Calibri"/>
          <w:color w:val="000000"/>
          <w:lang w:eastAsia="it-IT"/>
        </w:rPr>
        <w:t xml:space="preserve"> principi</w:t>
      </w:r>
      <w:r w:rsidR="00E83F8D" w:rsidRPr="005928E6">
        <w:rPr>
          <w:rFonts w:cs="Calibri"/>
          <w:color w:val="000000"/>
          <w:lang w:eastAsia="it-IT"/>
        </w:rPr>
        <w:t>o</w:t>
      </w:r>
      <w:r w:rsidR="004241AC" w:rsidRPr="005928E6">
        <w:rPr>
          <w:rFonts w:cs="Calibri"/>
          <w:color w:val="000000"/>
          <w:lang w:eastAsia="it-IT"/>
        </w:rPr>
        <w:t xml:space="preserve"> attiv</w:t>
      </w:r>
      <w:r w:rsidR="00E83F8D" w:rsidRPr="005928E6">
        <w:rPr>
          <w:rFonts w:cs="Calibri"/>
          <w:color w:val="000000"/>
          <w:lang w:eastAsia="it-IT"/>
        </w:rPr>
        <w:t>o</w:t>
      </w:r>
      <w:r w:rsidR="004241AC" w:rsidRPr="005928E6">
        <w:rPr>
          <w:rFonts w:cs="Calibri"/>
          <w:color w:val="000000"/>
          <w:lang w:eastAsia="it-IT"/>
        </w:rPr>
        <w:t xml:space="preserve"> </w:t>
      </w:r>
      <w:r w:rsidR="000E1A3B" w:rsidRPr="005928E6">
        <w:rPr>
          <w:rFonts w:cs="Calibri"/>
          <w:color w:val="000000"/>
          <w:lang w:eastAsia="it-IT"/>
        </w:rPr>
        <w:t>ibuprofene</w:t>
      </w:r>
      <w:r w:rsidR="00BB4CC4">
        <w:rPr>
          <w:rFonts w:cs="Calibri"/>
          <w:color w:val="000000"/>
          <w:lang w:eastAsia="it-IT"/>
        </w:rPr>
        <w:t xml:space="preserve"> ed è </w:t>
      </w:r>
      <w:r w:rsidR="004241AC" w:rsidRPr="005928E6">
        <w:rPr>
          <w:rFonts w:cs="Calibri"/>
          <w:color w:val="000000"/>
          <w:lang w:eastAsia="it-IT"/>
        </w:rPr>
        <w:t xml:space="preserve">disponibile in </w:t>
      </w:r>
      <w:r w:rsidR="00062636" w:rsidRPr="005928E6">
        <w:rPr>
          <w:rFonts w:cs="Calibri"/>
          <w:color w:val="000000"/>
          <w:lang w:eastAsia="it-IT"/>
        </w:rPr>
        <w:t>compresse</w:t>
      </w:r>
      <w:r w:rsidR="004241AC" w:rsidRPr="005928E6">
        <w:rPr>
          <w:rFonts w:cs="Calibri"/>
          <w:color w:val="000000"/>
          <w:lang w:eastAsia="it-IT"/>
        </w:rPr>
        <w:t xml:space="preserve"> </w:t>
      </w:r>
      <w:r w:rsidR="000E1A3B" w:rsidRPr="005928E6">
        <w:rPr>
          <w:rFonts w:cs="Calibri"/>
          <w:color w:val="000000"/>
          <w:lang w:eastAsia="it-IT"/>
        </w:rPr>
        <w:t>rivestite con film</w:t>
      </w:r>
      <w:r w:rsidR="00BB4CC4">
        <w:rPr>
          <w:rFonts w:cs="Calibri"/>
          <w:color w:val="000000"/>
          <w:lang w:eastAsia="it-IT"/>
        </w:rPr>
        <w:t xml:space="preserve"> </w:t>
      </w:r>
      <w:r w:rsidR="00C05220">
        <w:rPr>
          <w:rFonts w:cs="Helvetica"/>
        </w:rPr>
        <w:t>contenenti</w:t>
      </w:r>
      <w:r w:rsidR="00062636" w:rsidRPr="005928E6">
        <w:rPr>
          <w:rFonts w:cs="Helvetica"/>
        </w:rPr>
        <w:t xml:space="preserve"> </w:t>
      </w:r>
      <w:r w:rsidR="000E1A3B" w:rsidRPr="005928E6">
        <w:rPr>
          <w:rFonts w:cs="Helvetica"/>
        </w:rPr>
        <w:t>60</w:t>
      </w:r>
      <w:r w:rsidR="00E83F8D" w:rsidRPr="005928E6">
        <w:rPr>
          <w:rFonts w:cs="Helvetica"/>
        </w:rPr>
        <w:t>0</w:t>
      </w:r>
      <w:r w:rsidR="00452364" w:rsidRPr="005928E6">
        <w:rPr>
          <w:rFonts w:cs="Helvetica"/>
        </w:rPr>
        <w:t xml:space="preserve"> mg</w:t>
      </w:r>
      <w:r w:rsidR="00BB4CC4">
        <w:rPr>
          <w:rFonts w:cs="Helvetica"/>
        </w:rPr>
        <w:t xml:space="preserve"> di principio attivo</w:t>
      </w:r>
      <w:r w:rsidR="004241AC" w:rsidRPr="005928E6">
        <w:t>.</w:t>
      </w:r>
    </w:p>
    <w:p w:rsidR="00013020" w:rsidRPr="005928E6" w:rsidRDefault="00F16CDC" w:rsidP="00036C3F">
      <w:pPr>
        <w:widowControl w:val="0"/>
        <w:spacing w:after="0" w:line="240" w:lineRule="auto"/>
        <w:jc w:val="both"/>
      </w:pPr>
      <w:proofErr w:type="spellStart"/>
      <w:r>
        <w:rPr>
          <w:rFonts w:cs="Calibri"/>
          <w:color w:val="000000"/>
          <w:lang w:eastAsia="it-IT"/>
        </w:rPr>
        <w:t>Momentfene</w:t>
      </w:r>
      <w:proofErr w:type="spellEnd"/>
      <w:r w:rsidR="00E83F8D" w:rsidRPr="005928E6">
        <w:rPr>
          <w:rFonts w:cs="Calibri"/>
          <w:color w:val="000000"/>
          <w:lang w:eastAsia="it-IT"/>
        </w:rPr>
        <w:t xml:space="preserve"> </w:t>
      </w:r>
      <w:r w:rsidR="00013020" w:rsidRPr="005928E6">
        <w:rPr>
          <w:rFonts w:cs="Calibri"/>
          <w:color w:val="000000"/>
          <w:lang w:eastAsia="it-IT"/>
        </w:rPr>
        <w:t xml:space="preserve">è un “medicinale generico”, cioè è analogo ad un “medicinale di riferimento”, già autorizzato in </w:t>
      </w:r>
      <w:r w:rsidR="00E83F8D" w:rsidRPr="005928E6">
        <w:rPr>
          <w:rFonts w:cs="Calibri"/>
          <w:color w:val="000000"/>
          <w:lang w:eastAsia="it-IT"/>
        </w:rPr>
        <w:t>Italia</w:t>
      </w:r>
      <w:r w:rsidR="00013020" w:rsidRPr="005928E6">
        <w:rPr>
          <w:rFonts w:cs="Calibri"/>
          <w:color w:val="000000"/>
          <w:lang w:eastAsia="it-IT"/>
        </w:rPr>
        <w:t xml:space="preserve">, </w:t>
      </w:r>
      <w:r w:rsidR="000E1A3B" w:rsidRPr="005928E6">
        <w:rPr>
          <w:rFonts w:cs="Calibri"/>
          <w:color w:val="000000"/>
          <w:lang w:eastAsia="it-IT"/>
        </w:rPr>
        <w:t>Brufen</w:t>
      </w:r>
      <w:r w:rsidR="00013020" w:rsidRPr="005928E6">
        <w:rPr>
          <w:rFonts w:cs="Calibri"/>
          <w:color w:val="000000"/>
          <w:lang w:eastAsia="it-IT"/>
        </w:rPr>
        <w:t>.</w:t>
      </w:r>
    </w:p>
    <w:p w:rsidR="004241AC" w:rsidRPr="005928E6" w:rsidRDefault="00F16CDC" w:rsidP="00036C3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Calibri"/>
          <w:color w:val="000000"/>
          <w:lang w:eastAsia="it-IT"/>
        </w:rPr>
      </w:pPr>
      <w:proofErr w:type="spellStart"/>
      <w:r>
        <w:rPr>
          <w:rFonts w:cs="Calibri"/>
          <w:color w:val="000000"/>
          <w:lang w:eastAsia="it-IT"/>
        </w:rPr>
        <w:t>Momentfene</w:t>
      </w:r>
      <w:proofErr w:type="spellEnd"/>
      <w:r w:rsidR="00E83F8D" w:rsidRPr="005928E6">
        <w:rPr>
          <w:rFonts w:cs="Calibri"/>
          <w:color w:val="000000"/>
          <w:lang w:eastAsia="it-IT"/>
        </w:rPr>
        <w:t xml:space="preserve"> </w:t>
      </w:r>
      <w:r w:rsidR="00452364" w:rsidRPr="005928E6">
        <w:rPr>
          <w:rFonts w:cs="Calibri"/>
          <w:color w:val="000000"/>
          <w:lang w:eastAsia="it-IT"/>
        </w:rPr>
        <w:t>si usa:</w:t>
      </w:r>
    </w:p>
    <w:p w:rsidR="005928E6" w:rsidRPr="005928E6" w:rsidRDefault="00C05220" w:rsidP="00036C3F">
      <w:pPr>
        <w:tabs>
          <w:tab w:val="left" w:pos="576"/>
          <w:tab w:val="left" w:pos="2016"/>
          <w:tab w:val="left" w:pos="3456"/>
          <w:tab w:val="left" w:pos="4896"/>
        </w:tabs>
        <w:spacing w:after="0" w:line="240" w:lineRule="auto"/>
        <w:jc w:val="both"/>
      </w:pPr>
      <w:r>
        <w:t>c</w:t>
      </w:r>
      <w:r w:rsidR="005928E6" w:rsidRPr="005928E6">
        <w:t>ome antireumatico in:</w:t>
      </w:r>
    </w:p>
    <w:p w:rsidR="005928E6" w:rsidRPr="005928E6" w:rsidRDefault="005928E6" w:rsidP="00036C3F">
      <w:pPr>
        <w:numPr>
          <w:ilvl w:val="0"/>
          <w:numId w:val="3"/>
        </w:numPr>
        <w:tabs>
          <w:tab w:val="left" w:pos="284"/>
          <w:tab w:val="left" w:pos="2016"/>
          <w:tab w:val="left" w:pos="3456"/>
          <w:tab w:val="left" w:pos="4896"/>
        </w:tabs>
        <w:spacing w:after="0" w:line="240" w:lineRule="auto"/>
        <w:ind w:left="284" w:hanging="284"/>
        <w:jc w:val="both"/>
      </w:pPr>
      <w:r w:rsidRPr="005928E6">
        <w:t>osteoartrosi in tutte le sue localizzazioni (artrosi cervicale, dorsale, lombare; artrosi della spalla, dell'anca, del ginocchio, artrosi diffusa, ecc.), periartrite scapolo-omerale, lombalgie, sciatalgie, radicolo-nevriti; fibrositi, tenosinoviti, miositi, traumatologia sportiva; artrite reumatoide, morbo d</w:t>
      </w:r>
      <w:r w:rsidR="00C05220">
        <w:t xml:space="preserve">i </w:t>
      </w:r>
      <w:proofErr w:type="spellStart"/>
      <w:r w:rsidR="00C05220">
        <w:t>Still</w:t>
      </w:r>
      <w:proofErr w:type="spellEnd"/>
      <w:r w:rsidR="00C05220">
        <w:t>;</w:t>
      </w:r>
    </w:p>
    <w:p w:rsidR="005928E6" w:rsidRPr="005928E6" w:rsidRDefault="00C05220" w:rsidP="00036C3F">
      <w:pPr>
        <w:tabs>
          <w:tab w:val="left" w:pos="284"/>
          <w:tab w:val="left" w:pos="2016"/>
          <w:tab w:val="left" w:pos="3456"/>
          <w:tab w:val="left" w:pos="4896"/>
        </w:tabs>
        <w:spacing w:after="0" w:line="240" w:lineRule="auto"/>
        <w:ind w:left="284" w:hanging="284"/>
        <w:jc w:val="both"/>
      </w:pPr>
      <w:r>
        <w:t>c</w:t>
      </w:r>
      <w:r w:rsidR="005928E6" w:rsidRPr="005928E6">
        <w:t>ome analgesico in forme dolorose di diversa eziologia:</w:t>
      </w:r>
    </w:p>
    <w:p w:rsidR="005928E6" w:rsidRPr="005928E6" w:rsidRDefault="005928E6" w:rsidP="00036C3F">
      <w:pPr>
        <w:numPr>
          <w:ilvl w:val="0"/>
          <w:numId w:val="3"/>
        </w:numPr>
        <w:tabs>
          <w:tab w:val="left" w:pos="2016"/>
          <w:tab w:val="left" w:pos="3456"/>
          <w:tab w:val="left" w:pos="4896"/>
          <w:tab w:val="center" w:pos="8505"/>
        </w:tabs>
        <w:spacing w:after="0" w:line="240" w:lineRule="auto"/>
        <w:jc w:val="both"/>
      </w:pPr>
      <w:r w:rsidRPr="005928E6">
        <w:t>nella traumatologia accidentale e sportiva;</w:t>
      </w:r>
    </w:p>
    <w:p w:rsidR="005928E6" w:rsidRPr="005928E6" w:rsidRDefault="005928E6" w:rsidP="00036C3F">
      <w:pPr>
        <w:numPr>
          <w:ilvl w:val="0"/>
          <w:numId w:val="3"/>
        </w:numPr>
        <w:tabs>
          <w:tab w:val="left" w:pos="2016"/>
          <w:tab w:val="left" w:pos="3456"/>
          <w:tab w:val="left" w:pos="4896"/>
        </w:tabs>
        <w:spacing w:after="0" w:line="240" w:lineRule="auto"/>
        <w:jc w:val="both"/>
      </w:pPr>
      <w:r w:rsidRPr="005928E6">
        <w:t>nella pratica dentistica, nei dolori post-estrazione e dopo interventi odontostomatologici;</w:t>
      </w:r>
    </w:p>
    <w:p w:rsidR="005928E6" w:rsidRPr="005928E6" w:rsidRDefault="005928E6" w:rsidP="00036C3F">
      <w:pPr>
        <w:numPr>
          <w:ilvl w:val="0"/>
          <w:numId w:val="3"/>
        </w:numPr>
        <w:tabs>
          <w:tab w:val="left" w:pos="2016"/>
          <w:tab w:val="left" w:pos="3456"/>
          <w:tab w:val="left" w:pos="4896"/>
        </w:tabs>
        <w:spacing w:after="0" w:line="240" w:lineRule="auto"/>
        <w:jc w:val="both"/>
      </w:pPr>
      <w:r w:rsidRPr="005928E6">
        <w:t>in ostetricia: nel dolore post-episiotomico e post-partum;</w:t>
      </w:r>
    </w:p>
    <w:p w:rsidR="005928E6" w:rsidRPr="005928E6" w:rsidRDefault="005928E6" w:rsidP="00036C3F">
      <w:pPr>
        <w:numPr>
          <w:ilvl w:val="0"/>
          <w:numId w:val="3"/>
        </w:numPr>
        <w:tabs>
          <w:tab w:val="left" w:pos="2016"/>
          <w:tab w:val="left" w:pos="3456"/>
          <w:tab w:val="left" w:pos="4896"/>
        </w:tabs>
        <w:spacing w:after="0" w:line="240" w:lineRule="auto"/>
        <w:jc w:val="both"/>
      </w:pPr>
      <w:r w:rsidRPr="005928E6">
        <w:t>in ginecologia: nella prevenzione e nel trattamento della dismenorrea;</w:t>
      </w:r>
    </w:p>
    <w:p w:rsidR="005928E6" w:rsidRPr="005928E6" w:rsidRDefault="005928E6" w:rsidP="00036C3F">
      <w:pPr>
        <w:numPr>
          <w:ilvl w:val="0"/>
          <w:numId w:val="3"/>
        </w:numPr>
        <w:tabs>
          <w:tab w:val="left" w:pos="2016"/>
          <w:tab w:val="left" w:pos="3456"/>
          <w:tab w:val="left" w:pos="4896"/>
        </w:tabs>
        <w:spacing w:after="0" w:line="240" w:lineRule="auto"/>
        <w:jc w:val="both"/>
      </w:pPr>
      <w:r w:rsidRPr="005928E6">
        <w:t>in chirurgia: nel trattamento del dolore post-operatorio;</w:t>
      </w:r>
    </w:p>
    <w:p w:rsidR="005928E6" w:rsidRPr="005928E6" w:rsidRDefault="005928E6" w:rsidP="00036C3F">
      <w:pPr>
        <w:numPr>
          <w:ilvl w:val="0"/>
          <w:numId w:val="3"/>
        </w:numPr>
        <w:tabs>
          <w:tab w:val="left" w:pos="2016"/>
          <w:tab w:val="left" w:pos="3456"/>
          <w:tab w:val="left" w:pos="4896"/>
        </w:tabs>
        <w:spacing w:after="0" w:line="240" w:lineRule="auto"/>
        <w:jc w:val="both"/>
      </w:pPr>
      <w:r w:rsidRPr="005928E6">
        <w:t>in oculistica: nel dolore post-operatorio e nelle forme dolorose di varia eziologia;</w:t>
      </w:r>
    </w:p>
    <w:p w:rsidR="005928E6" w:rsidRPr="005928E6" w:rsidRDefault="005928E6" w:rsidP="00036C3F">
      <w:pPr>
        <w:numPr>
          <w:ilvl w:val="0"/>
          <w:numId w:val="3"/>
        </w:numPr>
        <w:tabs>
          <w:tab w:val="left" w:pos="2016"/>
          <w:tab w:val="left" w:pos="3456"/>
          <w:tab w:val="left" w:pos="4896"/>
        </w:tabs>
        <w:spacing w:after="0" w:line="240" w:lineRule="auto"/>
        <w:jc w:val="both"/>
      </w:pPr>
      <w:r w:rsidRPr="005928E6">
        <w:t>in medicina generale: nel trattamento di emicrania e cefalea.</w:t>
      </w:r>
    </w:p>
    <w:p w:rsidR="004241AC" w:rsidRDefault="004241AC" w:rsidP="00036C3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lang w:eastAsia="it-IT"/>
        </w:rPr>
      </w:pPr>
    </w:p>
    <w:p w:rsidR="00E83F8D" w:rsidRPr="005928E6" w:rsidRDefault="00E83F8D" w:rsidP="00036C3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lang w:eastAsia="it-IT"/>
        </w:rPr>
      </w:pPr>
    </w:p>
    <w:p w:rsidR="004241AC" w:rsidRPr="005928E6" w:rsidRDefault="004241AC" w:rsidP="00036C3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5928E6">
        <w:rPr>
          <w:rFonts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F16CDC">
        <w:rPr>
          <w:rFonts w:cs="Calibri"/>
          <w:b/>
          <w:bCs/>
          <w:color w:val="000000"/>
          <w:lang w:eastAsia="it-IT"/>
        </w:rPr>
        <w:t>Momentfene</w:t>
      </w:r>
      <w:proofErr w:type="spellEnd"/>
      <w:r w:rsidRPr="005928E6">
        <w:rPr>
          <w:rFonts w:cs="Calibri"/>
          <w:b/>
          <w:bCs/>
          <w:color w:val="000000"/>
          <w:lang w:eastAsia="it-IT"/>
        </w:rPr>
        <w:t>?</w:t>
      </w:r>
    </w:p>
    <w:p w:rsidR="004241AC" w:rsidRPr="005928E6" w:rsidRDefault="00F16CDC" w:rsidP="00036C3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>
        <w:rPr>
          <w:rFonts w:cs="Calibri"/>
          <w:color w:val="000000"/>
          <w:lang w:eastAsia="it-IT"/>
        </w:rPr>
        <w:t>Momentfene</w:t>
      </w:r>
      <w:proofErr w:type="spellEnd"/>
      <w:r w:rsidR="00BB4CC4" w:rsidRPr="005928E6">
        <w:rPr>
          <w:rFonts w:cs="Calibri"/>
          <w:color w:val="000000"/>
          <w:lang w:eastAsia="it-IT"/>
        </w:rPr>
        <w:t xml:space="preserve"> </w:t>
      </w:r>
      <w:r w:rsidR="004241AC" w:rsidRPr="005928E6">
        <w:rPr>
          <w:rFonts w:cs="Calibri"/>
          <w:color w:val="000000"/>
          <w:lang w:eastAsia="it-IT"/>
        </w:rPr>
        <w:t>può essere ottenuto solo dietro prescrizione da parte del medico (</w:t>
      </w:r>
      <w:r w:rsidR="004241AC" w:rsidRPr="005469E9">
        <w:rPr>
          <w:rFonts w:cs="Calibri"/>
          <w:color w:val="000000"/>
          <w:lang w:eastAsia="it-IT"/>
        </w:rPr>
        <w:t>ricetta</w:t>
      </w:r>
      <w:r w:rsidR="005469E9">
        <w:rPr>
          <w:rFonts w:cs="Calibri"/>
          <w:color w:val="000000"/>
          <w:lang w:eastAsia="it-IT"/>
        </w:rPr>
        <w:t xml:space="preserve"> </w:t>
      </w:r>
      <w:r w:rsidR="004241AC" w:rsidRPr="005469E9">
        <w:rPr>
          <w:rFonts w:cs="Calibri"/>
          <w:color w:val="000000"/>
          <w:lang w:eastAsia="it-IT"/>
        </w:rPr>
        <w:t>ripetibile).</w:t>
      </w:r>
    </w:p>
    <w:p w:rsidR="004241AC" w:rsidRDefault="00874733" w:rsidP="00036C3F">
      <w:pPr>
        <w:tabs>
          <w:tab w:val="left" w:pos="0"/>
        </w:tabs>
        <w:spacing w:after="0" w:line="240" w:lineRule="auto"/>
        <w:jc w:val="both"/>
      </w:pPr>
      <w:r>
        <w:t>Generalmente, l</w:t>
      </w:r>
      <w:r w:rsidR="004241AC" w:rsidRPr="00E83F8D">
        <w:t xml:space="preserve">a dose </w:t>
      </w:r>
      <w:r>
        <w:t xml:space="preserve">raccomandata </w:t>
      </w:r>
      <w:r w:rsidR="004241AC" w:rsidRPr="00E83F8D">
        <w:t xml:space="preserve">è </w:t>
      </w:r>
      <w:r w:rsidR="000E1A3B">
        <w:t>di 1-3 compresse</w:t>
      </w:r>
      <w:r w:rsidR="000357C4">
        <w:t xml:space="preserve"> </w:t>
      </w:r>
      <w:r w:rsidR="000E1A3B">
        <w:t>da 600 mg a</w:t>
      </w:r>
      <w:r w:rsidR="00BB4CC4">
        <w:t>l</w:t>
      </w:r>
      <w:r w:rsidR="000E1A3B">
        <w:t xml:space="preserve"> giorno</w:t>
      </w:r>
      <w:r>
        <w:t>.</w:t>
      </w:r>
    </w:p>
    <w:p w:rsidR="00C05220" w:rsidRPr="004B410B" w:rsidRDefault="00C05220" w:rsidP="00036C3F">
      <w:pPr>
        <w:tabs>
          <w:tab w:val="left" w:pos="0"/>
        </w:tabs>
        <w:spacing w:after="0" w:line="240" w:lineRule="auto"/>
        <w:jc w:val="both"/>
      </w:pPr>
      <w:r>
        <w:t>Nei</w:t>
      </w:r>
      <w:r w:rsidRPr="004B410B">
        <w:t xml:space="preserve"> pazienti con problemi al rene e al fegato il dosaggio può essere più basso.</w:t>
      </w:r>
    </w:p>
    <w:p w:rsidR="00C05220" w:rsidRDefault="00C05220" w:rsidP="00036C3F">
      <w:pPr>
        <w:tabs>
          <w:tab w:val="left" w:pos="0"/>
        </w:tabs>
        <w:spacing w:after="0" w:line="240" w:lineRule="auto"/>
        <w:jc w:val="both"/>
      </w:pPr>
      <w:r>
        <w:t xml:space="preserve">Il medicinale deve essere assunto </w:t>
      </w:r>
      <w:r w:rsidRPr="004B410B">
        <w:t>possibilmente durante i pasti</w:t>
      </w:r>
    </w:p>
    <w:p w:rsidR="004241AC" w:rsidRDefault="00C05220" w:rsidP="00036C3F">
      <w:pPr>
        <w:autoSpaceDE w:val="0"/>
        <w:autoSpaceDN w:val="0"/>
        <w:adjustRightInd w:val="0"/>
        <w:spacing w:after="0" w:line="240" w:lineRule="auto"/>
        <w:jc w:val="both"/>
      </w:pPr>
      <w:r w:rsidRPr="004B410B">
        <w:t>Le compresse vanno assunte intere</w:t>
      </w:r>
      <w:r>
        <w:t xml:space="preserve"> (non masticate o frantumate)</w:t>
      </w:r>
      <w:r w:rsidRPr="004B410B">
        <w:t xml:space="preserve"> con un po’ di acqua</w:t>
      </w:r>
      <w:r>
        <w:t>.</w:t>
      </w:r>
    </w:p>
    <w:p w:rsidR="00C05220" w:rsidRDefault="00C05220" w:rsidP="00036C3F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  <w:lang w:eastAsia="it-IT"/>
        </w:rPr>
      </w:pPr>
    </w:p>
    <w:p w:rsidR="004241AC" w:rsidRPr="00BA7D67" w:rsidRDefault="004241AC" w:rsidP="00036C3F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  <w:lang w:eastAsia="it-IT"/>
        </w:rPr>
      </w:pPr>
    </w:p>
    <w:p w:rsidR="004241AC" w:rsidRPr="00BA7D67" w:rsidRDefault="004241AC" w:rsidP="00036C3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BA7D67">
        <w:rPr>
          <w:rFonts w:cs="Calibri"/>
          <w:b/>
          <w:bCs/>
          <w:color w:val="000000"/>
          <w:lang w:eastAsia="it-IT"/>
        </w:rPr>
        <w:t xml:space="preserve">3) COME FUNZIONA </w:t>
      </w:r>
      <w:proofErr w:type="spellStart"/>
      <w:r w:rsidR="00F16CDC">
        <w:rPr>
          <w:rFonts w:cs="Calibri"/>
          <w:b/>
          <w:bCs/>
          <w:color w:val="000000"/>
          <w:lang w:eastAsia="it-IT"/>
        </w:rPr>
        <w:t>Momentfene</w:t>
      </w:r>
      <w:proofErr w:type="spellEnd"/>
      <w:r w:rsidRPr="00BA7D67">
        <w:rPr>
          <w:rFonts w:cs="Calibri"/>
          <w:b/>
          <w:bCs/>
          <w:color w:val="000000"/>
          <w:lang w:eastAsia="it-IT"/>
        </w:rPr>
        <w:t xml:space="preserve">? </w:t>
      </w:r>
    </w:p>
    <w:p w:rsidR="009B03DB" w:rsidRPr="00BA7D67" w:rsidRDefault="00F16CDC" w:rsidP="00036C3F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>
        <w:rPr>
          <w:rFonts w:cs="Calibri"/>
          <w:bCs/>
          <w:color w:val="000000"/>
          <w:lang w:eastAsia="it-IT"/>
        </w:rPr>
        <w:t>Momentfene</w:t>
      </w:r>
      <w:proofErr w:type="spellEnd"/>
      <w:r w:rsidR="00C05220">
        <w:rPr>
          <w:rFonts w:cs="Calibri"/>
          <w:bCs/>
          <w:color w:val="000000"/>
          <w:lang w:eastAsia="it-IT"/>
        </w:rPr>
        <w:t>,</w:t>
      </w:r>
      <w:r w:rsidR="00C05220" w:rsidRPr="00C05220">
        <w:rPr>
          <w:rFonts w:cs="Calibri"/>
          <w:bCs/>
          <w:color w:val="000000"/>
          <w:lang w:eastAsia="it-IT"/>
        </w:rPr>
        <w:t xml:space="preserve"> </w:t>
      </w:r>
      <w:r w:rsidR="00C05220" w:rsidRPr="000E1A3B">
        <w:rPr>
          <w:rFonts w:cs="Calibri"/>
          <w:bCs/>
          <w:color w:val="000000"/>
          <w:lang w:eastAsia="it-IT"/>
        </w:rPr>
        <w:t xml:space="preserve">il cui codice ATC è </w:t>
      </w:r>
      <w:r w:rsidR="00C05220" w:rsidRPr="000E1A3B">
        <w:rPr>
          <w:lang w:eastAsia="it-IT"/>
        </w:rPr>
        <w:t>M01AE01</w:t>
      </w:r>
      <w:r w:rsidR="00C05220">
        <w:rPr>
          <w:lang w:eastAsia="it-IT"/>
        </w:rPr>
        <w:t>,</w:t>
      </w:r>
      <w:r w:rsidR="00E43089" w:rsidRPr="000357C4">
        <w:rPr>
          <w:rFonts w:eastAsia="DejaVuSans" w:cs="DejaVuSans"/>
        </w:rPr>
        <w:t xml:space="preserve"> </w:t>
      </w:r>
      <w:r w:rsidR="004241AC" w:rsidRPr="000E1A3B">
        <w:rPr>
          <w:rFonts w:cs="Calibri"/>
          <w:color w:val="000000"/>
          <w:lang w:eastAsia="it-IT"/>
        </w:rPr>
        <w:t>contiene i</w:t>
      </w:r>
      <w:r w:rsidR="00EF062E" w:rsidRPr="000E1A3B">
        <w:rPr>
          <w:rFonts w:cs="Calibri"/>
          <w:color w:val="000000"/>
          <w:lang w:eastAsia="it-IT"/>
        </w:rPr>
        <w:t>l</w:t>
      </w:r>
      <w:r w:rsidR="004241AC" w:rsidRPr="000E1A3B">
        <w:rPr>
          <w:rFonts w:cs="Calibri"/>
          <w:color w:val="000000"/>
          <w:lang w:eastAsia="it-IT"/>
        </w:rPr>
        <w:t xml:space="preserve"> principi</w:t>
      </w:r>
      <w:r w:rsidR="00EF062E" w:rsidRPr="000E1A3B">
        <w:rPr>
          <w:rFonts w:cs="Calibri"/>
          <w:color w:val="000000"/>
          <w:lang w:eastAsia="it-IT"/>
        </w:rPr>
        <w:t>o</w:t>
      </w:r>
      <w:r w:rsidR="004241AC" w:rsidRPr="000E1A3B">
        <w:rPr>
          <w:rFonts w:cs="Calibri"/>
          <w:color w:val="000000"/>
          <w:lang w:eastAsia="it-IT"/>
        </w:rPr>
        <w:t xml:space="preserve"> attiv</w:t>
      </w:r>
      <w:r w:rsidR="00EF062E" w:rsidRPr="000E1A3B">
        <w:rPr>
          <w:rFonts w:cs="Calibri"/>
          <w:color w:val="000000"/>
          <w:lang w:eastAsia="it-IT"/>
        </w:rPr>
        <w:t>o</w:t>
      </w:r>
      <w:r w:rsidR="004241AC" w:rsidRPr="000E1A3B">
        <w:rPr>
          <w:rFonts w:cs="Calibri"/>
          <w:color w:val="000000"/>
          <w:lang w:eastAsia="it-IT"/>
        </w:rPr>
        <w:t xml:space="preserve"> </w:t>
      </w:r>
      <w:proofErr w:type="spellStart"/>
      <w:r w:rsidR="000E1A3B" w:rsidRPr="000E1A3B">
        <w:rPr>
          <w:rFonts w:cs="Calibri"/>
          <w:color w:val="000000"/>
          <w:lang w:eastAsia="it-IT"/>
        </w:rPr>
        <w:t>ibuprofene</w:t>
      </w:r>
      <w:proofErr w:type="spellEnd"/>
      <w:r w:rsidR="00C05220">
        <w:rPr>
          <w:rFonts w:cs="Calibri"/>
          <w:color w:val="000000"/>
          <w:lang w:eastAsia="it-IT"/>
        </w:rPr>
        <w:t xml:space="preserve"> che </w:t>
      </w:r>
      <w:r w:rsidR="00BA7D67" w:rsidRPr="00BA7D67">
        <w:rPr>
          <w:rFonts w:eastAsia="DejaVuSans" w:cs="DejaVuSans"/>
        </w:rPr>
        <w:t xml:space="preserve">appartiene alla classe dei </w:t>
      </w:r>
      <w:r w:rsidR="000E1A3B">
        <w:rPr>
          <w:rFonts w:eastAsia="DejaVuSans" w:cs="DejaVuSans"/>
        </w:rPr>
        <w:t>medicinali analgesico-antiinfiammatori</w:t>
      </w:r>
      <w:r w:rsidR="00BA7D67" w:rsidRPr="00BA7D67">
        <w:rPr>
          <w:rFonts w:eastAsia="DejaVuSans" w:cs="DejaVuSans"/>
        </w:rPr>
        <w:t xml:space="preserve"> </w:t>
      </w:r>
      <w:r w:rsidR="00FB455A">
        <w:rPr>
          <w:rFonts w:eastAsia="DejaVuSans" w:cs="DejaVuSans"/>
        </w:rPr>
        <w:t xml:space="preserve">non steroidei </w:t>
      </w:r>
      <w:r w:rsidR="00BA7D67" w:rsidRPr="00BA7D67">
        <w:rPr>
          <w:rFonts w:eastAsia="DejaVuSans" w:cs="DejaVuSans"/>
        </w:rPr>
        <w:t xml:space="preserve">che </w:t>
      </w:r>
      <w:r w:rsidR="000E1A3B">
        <w:rPr>
          <w:rFonts w:eastAsia="DejaVuSans" w:cs="DejaVuSans"/>
        </w:rPr>
        <w:t>inibiscono</w:t>
      </w:r>
      <w:r w:rsidR="00FB455A">
        <w:rPr>
          <w:rFonts w:eastAsia="DejaVuSans" w:cs="DejaVuSans"/>
        </w:rPr>
        <w:t>, in modo reversibile,</w:t>
      </w:r>
      <w:r w:rsidR="000E1A3B">
        <w:rPr>
          <w:rFonts w:eastAsia="DejaVuSans" w:cs="DejaVuSans"/>
        </w:rPr>
        <w:t xml:space="preserve"> la sintesi </w:t>
      </w:r>
      <w:r w:rsidR="006C7E98">
        <w:rPr>
          <w:rFonts w:eastAsia="DejaVuSans" w:cs="DejaVuSans"/>
        </w:rPr>
        <w:t xml:space="preserve">a livello periferico </w:t>
      </w:r>
      <w:r w:rsidR="00BB4CC4">
        <w:rPr>
          <w:rFonts w:eastAsia="DejaVuSans" w:cs="DejaVuSans"/>
        </w:rPr>
        <w:t xml:space="preserve">delle prostaglandine, </w:t>
      </w:r>
      <w:r w:rsidR="000E1A3B">
        <w:rPr>
          <w:rFonts w:eastAsia="DejaVuSans" w:cs="DejaVuSans"/>
        </w:rPr>
        <w:t>sostanze prodotte dall’organismo e che sono responsabili dei sintomi dell’infiammazione e del dolore che ne consegue</w:t>
      </w:r>
      <w:r w:rsidR="00BA7D67" w:rsidRPr="00BA7D67">
        <w:rPr>
          <w:rFonts w:eastAsia="DejaVuSans" w:cs="DejaVuSans"/>
        </w:rPr>
        <w:t>.</w:t>
      </w:r>
    </w:p>
    <w:p w:rsidR="004241AC" w:rsidRDefault="004241AC" w:rsidP="00036C3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BA7D67" w:rsidRPr="00BA7D67" w:rsidRDefault="00BA7D67" w:rsidP="00036C3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BA7D67" w:rsidRDefault="004241AC" w:rsidP="00036C3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BA7D67">
        <w:rPr>
          <w:rFonts w:cs="Calibri"/>
          <w:b/>
          <w:bCs/>
          <w:lang w:eastAsia="it-IT"/>
        </w:rPr>
        <w:t xml:space="preserve">4) COME È STATO STUDIATO </w:t>
      </w:r>
      <w:proofErr w:type="spellStart"/>
      <w:r w:rsidR="00F16CDC">
        <w:rPr>
          <w:rFonts w:cs="Calibri"/>
          <w:b/>
          <w:bCs/>
          <w:color w:val="000000"/>
          <w:lang w:eastAsia="it-IT"/>
        </w:rPr>
        <w:t>Momentfene</w:t>
      </w:r>
      <w:proofErr w:type="spellEnd"/>
      <w:r w:rsidRPr="00BA7D67">
        <w:rPr>
          <w:rFonts w:cs="Calibri"/>
          <w:b/>
          <w:bCs/>
          <w:lang w:eastAsia="it-IT"/>
        </w:rPr>
        <w:t xml:space="preserve">? </w:t>
      </w:r>
    </w:p>
    <w:p w:rsidR="004241AC" w:rsidRPr="004E389D" w:rsidRDefault="004241AC" w:rsidP="00036C3F">
      <w:pPr>
        <w:spacing w:after="0" w:line="240" w:lineRule="auto"/>
        <w:jc w:val="both"/>
        <w:rPr>
          <w:rFonts w:cs="Arial"/>
        </w:rPr>
      </w:pPr>
      <w:r w:rsidRPr="00BA7D67">
        <w:rPr>
          <w:rFonts w:cs="Arial"/>
        </w:rPr>
        <w:t xml:space="preserve">Poiché </w:t>
      </w:r>
      <w:proofErr w:type="spellStart"/>
      <w:r w:rsidR="00F16CDC">
        <w:rPr>
          <w:rFonts w:cs="Arial"/>
        </w:rPr>
        <w:t>Momentfene</w:t>
      </w:r>
      <w:proofErr w:type="spellEnd"/>
      <w:r w:rsidR="00062636" w:rsidRPr="001F4792">
        <w:rPr>
          <w:rFonts w:cs="Arial"/>
        </w:rPr>
        <w:t xml:space="preserve"> </w:t>
      </w:r>
      <w:r w:rsidR="00013020" w:rsidRPr="00BA7D67">
        <w:rPr>
          <w:rFonts w:cs="Arial"/>
        </w:rPr>
        <w:t>è un medicinale generico</w:t>
      </w:r>
      <w:r w:rsidRPr="00BA7D67">
        <w:rPr>
          <w:rFonts w:cs="Arial"/>
        </w:rPr>
        <w:t>, è stato sufficiente effettuare prove cliniche per determinare</w:t>
      </w:r>
      <w:r w:rsidRPr="00BA7D67">
        <w:rPr>
          <w:rFonts w:cs="Arial"/>
          <w:b/>
        </w:rPr>
        <w:t xml:space="preserve"> </w:t>
      </w:r>
      <w:r w:rsidRPr="00BA7D67">
        <w:rPr>
          <w:rFonts w:cs="Arial"/>
        </w:rPr>
        <w:t xml:space="preserve">la bioequivalenza rispetto </w:t>
      </w:r>
      <w:r w:rsidR="00013020" w:rsidRPr="00BA7D67">
        <w:rPr>
          <w:rFonts w:cs="Arial"/>
        </w:rPr>
        <w:t>al</w:t>
      </w:r>
      <w:r w:rsidRPr="00BA7D67">
        <w:rPr>
          <w:rFonts w:cs="Arial"/>
        </w:rPr>
        <w:t xml:space="preserve"> medicinal</w:t>
      </w:r>
      <w:r w:rsidR="00013020" w:rsidRPr="00BA7D67">
        <w:rPr>
          <w:rFonts w:cs="Arial"/>
        </w:rPr>
        <w:t xml:space="preserve">e </w:t>
      </w:r>
      <w:r w:rsidRPr="00BA7D67">
        <w:rPr>
          <w:rFonts w:cs="Arial"/>
        </w:rPr>
        <w:t xml:space="preserve">di riferimento </w:t>
      </w:r>
      <w:r w:rsidR="000E1A3B">
        <w:rPr>
          <w:rFonts w:cs="Arial"/>
        </w:rPr>
        <w:t>Brufen</w:t>
      </w:r>
      <w:r w:rsidR="00013020" w:rsidRPr="00BA7D67">
        <w:rPr>
          <w:rFonts w:cs="Arial"/>
        </w:rPr>
        <w:t>. Due medicinali sono</w:t>
      </w:r>
      <w:r w:rsidR="00013020">
        <w:rPr>
          <w:rFonts w:cs="Arial"/>
        </w:rPr>
        <w:t xml:space="preserve"> bioequivalenti quando producono gli stessi livelli di principio attivo nell’organismo</w:t>
      </w:r>
      <w:r w:rsidRPr="004E389D">
        <w:rPr>
          <w:rFonts w:cs="Arial"/>
        </w:rPr>
        <w:t xml:space="preserve">. </w:t>
      </w:r>
    </w:p>
    <w:p w:rsidR="004241AC" w:rsidRDefault="004241AC" w:rsidP="00036C3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4241AC" w:rsidRPr="002A3F14" w:rsidRDefault="004241AC" w:rsidP="00036C3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4241AC" w:rsidRPr="002A3F14" w:rsidRDefault="004241AC" w:rsidP="00036C3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2A3F14">
        <w:rPr>
          <w:rFonts w:cs="Calibri"/>
          <w:b/>
          <w:bCs/>
          <w:lang w:eastAsia="it-IT"/>
        </w:rPr>
        <w:t xml:space="preserve">5) QUAL È IL RAPPORTO BENEFICIO/RISCHIO di </w:t>
      </w:r>
      <w:proofErr w:type="spellStart"/>
      <w:r w:rsidR="00F16CDC">
        <w:rPr>
          <w:rFonts w:cs="Calibri"/>
          <w:b/>
          <w:bCs/>
          <w:color w:val="000000"/>
          <w:lang w:eastAsia="it-IT"/>
        </w:rPr>
        <w:t>Momentfene</w:t>
      </w:r>
      <w:proofErr w:type="spellEnd"/>
      <w:r w:rsidRPr="009B03DB">
        <w:rPr>
          <w:rFonts w:cs="Calibri"/>
          <w:b/>
          <w:lang w:eastAsia="it-IT"/>
        </w:rPr>
        <w:t>?</w:t>
      </w:r>
      <w:r w:rsidRPr="002A3F14">
        <w:rPr>
          <w:rFonts w:cs="Calibri"/>
          <w:lang w:eastAsia="it-IT"/>
        </w:rPr>
        <w:t xml:space="preserve"> </w:t>
      </w:r>
    </w:p>
    <w:p w:rsidR="004241AC" w:rsidRPr="002A3F14" w:rsidRDefault="00F16CDC" w:rsidP="00036C3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proofErr w:type="spellStart"/>
      <w:r>
        <w:rPr>
          <w:rFonts w:cs="Calibri"/>
          <w:bCs/>
          <w:color w:val="000000"/>
          <w:lang w:eastAsia="it-IT"/>
        </w:rPr>
        <w:t>Momentfene</w:t>
      </w:r>
      <w:proofErr w:type="spellEnd"/>
      <w:r w:rsidR="009B03DB">
        <w:rPr>
          <w:rFonts w:cs="Calibri"/>
          <w:bCs/>
          <w:color w:val="000000"/>
          <w:lang w:eastAsia="it-IT"/>
        </w:rPr>
        <w:t xml:space="preserve"> </w:t>
      </w:r>
      <w:r w:rsidR="004241AC" w:rsidRPr="004241AC">
        <w:rPr>
          <w:rFonts w:cs="Calibri"/>
          <w:lang w:eastAsia="it-IT"/>
        </w:rPr>
        <w:t xml:space="preserve">è un medicinale </w:t>
      </w:r>
      <w:r w:rsidR="00013020">
        <w:rPr>
          <w:rFonts w:cs="Calibri"/>
          <w:lang w:eastAsia="it-IT"/>
        </w:rPr>
        <w:t>generico ed è bioequivale</w:t>
      </w:r>
      <w:r w:rsidR="009B03DB">
        <w:rPr>
          <w:rFonts w:cs="Calibri"/>
          <w:lang w:eastAsia="it-IT"/>
        </w:rPr>
        <w:t>n</w:t>
      </w:r>
      <w:r w:rsidR="00013020">
        <w:rPr>
          <w:rFonts w:cs="Calibri"/>
          <w:lang w:eastAsia="it-IT"/>
        </w:rPr>
        <w:t>te al medicinale di riferimento</w:t>
      </w:r>
      <w:r w:rsidR="00BA7D67">
        <w:rPr>
          <w:rFonts w:cs="Calibri"/>
          <w:lang w:eastAsia="it-IT"/>
        </w:rPr>
        <w:t>; pertanto,</w:t>
      </w:r>
      <w:r w:rsidR="00BA7D67" w:rsidRPr="002A3F14">
        <w:rPr>
          <w:rFonts w:cs="Calibri"/>
          <w:lang w:eastAsia="it-IT"/>
        </w:rPr>
        <w:t xml:space="preserve"> </w:t>
      </w:r>
      <w:r w:rsidR="00013020">
        <w:rPr>
          <w:rFonts w:cs="Calibri"/>
          <w:lang w:eastAsia="it-IT"/>
        </w:rPr>
        <w:t>i suoi</w:t>
      </w:r>
      <w:r w:rsidR="004241AC" w:rsidRPr="002A3F14">
        <w:rPr>
          <w:rFonts w:cs="Calibri"/>
          <w:lang w:eastAsia="it-IT"/>
        </w:rPr>
        <w:t xml:space="preserve"> benefici e rischi sono sovrapponibili a quelli de</w:t>
      </w:r>
      <w:r w:rsidR="00013020">
        <w:rPr>
          <w:rFonts w:cs="Calibri"/>
          <w:lang w:eastAsia="it-IT"/>
        </w:rPr>
        <w:t>l</w:t>
      </w:r>
      <w:r w:rsidR="004241AC" w:rsidRPr="002A3F14">
        <w:rPr>
          <w:rFonts w:cs="Calibri"/>
          <w:lang w:eastAsia="it-IT"/>
        </w:rPr>
        <w:t xml:space="preserve"> </w:t>
      </w:r>
      <w:r w:rsidR="004241AC">
        <w:rPr>
          <w:rFonts w:cs="Calibri"/>
          <w:lang w:eastAsia="it-IT"/>
        </w:rPr>
        <w:t>medicinal</w:t>
      </w:r>
      <w:r w:rsidR="00013020">
        <w:rPr>
          <w:rFonts w:cs="Calibri"/>
          <w:lang w:eastAsia="it-IT"/>
        </w:rPr>
        <w:t>e</w:t>
      </w:r>
      <w:r w:rsidR="004241AC" w:rsidRPr="002A3F14">
        <w:rPr>
          <w:rFonts w:cs="Calibri"/>
          <w:lang w:eastAsia="it-IT"/>
        </w:rPr>
        <w:t xml:space="preserve"> di riferimento. </w:t>
      </w:r>
    </w:p>
    <w:p w:rsidR="004241AC" w:rsidRDefault="004241AC" w:rsidP="00036C3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4241AC" w:rsidRPr="002A3F14" w:rsidRDefault="004241AC" w:rsidP="00036C3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4241AC" w:rsidRPr="00CA3A1E" w:rsidRDefault="004241AC" w:rsidP="00036C3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CA3A1E">
        <w:rPr>
          <w:rFonts w:cs="Calibri"/>
          <w:b/>
          <w:bCs/>
          <w:lang w:eastAsia="it-IT"/>
        </w:rPr>
        <w:t xml:space="preserve">6) PERCHE’ </w:t>
      </w:r>
      <w:proofErr w:type="spellStart"/>
      <w:r w:rsidR="00F16CDC">
        <w:rPr>
          <w:rFonts w:cs="Calibri"/>
          <w:b/>
          <w:bCs/>
          <w:color w:val="000000"/>
          <w:lang w:eastAsia="it-IT"/>
        </w:rPr>
        <w:t>Momentfene</w:t>
      </w:r>
      <w:proofErr w:type="spellEnd"/>
      <w:r w:rsidR="009B03DB">
        <w:rPr>
          <w:rFonts w:cs="Calibri"/>
          <w:b/>
          <w:bCs/>
          <w:color w:val="000000"/>
          <w:lang w:eastAsia="it-IT"/>
        </w:rPr>
        <w:t xml:space="preserve"> </w:t>
      </w:r>
      <w:r w:rsidRPr="00CA3A1E">
        <w:rPr>
          <w:rFonts w:cs="Calibri"/>
          <w:b/>
          <w:bCs/>
          <w:lang w:eastAsia="it-IT"/>
        </w:rPr>
        <w:t xml:space="preserve">E’ STATO APPROVATO? </w:t>
      </w:r>
    </w:p>
    <w:p w:rsidR="004241AC" w:rsidRDefault="004241AC" w:rsidP="00036C3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2A3F14">
        <w:rPr>
          <w:rFonts w:cs="Calibri"/>
          <w:lang w:eastAsia="it-IT"/>
        </w:rPr>
        <w:t>La Commissione Tecnico Scientifica (CTS)</w:t>
      </w:r>
      <w:r>
        <w:rPr>
          <w:rFonts w:cs="Calibri"/>
          <w:lang w:eastAsia="it-IT"/>
        </w:rPr>
        <w:t>,</w:t>
      </w:r>
      <w:r w:rsidRPr="002A3F14">
        <w:rPr>
          <w:rFonts w:cs="Calibri"/>
          <w:lang w:eastAsia="it-IT"/>
        </w:rPr>
        <w:t xml:space="preserve"> nella </w:t>
      </w:r>
      <w:r w:rsidRPr="00CA3A1E">
        <w:rPr>
          <w:rFonts w:cs="Calibri"/>
          <w:lang w:eastAsia="it-IT"/>
        </w:rPr>
        <w:t xml:space="preserve">seduta </w:t>
      </w:r>
      <w:r w:rsidRPr="00E95C24">
        <w:rPr>
          <w:rFonts w:cs="Calibri"/>
          <w:lang w:eastAsia="it-IT"/>
        </w:rPr>
        <w:t>del</w:t>
      </w:r>
      <w:r w:rsidR="00E95C24" w:rsidRPr="00E95C24">
        <w:rPr>
          <w:rFonts w:ascii="Helvetica-BoldOblique" w:hAnsi="Helvetica-BoldOblique" w:cs="Helvetica-BoldOblique"/>
          <w:bCs/>
          <w:iCs/>
          <w:sz w:val="16"/>
          <w:szCs w:val="16"/>
          <w:lang w:eastAsia="it-IT"/>
        </w:rPr>
        <w:t xml:space="preserve"> </w:t>
      </w:r>
      <w:r w:rsidR="00E95C24" w:rsidRPr="00E95C24">
        <w:rPr>
          <w:rFonts w:cs="Calibri"/>
          <w:bCs/>
          <w:iCs/>
          <w:lang w:eastAsia="it-IT"/>
        </w:rPr>
        <w:t>1</w:t>
      </w:r>
      <w:r w:rsidR="00C05220">
        <w:rPr>
          <w:rFonts w:cs="Calibri"/>
          <w:bCs/>
          <w:iCs/>
          <w:lang w:eastAsia="it-IT"/>
        </w:rPr>
        <w:t>3-15</w:t>
      </w:r>
      <w:r w:rsidR="00E95C24" w:rsidRPr="00E95C24">
        <w:rPr>
          <w:rFonts w:cs="Calibri"/>
          <w:bCs/>
          <w:iCs/>
          <w:lang w:eastAsia="it-IT"/>
        </w:rPr>
        <w:t xml:space="preserve"> giugno 2016</w:t>
      </w:r>
      <w:r w:rsidRPr="00E95C24">
        <w:rPr>
          <w:rFonts w:cs="Calibri"/>
          <w:lang w:eastAsia="it-IT"/>
        </w:rPr>
        <w:t>,</w:t>
      </w:r>
      <w:r w:rsidRPr="002A3F14">
        <w:rPr>
          <w:rFonts w:cs="Calibri"/>
          <w:lang w:eastAsia="it-IT"/>
        </w:rPr>
        <w:t xml:space="preserve"> </w:t>
      </w:r>
      <w:r>
        <w:rPr>
          <w:rFonts w:cs="Calibri"/>
          <w:lang w:eastAsia="it-IT"/>
        </w:rPr>
        <w:t xml:space="preserve">ha concluso che, conformemente ai requisiti della normativa vigente, come nel caso </w:t>
      </w:r>
      <w:r w:rsidR="00D20170">
        <w:rPr>
          <w:rFonts w:cs="Calibri"/>
          <w:lang w:eastAsia="it-IT"/>
        </w:rPr>
        <w:t>del</w:t>
      </w:r>
      <w:r>
        <w:rPr>
          <w:rFonts w:cs="Calibri"/>
          <w:lang w:eastAsia="it-IT"/>
        </w:rPr>
        <w:t xml:space="preserve"> medicinal</w:t>
      </w:r>
      <w:r w:rsidR="00D20170">
        <w:rPr>
          <w:rFonts w:cs="Calibri"/>
          <w:lang w:eastAsia="it-IT"/>
        </w:rPr>
        <w:t>e</w:t>
      </w:r>
      <w:r>
        <w:rPr>
          <w:rFonts w:cs="Calibri"/>
          <w:lang w:eastAsia="it-IT"/>
        </w:rPr>
        <w:t xml:space="preserve"> di riferimento </w:t>
      </w:r>
      <w:r w:rsidR="000E1A3B">
        <w:rPr>
          <w:rFonts w:cs="Calibri"/>
          <w:lang w:eastAsia="it-IT"/>
        </w:rPr>
        <w:t>Brufen</w:t>
      </w:r>
      <w:r>
        <w:rPr>
          <w:rFonts w:cs="Calibri"/>
          <w:lang w:eastAsia="it-IT"/>
        </w:rPr>
        <w:t xml:space="preserve">, i benefici di </w:t>
      </w:r>
      <w:proofErr w:type="spellStart"/>
      <w:r w:rsidR="00F16CDC">
        <w:rPr>
          <w:rFonts w:cs="Calibri"/>
          <w:lang w:eastAsia="it-IT"/>
        </w:rPr>
        <w:t>Momentfene</w:t>
      </w:r>
      <w:proofErr w:type="spellEnd"/>
      <w:r w:rsidR="009B03DB">
        <w:rPr>
          <w:rFonts w:cs="Calibri"/>
          <w:lang w:eastAsia="it-IT"/>
        </w:rPr>
        <w:t xml:space="preserve"> </w:t>
      </w:r>
      <w:r w:rsidR="001C1A8E">
        <w:rPr>
          <w:rFonts w:cs="Calibri"/>
          <w:lang w:eastAsia="it-IT"/>
        </w:rPr>
        <w:t>sono</w:t>
      </w:r>
      <w:r>
        <w:rPr>
          <w:rFonts w:cs="Calibri"/>
          <w:lang w:eastAsia="it-IT"/>
        </w:rPr>
        <w:t xml:space="preserve"> superiori ai rischi individuati. La CTS </w:t>
      </w:r>
      <w:r w:rsidRPr="002A3F14">
        <w:rPr>
          <w:rFonts w:cs="Calibri"/>
          <w:lang w:eastAsia="it-IT"/>
        </w:rPr>
        <w:t>ha</w:t>
      </w:r>
      <w:r>
        <w:rPr>
          <w:rFonts w:cs="Calibri"/>
          <w:lang w:eastAsia="it-IT"/>
        </w:rPr>
        <w:t>, inoltre,</w:t>
      </w:r>
      <w:r w:rsidRPr="002A3F14">
        <w:rPr>
          <w:rFonts w:cs="Calibri"/>
          <w:lang w:eastAsia="it-IT"/>
        </w:rPr>
        <w:t xml:space="preserve"> </w:t>
      </w:r>
      <w:r>
        <w:rPr>
          <w:rFonts w:cs="Calibri"/>
          <w:lang w:eastAsia="it-IT"/>
        </w:rPr>
        <w:t>definito</w:t>
      </w:r>
      <w:r w:rsidRPr="002A3F14">
        <w:rPr>
          <w:rFonts w:cs="Calibri"/>
          <w:lang w:eastAsia="it-IT"/>
        </w:rPr>
        <w:t xml:space="preserve"> le modalità </w:t>
      </w:r>
      <w:r w:rsidRPr="0011250C">
        <w:rPr>
          <w:rFonts w:cs="Calibri"/>
          <w:lang w:eastAsia="it-IT"/>
        </w:rPr>
        <w:t>d</w:t>
      </w:r>
      <w:r w:rsidR="00BB4CC4">
        <w:rPr>
          <w:rFonts w:cs="Calibri"/>
          <w:lang w:eastAsia="it-IT"/>
        </w:rPr>
        <w:t xml:space="preserve">i prescrizione di cui al punto </w:t>
      </w:r>
      <w:r w:rsidRPr="0011250C">
        <w:rPr>
          <w:rFonts w:cs="Calibri"/>
          <w:lang w:eastAsia="it-IT"/>
        </w:rPr>
        <w:t xml:space="preserve">2) di questo Riassunto e la classe di rimborsabilità del </w:t>
      </w:r>
      <w:r w:rsidRPr="005E18C6">
        <w:rPr>
          <w:rFonts w:cs="Calibri"/>
          <w:lang w:eastAsia="it-IT"/>
        </w:rPr>
        <w:t>medicinale</w:t>
      </w:r>
      <w:r w:rsidR="00D20170" w:rsidRPr="005E18C6">
        <w:rPr>
          <w:rFonts w:cs="Calibri"/>
          <w:lang w:eastAsia="it-IT"/>
        </w:rPr>
        <w:t xml:space="preserve"> </w:t>
      </w:r>
      <w:r w:rsidRPr="005E18C6">
        <w:rPr>
          <w:rFonts w:cs="Calibri"/>
          <w:lang w:eastAsia="it-IT"/>
        </w:rPr>
        <w:t>(</w:t>
      </w:r>
      <w:r w:rsidR="005416B2">
        <w:rPr>
          <w:rFonts w:cs="Calibri"/>
          <w:lang w:eastAsia="it-IT"/>
        </w:rPr>
        <w:t>classificazione provvisoria Cnn</w:t>
      </w:r>
      <w:r w:rsidRPr="005E18C6">
        <w:rPr>
          <w:rFonts w:cs="Calibri"/>
          <w:lang w:eastAsia="it-IT"/>
        </w:rPr>
        <w:t>).</w:t>
      </w:r>
      <w:r w:rsidRPr="002A3F14">
        <w:rPr>
          <w:rFonts w:cs="Calibri"/>
          <w:lang w:eastAsia="it-IT"/>
        </w:rPr>
        <w:t xml:space="preserve"> </w:t>
      </w:r>
    </w:p>
    <w:p w:rsidR="004241AC" w:rsidRDefault="004241AC" w:rsidP="00036C3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lang w:eastAsia="it-IT"/>
        </w:rPr>
      </w:pPr>
    </w:p>
    <w:p w:rsidR="004241AC" w:rsidRPr="002A3F14" w:rsidRDefault="004241AC" w:rsidP="00036C3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lang w:eastAsia="it-IT"/>
        </w:rPr>
      </w:pPr>
    </w:p>
    <w:p w:rsidR="004241AC" w:rsidRPr="002A3F14" w:rsidRDefault="004241AC" w:rsidP="00036C3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2A3F14">
        <w:rPr>
          <w:rFonts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cs="Calibri"/>
          <w:b/>
          <w:bCs/>
          <w:lang w:eastAsia="it-IT"/>
        </w:rPr>
        <w:t>DI</w:t>
      </w:r>
      <w:proofErr w:type="spellEnd"/>
      <w:r w:rsidRPr="002A3F14">
        <w:rPr>
          <w:rFonts w:cs="Calibri"/>
          <w:b/>
          <w:bCs/>
          <w:lang w:eastAsia="it-IT"/>
        </w:rPr>
        <w:t xml:space="preserve"> </w:t>
      </w:r>
      <w:proofErr w:type="spellStart"/>
      <w:r w:rsidR="00F16CDC">
        <w:rPr>
          <w:rFonts w:cs="Calibri"/>
          <w:b/>
          <w:bCs/>
          <w:color w:val="000000"/>
          <w:lang w:eastAsia="it-IT"/>
        </w:rPr>
        <w:t>Momentfene</w:t>
      </w:r>
      <w:proofErr w:type="spellEnd"/>
      <w:r w:rsidRPr="002A3F14">
        <w:rPr>
          <w:rFonts w:cs="Calibri"/>
          <w:b/>
          <w:bCs/>
          <w:color w:val="000000"/>
          <w:lang w:eastAsia="it-IT"/>
        </w:rPr>
        <w:t>?</w:t>
      </w:r>
    </w:p>
    <w:p w:rsidR="004241AC" w:rsidRPr="002A3F14" w:rsidRDefault="00B90347" w:rsidP="00036C3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2A3F14">
        <w:rPr>
          <w:rFonts w:cs="Calibri"/>
          <w:lang w:eastAsia="it-IT"/>
        </w:rPr>
        <w:t xml:space="preserve">Il </w:t>
      </w:r>
      <w:r>
        <w:rPr>
          <w:rFonts w:cs="Calibri"/>
          <w:lang w:eastAsia="it-IT"/>
        </w:rPr>
        <w:t>titolare</w:t>
      </w:r>
      <w:r w:rsidRPr="002A3F14">
        <w:rPr>
          <w:rFonts w:cs="Calibri"/>
          <w:lang w:eastAsia="it-IT"/>
        </w:rPr>
        <w:t xml:space="preserve"> </w:t>
      </w:r>
      <w:r w:rsidR="004241AC" w:rsidRPr="002A3F14">
        <w:rPr>
          <w:rFonts w:cs="Calibri"/>
          <w:lang w:eastAsia="it-IT"/>
        </w:rPr>
        <w:t>dell’autorizzazione all’immissione in commercio (AIC) ha presentato u</w:t>
      </w:r>
      <w:r w:rsidR="004241AC">
        <w:rPr>
          <w:rFonts w:cs="Calibri"/>
          <w:lang w:eastAsia="it-IT"/>
        </w:rPr>
        <w:t>n Piano di Gestione del Rischio</w:t>
      </w:r>
      <w:r w:rsidR="004241AC" w:rsidRPr="002A3F14">
        <w:rPr>
          <w:rFonts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F16CDC">
        <w:rPr>
          <w:rFonts w:cs="Calibri"/>
          <w:lang w:eastAsia="it-IT"/>
        </w:rPr>
        <w:t>Momentfene</w:t>
      </w:r>
      <w:proofErr w:type="spellEnd"/>
      <w:r w:rsidR="004241AC" w:rsidRPr="002A3F14">
        <w:rPr>
          <w:rFonts w:cs="Calibri"/>
          <w:lang w:eastAsia="it-IT"/>
        </w:rPr>
        <w:t>.</w:t>
      </w:r>
    </w:p>
    <w:p w:rsidR="004241AC" w:rsidRDefault="004241AC" w:rsidP="00036C3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4241AC" w:rsidRPr="002A3F14" w:rsidRDefault="004241AC" w:rsidP="00036C3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4241AC" w:rsidRPr="002A3F14" w:rsidRDefault="004241AC" w:rsidP="00036C3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2A3F14">
        <w:rPr>
          <w:rFonts w:cs="Calibri"/>
          <w:b/>
          <w:bCs/>
          <w:lang w:eastAsia="it-IT"/>
        </w:rPr>
        <w:t xml:space="preserve">8) ALTRE INFORMAZIONI RELATIVE A </w:t>
      </w:r>
      <w:proofErr w:type="spellStart"/>
      <w:r w:rsidR="00F16CDC">
        <w:rPr>
          <w:rFonts w:cs="Calibri"/>
          <w:b/>
          <w:bCs/>
          <w:color w:val="000000"/>
          <w:lang w:eastAsia="it-IT"/>
        </w:rPr>
        <w:t>Momentfene</w:t>
      </w:r>
      <w:proofErr w:type="spellEnd"/>
    </w:p>
    <w:p w:rsidR="004241AC" w:rsidRPr="00CA3A1E" w:rsidRDefault="004241AC" w:rsidP="00036C3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lang w:eastAsia="it-IT"/>
        </w:rPr>
      </w:pPr>
      <w:r w:rsidRPr="00CA3A1E">
        <w:rPr>
          <w:rFonts w:cs="Calibri"/>
          <w:bCs/>
          <w:iCs/>
          <w:lang w:eastAsia="it-IT"/>
        </w:rPr>
        <w:t xml:space="preserve">Il </w:t>
      </w:r>
      <w:r w:rsidR="005416B2">
        <w:rPr>
          <w:rFonts w:cs="Calibri"/>
          <w:bCs/>
          <w:iCs/>
          <w:lang w:eastAsia="it-IT"/>
        </w:rPr>
        <w:t>19 gennaio 2017</w:t>
      </w:r>
      <w:r w:rsidRPr="00CA3A1E">
        <w:rPr>
          <w:rFonts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F16CDC">
        <w:rPr>
          <w:rFonts w:cs="Calibri"/>
          <w:bCs/>
          <w:color w:val="000000"/>
          <w:lang w:eastAsia="it-IT"/>
        </w:rPr>
        <w:t>Momentfene</w:t>
      </w:r>
      <w:proofErr w:type="spellEnd"/>
      <w:r w:rsidRPr="00CA3A1E">
        <w:rPr>
          <w:rFonts w:cs="Calibri"/>
          <w:bCs/>
          <w:lang w:eastAsia="it-IT"/>
        </w:rPr>
        <w:t xml:space="preserve">. </w:t>
      </w:r>
    </w:p>
    <w:p w:rsidR="00AB54C2" w:rsidRDefault="00AB54C2" w:rsidP="00036C3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AB54C2" w:rsidRDefault="00AB54C2" w:rsidP="00036C3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>
        <w:rPr>
          <w:rFonts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036C3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2A3F14">
        <w:rPr>
          <w:rFonts w:cs="Calibri"/>
          <w:lang w:eastAsia="it-IT"/>
        </w:rPr>
        <w:t xml:space="preserve">Per maggiori informazioni riguardo il trattamento </w:t>
      </w:r>
      <w:r w:rsidRPr="00CA3A1E">
        <w:rPr>
          <w:rFonts w:cs="Calibri"/>
          <w:lang w:eastAsia="it-IT"/>
        </w:rPr>
        <w:t xml:space="preserve">con </w:t>
      </w:r>
      <w:proofErr w:type="spellStart"/>
      <w:r w:rsidR="00F16CDC">
        <w:rPr>
          <w:rFonts w:cs="Calibri"/>
          <w:bCs/>
          <w:color w:val="000000"/>
          <w:lang w:eastAsia="it-IT"/>
        </w:rPr>
        <w:t>Momentfene</w:t>
      </w:r>
      <w:proofErr w:type="spellEnd"/>
      <w:r>
        <w:rPr>
          <w:rFonts w:cs="Calibri"/>
          <w:bCs/>
          <w:color w:val="000000"/>
          <w:lang w:eastAsia="it-IT"/>
        </w:rPr>
        <w:t xml:space="preserve"> </w:t>
      </w:r>
      <w:r w:rsidRPr="00CA3A1E">
        <w:rPr>
          <w:rFonts w:cs="Calibri"/>
          <w:lang w:eastAsia="it-IT"/>
        </w:rPr>
        <w:t>si</w:t>
      </w:r>
      <w:r w:rsidRPr="002A3F14">
        <w:rPr>
          <w:rFonts w:cs="Calibri"/>
          <w:lang w:eastAsia="it-IT"/>
        </w:rPr>
        <w:t xml:space="preserve"> può leggere il </w:t>
      </w:r>
      <w:r>
        <w:rPr>
          <w:rFonts w:cs="Calibri"/>
          <w:lang w:eastAsia="it-IT"/>
        </w:rPr>
        <w:t>f</w:t>
      </w:r>
      <w:r w:rsidRPr="002A3F14">
        <w:rPr>
          <w:rFonts w:cs="Calibri"/>
          <w:lang w:eastAsia="it-IT"/>
        </w:rPr>
        <w:t xml:space="preserve">oglio </w:t>
      </w:r>
      <w:r>
        <w:rPr>
          <w:rFonts w:cs="Calibri"/>
          <w:lang w:eastAsia="it-IT"/>
        </w:rPr>
        <w:t>i</w:t>
      </w:r>
      <w:r w:rsidRPr="002A3F14">
        <w:rPr>
          <w:rFonts w:cs="Calibri"/>
          <w:lang w:eastAsia="it-IT"/>
        </w:rPr>
        <w:t>llustrativo</w:t>
      </w:r>
      <w:r w:rsidR="00D20170">
        <w:rPr>
          <w:rFonts w:cs="Calibri"/>
          <w:lang w:eastAsia="it-IT"/>
        </w:rPr>
        <w:t xml:space="preserve"> </w:t>
      </w:r>
      <w:r w:rsidR="002748E4">
        <w:rPr>
          <w:rFonts w:cs="Calibri"/>
          <w:lang w:eastAsia="it-IT"/>
        </w:rPr>
        <w:t>(</w:t>
      </w:r>
      <w:hyperlink r:id="rId7" w:history="1">
        <w:r w:rsidR="002748E4">
          <w:rPr>
            <w:rStyle w:val="Collegamentoipertestuale"/>
            <w:rFonts w:cs="Calibri"/>
            <w:lang w:eastAsia="it-IT"/>
          </w:rPr>
          <w:t>https://farmaci.agenziafarmaco.gov.it/bancadatifarmaci</w:t>
        </w:r>
      </w:hyperlink>
      <w:r w:rsidR="002748E4">
        <w:rPr>
          <w:rFonts w:cs="Calibri"/>
          <w:lang w:eastAsia="it-IT"/>
        </w:rPr>
        <w:t xml:space="preserve">) </w:t>
      </w:r>
      <w:r w:rsidRPr="002A3F14">
        <w:rPr>
          <w:rFonts w:cs="Calibri"/>
          <w:lang w:eastAsia="it-IT"/>
        </w:rPr>
        <w:t xml:space="preserve">o contattare il medico o </w:t>
      </w:r>
      <w:r w:rsidR="009B03DB">
        <w:rPr>
          <w:rFonts w:cs="Calibri"/>
          <w:lang w:eastAsia="it-IT"/>
        </w:rPr>
        <w:t xml:space="preserve">il </w:t>
      </w:r>
      <w:r w:rsidRPr="002A3F14">
        <w:rPr>
          <w:rFonts w:cs="Calibri"/>
          <w:lang w:eastAsia="it-IT"/>
        </w:rPr>
        <w:t xml:space="preserve">farmacista. </w:t>
      </w:r>
    </w:p>
    <w:p w:rsidR="004241AC" w:rsidRDefault="004241AC" w:rsidP="00036C3F">
      <w:pPr>
        <w:spacing w:after="0" w:line="240" w:lineRule="auto"/>
        <w:jc w:val="both"/>
        <w:rPr>
          <w:rFonts w:cs="Calibri"/>
          <w:lang w:eastAsia="it-IT"/>
        </w:rPr>
      </w:pPr>
    </w:p>
    <w:p w:rsidR="004241AC" w:rsidRDefault="004241AC" w:rsidP="00036C3F">
      <w:pPr>
        <w:spacing w:after="0" w:line="240" w:lineRule="auto"/>
        <w:jc w:val="both"/>
        <w:rPr>
          <w:rFonts w:cs="Calibri"/>
          <w:lang w:eastAsia="it-IT"/>
        </w:rPr>
      </w:pPr>
    </w:p>
    <w:p w:rsidR="004241AC" w:rsidRDefault="004241AC" w:rsidP="00036C3F">
      <w:pPr>
        <w:spacing w:after="0" w:line="240" w:lineRule="auto"/>
        <w:jc w:val="both"/>
        <w:rPr>
          <w:rFonts w:cs="Calibri"/>
          <w:lang w:eastAsia="it-IT"/>
        </w:rPr>
      </w:pPr>
      <w:r w:rsidRPr="002A3F14">
        <w:rPr>
          <w:rFonts w:cs="Calibri"/>
          <w:lang w:eastAsia="it-IT"/>
        </w:rPr>
        <w:t xml:space="preserve">Questo riassunto è stato redatto in data </w:t>
      </w:r>
      <w:r w:rsidR="00E95C24">
        <w:rPr>
          <w:rFonts w:cs="Calibri"/>
          <w:lang w:eastAsia="it-IT"/>
        </w:rPr>
        <w:t>2</w:t>
      </w:r>
      <w:r w:rsidR="00C05220">
        <w:rPr>
          <w:rFonts w:cs="Calibri"/>
          <w:lang w:eastAsia="it-IT"/>
        </w:rPr>
        <w:t>8.12.2016</w:t>
      </w:r>
    </w:p>
    <w:p w:rsidR="00000FB4" w:rsidRPr="002A3F14" w:rsidRDefault="00000FB4" w:rsidP="00036C3F">
      <w:pPr>
        <w:spacing w:after="0" w:line="240" w:lineRule="auto"/>
        <w:jc w:val="both"/>
        <w:rPr>
          <w:rFonts w:cs="Calibri"/>
          <w:lang w:eastAsia="it-IT"/>
        </w:rPr>
      </w:pPr>
    </w:p>
    <w:p w:rsidR="004241AC" w:rsidRDefault="004241AC" w:rsidP="00036C3F">
      <w:pPr>
        <w:spacing w:after="0" w:line="240" w:lineRule="auto"/>
        <w:jc w:val="both"/>
      </w:pPr>
    </w:p>
    <w:p w:rsidR="00036C3F" w:rsidRDefault="00036C3F" w:rsidP="00036C3F">
      <w:pPr>
        <w:spacing w:after="0" w:line="240" w:lineRule="auto"/>
        <w:jc w:val="both"/>
      </w:pPr>
    </w:p>
    <w:p w:rsidR="00AB54C2" w:rsidRDefault="00AB54C2" w:rsidP="00036C3F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:rsidR="00AB54C2" w:rsidRDefault="00AB54C2" w:rsidP="00036C3F">
      <w:pPr>
        <w:spacing w:after="0" w:line="240" w:lineRule="auto"/>
        <w:jc w:val="center"/>
        <w:rPr>
          <w:b/>
        </w:rPr>
      </w:pPr>
    </w:p>
    <w:p w:rsidR="00AB54C2" w:rsidRDefault="00AB54C2" w:rsidP="00036C3F">
      <w:pPr>
        <w:spacing w:after="0" w:line="240" w:lineRule="auto"/>
        <w:jc w:val="center"/>
        <w:rPr>
          <w:b/>
        </w:rPr>
      </w:pPr>
    </w:p>
    <w:p w:rsidR="00AB54C2" w:rsidRDefault="00AB54C2" w:rsidP="00036C3F">
      <w:pPr>
        <w:spacing w:after="0" w:line="240" w:lineRule="auto"/>
        <w:jc w:val="center"/>
        <w:rPr>
          <w:b/>
        </w:rPr>
      </w:pPr>
    </w:p>
    <w:p w:rsidR="00AB54C2" w:rsidRDefault="00AB54C2" w:rsidP="00036C3F">
      <w:pPr>
        <w:spacing w:after="0" w:line="240" w:lineRule="auto"/>
        <w:jc w:val="center"/>
        <w:rPr>
          <w:b/>
        </w:rPr>
      </w:pPr>
    </w:p>
    <w:p w:rsidR="00AB54C2" w:rsidRPr="0033523E" w:rsidRDefault="00AB54C2" w:rsidP="00036C3F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AB54C2" w:rsidRDefault="00AB54C2" w:rsidP="00036C3F">
      <w:pPr>
        <w:spacing w:after="0" w:line="240" w:lineRule="auto"/>
        <w:jc w:val="both"/>
      </w:pPr>
    </w:p>
    <w:p w:rsidR="00AB54C2" w:rsidRDefault="00AB54C2" w:rsidP="00036C3F">
      <w:pPr>
        <w:spacing w:after="0" w:line="240" w:lineRule="auto"/>
        <w:jc w:val="both"/>
      </w:pPr>
    </w:p>
    <w:p w:rsidR="00AB54C2" w:rsidRDefault="00AB54C2" w:rsidP="00036C3F">
      <w:pPr>
        <w:spacing w:after="0" w:line="240" w:lineRule="auto"/>
        <w:jc w:val="both"/>
      </w:pPr>
    </w:p>
    <w:p w:rsidR="00AB54C2" w:rsidRPr="008206E7" w:rsidRDefault="00AB54C2" w:rsidP="00036C3F">
      <w:pPr>
        <w:pStyle w:val="Paragrafoelenco"/>
        <w:numPr>
          <w:ilvl w:val="0"/>
          <w:numId w:val="6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AB54C2" w:rsidRPr="002A3F14" w:rsidRDefault="00AB54C2" w:rsidP="00036C3F">
      <w:pPr>
        <w:spacing w:after="0" w:line="240" w:lineRule="auto"/>
        <w:jc w:val="both"/>
      </w:pPr>
    </w:p>
    <w:p w:rsidR="00AB54C2" w:rsidRDefault="00AB54C2" w:rsidP="00036C3F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:rsidR="00AB54C2" w:rsidRPr="0033523E" w:rsidRDefault="00AB54C2" w:rsidP="00036C3F">
      <w:pPr>
        <w:pStyle w:val="Paragrafoelenco"/>
        <w:spacing w:after="0" w:line="240" w:lineRule="auto"/>
        <w:rPr>
          <w:b/>
        </w:rPr>
      </w:pPr>
    </w:p>
    <w:p w:rsidR="00AB54C2" w:rsidRDefault="00AB54C2" w:rsidP="00036C3F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AB54C2" w:rsidRPr="0033523E" w:rsidRDefault="00AB54C2" w:rsidP="00036C3F">
      <w:pPr>
        <w:pStyle w:val="Paragrafoelenco"/>
        <w:spacing w:after="0" w:line="240" w:lineRule="auto"/>
        <w:rPr>
          <w:b/>
        </w:rPr>
      </w:pPr>
    </w:p>
    <w:p w:rsidR="00AB54C2" w:rsidRDefault="00AB54C2" w:rsidP="00036C3F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AB54C2" w:rsidRPr="0033523E" w:rsidRDefault="00AB54C2" w:rsidP="00036C3F">
      <w:pPr>
        <w:pStyle w:val="Paragrafoelenco"/>
        <w:spacing w:after="0" w:line="240" w:lineRule="auto"/>
        <w:rPr>
          <w:b/>
        </w:rPr>
      </w:pPr>
    </w:p>
    <w:p w:rsidR="00AB54C2" w:rsidRPr="002E4DCB" w:rsidRDefault="00AB54C2" w:rsidP="00036C3F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AB54C2" w:rsidRDefault="00AB54C2" w:rsidP="00036C3F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AB54C2" w:rsidRPr="00BC23ED" w:rsidRDefault="00AB54C2" w:rsidP="00036C3F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AB54C2" w:rsidRDefault="00AB54C2" w:rsidP="00036C3F">
      <w:pPr>
        <w:spacing w:after="0" w:line="240" w:lineRule="auto"/>
      </w:pPr>
    </w:p>
    <w:p w:rsidR="00AB54C2" w:rsidRDefault="00AB54C2" w:rsidP="00036C3F">
      <w:pPr>
        <w:spacing w:after="0" w:line="240" w:lineRule="auto"/>
      </w:pPr>
    </w:p>
    <w:p w:rsidR="00AB54C2" w:rsidRDefault="00AB54C2" w:rsidP="00036C3F">
      <w:pPr>
        <w:spacing w:after="0" w:line="240" w:lineRule="auto"/>
      </w:pPr>
    </w:p>
    <w:p w:rsidR="00AB54C2" w:rsidRDefault="00AB54C2" w:rsidP="00036C3F">
      <w:pPr>
        <w:spacing w:after="0" w:line="240" w:lineRule="auto"/>
      </w:pPr>
    </w:p>
    <w:p w:rsidR="00AB54C2" w:rsidRDefault="00AB54C2" w:rsidP="00036C3F">
      <w:pPr>
        <w:spacing w:after="0" w:line="240" w:lineRule="auto"/>
      </w:pPr>
    </w:p>
    <w:p w:rsidR="00AB54C2" w:rsidRDefault="00AB54C2" w:rsidP="00036C3F">
      <w:pPr>
        <w:spacing w:after="0" w:line="240" w:lineRule="auto"/>
      </w:pPr>
    </w:p>
    <w:p w:rsidR="00AB54C2" w:rsidRDefault="00AB54C2" w:rsidP="00036C3F">
      <w:pPr>
        <w:spacing w:after="0" w:line="240" w:lineRule="auto"/>
      </w:pPr>
    </w:p>
    <w:p w:rsidR="00AB54C2" w:rsidRDefault="00AB54C2" w:rsidP="00036C3F">
      <w:pPr>
        <w:spacing w:after="0" w:line="240" w:lineRule="auto"/>
      </w:pPr>
    </w:p>
    <w:p w:rsidR="00AB54C2" w:rsidRDefault="00AB54C2" w:rsidP="00036C3F">
      <w:pPr>
        <w:spacing w:after="0" w:line="240" w:lineRule="auto"/>
      </w:pPr>
    </w:p>
    <w:p w:rsidR="00AB54C2" w:rsidRDefault="00AB54C2" w:rsidP="00036C3F">
      <w:pPr>
        <w:spacing w:after="0" w:line="240" w:lineRule="auto"/>
      </w:pPr>
    </w:p>
    <w:p w:rsidR="00AB54C2" w:rsidRDefault="00AB54C2" w:rsidP="00036C3F">
      <w:pPr>
        <w:spacing w:after="0" w:line="240" w:lineRule="auto"/>
      </w:pPr>
    </w:p>
    <w:p w:rsidR="00AB54C2" w:rsidRDefault="00AB54C2" w:rsidP="00036C3F">
      <w:pPr>
        <w:spacing w:after="0" w:line="240" w:lineRule="auto"/>
      </w:pPr>
    </w:p>
    <w:p w:rsidR="00AB54C2" w:rsidRDefault="00AB54C2" w:rsidP="00036C3F">
      <w:pPr>
        <w:spacing w:after="0" w:line="240" w:lineRule="auto"/>
      </w:pPr>
    </w:p>
    <w:p w:rsidR="00AB54C2" w:rsidRDefault="00AB54C2" w:rsidP="00036C3F">
      <w:pPr>
        <w:spacing w:after="0" w:line="240" w:lineRule="auto"/>
      </w:pPr>
    </w:p>
    <w:p w:rsidR="00036C3F" w:rsidRDefault="00036C3F" w:rsidP="00036C3F">
      <w:pPr>
        <w:spacing w:after="0" w:line="240" w:lineRule="auto"/>
      </w:pPr>
    </w:p>
    <w:p w:rsidR="00036C3F" w:rsidRDefault="00036C3F" w:rsidP="00036C3F">
      <w:pPr>
        <w:spacing w:after="0" w:line="240" w:lineRule="auto"/>
      </w:pPr>
    </w:p>
    <w:p w:rsidR="00036C3F" w:rsidRDefault="00036C3F" w:rsidP="00036C3F">
      <w:pPr>
        <w:spacing w:after="0" w:line="240" w:lineRule="auto"/>
      </w:pPr>
    </w:p>
    <w:p w:rsidR="00036C3F" w:rsidRDefault="00036C3F" w:rsidP="00036C3F">
      <w:pPr>
        <w:spacing w:after="0" w:line="240" w:lineRule="auto"/>
      </w:pPr>
    </w:p>
    <w:p w:rsidR="00036C3F" w:rsidRDefault="00036C3F" w:rsidP="00036C3F">
      <w:pPr>
        <w:spacing w:after="0" w:line="240" w:lineRule="auto"/>
      </w:pPr>
    </w:p>
    <w:p w:rsidR="00036C3F" w:rsidRDefault="00036C3F" w:rsidP="00036C3F">
      <w:pPr>
        <w:spacing w:after="0" w:line="240" w:lineRule="auto"/>
      </w:pPr>
    </w:p>
    <w:p w:rsidR="00036C3F" w:rsidRDefault="00036C3F" w:rsidP="00036C3F">
      <w:pPr>
        <w:spacing w:after="0" w:line="240" w:lineRule="auto"/>
      </w:pPr>
    </w:p>
    <w:p w:rsidR="00036C3F" w:rsidRDefault="00036C3F" w:rsidP="00036C3F">
      <w:pPr>
        <w:spacing w:after="0" w:line="240" w:lineRule="auto"/>
      </w:pPr>
    </w:p>
    <w:p w:rsidR="00036C3F" w:rsidRDefault="00036C3F" w:rsidP="00036C3F">
      <w:pPr>
        <w:spacing w:after="0" w:line="240" w:lineRule="auto"/>
      </w:pPr>
    </w:p>
    <w:p w:rsidR="00036C3F" w:rsidRDefault="00036C3F" w:rsidP="00036C3F">
      <w:pPr>
        <w:spacing w:after="0" w:line="240" w:lineRule="auto"/>
      </w:pPr>
    </w:p>
    <w:p w:rsidR="00036C3F" w:rsidRDefault="00036C3F" w:rsidP="00036C3F">
      <w:pPr>
        <w:spacing w:after="0" w:line="240" w:lineRule="auto"/>
      </w:pPr>
    </w:p>
    <w:p w:rsidR="00036C3F" w:rsidRDefault="00036C3F" w:rsidP="00036C3F">
      <w:pPr>
        <w:spacing w:after="0" w:line="240" w:lineRule="auto"/>
      </w:pPr>
    </w:p>
    <w:p w:rsidR="00036C3F" w:rsidRDefault="00036C3F" w:rsidP="00036C3F">
      <w:pPr>
        <w:spacing w:after="0" w:line="240" w:lineRule="auto"/>
      </w:pPr>
    </w:p>
    <w:p w:rsidR="00036C3F" w:rsidRDefault="00036C3F" w:rsidP="00036C3F">
      <w:pPr>
        <w:spacing w:after="0" w:line="240" w:lineRule="auto"/>
      </w:pPr>
    </w:p>
    <w:p w:rsidR="00AB54C2" w:rsidRDefault="00AB54C2" w:rsidP="00036C3F">
      <w:pPr>
        <w:spacing w:after="0" w:line="240" w:lineRule="auto"/>
      </w:pPr>
    </w:p>
    <w:p w:rsidR="00AB54C2" w:rsidRDefault="00AB54C2" w:rsidP="00036C3F">
      <w:pPr>
        <w:spacing w:after="0" w:line="240" w:lineRule="auto"/>
      </w:pPr>
    </w:p>
    <w:p w:rsidR="00AB54C2" w:rsidRPr="008206E7" w:rsidRDefault="00AB54C2" w:rsidP="00036C3F">
      <w:pPr>
        <w:pStyle w:val="Paragrafoelenco"/>
        <w:numPr>
          <w:ilvl w:val="0"/>
          <w:numId w:val="7"/>
        </w:numPr>
        <w:spacing w:after="0" w:line="240" w:lineRule="auto"/>
        <w:rPr>
          <w:b/>
        </w:rPr>
      </w:pPr>
      <w:r w:rsidRPr="008206E7">
        <w:rPr>
          <w:b/>
        </w:rPr>
        <w:lastRenderedPageBreak/>
        <w:t>INTRODUZIONE</w:t>
      </w:r>
    </w:p>
    <w:p w:rsidR="00AB54C2" w:rsidRDefault="00AB54C2" w:rsidP="00036C3F">
      <w:pPr>
        <w:autoSpaceDE w:val="0"/>
        <w:autoSpaceDN w:val="0"/>
        <w:adjustRightInd w:val="0"/>
        <w:spacing w:after="0" w:line="240" w:lineRule="auto"/>
        <w:jc w:val="both"/>
      </w:pPr>
      <w:r>
        <w:t xml:space="preserve">Sulla base dei dati di qualità, sicurezza ed efficacia, l’AIFA ha rilasciato a </w:t>
      </w:r>
      <w:proofErr w:type="spellStart"/>
      <w:r w:rsidR="00000FB4">
        <w:rPr>
          <w:sz w:val="24"/>
          <w:szCs w:val="24"/>
        </w:rPr>
        <w:t>A.C.R.A.F.</w:t>
      </w:r>
      <w:proofErr w:type="spellEnd"/>
      <w:r w:rsidR="00C05220">
        <w:rPr>
          <w:sz w:val="24"/>
          <w:szCs w:val="24"/>
        </w:rPr>
        <w:t xml:space="preserve"> </w:t>
      </w:r>
      <w:r>
        <w:t xml:space="preserve">l’autorizzazione all’immissione in commercio (AIC) per il </w:t>
      </w:r>
      <w:r w:rsidRPr="006B2CC3">
        <w:t xml:space="preserve">medicinale </w:t>
      </w:r>
      <w:proofErr w:type="spellStart"/>
      <w:r w:rsidR="00F16CDC">
        <w:t>Momentfene</w:t>
      </w:r>
      <w:proofErr w:type="spellEnd"/>
      <w:r w:rsidR="006808E3">
        <w:t xml:space="preserve"> </w:t>
      </w:r>
      <w:r>
        <w:t xml:space="preserve"> </w:t>
      </w:r>
      <w:r>
        <w:rPr>
          <w:rFonts w:cs="Calibri"/>
          <w:bCs/>
          <w:iCs/>
          <w:lang w:eastAsia="it-IT"/>
        </w:rPr>
        <w:t>i</w:t>
      </w:r>
      <w:r w:rsidRPr="00CA3A1E">
        <w:rPr>
          <w:rFonts w:cs="Calibri"/>
          <w:bCs/>
          <w:iCs/>
          <w:lang w:eastAsia="it-IT"/>
        </w:rPr>
        <w:t xml:space="preserve">l </w:t>
      </w:r>
      <w:r w:rsidR="005416B2">
        <w:rPr>
          <w:rFonts w:cs="Calibri"/>
          <w:bCs/>
          <w:iCs/>
          <w:lang w:eastAsia="it-IT"/>
        </w:rPr>
        <w:t>19 gennaio 2017.</w:t>
      </w:r>
      <w:r>
        <w:t xml:space="preserve">  </w:t>
      </w:r>
    </w:p>
    <w:p w:rsidR="00AB54C2" w:rsidRDefault="00AB54C2" w:rsidP="00036C3F">
      <w:pPr>
        <w:spacing w:after="0" w:line="240" w:lineRule="auto"/>
        <w:jc w:val="both"/>
      </w:pPr>
    </w:p>
    <w:p w:rsidR="00AB54C2" w:rsidRPr="007461B9" w:rsidRDefault="00F16CDC" w:rsidP="00036C3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>
        <w:rPr>
          <w:rFonts w:cs="Calibri"/>
          <w:color w:val="000000"/>
          <w:lang w:eastAsia="it-IT"/>
        </w:rPr>
        <w:t>Momentfene</w:t>
      </w:r>
      <w:proofErr w:type="spellEnd"/>
      <w:r w:rsidR="006808E3">
        <w:t xml:space="preserve"> </w:t>
      </w:r>
      <w:r w:rsidR="00AB54C2" w:rsidRPr="00FE36E7">
        <w:rPr>
          <w:rFonts w:cs="Calibri"/>
          <w:color w:val="000000"/>
          <w:lang w:eastAsia="it-IT"/>
        </w:rPr>
        <w:t xml:space="preserve">può essere ottenuto solo dietro prescrizione da parte del </w:t>
      </w:r>
      <w:r w:rsidR="00AB54C2" w:rsidRPr="005469E9">
        <w:rPr>
          <w:rFonts w:cs="Calibri"/>
          <w:color w:val="000000"/>
          <w:lang w:eastAsia="it-IT"/>
        </w:rPr>
        <w:t>medico (ricetta ripetibile).</w:t>
      </w:r>
    </w:p>
    <w:p w:rsidR="00AB54C2" w:rsidRPr="007461B9" w:rsidRDefault="00AB54C2" w:rsidP="00036C3F">
      <w:pPr>
        <w:spacing w:after="0" w:line="240" w:lineRule="auto"/>
        <w:jc w:val="both"/>
      </w:pPr>
    </w:p>
    <w:p w:rsidR="00AB54C2" w:rsidRPr="00C608F7" w:rsidRDefault="00AB54C2" w:rsidP="00036C3F">
      <w:pPr>
        <w:spacing w:after="0" w:line="240" w:lineRule="auto"/>
        <w:jc w:val="both"/>
      </w:pPr>
      <w:r w:rsidRPr="00C608F7">
        <w:t>Questa procedura è stata presentata ai sensi dell’art. 10(1) della Direttiva 2001/83/EU s.m.i.</w:t>
      </w:r>
    </w:p>
    <w:p w:rsidR="00AB54C2" w:rsidRPr="00C608F7" w:rsidRDefault="00AB54C2" w:rsidP="00036C3F">
      <w:pPr>
        <w:widowControl w:val="0"/>
        <w:spacing w:after="0" w:line="240" w:lineRule="auto"/>
        <w:jc w:val="both"/>
        <w:rPr>
          <w:rFonts w:cs="Calibri"/>
          <w:bCs/>
          <w:color w:val="000000"/>
          <w:lang w:eastAsia="it-IT"/>
        </w:rPr>
      </w:pPr>
    </w:p>
    <w:p w:rsidR="00AB54C2" w:rsidRPr="00AB54C2" w:rsidRDefault="00F16CDC" w:rsidP="00036C3F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>
        <w:rPr>
          <w:rFonts w:cs="Calibri"/>
          <w:bCs/>
          <w:color w:val="000000"/>
          <w:lang w:eastAsia="it-IT"/>
        </w:rPr>
        <w:t>Momentfene</w:t>
      </w:r>
      <w:proofErr w:type="spellEnd"/>
      <w:r w:rsidR="00AB54C2" w:rsidRPr="00AB54C2">
        <w:rPr>
          <w:rFonts w:cs="Calibri"/>
          <w:bCs/>
          <w:color w:val="000000"/>
          <w:lang w:eastAsia="it-IT"/>
        </w:rPr>
        <w:t xml:space="preserve"> </w:t>
      </w:r>
      <w:r w:rsidR="00AB54C2" w:rsidRPr="00AB54C2">
        <w:rPr>
          <w:rFonts w:cs="Calibri"/>
          <w:color w:val="000000"/>
          <w:lang w:eastAsia="it-IT"/>
        </w:rPr>
        <w:t>è un medicinale contenente il principio attivo ibuprofene presente nel medicinale di riferimento Brufen, autorizzato in Italia da più di 10 anni.</w:t>
      </w:r>
    </w:p>
    <w:p w:rsidR="00AB54C2" w:rsidRPr="00AB54C2" w:rsidRDefault="00AB54C2" w:rsidP="00036C3F">
      <w:pPr>
        <w:spacing w:after="0" w:line="240" w:lineRule="auto"/>
        <w:jc w:val="both"/>
        <w:rPr>
          <w:highlight w:val="yellow"/>
        </w:rPr>
      </w:pPr>
    </w:p>
    <w:p w:rsidR="00AB54C2" w:rsidRPr="00AB54C2" w:rsidRDefault="00F16CDC" w:rsidP="00036C3F">
      <w:pPr>
        <w:spacing w:after="0" w:line="240" w:lineRule="auto"/>
        <w:jc w:val="both"/>
        <w:rPr>
          <w:lang w:eastAsia="it-IT"/>
        </w:rPr>
      </w:pPr>
      <w:proofErr w:type="spellStart"/>
      <w:r>
        <w:rPr>
          <w:rFonts w:cs="Calibri"/>
          <w:bCs/>
          <w:color w:val="000000"/>
          <w:lang w:eastAsia="it-IT"/>
        </w:rPr>
        <w:t>Momentfene</w:t>
      </w:r>
      <w:proofErr w:type="spellEnd"/>
      <w:r w:rsidR="00AB54C2" w:rsidRPr="00AB54C2">
        <w:rPr>
          <w:rFonts w:cs="Calibri"/>
          <w:bCs/>
          <w:color w:val="000000"/>
          <w:lang w:eastAsia="it-IT"/>
        </w:rPr>
        <w:t xml:space="preserve">, </w:t>
      </w:r>
      <w:r w:rsidR="00AB54C2" w:rsidRPr="00AB54C2">
        <w:rPr>
          <w:color w:val="000000"/>
        </w:rPr>
        <w:t>il cui c</w:t>
      </w:r>
      <w:r w:rsidR="00AB54C2" w:rsidRPr="00AB54C2">
        <w:rPr>
          <w:iCs/>
        </w:rPr>
        <w:t xml:space="preserve">odice ATC è </w:t>
      </w:r>
      <w:r w:rsidR="00AB54C2" w:rsidRPr="00AB54C2">
        <w:rPr>
          <w:lang w:eastAsia="it-IT"/>
        </w:rPr>
        <w:t>M01AE01</w:t>
      </w:r>
      <w:r w:rsidR="00AB54C2" w:rsidRPr="00AB54C2">
        <w:rPr>
          <w:rFonts w:eastAsia="DejaVuSans" w:cs="DejaVuSans"/>
        </w:rPr>
        <w:t>,</w:t>
      </w:r>
      <w:r w:rsidR="00AB54C2" w:rsidRPr="00AB54C2">
        <w:rPr>
          <w:rFonts w:cs="Calibri"/>
          <w:bCs/>
          <w:color w:val="000000"/>
          <w:lang w:eastAsia="it-IT"/>
        </w:rPr>
        <w:t xml:space="preserve"> </w:t>
      </w:r>
      <w:r w:rsidR="00AB54C2" w:rsidRPr="00AB54C2">
        <w:rPr>
          <w:rFonts w:cs="Calibri"/>
          <w:color w:val="000000"/>
          <w:lang w:eastAsia="it-IT"/>
        </w:rPr>
        <w:t>contiene il principio attivo ibuprofene</w:t>
      </w:r>
      <w:r w:rsidR="00AB54C2" w:rsidRPr="00AB54C2">
        <w:rPr>
          <w:rFonts w:cs="Calibri"/>
          <w:bCs/>
          <w:color w:val="000000"/>
          <w:lang w:eastAsia="it-IT"/>
        </w:rPr>
        <w:t xml:space="preserve"> </w:t>
      </w:r>
      <w:r w:rsidR="00AB54C2" w:rsidRPr="00AB54C2">
        <w:rPr>
          <w:rFonts w:cs="Calibri"/>
          <w:color w:val="000000"/>
          <w:lang w:eastAsia="it-IT"/>
        </w:rPr>
        <w:t xml:space="preserve">che è un </w:t>
      </w:r>
      <w:r w:rsidR="00AB54C2" w:rsidRPr="00AB54C2">
        <w:rPr>
          <w:lang w:eastAsia="it-IT"/>
        </w:rPr>
        <w:t xml:space="preserve">analgesico-antinfiammatorio di sintesi, dotato inoltre di spiccata attività antipiretica. Chimicamente è il capostipite dei derivati fenilpropionici. </w:t>
      </w:r>
      <w:proofErr w:type="spellStart"/>
      <w:r w:rsidR="00AB54C2" w:rsidRPr="00AB54C2">
        <w:rPr>
          <w:lang w:eastAsia="it-IT"/>
        </w:rPr>
        <w:t>Ibuprofene</w:t>
      </w:r>
      <w:proofErr w:type="spellEnd"/>
      <w:r w:rsidR="00AB54C2" w:rsidRPr="00AB54C2">
        <w:rPr>
          <w:lang w:eastAsia="it-IT"/>
        </w:rPr>
        <w:t xml:space="preserve"> è un potente inibitore della sintesi prostaglandinica ed esercita la sua attività inibendone la sintesi a livello periferico.</w:t>
      </w:r>
    </w:p>
    <w:p w:rsidR="00AB54C2" w:rsidRPr="00AB54C2" w:rsidRDefault="00AB54C2" w:rsidP="00036C3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AB54C2" w:rsidRPr="00AB54C2" w:rsidRDefault="00F16CDC" w:rsidP="00036C3F">
      <w:pPr>
        <w:spacing w:after="0" w:line="240" w:lineRule="auto"/>
        <w:jc w:val="both"/>
        <w:rPr>
          <w:rFonts w:cs="Helvetica"/>
        </w:rPr>
      </w:pPr>
      <w:proofErr w:type="spellStart"/>
      <w:r>
        <w:rPr>
          <w:rFonts w:cs="Calibri"/>
          <w:color w:val="000000"/>
          <w:lang w:eastAsia="it-IT"/>
        </w:rPr>
        <w:t>Momentfene</w:t>
      </w:r>
      <w:proofErr w:type="spellEnd"/>
      <w:r w:rsidR="00AB54C2" w:rsidRPr="00AB54C2">
        <w:rPr>
          <w:rFonts w:cs="Calibri"/>
          <w:color w:val="000000"/>
          <w:lang w:eastAsia="it-IT"/>
        </w:rPr>
        <w:t xml:space="preserve"> </w:t>
      </w:r>
      <w:r w:rsidR="00AB54C2" w:rsidRPr="00AB54C2">
        <w:rPr>
          <w:rFonts w:cs="Helvetica"/>
        </w:rPr>
        <w:t>è utilizzato</w:t>
      </w:r>
    </w:p>
    <w:p w:rsidR="00AB54C2" w:rsidRPr="00AB54C2" w:rsidRDefault="00AB54C2" w:rsidP="00036C3F">
      <w:pPr>
        <w:spacing w:after="0" w:line="240" w:lineRule="auto"/>
        <w:jc w:val="both"/>
        <w:rPr>
          <w:lang w:eastAsia="it-IT"/>
        </w:rPr>
      </w:pPr>
      <w:r w:rsidRPr="00AB54C2">
        <w:rPr>
          <w:rFonts w:cs="Helvetica"/>
        </w:rPr>
        <w:t>a) c</w:t>
      </w:r>
      <w:r w:rsidRPr="00AB54C2">
        <w:rPr>
          <w:lang w:eastAsia="it-IT"/>
        </w:rPr>
        <w:t>ome antireumatico in:</w:t>
      </w:r>
    </w:p>
    <w:p w:rsidR="00AB54C2" w:rsidRPr="00AB54C2" w:rsidRDefault="00AB54C2" w:rsidP="00036C3F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osteoartrosi in tutte le sue localizzazioni (artrosi cervicale, dorsale, lombare; artrosi della spalla, dell'anca, del ginocchio, artrosi diffusa, ecc.), periartrite scapolo-omerale, lombalgie, sciatalgie, radicolo-nevriti; fibrositi, tenosinoviti, miositi, traumatologia sportiva; artrite reumatoide, morbo di Still.</w:t>
      </w:r>
    </w:p>
    <w:p w:rsidR="00AB54C2" w:rsidRPr="00AB54C2" w:rsidRDefault="00AB54C2" w:rsidP="00036C3F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b) come analgesico in forme dolorose di diversa eziologia:</w:t>
      </w:r>
    </w:p>
    <w:p w:rsidR="00AB54C2" w:rsidRPr="00AB54C2" w:rsidRDefault="00AB54C2" w:rsidP="00036C3F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nella traumatologia accidentale e sportiva;</w:t>
      </w:r>
    </w:p>
    <w:p w:rsidR="00AB54C2" w:rsidRPr="00AB54C2" w:rsidRDefault="00AB54C2" w:rsidP="00036C3F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nella pratica dentistica, nei dolori post-estrazione e dopo interventi odontostomatologici;</w:t>
      </w:r>
    </w:p>
    <w:p w:rsidR="00AB54C2" w:rsidRPr="00AB54C2" w:rsidRDefault="00AB54C2" w:rsidP="00036C3F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ostetricia: nel dolore post-episiotomico e post-partum;</w:t>
      </w:r>
    </w:p>
    <w:p w:rsidR="00AB54C2" w:rsidRPr="00AB54C2" w:rsidRDefault="00AB54C2" w:rsidP="00036C3F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ginecologia: nella prevenzione e nel trattamento della dismenorrea;</w:t>
      </w:r>
    </w:p>
    <w:p w:rsidR="00AB54C2" w:rsidRPr="00AB54C2" w:rsidRDefault="00AB54C2" w:rsidP="00036C3F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chirurgia: nel trattamento del dolore post-operatorio;</w:t>
      </w:r>
    </w:p>
    <w:p w:rsidR="00AB54C2" w:rsidRPr="00AB54C2" w:rsidRDefault="00AB54C2" w:rsidP="00036C3F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oculistica: nel dolore post-operatorio e nelle forme dolorose di varia eziologia;</w:t>
      </w:r>
    </w:p>
    <w:p w:rsidR="00AB54C2" w:rsidRPr="00AB54C2" w:rsidRDefault="00AB54C2" w:rsidP="00036C3F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medicina generale: nel trattamento di emicrania e cefalea.</w:t>
      </w:r>
    </w:p>
    <w:p w:rsidR="00AB54C2" w:rsidRPr="00AB54C2" w:rsidRDefault="00AB54C2" w:rsidP="00036C3F">
      <w:pPr>
        <w:spacing w:after="0" w:line="240" w:lineRule="auto"/>
        <w:jc w:val="both"/>
        <w:rPr>
          <w:rFonts w:eastAsia="Times New Roman"/>
          <w:lang w:eastAsia="it-IT"/>
        </w:rPr>
      </w:pPr>
    </w:p>
    <w:p w:rsidR="00AB54C2" w:rsidRPr="00AB54C2" w:rsidRDefault="00AB54C2" w:rsidP="00036C3F">
      <w:pPr>
        <w:spacing w:after="0" w:line="240" w:lineRule="auto"/>
        <w:jc w:val="both"/>
      </w:pPr>
      <w:r w:rsidRPr="00AB54C2">
        <w:t xml:space="preserve">Poiché </w:t>
      </w:r>
      <w:proofErr w:type="spellStart"/>
      <w:r w:rsidR="00F16CDC">
        <w:t>Momentfene</w:t>
      </w:r>
      <w:proofErr w:type="spellEnd"/>
      <w:r w:rsidRPr="00AB54C2">
        <w:t xml:space="preserve"> contiene un principio attivo noto non sono stati forniti nuovi dati non clinici e clinici: questo approccio è accettabile poiché il medicinale di riferimento Brufen è autorizzato in Italia da oltre 10 anni.</w:t>
      </w:r>
    </w:p>
    <w:p w:rsidR="00AB54C2" w:rsidRPr="00AB54C2" w:rsidRDefault="00AB54C2" w:rsidP="00036C3F">
      <w:pPr>
        <w:spacing w:after="0" w:line="240" w:lineRule="auto"/>
        <w:jc w:val="both"/>
      </w:pPr>
      <w:r w:rsidRPr="00937BEA">
        <w:t xml:space="preserve">La richiesta di AIC è supportata </w:t>
      </w:r>
      <w:r w:rsidR="00937BEA" w:rsidRPr="00937BEA">
        <w:t xml:space="preserve"> da </w:t>
      </w:r>
      <w:r w:rsidR="00925033" w:rsidRPr="00937BEA">
        <w:t>uno studio</w:t>
      </w:r>
      <w:r w:rsidRPr="00937BEA">
        <w:t xml:space="preserve"> di bioequivalenza che ha confrontato i profili</w:t>
      </w:r>
      <w:r w:rsidRPr="00AB54C2">
        <w:t xml:space="preserve"> farmacocinetici del medicinale test </w:t>
      </w:r>
      <w:proofErr w:type="spellStart"/>
      <w:r w:rsidR="00F16CDC">
        <w:t>Momentfene</w:t>
      </w:r>
      <w:proofErr w:type="spellEnd"/>
      <w:r w:rsidR="006808E3">
        <w:t xml:space="preserve"> compresse rivestite con film </w:t>
      </w:r>
      <w:r w:rsidRPr="00AB54C2">
        <w:t>e quelli del medicinale di riferimento Brufen.</w:t>
      </w:r>
    </w:p>
    <w:p w:rsidR="00AB54C2" w:rsidRPr="00900C91" w:rsidRDefault="00AB54C2" w:rsidP="00036C3F">
      <w:pPr>
        <w:spacing w:after="0" w:line="240" w:lineRule="auto"/>
        <w:jc w:val="both"/>
      </w:pPr>
      <w:r w:rsidRPr="00AB54C2">
        <w:t>Lo studio</w:t>
      </w:r>
      <w:r w:rsidRPr="00900C91">
        <w:t xml:space="preserve"> di bioequivalenza è stato condotto in conformità alle linee guida di Buona Pratica Clinica (</w:t>
      </w:r>
      <w:r w:rsidRPr="00900C91">
        <w:rPr>
          <w:i/>
        </w:rPr>
        <w:t>Good Clinical Practice</w:t>
      </w:r>
      <w:r w:rsidRPr="00900C91">
        <w:t xml:space="preserve"> - GCP).</w:t>
      </w:r>
    </w:p>
    <w:p w:rsidR="00AB54C2" w:rsidRPr="00900C91" w:rsidRDefault="00AB54C2" w:rsidP="00036C3F">
      <w:pPr>
        <w:spacing w:after="0" w:line="240" w:lineRule="auto"/>
        <w:jc w:val="both"/>
      </w:pPr>
    </w:p>
    <w:p w:rsidR="00AB54C2" w:rsidRPr="00900C91" w:rsidRDefault="00AB54C2" w:rsidP="00036C3F">
      <w:pPr>
        <w:spacing w:after="0" w:line="240" w:lineRule="auto"/>
        <w:jc w:val="both"/>
      </w:pPr>
      <w:r w:rsidRPr="00900C91">
        <w:t>Le officine coinvolte nella produzione sono conformi alle linee guida di Buona Pratica di Fabbricazione (</w:t>
      </w:r>
      <w:r w:rsidRPr="00900C91">
        <w:rPr>
          <w:i/>
        </w:rPr>
        <w:t>Good Manufacturing Practice</w:t>
      </w:r>
      <w:r w:rsidRPr="00900C91">
        <w:t xml:space="preserve"> - GMP). Le autorità regolatore competenti hanno rilasciato i certificati GMP per i siti di produzione sul territorio dell’Unione Europea.</w:t>
      </w:r>
    </w:p>
    <w:p w:rsidR="00AB54C2" w:rsidRPr="00900C91" w:rsidRDefault="00AB54C2" w:rsidP="00036C3F">
      <w:pPr>
        <w:spacing w:after="0" w:line="240" w:lineRule="auto"/>
        <w:jc w:val="both"/>
        <w:rPr>
          <w:highlight w:val="yellow"/>
        </w:rPr>
      </w:pPr>
    </w:p>
    <w:p w:rsidR="00AB54C2" w:rsidRPr="00900C91" w:rsidRDefault="00AB54C2" w:rsidP="00036C3F">
      <w:pPr>
        <w:spacing w:after="0" w:line="240" w:lineRule="auto"/>
        <w:jc w:val="both"/>
      </w:pPr>
      <w:r w:rsidRPr="00900C91">
        <w:t>Il sistema di Farmacovigilanza descritto dal titolare dell’AIC è conforme ai requisiti previsti dalla normativa corrente. E’ stato presentato un Piano di gestione del rischio (</w:t>
      </w:r>
      <w:r w:rsidRPr="00900C91">
        <w:rPr>
          <w:i/>
        </w:rPr>
        <w:t>Risk Management Plan</w:t>
      </w:r>
      <w:r w:rsidRPr="00900C91">
        <w:t xml:space="preserve"> – RMP) accettabile.</w:t>
      </w:r>
    </w:p>
    <w:p w:rsidR="00AB54C2" w:rsidRPr="00900C91" w:rsidRDefault="00AB54C2" w:rsidP="00036C3F">
      <w:pPr>
        <w:spacing w:after="0" w:line="240" w:lineRule="auto"/>
        <w:jc w:val="both"/>
      </w:pPr>
    </w:p>
    <w:p w:rsidR="00AB54C2" w:rsidRDefault="00AB54C2" w:rsidP="00036C3F">
      <w:pPr>
        <w:spacing w:after="0" w:line="240" w:lineRule="auto"/>
        <w:jc w:val="both"/>
      </w:pPr>
      <w:r w:rsidRPr="00900C91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F16CDC">
        <w:t>Momentfene</w:t>
      </w:r>
      <w:proofErr w:type="spellEnd"/>
      <w:r>
        <w:t xml:space="preserve"> </w:t>
      </w:r>
      <w:r w:rsidRPr="00900C91">
        <w:t>contiene principi attivi noti presenti in medicinali autorizzati; inoltre, non sono presenti componenti geneticamente modificati; il metodo di produzione e la formulazione del medicinale non presentano problematiche di carattere ambientale.</w:t>
      </w:r>
    </w:p>
    <w:p w:rsidR="00AB54C2" w:rsidRDefault="00AB54C2" w:rsidP="00036C3F">
      <w:pPr>
        <w:spacing w:after="0" w:line="240" w:lineRule="auto"/>
        <w:jc w:val="both"/>
      </w:pPr>
    </w:p>
    <w:p w:rsidR="00C05220" w:rsidRDefault="00C05220" w:rsidP="00036C3F">
      <w:pPr>
        <w:spacing w:after="0" w:line="240" w:lineRule="auto"/>
        <w:jc w:val="both"/>
      </w:pPr>
    </w:p>
    <w:p w:rsidR="00AB54C2" w:rsidRDefault="00AB54C2" w:rsidP="00036C3F">
      <w:pPr>
        <w:spacing w:after="0" w:line="240" w:lineRule="auto"/>
        <w:jc w:val="both"/>
      </w:pPr>
    </w:p>
    <w:p w:rsidR="00AB54C2" w:rsidRPr="00EE29EF" w:rsidRDefault="00AB54C2" w:rsidP="00036C3F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EE29EF">
        <w:rPr>
          <w:b/>
        </w:rPr>
        <w:lastRenderedPageBreak/>
        <w:t>ASPETTI DI QUALITA’</w:t>
      </w:r>
    </w:p>
    <w:p w:rsidR="00AB54C2" w:rsidRPr="00EE29EF" w:rsidRDefault="00AB54C2" w:rsidP="00036C3F">
      <w:pPr>
        <w:spacing w:after="0" w:line="240" w:lineRule="auto"/>
        <w:jc w:val="both"/>
      </w:pPr>
      <w:r w:rsidRPr="00EE29EF">
        <w:rPr>
          <w:b/>
        </w:rPr>
        <w:t>II.1 PRINCIPIO ATTIVO IBUPROFENE</w:t>
      </w:r>
    </w:p>
    <w:p w:rsidR="00AB54C2" w:rsidRPr="00EE29EF" w:rsidRDefault="00AB54C2" w:rsidP="00036C3F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  <w:r w:rsidRPr="00EE29EF">
        <w:rPr>
          <w:u w:val="single"/>
        </w:rPr>
        <w:t>Nome chimico</w:t>
      </w:r>
      <w:r w:rsidRPr="00EE29EF">
        <w:t xml:space="preserve">: </w:t>
      </w:r>
      <w:r w:rsidR="00EE29EF" w:rsidRPr="00EE29EF">
        <w:rPr>
          <w:rStyle w:val="s1"/>
          <w:rFonts w:ascii="Calibri" w:hAnsi="Calibri"/>
        </w:rPr>
        <w:t>(2</w:t>
      </w:r>
      <w:r w:rsidR="00EE29EF" w:rsidRPr="00EE29EF">
        <w:rPr>
          <w:rStyle w:val="s1"/>
          <w:rFonts w:ascii="Calibri" w:hAnsi="Calibri"/>
          <w:i/>
          <w:iCs/>
        </w:rPr>
        <w:t>RS</w:t>
      </w:r>
      <w:r w:rsidR="00EE29EF" w:rsidRPr="00EE29EF">
        <w:rPr>
          <w:rStyle w:val="s1"/>
          <w:rFonts w:ascii="Calibri" w:hAnsi="Calibri"/>
        </w:rPr>
        <w:t>)-2-[4-(2-Methylpropyl)phenyl]propanoic acid</w:t>
      </w:r>
      <w:r w:rsidRPr="00EE29EF">
        <w:rPr>
          <w:rStyle w:val="s1"/>
          <w:rFonts w:ascii="Calibri" w:hAnsi="Calibri"/>
        </w:rPr>
        <w:t>.</w:t>
      </w:r>
    </w:p>
    <w:p w:rsidR="00AB54C2" w:rsidRPr="00EE29EF" w:rsidRDefault="00AB54C2" w:rsidP="00036C3F">
      <w:pPr>
        <w:spacing w:after="0" w:line="240" w:lineRule="auto"/>
        <w:jc w:val="both"/>
        <w:rPr>
          <w:noProof/>
          <w:highlight w:val="yellow"/>
          <w:lang w:eastAsia="it-IT"/>
        </w:rPr>
      </w:pPr>
      <w:r w:rsidRPr="00EE29EF">
        <w:rPr>
          <w:u w:val="single"/>
        </w:rPr>
        <w:t>Struttura</w:t>
      </w:r>
      <w:r w:rsidRPr="00EE29EF">
        <w:t>:</w:t>
      </w:r>
    </w:p>
    <w:p w:rsidR="00AB54C2" w:rsidRPr="00EE29EF" w:rsidRDefault="00480B90" w:rsidP="00036C3F">
      <w:pPr>
        <w:spacing w:after="0" w:line="240" w:lineRule="auto"/>
        <w:jc w:val="center"/>
        <w:rPr>
          <w:noProof/>
          <w:lang w:eastAsia="it-IT"/>
        </w:rPr>
      </w:pPr>
      <w:r>
        <w:rPr>
          <w:rFonts w:cs="Arial"/>
          <w:noProof/>
          <w:lang w:eastAsia="it-IT"/>
        </w:rPr>
        <w:drawing>
          <wp:inline distT="0" distB="0" distL="0" distR="0">
            <wp:extent cx="1714500" cy="476250"/>
            <wp:effectExtent l="19050" t="0" r="0" b="0"/>
            <wp:docPr id="1" name="Immagine 1" descr="P:\_dp\804\XML-IN\Images\cf0721-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P:\_dp\804\XML-IN\Images\cf0721-e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9EF" w:rsidRPr="00EE29EF" w:rsidRDefault="00EE29EF" w:rsidP="00036C3F">
      <w:pPr>
        <w:spacing w:after="0" w:line="240" w:lineRule="auto"/>
        <w:jc w:val="center"/>
        <w:rPr>
          <w:highlight w:val="yellow"/>
        </w:rPr>
      </w:pPr>
    </w:p>
    <w:p w:rsidR="00EE29EF" w:rsidRPr="00EE29EF" w:rsidRDefault="00AB54C2" w:rsidP="00036C3F">
      <w:pPr>
        <w:spacing w:after="0" w:line="240" w:lineRule="auto"/>
        <w:jc w:val="both"/>
        <w:rPr>
          <w:rStyle w:val="s1"/>
          <w:rFonts w:ascii="Calibri" w:hAnsi="Calibri"/>
          <w:vertAlign w:val="subscript"/>
        </w:rPr>
      </w:pPr>
      <w:r w:rsidRPr="00EE29EF">
        <w:rPr>
          <w:u w:val="single"/>
        </w:rPr>
        <w:t>Formula molecolare</w:t>
      </w:r>
      <w:r w:rsidRPr="00EE29EF">
        <w:t>:</w:t>
      </w:r>
      <w:r w:rsidRPr="00EE29EF">
        <w:rPr>
          <w:rStyle w:val="s1"/>
          <w:rFonts w:ascii="Calibri" w:hAnsi="Calibri"/>
        </w:rPr>
        <w:t xml:space="preserve"> </w:t>
      </w:r>
      <w:r w:rsidR="00EE29EF" w:rsidRPr="00EE29EF">
        <w:rPr>
          <w:rStyle w:val="s1"/>
          <w:rFonts w:ascii="Calibri" w:hAnsi="Calibri"/>
        </w:rPr>
        <w:t>C</w:t>
      </w:r>
      <w:r w:rsidR="00EE29EF" w:rsidRPr="00EE29EF">
        <w:rPr>
          <w:rStyle w:val="s1"/>
          <w:rFonts w:ascii="Calibri" w:hAnsi="Calibri"/>
          <w:vertAlign w:val="subscript"/>
        </w:rPr>
        <w:t>13</w:t>
      </w:r>
      <w:r w:rsidR="00EE29EF" w:rsidRPr="00EE29EF">
        <w:rPr>
          <w:rStyle w:val="s1"/>
          <w:rFonts w:ascii="Calibri" w:hAnsi="Calibri"/>
        </w:rPr>
        <w:t>H</w:t>
      </w:r>
      <w:r w:rsidR="00EE29EF" w:rsidRPr="00EE29EF">
        <w:rPr>
          <w:rStyle w:val="s1"/>
          <w:rFonts w:ascii="Calibri" w:hAnsi="Calibri"/>
          <w:vertAlign w:val="subscript"/>
        </w:rPr>
        <w:t>18</w:t>
      </w:r>
      <w:r w:rsidR="00EE29EF" w:rsidRPr="00EE29EF">
        <w:rPr>
          <w:rStyle w:val="s1"/>
          <w:rFonts w:ascii="Calibri" w:hAnsi="Calibri"/>
        </w:rPr>
        <w:t>O</w:t>
      </w:r>
      <w:r w:rsidR="00EE29EF" w:rsidRPr="00EE29EF">
        <w:rPr>
          <w:rStyle w:val="s1"/>
          <w:rFonts w:ascii="Calibri" w:hAnsi="Calibri"/>
          <w:vertAlign w:val="subscript"/>
        </w:rPr>
        <w:t>2</w:t>
      </w:r>
    </w:p>
    <w:p w:rsidR="00AB54C2" w:rsidRPr="00EE29EF" w:rsidRDefault="00AB54C2" w:rsidP="00036C3F">
      <w:pPr>
        <w:spacing w:after="0" w:line="240" w:lineRule="auto"/>
        <w:jc w:val="both"/>
      </w:pPr>
      <w:r w:rsidRPr="00EE29EF">
        <w:rPr>
          <w:u w:val="single"/>
        </w:rPr>
        <w:t>Peso molecolare</w:t>
      </w:r>
      <w:r w:rsidRPr="00EE29EF">
        <w:t>:</w:t>
      </w:r>
      <w:r w:rsidRPr="00EE29EF">
        <w:rPr>
          <w:rFonts w:cs="Arial"/>
          <w:color w:val="252525"/>
          <w:shd w:val="clear" w:color="auto" w:fill="F9F9F9"/>
        </w:rPr>
        <w:t xml:space="preserve"> </w:t>
      </w:r>
      <w:r w:rsidR="00EE29EF" w:rsidRPr="00EE29EF">
        <w:rPr>
          <w:rStyle w:val="s1"/>
          <w:rFonts w:ascii="Calibri" w:hAnsi="Calibri"/>
        </w:rPr>
        <w:t>206.3</w:t>
      </w:r>
      <w:r w:rsidR="00EE29EF" w:rsidRPr="00EE29EF">
        <w:rPr>
          <w:rFonts w:cs="Arial"/>
          <w:color w:val="252525"/>
          <w:shd w:val="clear" w:color="auto" w:fill="F9F9F9"/>
        </w:rPr>
        <w:t xml:space="preserve"> </w:t>
      </w:r>
      <w:r w:rsidRPr="00EE29EF">
        <w:rPr>
          <w:rStyle w:val="s1"/>
          <w:rFonts w:ascii="Calibri" w:hAnsi="Calibri"/>
        </w:rPr>
        <w:t>g/mol</w:t>
      </w:r>
    </w:p>
    <w:p w:rsidR="00AB54C2" w:rsidRPr="00EE29EF" w:rsidRDefault="00AB54C2" w:rsidP="00036C3F">
      <w:pPr>
        <w:pStyle w:val="Titolo1"/>
        <w:shd w:val="clear" w:color="auto" w:fill="FFFFFF"/>
        <w:spacing w:before="0" w:beforeAutospacing="0" w:after="0" w:afterAutospacing="0"/>
        <w:rPr>
          <w:rFonts w:ascii="Calibri" w:hAnsi="Calibri"/>
          <w:b w:val="0"/>
          <w:sz w:val="22"/>
          <w:szCs w:val="22"/>
        </w:rPr>
      </w:pPr>
      <w:r w:rsidRPr="001D239E">
        <w:rPr>
          <w:rFonts w:ascii="Calibri" w:hAnsi="Calibri"/>
          <w:b w:val="0"/>
          <w:sz w:val="22"/>
          <w:szCs w:val="22"/>
          <w:u w:val="single"/>
        </w:rPr>
        <w:t>CAS</w:t>
      </w:r>
      <w:r w:rsidRPr="001D239E">
        <w:rPr>
          <w:rFonts w:ascii="Calibri" w:hAnsi="Calibri"/>
          <w:b w:val="0"/>
          <w:sz w:val="22"/>
          <w:szCs w:val="22"/>
        </w:rPr>
        <w:t xml:space="preserve">: </w:t>
      </w:r>
      <w:r w:rsidR="00EE29EF" w:rsidRPr="001D239E">
        <w:rPr>
          <w:rStyle w:val="s1"/>
          <w:rFonts w:ascii="Calibri" w:hAnsi="Calibri"/>
          <w:b w:val="0"/>
          <w:sz w:val="22"/>
          <w:szCs w:val="22"/>
        </w:rPr>
        <w:t>[15687-27-1]</w:t>
      </w:r>
    </w:p>
    <w:p w:rsidR="00AB54C2" w:rsidRPr="00EE29EF" w:rsidRDefault="00AB54C2" w:rsidP="00036C3F">
      <w:pPr>
        <w:spacing w:after="0" w:line="240" w:lineRule="auto"/>
        <w:jc w:val="both"/>
      </w:pPr>
      <w:r w:rsidRPr="00EE29EF">
        <w:rPr>
          <w:u w:val="single"/>
        </w:rPr>
        <w:t>Aspetto</w:t>
      </w:r>
      <w:r w:rsidRPr="00EE29EF">
        <w:t xml:space="preserve">: polvere </w:t>
      </w:r>
      <w:r w:rsidR="00EE29EF" w:rsidRPr="00EE29EF">
        <w:t xml:space="preserve">cristallina </w:t>
      </w:r>
      <w:r w:rsidRPr="00EE29EF">
        <w:t>bianca o quasi bianca</w:t>
      </w:r>
      <w:r w:rsidR="00EE29EF" w:rsidRPr="00EE29EF">
        <w:t xml:space="preserve"> o cristalli incolori</w:t>
      </w:r>
    </w:p>
    <w:p w:rsidR="00AB54C2" w:rsidRPr="00EE29EF" w:rsidRDefault="00AB54C2" w:rsidP="00036C3F">
      <w:pPr>
        <w:spacing w:after="0" w:line="240" w:lineRule="auto"/>
        <w:jc w:val="both"/>
        <w:rPr>
          <w:rStyle w:val="s1"/>
          <w:rFonts w:ascii="Calibri" w:hAnsi="Calibri"/>
        </w:rPr>
      </w:pPr>
      <w:r w:rsidRPr="00EE29EF">
        <w:rPr>
          <w:u w:val="single"/>
        </w:rPr>
        <w:t>Solubilità</w:t>
      </w:r>
      <w:r w:rsidRPr="00EE29EF">
        <w:t>: praticamente insolubile in acqua</w:t>
      </w:r>
      <w:r w:rsidRPr="00EE29EF">
        <w:rPr>
          <w:rStyle w:val="s1"/>
          <w:rFonts w:ascii="Calibri" w:hAnsi="Calibri"/>
        </w:rPr>
        <w:t>, molto solubile in</w:t>
      </w:r>
      <w:r w:rsidR="00EE29EF" w:rsidRPr="00EE29EF">
        <w:rPr>
          <w:rStyle w:val="s1"/>
          <w:rFonts w:ascii="Calibri" w:hAnsi="Calibri"/>
        </w:rPr>
        <w:t xml:space="preserve"> acetone, metanolo e</w:t>
      </w:r>
      <w:r w:rsidRPr="00EE29EF">
        <w:rPr>
          <w:rStyle w:val="s1"/>
          <w:rFonts w:ascii="Calibri" w:hAnsi="Calibri"/>
        </w:rPr>
        <w:t xml:space="preserve"> metilene cloruro</w:t>
      </w:r>
      <w:r w:rsidR="00EE29EF" w:rsidRPr="00EE29EF">
        <w:rPr>
          <w:rStyle w:val="s1"/>
          <w:rFonts w:ascii="Calibri" w:hAnsi="Calibri"/>
        </w:rPr>
        <w:t xml:space="preserve">. Si scioglie in soluzioni diluite di </w:t>
      </w:r>
      <w:r w:rsidR="00075AD7" w:rsidRPr="00987A69">
        <w:rPr>
          <w:rStyle w:val="s1"/>
          <w:rFonts w:ascii="Calibri" w:hAnsi="Calibri"/>
        </w:rPr>
        <w:t>idrossidi</w:t>
      </w:r>
      <w:bookmarkStart w:id="1" w:name="_GoBack"/>
      <w:bookmarkEnd w:id="1"/>
      <w:r w:rsidR="00C47C57" w:rsidRPr="00EE29EF">
        <w:rPr>
          <w:rStyle w:val="s1"/>
          <w:rFonts w:ascii="Calibri" w:hAnsi="Calibri"/>
        </w:rPr>
        <w:t xml:space="preserve"> </w:t>
      </w:r>
      <w:r w:rsidR="00EE29EF" w:rsidRPr="00EE29EF">
        <w:rPr>
          <w:rStyle w:val="s1"/>
          <w:rFonts w:ascii="Calibri" w:hAnsi="Calibri"/>
        </w:rPr>
        <w:t>alcalini e carbonati.</w:t>
      </w:r>
    </w:p>
    <w:p w:rsidR="00AB54C2" w:rsidRPr="00EE29EF" w:rsidRDefault="00AB54C2" w:rsidP="00036C3F">
      <w:pPr>
        <w:spacing w:after="0" w:line="240" w:lineRule="auto"/>
        <w:jc w:val="both"/>
        <w:rPr>
          <w:highlight w:val="yellow"/>
        </w:rPr>
      </w:pPr>
    </w:p>
    <w:p w:rsidR="00EE29EF" w:rsidRDefault="00AB54C2" w:rsidP="00036C3F">
      <w:pPr>
        <w:spacing w:after="0" w:line="240" w:lineRule="auto"/>
        <w:jc w:val="both"/>
      </w:pPr>
      <w:r w:rsidRPr="00EE29EF">
        <w:t xml:space="preserve">Il principio attivo ibuprofene è presente in Farmacopea Europea </w:t>
      </w:r>
      <w:r w:rsidR="00EE29EF" w:rsidRPr="00A72D8A">
        <w:t>e il Direttorato Europeo per la Qualità dei Medicinali (</w:t>
      </w:r>
      <w:r w:rsidR="00EE29EF" w:rsidRPr="00A72D8A">
        <w:rPr>
          <w:i/>
        </w:rPr>
        <w:t>European Directorate for Quality of Medicnals</w:t>
      </w:r>
      <w:r w:rsidR="00EE29EF" w:rsidRPr="00A72D8A">
        <w:t xml:space="preserve"> – EDQM) ha rilasciato a</w:t>
      </w:r>
      <w:r w:rsidR="00097D78">
        <w:t>i</w:t>
      </w:r>
      <w:r w:rsidR="00EE29EF" w:rsidRPr="00A72D8A">
        <w:t xml:space="preserve"> </w:t>
      </w:r>
      <w:r w:rsidR="00C05220">
        <w:t xml:space="preserve">due </w:t>
      </w:r>
      <w:r w:rsidR="00EE29EF" w:rsidRPr="00A72D8A">
        <w:t>produttor</w:t>
      </w:r>
      <w:r w:rsidR="00097D78">
        <w:t>i</w:t>
      </w:r>
      <w:r w:rsidR="00C05220">
        <w:t xml:space="preserve"> proposti</w:t>
      </w:r>
      <w:r w:rsidR="00EE29EF" w:rsidRPr="00A72D8A">
        <w:t xml:space="preserve"> il certificato di conformità alla Farmacopea Europea</w:t>
      </w:r>
      <w:r w:rsidR="00EE29EF">
        <w:t>.</w:t>
      </w:r>
    </w:p>
    <w:p w:rsidR="00C05220" w:rsidRDefault="00C05220" w:rsidP="00036C3F">
      <w:pPr>
        <w:spacing w:after="0" w:line="240" w:lineRule="auto"/>
        <w:jc w:val="both"/>
      </w:pPr>
      <w:r w:rsidRPr="00A72D8A">
        <w:t xml:space="preserve">Tutti gli aspetti di produzione e controllo sono coperti dal certificato di conformità alla Farmacopea Europea. </w:t>
      </w:r>
      <w:r w:rsidRPr="00F93450">
        <w:t xml:space="preserve">Il principio attivo è confezionato in </w:t>
      </w:r>
      <w:r>
        <w:t>busta di polietilene</w:t>
      </w:r>
      <w:r w:rsidRPr="00F93450">
        <w:t xml:space="preserve">. Il periodo di </w:t>
      </w:r>
      <w:proofErr w:type="spellStart"/>
      <w:r w:rsidRPr="00F93450">
        <w:t>retest</w:t>
      </w:r>
      <w:proofErr w:type="spellEnd"/>
      <w:r w:rsidRPr="00F93450">
        <w:t xml:space="preserve"> è definito in </w:t>
      </w:r>
      <w:r>
        <w:t xml:space="preserve">48 mesi per un produttore e in </w:t>
      </w:r>
      <w:r w:rsidRPr="00F93450">
        <w:t>60 mesi</w:t>
      </w:r>
      <w:r>
        <w:t xml:space="preserve"> per l’altro</w:t>
      </w:r>
      <w:r w:rsidRPr="00F93450">
        <w:t>.</w:t>
      </w:r>
    </w:p>
    <w:p w:rsidR="00097D78" w:rsidRDefault="00097D78" w:rsidP="00036C3F">
      <w:pPr>
        <w:spacing w:after="0" w:line="240" w:lineRule="auto"/>
        <w:jc w:val="both"/>
      </w:pPr>
    </w:p>
    <w:p w:rsidR="00AB54C2" w:rsidRPr="00C97A20" w:rsidRDefault="00AB54C2" w:rsidP="00036C3F">
      <w:pPr>
        <w:spacing w:after="0" w:line="240" w:lineRule="auto"/>
        <w:jc w:val="both"/>
      </w:pPr>
    </w:p>
    <w:p w:rsidR="00AB54C2" w:rsidRPr="00097D78" w:rsidRDefault="00AB54C2" w:rsidP="00036C3F">
      <w:pPr>
        <w:spacing w:after="0" w:line="240" w:lineRule="auto"/>
        <w:jc w:val="both"/>
        <w:rPr>
          <w:b/>
        </w:rPr>
      </w:pPr>
      <w:r w:rsidRPr="00097D78">
        <w:rPr>
          <w:b/>
        </w:rPr>
        <w:t>II.2 PRODOTTO FINITO</w:t>
      </w:r>
    </w:p>
    <w:p w:rsidR="00AB54C2" w:rsidRPr="00097D78" w:rsidRDefault="00AB54C2" w:rsidP="00036C3F">
      <w:pPr>
        <w:spacing w:after="0" w:line="240" w:lineRule="auto"/>
        <w:jc w:val="both"/>
        <w:rPr>
          <w:b/>
        </w:rPr>
      </w:pPr>
      <w:r w:rsidRPr="00097D78">
        <w:rPr>
          <w:b/>
        </w:rPr>
        <w:t>Descrizione e composizione</w:t>
      </w:r>
    </w:p>
    <w:p w:rsidR="00AB54C2" w:rsidRPr="00A01F72" w:rsidRDefault="00F16CDC" w:rsidP="00036C3F">
      <w:pPr>
        <w:widowControl w:val="0"/>
        <w:spacing w:after="0" w:line="240" w:lineRule="auto"/>
        <w:jc w:val="both"/>
        <w:rPr>
          <w:rStyle w:val="s1"/>
          <w:rFonts w:ascii="Calibri" w:hAnsi="Calibri"/>
        </w:rPr>
      </w:pPr>
      <w:proofErr w:type="spellStart"/>
      <w:r>
        <w:rPr>
          <w:rStyle w:val="s1"/>
          <w:rFonts w:ascii="Calibri" w:hAnsi="Calibri"/>
        </w:rPr>
        <w:t>Momentfene</w:t>
      </w:r>
      <w:proofErr w:type="spellEnd"/>
      <w:r w:rsidR="00AB54C2" w:rsidRPr="00A01F72">
        <w:rPr>
          <w:rStyle w:val="s1"/>
          <w:rFonts w:ascii="Calibri" w:hAnsi="Calibri"/>
        </w:rPr>
        <w:t xml:space="preserve"> è disponibile in compresse</w:t>
      </w:r>
      <w:r w:rsidR="00097D78" w:rsidRPr="00A01F72">
        <w:rPr>
          <w:rStyle w:val="s1"/>
          <w:rFonts w:ascii="Calibri" w:hAnsi="Calibri"/>
        </w:rPr>
        <w:t xml:space="preserve"> rivestite con film</w:t>
      </w:r>
      <w:r w:rsidR="00C05220">
        <w:rPr>
          <w:rStyle w:val="s1"/>
          <w:rFonts w:ascii="Calibri" w:hAnsi="Calibri"/>
        </w:rPr>
        <w:t xml:space="preserve"> contenenti 600mg di principio attivo</w:t>
      </w:r>
      <w:r w:rsidR="00AB54C2" w:rsidRPr="00A01F72">
        <w:rPr>
          <w:rStyle w:val="s1"/>
          <w:rFonts w:ascii="Calibri" w:hAnsi="Calibri"/>
        </w:rPr>
        <w:t>.</w:t>
      </w:r>
    </w:p>
    <w:p w:rsidR="00A01F72" w:rsidRPr="00A01F72" w:rsidRDefault="00C05220" w:rsidP="00036C3F">
      <w:pPr>
        <w:spacing w:after="0" w:line="240" w:lineRule="auto"/>
        <w:jc w:val="both"/>
        <w:rPr>
          <w:rStyle w:val="s1"/>
          <w:rFonts w:ascii="Calibri" w:hAnsi="Calibri"/>
        </w:rPr>
      </w:pPr>
      <w:r>
        <w:rPr>
          <w:rStyle w:val="s1"/>
          <w:rFonts w:ascii="Calibri" w:hAnsi="Calibri"/>
        </w:rPr>
        <w:t>Gli eccipienti</w:t>
      </w:r>
      <w:r w:rsidR="00A01F72" w:rsidRPr="00A01F72">
        <w:rPr>
          <w:rStyle w:val="s1"/>
          <w:rFonts w:ascii="Calibri" w:hAnsi="Calibri"/>
        </w:rPr>
        <w:t xml:space="preserve"> </w:t>
      </w:r>
      <w:r w:rsidR="00AB54C2" w:rsidRPr="00A01F72">
        <w:rPr>
          <w:rStyle w:val="s1"/>
          <w:rFonts w:ascii="Calibri" w:hAnsi="Calibri"/>
        </w:rPr>
        <w:t>sono i seguenti:</w:t>
      </w:r>
      <w:r w:rsidR="00A01F72" w:rsidRPr="00A01F72">
        <w:rPr>
          <w:rStyle w:val="s1"/>
          <w:rFonts w:ascii="Calibri" w:hAnsi="Calibri"/>
        </w:rPr>
        <w:t xml:space="preserve"> </w:t>
      </w:r>
      <w:r w:rsidR="00876564" w:rsidRPr="006C29FB">
        <w:rPr>
          <w:rStyle w:val="s1"/>
          <w:rFonts w:ascii="Calibri" w:hAnsi="Calibri"/>
        </w:rPr>
        <w:t xml:space="preserve">amido </w:t>
      </w:r>
      <w:proofErr w:type="spellStart"/>
      <w:r w:rsidR="00876564" w:rsidRPr="006C29FB">
        <w:rPr>
          <w:rStyle w:val="s1"/>
          <w:rFonts w:ascii="Calibri" w:hAnsi="Calibri"/>
        </w:rPr>
        <w:t>pregelatinizzato</w:t>
      </w:r>
      <w:proofErr w:type="spellEnd"/>
      <w:r w:rsidR="00876564" w:rsidRPr="006C29FB">
        <w:rPr>
          <w:rStyle w:val="s1"/>
          <w:rFonts w:ascii="Calibri" w:hAnsi="Calibri"/>
        </w:rPr>
        <w:t xml:space="preserve">, </w:t>
      </w:r>
      <w:proofErr w:type="spellStart"/>
      <w:r w:rsidR="00876564" w:rsidRPr="006C29FB">
        <w:rPr>
          <w:rStyle w:val="s1"/>
          <w:rFonts w:ascii="Calibri" w:hAnsi="Calibri"/>
        </w:rPr>
        <w:t>croscarmellosa</w:t>
      </w:r>
      <w:proofErr w:type="spellEnd"/>
      <w:r w:rsidR="00876564" w:rsidRPr="006C29FB">
        <w:rPr>
          <w:rStyle w:val="s1"/>
          <w:rFonts w:ascii="Calibri" w:hAnsi="Calibri"/>
        </w:rPr>
        <w:t xml:space="preserve"> sodica, cellulosa microcristallina, </w:t>
      </w:r>
      <w:proofErr w:type="spellStart"/>
      <w:r w:rsidR="00876564" w:rsidRPr="006C29FB">
        <w:rPr>
          <w:rStyle w:val="s1"/>
          <w:rFonts w:ascii="Calibri" w:hAnsi="Calibri"/>
        </w:rPr>
        <w:t>carbossimetilamido</w:t>
      </w:r>
      <w:proofErr w:type="spellEnd"/>
      <w:r w:rsidR="006C29FB" w:rsidRPr="006C29FB">
        <w:rPr>
          <w:rStyle w:val="s1"/>
          <w:rFonts w:ascii="Calibri" w:hAnsi="Calibri"/>
        </w:rPr>
        <w:t xml:space="preserve"> sodico, </w:t>
      </w:r>
      <w:proofErr w:type="spellStart"/>
      <w:r w:rsidR="006C29FB" w:rsidRPr="006C29FB">
        <w:rPr>
          <w:rStyle w:val="s1"/>
          <w:rFonts w:ascii="Calibri" w:hAnsi="Calibri"/>
        </w:rPr>
        <w:t>povidone</w:t>
      </w:r>
      <w:proofErr w:type="spellEnd"/>
      <w:r w:rsidR="00876564" w:rsidRPr="006C29FB">
        <w:rPr>
          <w:rStyle w:val="s1"/>
          <w:rFonts w:ascii="Calibri" w:hAnsi="Calibri"/>
        </w:rPr>
        <w:t>, talco</w:t>
      </w:r>
      <w:r w:rsidR="006C29FB" w:rsidRPr="006C29FB">
        <w:rPr>
          <w:rStyle w:val="s1"/>
          <w:rFonts w:ascii="Calibri" w:hAnsi="Calibri"/>
        </w:rPr>
        <w:t>, biossido di silicio</w:t>
      </w:r>
      <w:r w:rsidR="00876564" w:rsidRPr="006C29FB">
        <w:rPr>
          <w:rStyle w:val="s1"/>
          <w:rFonts w:ascii="Calibri" w:hAnsi="Calibri"/>
        </w:rPr>
        <w:t>, sodio</w:t>
      </w:r>
      <w:r w:rsidR="006C29FB" w:rsidRPr="006C29FB">
        <w:rPr>
          <w:rStyle w:val="s1"/>
          <w:rFonts w:ascii="Calibri" w:hAnsi="Calibri"/>
        </w:rPr>
        <w:t xml:space="preserve"> </w:t>
      </w:r>
      <w:proofErr w:type="spellStart"/>
      <w:r w:rsidR="006C29FB" w:rsidRPr="006C29FB">
        <w:rPr>
          <w:rStyle w:val="s1"/>
          <w:rFonts w:ascii="Calibri" w:hAnsi="Calibri"/>
        </w:rPr>
        <w:t>laurilsolfato</w:t>
      </w:r>
      <w:proofErr w:type="spellEnd"/>
      <w:r w:rsidR="00876564" w:rsidRPr="006C29FB">
        <w:rPr>
          <w:rStyle w:val="s1"/>
          <w:rFonts w:ascii="Calibri" w:hAnsi="Calibri"/>
        </w:rPr>
        <w:t>,</w:t>
      </w:r>
      <w:r>
        <w:rPr>
          <w:rStyle w:val="s1"/>
          <w:rFonts w:ascii="Calibri" w:hAnsi="Calibri"/>
        </w:rPr>
        <w:t xml:space="preserve"> </w:t>
      </w:r>
      <w:proofErr w:type="spellStart"/>
      <w:r>
        <w:rPr>
          <w:rStyle w:val="s1"/>
          <w:rFonts w:ascii="Calibri" w:hAnsi="Calibri"/>
        </w:rPr>
        <w:t>o</w:t>
      </w:r>
      <w:r w:rsidR="00876564" w:rsidRPr="006C29FB">
        <w:rPr>
          <w:rStyle w:val="s1"/>
          <w:rFonts w:ascii="Calibri" w:hAnsi="Calibri"/>
        </w:rPr>
        <w:t>padry</w:t>
      </w:r>
      <w:proofErr w:type="spellEnd"/>
      <w:r w:rsidR="00876564" w:rsidRPr="006C29FB">
        <w:rPr>
          <w:rStyle w:val="s1"/>
          <w:rFonts w:ascii="Calibri" w:hAnsi="Calibri"/>
        </w:rPr>
        <w:t xml:space="preserve"> II OY-l28900</w:t>
      </w:r>
      <w:r>
        <w:rPr>
          <w:rStyle w:val="s1"/>
          <w:rFonts w:ascii="Calibri" w:hAnsi="Calibri"/>
        </w:rPr>
        <w:t xml:space="preserve"> </w:t>
      </w:r>
      <w:r w:rsidR="00876564" w:rsidRPr="006C29FB">
        <w:rPr>
          <w:rStyle w:val="s1"/>
          <w:rFonts w:ascii="Calibri" w:hAnsi="Calibri"/>
        </w:rPr>
        <w:t xml:space="preserve">(composto da:lattosio monoidrato, </w:t>
      </w:r>
      <w:proofErr w:type="spellStart"/>
      <w:r w:rsidR="00876564" w:rsidRPr="006C29FB">
        <w:rPr>
          <w:rStyle w:val="s1"/>
          <w:rFonts w:ascii="Calibri" w:hAnsi="Calibri"/>
        </w:rPr>
        <w:t>ipromellosa</w:t>
      </w:r>
      <w:proofErr w:type="spellEnd"/>
      <w:r w:rsidR="00876564" w:rsidRPr="006C29FB">
        <w:rPr>
          <w:rStyle w:val="s1"/>
          <w:rFonts w:ascii="Calibri" w:hAnsi="Calibri"/>
        </w:rPr>
        <w:t>, titanio diossido, macrogol 4000).</w:t>
      </w:r>
    </w:p>
    <w:p w:rsidR="00AB54C2" w:rsidRPr="00A01F72" w:rsidRDefault="00AB54C2" w:rsidP="00036C3F">
      <w:pPr>
        <w:spacing w:after="0" w:line="240" w:lineRule="auto"/>
        <w:jc w:val="both"/>
        <w:rPr>
          <w:rStyle w:val="s1"/>
          <w:rFonts w:ascii="Calibri" w:hAnsi="Calibri"/>
        </w:rPr>
      </w:pPr>
      <w:r w:rsidRPr="00A01F72">
        <w:rPr>
          <w:rStyle w:val="s1"/>
          <w:rFonts w:ascii="Calibri" w:hAnsi="Calibri"/>
        </w:rPr>
        <w:t xml:space="preserve">Tutti gli eccipienti sono conformi alla relativa monografia di Farmacopea Europea, ad eccezione </w:t>
      </w:r>
      <w:r w:rsidR="00097D78" w:rsidRPr="00A01F72">
        <w:rPr>
          <w:rStyle w:val="s1"/>
          <w:rFonts w:ascii="Calibri" w:hAnsi="Calibri"/>
        </w:rPr>
        <w:t>d</w:t>
      </w:r>
      <w:r w:rsidR="00F96BAC" w:rsidRPr="00A01F72">
        <w:rPr>
          <w:rStyle w:val="s1"/>
          <w:rFonts w:ascii="Calibri" w:hAnsi="Calibri"/>
        </w:rPr>
        <w:t xml:space="preserve">i seguenti </w:t>
      </w:r>
      <w:r w:rsidRPr="00A01F72">
        <w:rPr>
          <w:rStyle w:val="s1"/>
          <w:rFonts w:ascii="Calibri" w:hAnsi="Calibri"/>
        </w:rPr>
        <w:t xml:space="preserve"> </w:t>
      </w:r>
      <w:r w:rsidR="006C29FB" w:rsidRPr="006C29FB">
        <w:rPr>
          <w:rStyle w:val="s1"/>
          <w:rFonts w:ascii="Calibri" w:hAnsi="Calibri"/>
        </w:rPr>
        <w:t>biossido di silicio</w:t>
      </w:r>
      <w:r w:rsidR="00F96BAC" w:rsidRPr="00A01F72">
        <w:rPr>
          <w:rStyle w:val="s1"/>
          <w:rFonts w:ascii="Calibri" w:hAnsi="Calibri"/>
        </w:rPr>
        <w:t>,</w:t>
      </w:r>
      <w:r w:rsidR="006C29FB">
        <w:rPr>
          <w:rStyle w:val="s1"/>
          <w:rFonts w:ascii="Calibri" w:hAnsi="Calibri"/>
        </w:rPr>
        <w:t xml:space="preserve"> </w:t>
      </w:r>
      <w:proofErr w:type="spellStart"/>
      <w:r w:rsidR="006C29FB" w:rsidRPr="006C29FB">
        <w:rPr>
          <w:rStyle w:val="s1"/>
          <w:rFonts w:ascii="Calibri" w:hAnsi="Calibri"/>
        </w:rPr>
        <w:t>Opadry</w:t>
      </w:r>
      <w:proofErr w:type="spellEnd"/>
      <w:r w:rsidR="006C29FB" w:rsidRPr="006C29FB">
        <w:rPr>
          <w:rStyle w:val="s1"/>
          <w:rFonts w:ascii="Calibri" w:hAnsi="Calibri"/>
        </w:rPr>
        <w:t xml:space="preserve"> II OY-l28900</w:t>
      </w:r>
      <w:r w:rsidR="00F96BAC" w:rsidRPr="00A01F72">
        <w:rPr>
          <w:rStyle w:val="s1"/>
          <w:rFonts w:ascii="Calibri" w:hAnsi="Calibri"/>
        </w:rPr>
        <w:t xml:space="preserve"> </w:t>
      </w:r>
      <w:r w:rsidRPr="00A01F72">
        <w:rPr>
          <w:rStyle w:val="s1"/>
          <w:rFonts w:ascii="Calibri" w:hAnsi="Calibri"/>
        </w:rPr>
        <w:t>le cui specifiche sono state adeguatamente definite dal produttore.</w:t>
      </w:r>
    </w:p>
    <w:p w:rsidR="00A01F72" w:rsidRPr="00A01F72" w:rsidRDefault="00A01F72" w:rsidP="00036C3F">
      <w:pPr>
        <w:spacing w:after="0" w:line="240" w:lineRule="auto"/>
        <w:jc w:val="both"/>
        <w:rPr>
          <w:rStyle w:val="s1"/>
          <w:rFonts w:ascii="Calibri" w:hAnsi="Calibri"/>
        </w:rPr>
      </w:pPr>
      <w:r w:rsidRPr="00A01F72">
        <w:rPr>
          <w:rStyle w:val="s1"/>
          <w:rFonts w:ascii="Calibri" w:hAnsi="Calibri"/>
        </w:rPr>
        <w:t>Nessun eccipiente è ottenuto da organismi geneticamente modificati; non sono presenti eccipienti mai utilizzati nell’uomo.</w:t>
      </w:r>
    </w:p>
    <w:p w:rsidR="00A01F72" w:rsidRPr="00097D78" w:rsidRDefault="00A01F72" w:rsidP="00036C3F">
      <w:pPr>
        <w:spacing w:after="0" w:line="240" w:lineRule="auto"/>
        <w:jc w:val="both"/>
      </w:pPr>
    </w:p>
    <w:p w:rsidR="00AB54C2" w:rsidRPr="00097D78" w:rsidRDefault="00AB54C2" w:rsidP="00036C3F">
      <w:pPr>
        <w:spacing w:after="0" w:line="240" w:lineRule="auto"/>
        <w:jc w:val="both"/>
        <w:rPr>
          <w:b/>
        </w:rPr>
      </w:pPr>
      <w:r w:rsidRPr="00097D78">
        <w:rPr>
          <w:b/>
        </w:rPr>
        <w:t>Sviluppo farmaceutico</w:t>
      </w:r>
    </w:p>
    <w:p w:rsidR="00AB54C2" w:rsidRPr="00097D78" w:rsidRDefault="00AB54C2" w:rsidP="00036C3F">
      <w:pPr>
        <w:spacing w:after="0" w:line="240" w:lineRule="auto"/>
        <w:jc w:val="both"/>
      </w:pPr>
      <w:r w:rsidRPr="00097D78">
        <w:t>Sono stati forniti dettagli dello sviluppo farmaceutico e questi sono stati ritenuti soddisfacenti.</w:t>
      </w:r>
    </w:p>
    <w:p w:rsidR="00AB54C2" w:rsidRPr="00097D78" w:rsidRDefault="00AB54C2" w:rsidP="00036C3F">
      <w:pPr>
        <w:spacing w:after="0" w:line="240" w:lineRule="auto"/>
        <w:jc w:val="both"/>
      </w:pPr>
      <w:r w:rsidRPr="00097D78">
        <w:t>Lo scopo era quello di ottenere un medicinale bioequivalente al medicinale di riferimento Brufen.</w:t>
      </w:r>
    </w:p>
    <w:p w:rsidR="00AB54C2" w:rsidRPr="00C97A20" w:rsidRDefault="00AB54C2" w:rsidP="00036C3F">
      <w:pPr>
        <w:spacing w:after="0" w:line="240" w:lineRule="auto"/>
        <w:jc w:val="both"/>
      </w:pPr>
      <w:r w:rsidRPr="00C97A20">
        <w:t>Sono stati forniti dati comparati</w:t>
      </w:r>
      <w:r>
        <w:t>v</w:t>
      </w:r>
      <w:r w:rsidRPr="00C97A20">
        <w:t>i relativi al profilo di dissoluzione e al profilo di impurezze rispetto al medicinale di riferimento. I dati sono soddisfacenti.</w:t>
      </w:r>
    </w:p>
    <w:p w:rsidR="00097D78" w:rsidRPr="00C97A20" w:rsidRDefault="00097D78" w:rsidP="00036C3F">
      <w:pPr>
        <w:spacing w:after="0" w:line="240" w:lineRule="auto"/>
        <w:jc w:val="both"/>
      </w:pPr>
    </w:p>
    <w:p w:rsidR="00AB54C2" w:rsidRPr="00C97A20" w:rsidRDefault="00AB54C2" w:rsidP="00036C3F">
      <w:pPr>
        <w:spacing w:after="0" w:line="240" w:lineRule="auto"/>
        <w:jc w:val="both"/>
        <w:rPr>
          <w:b/>
        </w:rPr>
      </w:pPr>
      <w:r w:rsidRPr="00C97A20">
        <w:rPr>
          <w:b/>
        </w:rPr>
        <w:t xml:space="preserve">Produzione </w:t>
      </w:r>
    </w:p>
    <w:p w:rsidR="00AB54C2" w:rsidRPr="00C97A20" w:rsidRDefault="00AB54C2" w:rsidP="00036C3F">
      <w:pPr>
        <w:spacing w:after="0" w:line="240" w:lineRule="auto"/>
        <w:jc w:val="both"/>
      </w:pPr>
      <w:r w:rsidRPr="00C97A20">
        <w:t>Sono stati forniti una descrizione del metodo di produzione e la relativa flow-chart.</w:t>
      </w:r>
    </w:p>
    <w:p w:rsidR="00AB54C2" w:rsidRPr="00C97A20" w:rsidRDefault="00AB54C2" w:rsidP="00036C3F">
      <w:pPr>
        <w:spacing w:after="0" w:line="240" w:lineRule="auto"/>
        <w:jc w:val="both"/>
      </w:pPr>
      <w:r w:rsidRPr="00C97A20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AB54C2" w:rsidRPr="00C97A20" w:rsidRDefault="00AB54C2" w:rsidP="00036C3F">
      <w:pPr>
        <w:spacing w:after="0" w:line="240" w:lineRule="auto"/>
        <w:jc w:val="both"/>
      </w:pPr>
    </w:p>
    <w:p w:rsidR="00AB54C2" w:rsidRPr="00C97A20" w:rsidRDefault="00AB54C2" w:rsidP="00036C3F">
      <w:pPr>
        <w:spacing w:after="0" w:line="240" w:lineRule="auto"/>
        <w:jc w:val="both"/>
        <w:rPr>
          <w:b/>
        </w:rPr>
      </w:pPr>
      <w:r w:rsidRPr="00C97A20">
        <w:rPr>
          <w:b/>
        </w:rPr>
        <w:t>Specifiche del prodotto finito</w:t>
      </w:r>
    </w:p>
    <w:p w:rsidR="00AB54C2" w:rsidRPr="00C97A20" w:rsidRDefault="00AB54C2" w:rsidP="00036C3F">
      <w:pPr>
        <w:spacing w:after="0" w:line="240" w:lineRule="auto"/>
        <w:jc w:val="both"/>
      </w:pPr>
      <w:r w:rsidRPr="00C97A20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C05220">
        <w:t>il</w:t>
      </w:r>
      <w:r w:rsidRPr="00C97A20">
        <w:t xml:space="preserve"> prodotto finito: questi dati dimostrano che i lotti prodotti sono in accordo alle specifiche proposte. Sono stati forniti, infine, certificati analitici per gli standard di riferimento utilizzati.</w:t>
      </w:r>
    </w:p>
    <w:p w:rsidR="00C05220" w:rsidRDefault="00C05220" w:rsidP="00036C3F">
      <w:pPr>
        <w:spacing w:after="0" w:line="240" w:lineRule="auto"/>
        <w:jc w:val="both"/>
        <w:rPr>
          <w:b/>
        </w:rPr>
      </w:pPr>
    </w:p>
    <w:p w:rsidR="00036C3F" w:rsidRDefault="00036C3F" w:rsidP="00036C3F">
      <w:pPr>
        <w:spacing w:after="0" w:line="240" w:lineRule="auto"/>
        <w:jc w:val="both"/>
        <w:rPr>
          <w:b/>
        </w:rPr>
      </w:pPr>
    </w:p>
    <w:p w:rsidR="00036C3F" w:rsidRPr="00C97A20" w:rsidRDefault="00036C3F" w:rsidP="00036C3F">
      <w:pPr>
        <w:spacing w:after="0" w:line="240" w:lineRule="auto"/>
        <w:jc w:val="both"/>
        <w:rPr>
          <w:b/>
        </w:rPr>
      </w:pPr>
    </w:p>
    <w:p w:rsidR="00AB54C2" w:rsidRPr="00C97A20" w:rsidRDefault="00AB54C2" w:rsidP="00036C3F">
      <w:pPr>
        <w:spacing w:after="0" w:line="240" w:lineRule="auto"/>
        <w:jc w:val="both"/>
        <w:rPr>
          <w:b/>
        </w:rPr>
      </w:pPr>
      <w:r w:rsidRPr="00C97A20">
        <w:rPr>
          <w:b/>
        </w:rPr>
        <w:lastRenderedPageBreak/>
        <w:t>Contenitore</w:t>
      </w:r>
    </w:p>
    <w:p w:rsidR="00AB54C2" w:rsidRDefault="00F16CDC" w:rsidP="00036C3F">
      <w:pPr>
        <w:spacing w:after="0" w:line="240" w:lineRule="auto"/>
        <w:jc w:val="both"/>
      </w:pPr>
      <w:proofErr w:type="spellStart"/>
      <w:r>
        <w:t>Momentfene</w:t>
      </w:r>
      <w:proofErr w:type="spellEnd"/>
      <w:r w:rsidR="00AB54C2" w:rsidRPr="00C97A20">
        <w:t xml:space="preserve"> è confezionato </w:t>
      </w:r>
      <w:r w:rsidR="00A01F72" w:rsidRPr="00A01F72">
        <w:t xml:space="preserve">in blister </w:t>
      </w:r>
      <w:r w:rsidR="006C29FB" w:rsidRPr="006C29FB">
        <w:t>PVC/PVDC/Al</w:t>
      </w:r>
      <w:r w:rsidR="00AB54C2" w:rsidRPr="00C97A20">
        <w:t>. Sono state fornite specifiche e certificati analitici per tutti i componenti del confezionamento primario, che è adeguato per il medicinale.</w:t>
      </w:r>
    </w:p>
    <w:p w:rsidR="00AB54C2" w:rsidRPr="00C97A20" w:rsidRDefault="00AB54C2" w:rsidP="00036C3F">
      <w:pPr>
        <w:spacing w:after="0" w:line="240" w:lineRule="auto"/>
        <w:jc w:val="both"/>
      </w:pPr>
    </w:p>
    <w:p w:rsidR="00AB54C2" w:rsidRPr="00C97A20" w:rsidRDefault="00AB54C2" w:rsidP="00036C3F">
      <w:pPr>
        <w:spacing w:after="0" w:line="240" w:lineRule="auto"/>
        <w:jc w:val="both"/>
        <w:rPr>
          <w:b/>
        </w:rPr>
      </w:pPr>
      <w:r w:rsidRPr="00C97A20">
        <w:rPr>
          <w:b/>
        </w:rPr>
        <w:t>Stabilità</w:t>
      </w:r>
    </w:p>
    <w:p w:rsidR="00DC2CE8" w:rsidRPr="00DC2CE8" w:rsidRDefault="00AB54C2" w:rsidP="00036C3F">
      <w:pPr>
        <w:spacing w:after="0" w:line="240" w:lineRule="auto"/>
        <w:jc w:val="both"/>
      </w:pPr>
      <w:r w:rsidRPr="00C97A20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3F05B0">
        <w:t>3</w:t>
      </w:r>
      <w:r w:rsidR="003F05B0" w:rsidRPr="003F05B0">
        <w:t xml:space="preserve"> </w:t>
      </w:r>
      <w:r w:rsidRPr="003F05B0">
        <w:t>anni</w:t>
      </w:r>
      <w:r w:rsidR="003F05B0">
        <w:t xml:space="preserve"> </w:t>
      </w:r>
      <w:r w:rsidRPr="003F05B0">
        <w:t>senza nessuna condizione particolare di conservazione</w:t>
      </w:r>
      <w:r w:rsidR="006C29FB">
        <w:t>.</w:t>
      </w:r>
    </w:p>
    <w:p w:rsidR="00AB54C2" w:rsidRPr="00C97A20" w:rsidRDefault="00AB54C2" w:rsidP="00036C3F">
      <w:pPr>
        <w:spacing w:after="0" w:line="240" w:lineRule="auto"/>
        <w:jc w:val="both"/>
      </w:pPr>
    </w:p>
    <w:p w:rsidR="00AB54C2" w:rsidRPr="00DF7B22" w:rsidRDefault="00AB54C2" w:rsidP="00036C3F">
      <w:pPr>
        <w:spacing w:after="0" w:line="240" w:lineRule="auto"/>
        <w:jc w:val="both"/>
        <w:rPr>
          <w:b/>
        </w:rPr>
      </w:pPr>
      <w:r w:rsidRPr="00DF7B22">
        <w:rPr>
          <w:b/>
        </w:rPr>
        <w:t>II.3 Discussione sugli aspetti di qualità</w:t>
      </w:r>
    </w:p>
    <w:p w:rsidR="00AB54C2" w:rsidRDefault="00AB54C2" w:rsidP="00036C3F">
      <w:pPr>
        <w:spacing w:after="0" w:line="240" w:lineRule="auto"/>
        <w:jc w:val="both"/>
      </w:pPr>
      <w:r>
        <w:t xml:space="preserve">Tutte le criticità evidenziate nel corso della valutazione sono state risolte e la qualità di </w:t>
      </w:r>
      <w:proofErr w:type="spellStart"/>
      <w:r w:rsidR="00F16CDC">
        <w:t>Momentfene</w:t>
      </w:r>
      <w:proofErr w:type="spellEnd"/>
      <w:r>
        <w:t xml:space="preserve"> è considerata adeguata. Non ci sono obiezioni per l’approvazione di </w:t>
      </w:r>
      <w:proofErr w:type="spellStart"/>
      <w:r w:rsidR="00F16CDC">
        <w:t>Momentfene</w:t>
      </w:r>
      <w:proofErr w:type="spellEnd"/>
      <w:r>
        <w:t xml:space="preserve"> dal punto di vista chimico-farmaceutico.</w:t>
      </w:r>
    </w:p>
    <w:p w:rsidR="00AB54C2" w:rsidRDefault="00AB54C2" w:rsidP="00036C3F">
      <w:pPr>
        <w:spacing w:after="0" w:line="240" w:lineRule="auto"/>
        <w:jc w:val="both"/>
      </w:pPr>
    </w:p>
    <w:p w:rsidR="00AB54C2" w:rsidRDefault="00AB54C2" w:rsidP="00036C3F">
      <w:pPr>
        <w:spacing w:after="0" w:line="240" w:lineRule="auto"/>
        <w:jc w:val="both"/>
      </w:pPr>
    </w:p>
    <w:p w:rsidR="00AB54C2" w:rsidRPr="00DF7B22" w:rsidRDefault="00AB54C2" w:rsidP="00036C3F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AB54C2" w:rsidRDefault="00AB54C2" w:rsidP="00036C3F">
      <w:pPr>
        <w:spacing w:after="0" w:line="240" w:lineRule="auto"/>
        <w:jc w:val="both"/>
      </w:pPr>
      <w:r>
        <w:t xml:space="preserve">Non sono stati condotti specifici studi non clinici, in quanto </w:t>
      </w:r>
      <w:proofErr w:type="spellStart"/>
      <w:r w:rsidR="00F16CDC">
        <w:t>Momentfene</w:t>
      </w:r>
      <w:proofErr w:type="spellEnd"/>
      <w:r>
        <w:t xml:space="preserve"> contiene un principio attivo noto: questo approccio è accettabile poiché il medicinale di riferimento </w:t>
      </w:r>
      <w:r w:rsidR="00097D78">
        <w:t>Brufen</w:t>
      </w:r>
      <w:r>
        <w:t xml:space="preserve"> è autorizzato in Italia da oltre 10 anni.</w:t>
      </w:r>
    </w:p>
    <w:p w:rsidR="00AB54C2" w:rsidRDefault="00AB54C2" w:rsidP="00036C3F">
      <w:pPr>
        <w:spacing w:after="0" w:line="240" w:lineRule="auto"/>
        <w:jc w:val="both"/>
      </w:pPr>
      <w:r>
        <w:t>Non ci sono obiezioni per l’approvazione dal punto di vista non clinico.</w:t>
      </w:r>
    </w:p>
    <w:p w:rsidR="00AB54C2" w:rsidRDefault="00AB54C2" w:rsidP="00036C3F">
      <w:pPr>
        <w:spacing w:after="0" w:line="240" w:lineRule="auto"/>
        <w:jc w:val="both"/>
      </w:pPr>
    </w:p>
    <w:p w:rsidR="00AB54C2" w:rsidRDefault="00AB54C2" w:rsidP="00036C3F">
      <w:pPr>
        <w:spacing w:after="0" w:line="240" w:lineRule="auto"/>
        <w:jc w:val="both"/>
      </w:pPr>
    </w:p>
    <w:p w:rsidR="00AB54C2" w:rsidRPr="005A38F5" w:rsidRDefault="00AB54C2" w:rsidP="00036C3F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097D78" w:rsidRPr="00AB54C2" w:rsidRDefault="00F16CDC" w:rsidP="00036C3F">
      <w:pPr>
        <w:spacing w:after="0" w:line="240" w:lineRule="auto"/>
        <w:jc w:val="both"/>
        <w:rPr>
          <w:rFonts w:cs="Helvetica"/>
        </w:rPr>
      </w:pPr>
      <w:proofErr w:type="spellStart"/>
      <w:r>
        <w:rPr>
          <w:rFonts w:cs="Calibri"/>
          <w:color w:val="000000"/>
          <w:lang w:eastAsia="it-IT"/>
        </w:rPr>
        <w:t>Momentfene</w:t>
      </w:r>
      <w:proofErr w:type="spellEnd"/>
      <w:r w:rsidR="00097D78" w:rsidRPr="00AB54C2">
        <w:rPr>
          <w:rFonts w:cs="Calibri"/>
          <w:color w:val="000000"/>
          <w:lang w:eastAsia="it-IT"/>
        </w:rPr>
        <w:t xml:space="preserve"> </w:t>
      </w:r>
      <w:r w:rsidR="00097D78" w:rsidRPr="00AB54C2">
        <w:rPr>
          <w:rFonts w:cs="Helvetica"/>
        </w:rPr>
        <w:t>è utilizzato</w:t>
      </w:r>
    </w:p>
    <w:p w:rsidR="00097D78" w:rsidRPr="00AB54C2" w:rsidRDefault="00097D78" w:rsidP="00036C3F">
      <w:pPr>
        <w:spacing w:after="0" w:line="240" w:lineRule="auto"/>
        <w:jc w:val="both"/>
        <w:rPr>
          <w:lang w:eastAsia="it-IT"/>
        </w:rPr>
      </w:pPr>
      <w:r w:rsidRPr="00AB54C2">
        <w:rPr>
          <w:rFonts w:cs="Helvetica"/>
        </w:rPr>
        <w:t>a) c</w:t>
      </w:r>
      <w:r w:rsidRPr="00AB54C2">
        <w:rPr>
          <w:lang w:eastAsia="it-IT"/>
        </w:rPr>
        <w:t>ome antireumatico in:</w:t>
      </w:r>
    </w:p>
    <w:p w:rsidR="00097D78" w:rsidRPr="00AB54C2" w:rsidRDefault="00097D78" w:rsidP="00036C3F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osteoartrosi in tutte le sue localizzazioni (artrosi cervicale, dorsale, lombare; artrosi della spalla, dell'anca, del ginocchio, artrosi diffusa, ecc.), periartrite scapolo-omerale, lombalgie, sciatalgie, radicolo-nevriti; fibrositi, tenosinoviti, miositi, traumatologia sportiva; artrite reumatoide, morbo di Still.</w:t>
      </w:r>
    </w:p>
    <w:p w:rsidR="00097D78" w:rsidRPr="00AB54C2" w:rsidRDefault="00097D78" w:rsidP="00036C3F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b) come analgesico in forme dolorose di diversa eziologia:</w:t>
      </w:r>
    </w:p>
    <w:p w:rsidR="00097D78" w:rsidRPr="00AB54C2" w:rsidRDefault="00097D78" w:rsidP="00036C3F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nella traumatologia accidentale e sportiva;</w:t>
      </w:r>
    </w:p>
    <w:p w:rsidR="00097D78" w:rsidRPr="00AB54C2" w:rsidRDefault="00097D78" w:rsidP="00036C3F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nella pratica dentistica, nei dolori post-estrazione e dopo interventi odontostomatologici;</w:t>
      </w:r>
    </w:p>
    <w:p w:rsidR="00097D78" w:rsidRPr="00AB54C2" w:rsidRDefault="00097D78" w:rsidP="00036C3F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ostetricia: nel dolore post-episiotomico e post-partum;</w:t>
      </w:r>
    </w:p>
    <w:p w:rsidR="00097D78" w:rsidRPr="00AB54C2" w:rsidRDefault="00097D78" w:rsidP="00036C3F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ginecologia: nella prevenzione e nel trattamento della dismenorrea;</w:t>
      </w:r>
    </w:p>
    <w:p w:rsidR="00097D78" w:rsidRPr="00AB54C2" w:rsidRDefault="00097D78" w:rsidP="00036C3F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chirurgia: nel trattamento del dolore post-operatorio;</w:t>
      </w:r>
    </w:p>
    <w:p w:rsidR="00097D78" w:rsidRPr="00AB54C2" w:rsidRDefault="00097D78" w:rsidP="00036C3F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oculistica: nel dolore post-operatorio e nelle forme dolorose di varia eziologia;</w:t>
      </w:r>
    </w:p>
    <w:p w:rsidR="00097D78" w:rsidRPr="00AB54C2" w:rsidRDefault="00097D78" w:rsidP="00036C3F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medicina generale: nel trattamento di emicrania e cefalea.</w:t>
      </w:r>
    </w:p>
    <w:p w:rsidR="00AB54C2" w:rsidRPr="0002468C" w:rsidRDefault="00AB54C2" w:rsidP="00036C3F">
      <w:pPr>
        <w:spacing w:after="0" w:line="240" w:lineRule="auto"/>
        <w:jc w:val="both"/>
        <w:rPr>
          <w:rFonts w:eastAsia="Times New Roman"/>
          <w:lang w:eastAsia="it-IT"/>
        </w:rPr>
      </w:pPr>
    </w:p>
    <w:p w:rsidR="00AB54C2" w:rsidRPr="002B6D26" w:rsidRDefault="00AB54C2" w:rsidP="00036C3F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>Posologia e modalità di somministrazione</w:t>
      </w:r>
    </w:p>
    <w:p w:rsidR="00AB54C2" w:rsidRDefault="00AB54C2" w:rsidP="00036C3F">
      <w:pPr>
        <w:spacing w:after="0" w:line="240" w:lineRule="auto"/>
        <w:ind w:right="6"/>
        <w:jc w:val="both"/>
        <w:rPr>
          <w:rFonts w:cs="Calibri"/>
          <w:lang w:eastAsia="it-IT"/>
        </w:rPr>
      </w:pPr>
      <w:r>
        <w:t>Le informazioni sulla posologia e sulle modalità di somministrazione sono riportate nel Riassunto delle Caratteristiche del Prodotto pubblicato sul sito dell’Agenzia Italiana del Farmaco - AIFA /</w:t>
      </w:r>
      <w:r>
        <w:rPr>
          <w:rFonts w:cs="Calibri"/>
          <w:lang w:eastAsia="it-IT"/>
        </w:rPr>
        <w:t>(</w:t>
      </w:r>
      <w:hyperlink r:id="rId9" w:history="1">
        <w:r>
          <w:rPr>
            <w:rStyle w:val="Collegamentoipertestuale"/>
            <w:rFonts w:cs="Calibri"/>
            <w:lang w:eastAsia="it-IT"/>
          </w:rPr>
          <w:t>https://farmaci.agenziafarmaco.gov.it/bancadatifarmaci</w:t>
        </w:r>
      </w:hyperlink>
      <w:r>
        <w:rPr>
          <w:rFonts w:cs="Calibri"/>
          <w:lang w:eastAsia="it-IT"/>
        </w:rPr>
        <w:t>).</w:t>
      </w:r>
    </w:p>
    <w:p w:rsidR="00AB54C2" w:rsidRDefault="00AB54C2" w:rsidP="00036C3F">
      <w:pPr>
        <w:spacing w:after="0" w:line="240" w:lineRule="auto"/>
        <w:ind w:right="6"/>
        <w:jc w:val="both"/>
        <w:rPr>
          <w:rFonts w:cs="Calibri"/>
          <w:lang w:eastAsia="it-IT"/>
        </w:rPr>
      </w:pPr>
    </w:p>
    <w:p w:rsidR="00AB54C2" w:rsidRPr="002B6D26" w:rsidRDefault="00AB54C2" w:rsidP="00036C3F">
      <w:pPr>
        <w:spacing w:after="0" w:line="240" w:lineRule="auto"/>
        <w:ind w:right="6"/>
        <w:jc w:val="both"/>
        <w:rPr>
          <w:rFonts w:cs="Calibri"/>
          <w:b/>
          <w:lang w:eastAsia="it-IT"/>
        </w:rPr>
      </w:pPr>
      <w:r w:rsidRPr="002B6D26">
        <w:rPr>
          <w:rFonts w:cs="Calibri"/>
          <w:b/>
          <w:lang w:eastAsia="it-IT"/>
        </w:rPr>
        <w:t>Tossicologia</w:t>
      </w:r>
    </w:p>
    <w:p w:rsidR="00AB54C2" w:rsidRDefault="00AB54C2" w:rsidP="00036C3F">
      <w:pPr>
        <w:spacing w:after="0" w:line="240" w:lineRule="auto"/>
        <w:ind w:right="6"/>
        <w:jc w:val="both"/>
        <w:rPr>
          <w:rFonts w:cs="Calibri"/>
          <w:lang w:eastAsia="it-IT"/>
        </w:rPr>
      </w:pPr>
      <w:r>
        <w:rPr>
          <w:rFonts w:cs="Calibri"/>
          <w:lang w:eastAsia="it-IT"/>
        </w:rPr>
        <w:t xml:space="preserve">La tossicologia di </w:t>
      </w:r>
      <w:r>
        <w:t xml:space="preserve">ibuprofene </w:t>
      </w:r>
      <w:r>
        <w:rPr>
          <w:rFonts w:cs="Calibri"/>
          <w:lang w:eastAsia="it-IT"/>
        </w:rPr>
        <w:t>è ben conosciuta; non è stato necessario presentare ulteriori dati.</w:t>
      </w:r>
    </w:p>
    <w:p w:rsidR="00AB54C2" w:rsidRDefault="00AB54C2" w:rsidP="00036C3F">
      <w:pPr>
        <w:spacing w:after="0" w:line="240" w:lineRule="auto"/>
        <w:ind w:right="6"/>
        <w:jc w:val="both"/>
        <w:rPr>
          <w:rFonts w:cs="Calibri"/>
          <w:lang w:eastAsia="it-IT"/>
        </w:rPr>
      </w:pPr>
    </w:p>
    <w:p w:rsidR="00AB54C2" w:rsidRPr="006556D6" w:rsidRDefault="00AB54C2" w:rsidP="00036C3F">
      <w:pPr>
        <w:spacing w:after="0" w:line="240" w:lineRule="auto"/>
        <w:ind w:right="6"/>
        <w:jc w:val="both"/>
        <w:rPr>
          <w:rFonts w:eastAsia="Times New Roman"/>
          <w:b/>
        </w:rPr>
      </w:pPr>
      <w:r w:rsidRPr="006556D6">
        <w:rPr>
          <w:rFonts w:eastAsia="Times New Roman"/>
          <w:b/>
        </w:rPr>
        <w:t>Farmacologia clinica</w:t>
      </w:r>
    </w:p>
    <w:p w:rsidR="00AB54C2" w:rsidRDefault="00AB54C2" w:rsidP="00036C3F">
      <w:pPr>
        <w:spacing w:after="0" w:line="240" w:lineRule="auto"/>
        <w:jc w:val="both"/>
      </w:pPr>
      <w:r>
        <w:rPr>
          <w:rFonts w:cs="Calibri"/>
          <w:lang w:eastAsia="it-IT"/>
        </w:rPr>
        <w:t xml:space="preserve">La farmacologia clinica di </w:t>
      </w:r>
      <w:r>
        <w:t xml:space="preserve">ibuprofene </w:t>
      </w:r>
      <w:r>
        <w:rPr>
          <w:rFonts w:cs="Calibri"/>
          <w:lang w:eastAsia="it-IT"/>
        </w:rPr>
        <w:t>è ben conosciuta.</w:t>
      </w:r>
      <w:r w:rsidRPr="00A34141">
        <w:t xml:space="preserve"> </w:t>
      </w:r>
      <w:r w:rsidR="006808E3">
        <w:t>Con l’eccezione degli</w:t>
      </w:r>
      <w:r>
        <w:t xml:space="preserve"> studi di bioequivalenza, n</w:t>
      </w:r>
      <w:r w:rsidRPr="00A34141">
        <w:t xml:space="preserve">on sono stati condotti </w:t>
      </w:r>
      <w:r>
        <w:t>nuovi</w:t>
      </w:r>
      <w:r w:rsidRPr="00A34141">
        <w:t xml:space="preserve"> studi clinici</w:t>
      </w:r>
      <w:r>
        <w:t xml:space="preserve"> di farmacodinamica e farmacocinetica</w:t>
      </w:r>
      <w:r w:rsidRPr="00A34141">
        <w:t xml:space="preserve">, in quanto </w:t>
      </w:r>
      <w:proofErr w:type="spellStart"/>
      <w:r w:rsidR="00F16CDC">
        <w:t>Momentfene</w:t>
      </w:r>
      <w:proofErr w:type="spellEnd"/>
      <w:r>
        <w:t xml:space="preserve"> </w:t>
      </w:r>
      <w:r w:rsidRPr="00A34141">
        <w:t xml:space="preserve">contiene </w:t>
      </w:r>
      <w:r>
        <w:t>un</w:t>
      </w:r>
      <w:r w:rsidRPr="00A34141">
        <w:t xml:space="preserve"> principi</w:t>
      </w:r>
      <w:r>
        <w:t>o</w:t>
      </w:r>
      <w:r w:rsidRPr="00A34141">
        <w:t xml:space="preserve"> attiv</w:t>
      </w:r>
      <w:r>
        <w:t>o</w:t>
      </w:r>
      <w:r w:rsidRPr="00A34141">
        <w:t xml:space="preserve"> not</w:t>
      </w:r>
      <w:r>
        <w:t>o</w:t>
      </w:r>
      <w:r w:rsidRPr="00A34141">
        <w:t xml:space="preserve"> e present</w:t>
      </w:r>
      <w:r>
        <w:t>e</w:t>
      </w:r>
      <w:r w:rsidRPr="00A34141">
        <w:t xml:space="preserve"> </w:t>
      </w:r>
      <w:r>
        <w:t>nel</w:t>
      </w:r>
      <w:r w:rsidRPr="00A34141">
        <w:t xml:space="preserve"> medicinal</w:t>
      </w:r>
      <w:r>
        <w:t>e</w:t>
      </w:r>
      <w:r w:rsidRPr="00A34141">
        <w:t xml:space="preserve"> </w:t>
      </w:r>
      <w:r>
        <w:t>Brufen</w:t>
      </w:r>
      <w:r w:rsidRPr="00A34141">
        <w:t xml:space="preserve"> autorizzat</w:t>
      </w:r>
      <w:r>
        <w:t xml:space="preserve">o in Italia </w:t>
      </w:r>
      <w:r w:rsidRPr="00A34141">
        <w:t>da più di 10 anni.</w:t>
      </w:r>
    </w:p>
    <w:p w:rsidR="00AB54C2" w:rsidRDefault="00AB54C2" w:rsidP="00036C3F">
      <w:pPr>
        <w:spacing w:after="0" w:line="240" w:lineRule="auto"/>
        <w:jc w:val="both"/>
      </w:pPr>
    </w:p>
    <w:p w:rsidR="00AB54C2" w:rsidRPr="00A3088B" w:rsidRDefault="00AB54C2" w:rsidP="00036C3F">
      <w:pPr>
        <w:spacing w:after="0" w:line="240" w:lineRule="auto"/>
        <w:jc w:val="both"/>
        <w:rPr>
          <w:b/>
        </w:rPr>
      </w:pPr>
      <w:r w:rsidRPr="00A3088B">
        <w:rPr>
          <w:b/>
        </w:rPr>
        <w:t>Studio di bioequivalenza</w:t>
      </w:r>
    </w:p>
    <w:p w:rsidR="00AB54C2" w:rsidRPr="00A3088B" w:rsidRDefault="00AB54C2" w:rsidP="00036C3F">
      <w:pPr>
        <w:spacing w:after="0" w:line="240" w:lineRule="auto"/>
        <w:jc w:val="both"/>
      </w:pPr>
      <w:r w:rsidRPr="00A3088B">
        <w:t xml:space="preserve">La richiesta di AIC è supportata da </w:t>
      </w:r>
      <w:r w:rsidR="00A3088B" w:rsidRPr="00A3088B">
        <w:t>uno</w:t>
      </w:r>
      <w:r w:rsidR="00D84D6D" w:rsidRPr="00A3088B">
        <w:t xml:space="preserve"> studi</w:t>
      </w:r>
      <w:r w:rsidR="00A3088B" w:rsidRPr="00A3088B">
        <w:t>o</w:t>
      </w:r>
      <w:r w:rsidRPr="00A3088B">
        <w:t xml:space="preserve"> di bioequivalenza che ha confrontato i profili farmacocinetici di </w:t>
      </w:r>
      <w:proofErr w:type="spellStart"/>
      <w:r w:rsidR="00F16CDC" w:rsidRPr="00A3088B">
        <w:t>Momentfene</w:t>
      </w:r>
      <w:proofErr w:type="spellEnd"/>
      <w:r w:rsidR="00D84D6D" w:rsidRPr="00A3088B">
        <w:t xml:space="preserve"> compresse rivestite con film </w:t>
      </w:r>
      <w:r w:rsidRPr="00A3088B">
        <w:t>e quelli del medicinale di riferimento Brufen.</w:t>
      </w:r>
    </w:p>
    <w:p w:rsidR="00AB54C2" w:rsidRPr="00A3088B" w:rsidRDefault="00925033" w:rsidP="00036C3F">
      <w:pPr>
        <w:pStyle w:val="Paragrafoelenco"/>
        <w:spacing w:after="0" w:line="240" w:lineRule="auto"/>
        <w:ind w:left="0"/>
        <w:jc w:val="both"/>
      </w:pPr>
      <w:r>
        <w:lastRenderedPageBreak/>
        <w:t>Lo studio è</w:t>
      </w:r>
      <w:r w:rsidR="00AB54C2" w:rsidRPr="00A3088B">
        <w:t xml:space="preserve"> </w:t>
      </w:r>
      <w:r w:rsidRPr="00A3088B">
        <w:t>caratterizzat</w:t>
      </w:r>
      <w:r>
        <w:t>o</w:t>
      </w:r>
      <w:r w:rsidRPr="00A3088B">
        <w:t xml:space="preserve"> </w:t>
      </w:r>
      <w:r w:rsidR="00D84D6D" w:rsidRPr="00A3088B">
        <w:t>da un appropriato disegno e</w:t>
      </w:r>
      <w:r>
        <w:t>d è</w:t>
      </w:r>
      <w:r w:rsidR="00D84D6D" w:rsidRPr="00A3088B">
        <w:t xml:space="preserve"> </w:t>
      </w:r>
      <w:r w:rsidRPr="00A3088B">
        <w:t>stat</w:t>
      </w:r>
      <w:r>
        <w:t>o</w:t>
      </w:r>
      <w:r w:rsidRPr="00A3088B">
        <w:t xml:space="preserve"> condott</w:t>
      </w:r>
      <w:r>
        <w:t>o</w:t>
      </w:r>
      <w:r w:rsidRPr="00A3088B">
        <w:t xml:space="preserve"> </w:t>
      </w:r>
      <w:r w:rsidR="00AB54C2" w:rsidRPr="00A3088B">
        <w:t xml:space="preserve">in accordo ai principi </w:t>
      </w:r>
      <w:r w:rsidR="00937BEA">
        <w:t xml:space="preserve">di </w:t>
      </w:r>
      <w:r w:rsidR="00AB54C2" w:rsidRPr="00A3088B">
        <w:t xml:space="preserve">GCP. Sono stati forniti certificati analitici per </w:t>
      </w:r>
      <w:r w:rsidR="00D84D6D" w:rsidRPr="00A3088B">
        <w:t>i</w:t>
      </w:r>
      <w:r>
        <w:t>l</w:t>
      </w:r>
      <w:r w:rsidR="00D84D6D" w:rsidRPr="00A3088B">
        <w:t xml:space="preserve"> </w:t>
      </w:r>
      <w:r w:rsidRPr="00A3088B">
        <w:t>medicinal</w:t>
      </w:r>
      <w:r>
        <w:t>e</w:t>
      </w:r>
      <w:r w:rsidRPr="00A3088B">
        <w:t xml:space="preserve"> </w:t>
      </w:r>
      <w:r w:rsidR="00AB54C2" w:rsidRPr="00A3088B">
        <w:t>test e</w:t>
      </w:r>
      <w:r w:rsidR="00937BEA">
        <w:t>d</w:t>
      </w:r>
      <w:r w:rsidR="00AB54C2" w:rsidRPr="00A3088B">
        <w:t xml:space="preserve"> </w:t>
      </w:r>
      <w:r w:rsidR="00D84D6D" w:rsidRPr="00A3088B">
        <w:t>i</w:t>
      </w:r>
      <w:r>
        <w:t>l</w:t>
      </w:r>
      <w:r w:rsidR="00D84D6D" w:rsidRPr="00A3088B">
        <w:t xml:space="preserve"> </w:t>
      </w:r>
      <w:r w:rsidRPr="00A3088B">
        <w:t>medicinal</w:t>
      </w:r>
      <w:r>
        <w:t>e</w:t>
      </w:r>
      <w:r w:rsidRPr="00A3088B">
        <w:t xml:space="preserve"> </w:t>
      </w:r>
      <w:r w:rsidR="00AB54C2" w:rsidRPr="00A3088B">
        <w:t>di riferimento.</w:t>
      </w:r>
    </w:p>
    <w:p w:rsidR="00AB54C2" w:rsidRPr="00A3088B" w:rsidRDefault="00A3088B" w:rsidP="00036C3F">
      <w:pPr>
        <w:spacing w:after="0" w:line="240" w:lineRule="auto"/>
        <w:jc w:val="both"/>
        <w:rPr>
          <w:rFonts w:cs="Arial"/>
        </w:rPr>
      </w:pPr>
      <w:r w:rsidRPr="00A3088B">
        <w:t xml:space="preserve">Lo </w:t>
      </w:r>
      <w:r w:rsidR="00D84D6D" w:rsidRPr="00A3088B">
        <w:t>stud</w:t>
      </w:r>
      <w:r w:rsidRPr="00A3088B">
        <w:t>io</w:t>
      </w:r>
      <w:r w:rsidR="00AB54C2" w:rsidRPr="00A3088B">
        <w:t xml:space="preserve"> di bioequivalenza </w:t>
      </w:r>
      <w:r w:rsidRPr="00A3088B">
        <w:t xml:space="preserve">è </w:t>
      </w:r>
      <w:r w:rsidR="00D84D6D" w:rsidRPr="00A3088B">
        <w:t xml:space="preserve">di tipo </w:t>
      </w:r>
      <w:r w:rsidR="00AB54C2" w:rsidRPr="00A3088B">
        <w:t>comparativ</w:t>
      </w:r>
      <w:r w:rsidR="00D84D6D" w:rsidRPr="00A3088B">
        <w:t>o</w:t>
      </w:r>
      <w:r w:rsidR="00AB54C2" w:rsidRPr="00A3088B">
        <w:t xml:space="preserve">, </w:t>
      </w:r>
      <w:r w:rsidR="0007323C" w:rsidRPr="00A3088B">
        <w:t xml:space="preserve">in aperto, </w:t>
      </w:r>
      <w:r w:rsidR="006445FF" w:rsidRPr="00A3088B">
        <w:t>randomizzato, a dose singola (1</w:t>
      </w:r>
      <w:r w:rsidR="00AB54C2" w:rsidRPr="00A3088B">
        <w:t xml:space="preserve"> x </w:t>
      </w:r>
      <w:r w:rsidR="00017788" w:rsidRPr="00A3088B">
        <w:t>6</w:t>
      </w:r>
      <w:r w:rsidR="00AB54C2" w:rsidRPr="00A3088B">
        <w:t xml:space="preserve">00 mg), 2-periodi, crossover </w:t>
      </w:r>
      <w:r w:rsidR="00925033" w:rsidRPr="00A3088B">
        <w:t>condott</w:t>
      </w:r>
      <w:r w:rsidR="00925033">
        <w:t>o</w:t>
      </w:r>
      <w:r w:rsidR="00925033" w:rsidRPr="00A3088B">
        <w:t xml:space="preserve"> </w:t>
      </w:r>
      <w:r w:rsidR="00AB54C2" w:rsidRPr="00A3088B">
        <w:t xml:space="preserve">in </w:t>
      </w:r>
      <w:r w:rsidRPr="00A3088B">
        <w:t>28</w:t>
      </w:r>
      <w:r w:rsidR="0007323C" w:rsidRPr="00A3088B">
        <w:t xml:space="preserve"> </w:t>
      </w:r>
      <w:r w:rsidR="00AB54C2" w:rsidRPr="00A3088B">
        <w:t>volontari sani di entrambi i sessi</w:t>
      </w:r>
      <w:r w:rsidR="0007323C" w:rsidRPr="00A3088B">
        <w:t>,</w:t>
      </w:r>
      <w:r w:rsidR="00AB54C2" w:rsidRPr="00A3088B">
        <w:t xml:space="preserve"> con somministrazione a digiuno. </w:t>
      </w:r>
      <w:r w:rsidR="00AB54C2" w:rsidRPr="00A3088B">
        <w:rPr>
          <w:rFonts w:cs="Arial"/>
        </w:rPr>
        <w:t xml:space="preserve">Dopo una notte di digiuno, il medicinale è stato somministrato con acqua. </w:t>
      </w:r>
      <w:r w:rsidR="00AB54C2" w:rsidRPr="00A3088B">
        <w:t xml:space="preserve">Un soddisfacente periodo di wash-out di </w:t>
      </w:r>
      <w:r w:rsidRPr="00A3088B">
        <w:t>5</w:t>
      </w:r>
      <w:r w:rsidR="00AB54C2" w:rsidRPr="00A3088B">
        <w:rPr>
          <w:rFonts w:cs="Arial"/>
        </w:rPr>
        <w:t xml:space="preserve"> giorni è stato previsto tra le somministrazioni in ogni gruppo.</w:t>
      </w:r>
    </w:p>
    <w:p w:rsidR="00AB54C2" w:rsidRPr="00A3088B" w:rsidRDefault="00A97727" w:rsidP="00036C3F">
      <w:pPr>
        <w:pStyle w:val="Paragrafoelenco"/>
        <w:spacing w:after="0" w:line="240" w:lineRule="auto"/>
        <w:ind w:left="0"/>
        <w:jc w:val="both"/>
        <w:rPr>
          <w:rFonts w:cs="Arial"/>
        </w:rPr>
      </w:pPr>
      <w:r>
        <w:rPr>
          <w:rFonts w:cs="Arial"/>
        </w:rPr>
        <w:t>I c</w:t>
      </w:r>
      <w:r w:rsidRPr="00A3088B">
        <w:rPr>
          <w:rFonts w:cs="Arial"/>
        </w:rPr>
        <w:t xml:space="preserve">ampioni </w:t>
      </w:r>
      <w:r w:rsidR="00AB54C2" w:rsidRPr="00A3088B">
        <w:rPr>
          <w:rFonts w:cs="Arial"/>
        </w:rPr>
        <w:t xml:space="preserve">di sangue sono stati prelevati al tempo zero (pre-dose) e a specificati tempi fino a </w:t>
      </w:r>
      <w:r w:rsidR="00A3088B" w:rsidRPr="00A3088B">
        <w:rPr>
          <w:rFonts w:cs="Arial"/>
        </w:rPr>
        <w:t>24</w:t>
      </w:r>
      <w:r w:rsidR="0007323C" w:rsidRPr="00A3088B">
        <w:rPr>
          <w:rFonts w:cs="Arial"/>
        </w:rPr>
        <w:t xml:space="preserve"> </w:t>
      </w:r>
      <w:r w:rsidR="00A3088B" w:rsidRPr="00A3088B">
        <w:rPr>
          <w:rFonts w:cs="Arial"/>
        </w:rPr>
        <w:t>ore dopo la somministrazion</w:t>
      </w:r>
      <w:r w:rsidR="00925033">
        <w:rPr>
          <w:rFonts w:cs="Arial"/>
        </w:rPr>
        <w:t>e</w:t>
      </w:r>
      <w:r w:rsidR="00A3088B" w:rsidRPr="00A3088B">
        <w:rPr>
          <w:rFonts w:cs="Arial"/>
        </w:rPr>
        <w:t xml:space="preserve">. I livelli plasmatici del principio </w:t>
      </w:r>
      <w:r w:rsidR="00AB54C2" w:rsidRPr="00A3088B">
        <w:rPr>
          <w:rFonts w:cs="Arial"/>
        </w:rPr>
        <w:t>attiv</w:t>
      </w:r>
      <w:r w:rsidR="00A3088B" w:rsidRPr="00A3088B">
        <w:rPr>
          <w:rFonts w:cs="Arial"/>
        </w:rPr>
        <w:t>o</w:t>
      </w:r>
      <w:r w:rsidR="00AB54C2" w:rsidRPr="00A3088B">
        <w:rPr>
          <w:rFonts w:cs="Arial"/>
        </w:rPr>
        <w:t xml:space="preserve"> </w:t>
      </w:r>
      <w:r w:rsidR="00925033">
        <w:rPr>
          <w:rFonts w:cs="Arial"/>
        </w:rPr>
        <w:t>sono</w:t>
      </w:r>
      <w:r w:rsidR="00925033" w:rsidRPr="00A3088B">
        <w:rPr>
          <w:rFonts w:cs="Arial"/>
        </w:rPr>
        <w:t xml:space="preserve"> </w:t>
      </w:r>
      <w:r w:rsidR="00937BEA" w:rsidRPr="00A3088B">
        <w:rPr>
          <w:rFonts w:cs="Arial"/>
        </w:rPr>
        <w:t>stat</w:t>
      </w:r>
      <w:r w:rsidR="00937BEA">
        <w:rPr>
          <w:rFonts w:cs="Arial"/>
        </w:rPr>
        <w:t>i</w:t>
      </w:r>
      <w:r w:rsidR="00937BEA" w:rsidRPr="00A3088B">
        <w:rPr>
          <w:rFonts w:cs="Arial"/>
        </w:rPr>
        <w:t xml:space="preserve"> </w:t>
      </w:r>
      <w:r w:rsidR="00925033" w:rsidRPr="00A3088B">
        <w:rPr>
          <w:rFonts w:cs="Arial"/>
        </w:rPr>
        <w:t>determinat</w:t>
      </w:r>
      <w:r w:rsidR="00925033">
        <w:rPr>
          <w:rFonts w:cs="Arial"/>
        </w:rPr>
        <w:t>i</w:t>
      </w:r>
      <w:r w:rsidR="00925033" w:rsidRPr="00A3088B">
        <w:rPr>
          <w:rFonts w:cs="Arial"/>
        </w:rPr>
        <w:t xml:space="preserve"> </w:t>
      </w:r>
      <w:r w:rsidR="00AB54C2" w:rsidRPr="00A3088B">
        <w:rPr>
          <w:rFonts w:cs="Arial"/>
        </w:rPr>
        <w:t>mediante un metodo analitico HPLC</w:t>
      </w:r>
      <w:r w:rsidR="00A3088B" w:rsidRPr="00A3088B">
        <w:rPr>
          <w:rFonts w:cs="Arial"/>
        </w:rPr>
        <w:t>/UV</w:t>
      </w:r>
      <w:r w:rsidR="00AB54C2" w:rsidRPr="00A3088B">
        <w:rPr>
          <w:rFonts w:cs="Arial"/>
        </w:rPr>
        <w:t xml:space="preserve"> opportunamente convalidato.</w:t>
      </w:r>
    </w:p>
    <w:p w:rsidR="00AB54C2" w:rsidRPr="00A3088B" w:rsidRDefault="00AB54C2" w:rsidP="00036C3F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A3088B">
        <w:rPr>
          <w:rFonts w:cs="Arial"/>
        </w:rPr>
        <w:t xml:space="preserve">Le variabili farmacocinetiche definite </w:t>
      </w:r>
      <w:r w:rsidR="00937BEA">
        <w:rPr>
          <w:rFonts w:cs="Arial"/>
        </w:rPr>
        <w:t>nello</w:t>
      </w:r>
      <w:r w:rsidRPr="00A3088B">
        <w:rPr>
          <w:rFonts w:cs="Arial"/>
        </w:rPr>
        <w:t xml:space="preserve"> studi</w:t>
      </w:r>
      <w:r w:rsidR="00937BEA">
        <w:rPr>
          <w:rFonts w:cs="Arial"/>
        </w:rPr>
        <w:t>o</w:t>
      </w:r>
      <w:r w:rsidRPr="00A3088B">
        <w:rPr>
          <w:rFonts w:cs="Arial"/>
        </w:rPr>
        <w:t xml:space="preserve"> sono state: C</w:t>
      </w:r>
      <w:r w:rsidRPr="00A3088B">
        <w:rPr>
          <w:rFonts w:cs="Arial"/>
          <w:vertAlign w:val="subscript"/>
        </w:rPr>
        <w:t>max</w:t>
      </w:r>
      <w:r w:rsidRPr="00A3088B">
        <w:rPr>
          <w:rFonts w:cs="Arial"/>
        </w:rPr>
        <w:t>, AUC</w:t>
      </w:r>
      <w:r w:rsidRPr="00A3088B">
        <w:rPr>
          <w:rFonts w:cs="Arial"/>
          <w:vertAlign w:val="subscript"/>
        </w:rPr>
        <w:t>0-t</w:t>
      </w:r>
      <w:r w:rsidRPr="00A3088B">
        <w:rPr>
          <w:rFonts w:cs="Arial"/>
        </w:rPr>
        <w:t>, AUC</w:t>
      </w:r>
      <w:r w:rsidRPr="00A3088B">
        <w:rPr>
          <w:rFonts w:cs="Arial"/>
          <w:vertAlign w:val="subscript"/>
        </w:rPr>
        <w:t>0-</w:t>
      </w:r>
      <w:r w:rsidRPr="00A3088B">
        <w:rPr>
          <w:rFonts w:cs="Arial"/>
          <w:vertAlign w:val="subscript"/>
          <w:lang w:val="en-GB"/>
        </w:rPr>
        <w:sym w:font="Symbol" w:char="00A5"/>
      </w:r>
      <w:r w:rsidRPr="00A3088B">
        <w:rPr>
          <w:rFonts w:cs="Arial"/>
        </w:rPr>
        <w:t>, t</w:t>
      </w:r>
      <w:r w:rsidRPr="00A3088B">
        <w:rPr>
          <w:rFonts w:cs="Arial"/>
          <w:vertAlign w:val="subscript"/>
        </w:rPr>
        <w:t>max</w:t>
      </w:r>
      <w:r w:rsidRPr="00A3088B">
        <w:rPr>
          <w:rFonts w:cs="Arial"/>
        </w:rPr>
        <w:t xml:space="preserve">, t½ e AUC estrapolata. La bioequivalenza tra medicinale test e medicinale di riferimento è dimostrata se gli intervalli di confidenza al 90% per la trasformata logaritmica di </w:t>
      </w:r>
      <w:proofErr w:type="spellStart"/>
      <w:r w:rsidRPr="00A3088B">
        <w:rPr>
          <w:rFonts w:cs="Arial"/>
        </w:rPr>
        <w:t>C</w:t>
      </w:r>
      <w:r w:rsidRPr="00A3088B">
        <w:rPr>
          <w:rFonts w:cs="Arial"/>
          <w:vertAlign w:val="subscript"/>
        </w:rPr>
        <w:t>max</w:t>
      </w:r>
      <w:proofErr w:type="spellEnd"/>
      <w:r w:rsidR="00925033">
        <w:rPr>
          <w:rFonts w:cs="Arial"/>
          <w:vertAlign w:val="subscript"/>
        </w:rPr>
        <w:t xml:space="preserve"> </w:t>
      </w:r>
      <w:r w:rsidRPr="00A3088B">
        <w:rPr>
          <w:rFonts w:cs="Arial"/>
        </w:rPr>
        <w:t>e AUC</w:t>
      </w:r>
      <w:r w:rsidRPr="00A3088B">
        <w:rPr>
          <w:rFonts w:cs="Arial"/>
          <w:vertAlign w:val="subscript"/>
        </w:rPr>
        <w:t>0-t</w:t>
      </w:r>
      <w:r w:rsidRPr="00A3088B">
        <w:rPr>
          <w:rFonts w:cs="Arial"/>
        </w:rPr>
        <w:t>, cadono nel range di accettabilità di 0.80-1.25 (80%-125%).</w:t>
      </w:r>
    </w:p>
    <w:p w:rsidR="00AB54C2" w:rsidRPr="00A3088B" w:rsidRDefault="00AB54C2" w:rsidP="00036C3F">
      <w:pPr>
        <w:pStyle w:val="Paragrafoelenco"/>
        <w:spacing w:after="0" w:line="240" w:lineRule="auto"/>
        <w:ind w:left="0"/>
        <w:jc w:val="both"/>
      </w:pPr>
    </w:p>
    <w:p w:rsidR="00AB54C2" w:rsidRPr="00A3088B" w:rsidRDefault="00AB54C2" w:rsidP="00036C3F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A3088B">
        <w:rPr>
          <w:u w:val="single"/>
        </w:rPr>
        <w:t>Risultati</w:t>
      </w:r>
    </w:p>
    <w:p w:rsidR="00AB54C2" w:rsidRPr="00A3088B" w:rsidRDefault="00A3088B" w:rsidP="00036C3F">
      <w:pPr>
        <w:spacing w:after="0" w:line="240" w:lineRule="auto"/>
        <w:jc w:val="both"/>
      </w:pPr>
      <w:r w:rsidRPr="00A3088B">
        <w:rPr>
          <w:rFonts w:cs="Arial"/>
        </w:rPr>
        <w:t xml:space="preserve">Nello </w:t>
      </w:r>
      <w:r w:rsidR="00D51173" w:rsidRPr="00A3088B">
        <w:rPr>
          <w:rFonts w:cs="Arial"/>
        </w:rPr>
        <w:t xml:space="preserve">studio </w:t>
      </w:r>
      <w:r w:rsidR="00AB54C2" w:rsidRPr="00A3088B">
        <w:t>2</w:t>
      </w:r>
      <w:r w:rsidR="006B4A46" w:rsidRPr="00A3088B">
        <w:t>8</w:t>
      </w:r>
      <w:r w:rsidR="00D51173" w:rsidRPr="00A3088B">
        <w:t xml:space="preserve"> </w:t>
      </w:r>
      <w:r w:rsidR="00AB54C2" w:rsidRPr="00A3088B">
        <w:t xml:space="preserve">soggetti </w:t>
      </w:r>
      <w:r w:rsidRPr="00A3088B">
        <w:t xml:space="preserve">sono stati arruolati, </w:t>
      </w:r>
      <w:r w:rsidR="00AB54C2" w:rsidRPr="00A3088B">
        <w:t xml:space="preserve">hanno completato fase </w:t>
      </w:r>
      <w:r w:rsidR="00D51173" w:rsidRPr="00A3088B">
        <w:t>clinica e sono stati analizzati</w:t>
      </w:r>
      <w:r w:rsidRPr="00A3088B">
        <w:t>.</w:t>
      </w:r>
    </w:p>
    <w:p w:rsidR="00AB54C2" w:rsidRPr="00A3088B" w:rsidRDefault="00AB54C2" w:rsidP="00036C3F">
      <w:pPr>
        <w:pStyle w:val="Paragrafoelenco"/>
        <w:spacing w:after="0" w:line="240" w:lineRule="auto"/>
        <w:ind w:left="0"/>
        <w:jc w:val="both"/>
        <w:rPr>
          <w:rFonts w:cs="Arial"/>
          <w:b/>
          <w:i/>
        </w:rPr>
      </w:pPr>
    </w:p>
    <w:p w:rsidR="00AB54C2" w:rsidRPr="00A3088B" w:rsidRDefault="00AB54C2" w:rsidP="00036C3F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A3088B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D51173" w:rsidRPr="00A3088B" w:rsidRDefault="00AB54C2" w:rsidP="00036C3F">
      <w:pPr>
        <w:spacing w:after="0" w:line="240" w:lineRule="auto"/>
        <w:jc w:val="both"/>
      </w:pPr>
      <w:r w:rsidRPr="00A3088B">
        <w:rPr>
          <w:rFonts w:cs="Arial"/>
        </w:rPr>
        <w:t>Nel corso dello studio</w:t>
      </w:r>
      <w:r w:rsidR="00D51173" w:rsidRPr="00A3088B">
        <w:rPr>
          <w:rFonts w:cs="Arial"/>
        </w:rPr>
        <w:t xml:space="preserve"> </w:t>
      </w:r>
      <w:r w:rsidR="00CA46D9" w:rsidRPr="00A3088B">
        <w:rPr>
          <w:rFonts w:cs="Arial"/>
        </w:rPr>
        <w:t xml:space="preserve">non sono stati </w:t>
      </w:r>
      <w:r w:rsidRPr="00A3088B">
        <w:rPr>
          <w:rFonts w:cs="Arial"/>
        </w:rPr>
        <w:t>riscontrati</w:t>
      </w:r>
      <w:r w:rsidRPr="00A3088B">
        <w:t xml:space="preserve"> eventi avversi correlat</w:t>
      </w:r>
      <w:r w:rsidR="00CA46D9" w:rsidRPr="00A3088B">
        <w:t>i con le formulazioni in studio</w:t>
      </w:r>
      <w:r w:rsidR="00A3088B" w:rsidRPr="00A3088B">
        <w:t>.</w:t>
      </w:r>
    </w:p>
    <w:p w:rsidR="00AB54C2" w:rsidRPr="00A3088B" w:rsidRDefault="00AB54C2" w:rsidP="00036C3F">
      <w:pPr>
        <w:spacing w:after="0" w:line="240" w:lineRule="auto"/>
      </w:pPr>
    </w:p>
    <w:p w:rsidR="00AB54C2" w:rsidRPr="00A3088B" w:rsidRDefault="00AB54C2" w:rsidP="00036C3F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A3088B">
        <w:rPr>
          <w:rFonts w:ascii="Calibri" w:hAnsi="Calibri" w:cs="Arial"/>
          <w:b w:val="0"/>
          <w:i/>
          <w:sz w:val="22"/>
          <w:szCs w:val="22"/>
          <w:lang w:val="it-IT"/>
        </w:rPr>
        <w:t>Parametri farmacocinetici</w:t>
      </w:r>
    </w:p>
    <w:p w:rsidR="00AB54C2" w:rsidRDefault="00AB54C2" w:rsidP="00036C3F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A3088B">
        <w:rPr>
          <w:rFonts w:ascii="Calibri" w:hAnsi="Calibr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036C3F" w:rsidRPr="00036C3F" w:rsidRDefault="00036C3F" w:rsidP="00036C3F">
      <w:pPr>
        <w:spacing w:after="0" w:line="240" w:lineRule="auto"/>
      </w:pPr>
    </w:p>
    <w:tbl>
      <w:tblPr>
        <w:tblW w:w="4525" w:type="pct"/>
        <w:tblInd w:w="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197"/>
        <w:gridCol w:w="1754"/>
        <w:gridCol w:w="2006"/>
        <w:gridCol w:w="1906"/>
        <w:gridCol w:w="2068"/>
      </w:tblGrid>
      <w:tr w:rsidR="00CA46D9" w:rsidRPr="00A3088B" w:rsidTr="00E97248">
        <w:tc>
          <w:tcPr>
            <w:tcW w:w="8931" w:type="dxa"/>
            <w:gridSpan w:val="5"/>
            <w:vAlign w:val="bottom"/>
          </w:tcPr>
          <w:p w:rsidR="00A3088B" w:rsidRPr="00A3088B" w:rsidRDefault="00C05220" w:rsidP="00036C3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3088B">
              <w:rPr>
                <w:b/>
                <w:sz w:val="20"/>
                <w:szCs w:val="20"/>
              </w:rPr>
              <w:t xml:space="preserve">IBUPROFENE </w:t>
            </w:r>
          </w:p>
        </w:tc>
      </w:tr>
      <w:tr w:rsidR="00CA46D9" w:rsidRPr="00A3088B" w:rsidTr="00E97248">
        <w:tc>
          <w:tcPr>
            <w:tcW w:w="1197" w:type="dxa"/>
            <w:vAlign w:val="bottom"/>
          </w:tcPr>
          <w:p w:rsidR="00CA46D9" w:rsidRPr="00A3088B" w:rsidRDefault="00CA46D9" w:rsidP="00036C3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3088B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754" w:type="dxa"/>
            <w:vAlign w:val="bottom"/>
          </w:tcPr>
          <w:p w:rsidR="00CA46D9" w:rsidRPr="00A3088B" w:rsidRDefault="00CA46D9" w:rsidP="00036C3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3088B">
              <w:rPr>
                <w:b/>
                <w:sz w:val="20"/>
                <w:szCs w:val="20"/>
              </w:rPr>
              <w:t xml:space="preserve">Test </w:t>
            </w:r>
            <w:r w:rsidRPr="00A3088B">
              <w:rPr>
                <w:rFonts w:cs="Arial"/>
                <w:b/>
                <w:sz w:val="20"/>
                <w:szCs w:val="20"/>
              </w:rPr>
              <w:t>[LSM]</w:t>
            </w:r>
          </w:p>
        </w:tc>
        <w:tc>
          <w:tcPr>
            <w:tcW w:w="2006" w:type="dxa"/>
            <w:vAlign w:val="bottom"/>
          </w:tcPr>
          <w:p w:rsidR="00CA46D9" w:rsidRPr="00A3088B" w:rsidRDefault="00CA46D9" w:rsidP="00036C3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3088B">
              <w:rPr>
                <w:b/>
                <w:sz w:val="20"/>
                <w:szCs w:val="20"/>
              </w:rPr>
              <w:t xml:space="preserve">Reference </w:t>
            </w:r>
            <w:r w:rsidRPr="00A3088B">
              <w:rPr>
                <w:rFonts w:cs="Arial"/>
                <w:b/>
                <w:sz w:val="20"/>
                <w:szCs w:val="20"/>
              </w:rPr>
              <w:t>[LSM]</w:t>
            </w:r>
          </w:p>
        </w:tc>
        <w:tc>
          <w:tcPr>
            <w:tcW w:w="1906" w:type="dxa"/>
            <w:vAlign w:val="bottom"/>
          </w:tcPr>
          <w:p w:rsidR="00CA46D9" w:rsidRPr="00A3088B" w:rsidRDefault="00CA46D9" w:rsidP="00036C3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3088B">
              <w:rPr>
                <w:b/>
                <w:sz w:val="20"/>
                <w:szCs w:val="20"/>
              </w:rPr>
              <w:t>T/R Ratio</w:t>
            </w:r>
          </w:p>
        </w:tc>
        <w:tc>
          <w:tcPr>
            <w:tcW w:w="2068" w:type="dxa"/>
            <w:vAlign w:val="bottom"/>
          </w:tcPr>
          <w:p w:rsidR="00CA46D9" w:rsidRPr="00A3088B" w:rsidRDefault="00CA46D9" w:rsidP="00036C3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3088B">
              <w:rPr>
                <w:b/>
                <w:sz w:val="20"/>
                <w:szCs w:val="20"/>
              </w:rPr>
              <w:t>90% C.I.</w:t>
            </w:r>
          </w:p>
        </w:tc>
      </w:tr>
      <w:tr w:rsidR="00A3088B" w:rsidRPr="00A3088B" w:rsidTr="00E97248">
        <w:tc>
          <w:tcPr>
            <w:tcW w:w="1197" w:type="dxa"/>
            <w:vAlign w:val="bottom"/>
          </w:tcPr>
          <w:p w:rsidR="00A3088B" w:rsidRPr="00A3088B" w:rsidRDefault="00A3088B" w:rsidP="00036C3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3088B">
              <w:rPr>
                <w:b/>
                <w:sz w:val="20"/>
                <w:szCs w:val="20"/>
              </w:rPr>
              <w:t>AUC</w:t>
            </w:r>
            <w:r w:rsidRPr="00A3088B">
              <w:rPr>
                <w:b/>
                <w:sz w:val="20"/>
                <w:szCs w:val="20"/>
                <w:vertAlign w:val="subscript"/>
              </w:rPr>
              <w:t>0-t</w:t>
            </w:r>
          </w:p>
        </w:tc>
        <w:tc>
          <w:tcPr>
            <w:tcW w:w="1754" w:type="dxa"/>
          </w:tcPr>
          <w:p w:rsidR="00A3088B" w:rsidRPr="00A3088B" w:rsidRDefault="00A3088B" w:rsidP="00036C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088B">
              <w:rPr>
                <w:rFonts w:cs="Courier New"/>
                <w:sz w:val="20"/>
                <w:szCs w:val="20"/>
              </w:rPr>
              <w:t>152.33</w:t>
            </w:r>
            <w:r w:rsidR="00937BEA">
              <w:rPr>
                <w:rFonts w:cs="Courier New"/>
                <w:sz w:val="20"/>
                <w:szCs w:val="20"/>
              </w:rPr>
              <w:t xml:space="preserve"> µg/mL*h</w:t>
            </w:r>
          </w:p>
        </w:tc>
        <w:tc>
          <w:tcPr>
            <w:tcW w:w="2006" w:type="dxa"/>
            <w:vAlign w:val="bottom"/>
          </w:tcPr>
          <w:p w:rsidR="00A3088B" w:rsidRPr="00A3088B" w:rsidRDefault="00A3088B" w:rsidP="00036C3F">
            <w:pPr>
              <w:spacing w:after="0" w:line="240" w:lineRule="auto"/>
              <w:jc w:val="center"/>
              <w:rPr>
                <w:rFonts w:cs="Courier New"/>
                <w:sz w:val="20"/>
                <w:szCs w:val="20"/>
              </w:rPr>
            </w:pPr>
            <w:r w:rsidRPr="00A3088B">
              <w:rPr>
                <w:rFonts w:cs="Courier New"/>
                <w:sz w:val="20"/>
                <w:szCs w:val="20"/>
              </w:rPr>
              <w:t xml:space="preserve">154.53 </w:t>
            </w:r>
            <w:r w:rsidR="00937BEA">
              <w:rPr>
                <w:rFonts w:cs="Courier New"/>
                <w:sz w:val="20"/>
                <w:szCs w:val="20"/>
              </w:rPr>
              <w:t>µg/mL*h</w:t>
            </w:r>
          </w:p>
        </w:tc>
        <w:tc>
          <w:tcPr>
            <w:tcW w:w="1906" w:type="dxa"/>
            <w:vAlign w:val="bottom"/>
          </w:tcPr>
          <w:p w:rsidR="00A3088B" w:rsidRPr="00A3088B" w:rsidRDefault="00A3088B" w:rsidP="00036C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088B">
              <w:rPr>
                <w:sz w:val="20"/>
                <w:szCs w:val="20"/>
              </w:rPr>
              <w:t>0.99</w:t>
            </w:r>
            <w:r w:rsidR="00937BEA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68" w:type="dxa"/>
            <w:vAlign w:val="bottom"/>
          </w:tcPr>
          <w:p w:rsidR="00A3088B" w:rsidRPr="00A3088B" w:rsidRDefault="00A3088B" w:rsidP="00036C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088B">
              <w:rPr>
                <w:sz w:val="20"/>
                <w:szCs w:val="20"/>
              </w:rPr>
              <w:t>0.95-1.02</w:t>
            </w:r>
          </w:p>
        </w:tc>
      </w:tr>
      <w:tr w:rsidR="00A3088B" w:rsidRPr="00A3088B" w:rsidTr="00E97248">
        <w:tc>
          <w:tcPr>
            <w:tcW w:w="1197" w:type="dxa"/>
            <w:vAlign w:val="bottom"/>
          </w:tcPr>
          <w:p w:rsidR="00A3088B" w:rsidRPr="00A3088B" w:rsidRDefault="00A3088B" w:rsidP="00036C3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3088B">
              <w:rPr>
                <w:b/>
                <w:sz w:val="20"/>
                <w:szCs w:val="20"/>
              </w:rPr>
              <w:t>AUC</w:t>
            </w:r>
            <w:r w:rsidRPr="00A3088B">
              <w:rPr>
                <w:b/>
                <w:sz w:val="20"/>
                <w:szCs w:val="20"/>
                <w:vertAlign w:val="subscript"/>
              </w:rPr>
              <w:t>0-∞</w:t>
            </w:r>
          </w:p>
        </w:tc>
        <w:tc>
          <w:tcPr>
            <w:tcW w:w="1754" w:type="dxa"/>
          </w:tcPr>
          <w:p w:rsidR="00A3088B" w:rsidRPr="00A3088B" w:rsidRDefault="00A3088B" w:rsidP="00036C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088B">
              <w:rPr>
                <w:rFonts w:cs="Courier New"/>
                <w:sz w:val="20"/>
                <w:szCs w:val="20"/>
              </w:rPr>
              <w:t>154.69</w:t>
            </w:r>
            <w:r w:rsidR="00937BEA">
              <w:rPr>
                <w:rFonts w:cs="Courier New"/>
                <w:sz w:val="20"/>
                <w:szCs w:val="20"/>
              </w:rPr>
              <w:t xml:space="preserve"> µg/mL*h</w:t>
            </w:r>
          </w:p>
        </w:tc>
        <w:tc>
          <w:tcPr>
            <w:tcW w:w="2006" w:type="dxa"/>
            <w:vAlign w:val="bottom"/>
          </w:tcPr>
          <w:p w:rsidR="00A3088B" w:rsidRPr="00A3088B" w:rsidRDefault="00A3088B" w:rsidP="00036C3F">
            <w:pPr>
              <w:spacing w:after="0" w:line="240" w:lineRule="auto"/>
              <w:jc w:val="center"/>
              <w:rPr>
                <w:rFonts w:cs="Courier New"/>
                <w:sz w:val="20"/>
                <w:szCs w:val="20"/>
              </w:rPr>
            </w:pPr>
            <w:r w:rsidRPr="00A3088B">
              <w:rPr>
                <w:rFonts w:cs="Courier New"/>
                <w:sz w:val="20"/>
                <w:szCs w:val="20"/>
              </w:rPr>
              <w:t>156.66</w:t>
            </w:r>
            <w:r w:rsidR="00937BEA">
              <w:rPr>
                <w:rFonts w:cs="Courier New"/>
                <w:sz w:val="20"/>
                <w:szCs w:val="20"/>
              </w:rPr>
              <w:t xml:space="preserve"> µg/mL*h</w:t>
            </w:r>
          </w:p>
        </w:tc>
        <w:tc>
          <w:tcPr>
            <w:tcW w:w="1906" w:type="dxa"/>
            <w:vAlign w:val="bottom"/>
          </w:tcPr>
          <w:p w:rsidR="00A3088B" w:rsidRPr="00A3088B" w:rsidRDefault="00A3088B" w:rsidP="00036C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088B">
              <w:rPr>
                <w:sz w:val="20"/>
                <w:szCs w:val="20"/>
              </w:rPr>
              <w:t>0.99</w:t>
            </w:r>
          </w:p>
        </w:tc>
        <w:tc>
          <w:tcPr>
            <w:tcW w:w="2068" w:type="dxa"/>
            <w:vAlign w:val="bottom"/>
          </w:tcPr>
          <w:p w:rsidR="00A3088B" w:rsidRPr="00A3088B" w:rsidRDefault="00A3088B" w:rsidP="00036C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088B">
              <w:rPr>
                <w:sz w:val="20"/>
                <w:szCs w:val="20"/>
              </w:rPr>
              <w:t>0.95-1.02</w:t>
            </w:r>
          </w:p>
        </w:tc>
      </w:tr>
      <w:tr w:rsidR="00A3088B" w:rsidRPr="00A3088B" w:rsidTr="00E97248">
        <w:tc>
          <w:tcPr>
            <w:tcW w:w="1197" w:type="dxa"/>
            <w:vAlign w:val="bottom"/>
          </w:tcPr>
          <w:p w:rsidR="00A3088B" w:rsidRPr="00A3088B" w:rsidRDefault="00A3088B" w:rsidP="00036C3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3088B">
              <w:rPr>
                <w:b/>
                <w:sz w:val="20"/>
                <w:szCs w:val="20"/>
              </w:rPr>
              <w:t>C</w:t>
            </w:r>
            <w:r w:rsidRPr="00A3088B">
              <w:rPr>
                <w:b/>
                <w:sz w:val="20"/>
                <w:szCs w:val="20"/>
                <w:vertAlign w:val="subscript"/>
              </w:rPr>
              <w:t>max</w:t>
            </w:r>
          </w:p>
        </w:tc>
        <w:tc>
          <w:tcPr>
            <w:tcW w:w="1754" w:type="dxa"/>
            <w:vAlign w:val="bottom"/>
          </w:tcPr>
          <w:p w:rsidR="00A3088B" w:rsidRPr="00A3088B" w:rsidRDefault="00A3088B" w:rsidP="00036C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088B">
              <w:rPr>
                <w:sz w:val="20"/>
                <w:szCs w:val="20"/>
              </w:rPr>
              <w:t>34.73</w:t>
            </w:r>
            <w:r w:rsidR="00937BEA">
              <w:rPr>
                <w:rFonts w:cs="Courier New"/>
                <w:sz w:val="20"/>
                <w:szCs w:val="20"/>
              </w:rPr>
              <w:t xml:space="preserve"> µg/mL</w:t>
            </w:r>
          </w:p>
        </w:tc>
        <w:tc>
          <w:tcPr>
            <w:tcW w:w="2006" w:type="dxa"/>
            <w:vAlign w:val="bottom"/>
          </w:tcPr>
          <w:p w:rsidR="00A3088B" w:rsidRPr="00A3088B" w:rsidRDefault="00A3088B" w:rsidP="00036C3F">
            <w:pPr>
              <w:spacing w:after="0" w:line="240" w:lineRule="auto"/>
              <w:jc w:val="center"/>
              <w:rPr>
                <w:rFonts w:cs="Courier New"/>
                <w:sz w:val="20"/>
                <w:szCs w:val="20"/>
              </w:rPr>
            </w:pPr>
            <w:r w:rsidRPr="00A3088B">
              <w:rPr>
                <w:rFonts w:cs="Courier New"/>
                <w:sz w:val="20"/>
                <w:szCs w:val="20"/>
              </w:rPr>
              <w:t>38.08</w:t>
            </w:r>
            <w:r w:rsidR="00937BEA">
              <w:rPr>
                <w:rFonts w:cs="Courier New"/>
                <w:sz w:val="20"/>
                <w:szCs w:val="20"/>
              </w:rPr>
              <w:t xml:space="preserve"> µg/mL</w:t>
            </w:r>
          </w:p>
        </w:tc>
        <w:tc>
          <w:tcPr>
            <w:tcW w:w="1906" w:type="dxa"/>
            <w:vAlign w:val="bottom"/>
          </w:tcPr>
          <w:p w:rsidR="00A3088B" w:rsidRPr="00A3088B" w:rsidRDefault="00A3088B" w:rsidP="00036C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088B">
              <w:rPr>
                <w:sz w:val="20"/>
                <w:szCs w:val="20"/>
              </w:rPr>
              <w:t>0.91</w:t>
            </w:r>
          </w:p>
        </w:tc>
        <w:tc>
          <w:tcPr>
            <w:tcW w:w="2068" w:type="dxa"/>
            <w:vAlign w:val="bottom"/>
          </w:tcPr>
          <w:p w:rsidR="00A3088B" w:rsidRPr="00A3088B" w:rsidRDefault="00A3088B" w:rsidP="00036C3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088B">
              <w:rPr>
                <w:sz w:val="20"/>
                <w:szCs w:val="20"/>
              </w:rPr>
              <w:t>0.85-0.98</w:t>
            </w:r>
          </w:p>
        </w:tc>
      </w:tr>
    </w:tbl>
    <w:p w:rsidR="00AB54C2" w:rsidRDefault="00AB54C2" w:rsidP="00036C3F">
      <w:pPr>
        <w:spacing w:after="0" w:line="240" w:lineRule="auto"/>
        <w:rPr>
          <w:rFonts w:cs="Arial"/>
          <w:sz w:val="20"/>
          <w:szCs w:val="20"/>
          <w:lang w:val="en-GB"/>
        </w:rPr>
      </w:pPr>
    </w:p>
    <w:p w:rsidR="00AB54C2" w:rsidRPr="00A3088B" w:rsidRDefault="00AB54C2" w:rsidP="00036C3F">
      <w:pPr>
        <w:spacing w:after="0" w:line="240" w:lineRule="auto"/>
        <w:rPr>
          <w:rFonts w:cs="Arial"/>
        </w:rPr>
      </w:pPr>
      <w:r w:rsidRPr="00A3088B">
        <w:rPr>
          <w:rFonts w:cs="Arial"/>
          <w:i/>
        </w:rPr>
        <w:t>Conclusioni sulla bioequivalenza</w:t>
      </w:r>
    </w:p>
    <w:p w:rsidR="00AB54C2" w:rsidRPr="00A3088B" w:rsidRDefault="00AB54C2" w:rsidP="00036C3F">
      <w:pPr>
        <w:spacing w:after="0" w:line="240" w:lineRule="auto"/>
        <w:jc w:val="both"/>
        <w:rPr>
          <w:rFonts w:cs="Arial"/>
        </w:rPr>
      </w:pPr>
      <w:r w:rsidRPr="00A3088B">
        <w:rPr>
          <w:rFonts w:cs="Arial"/>
        </w:rPr>
        <w:t>I risultati de</w:t>
      </w:r>
      <w:r w:rsidR="00A3088B" w:rsidRPr="00A3088B">
        <w:rPr>
          <w:rFonts w:cs="Arial"/>
        </w:rPr>
        <w:t>llo</w:t>
      </w:r>
      <w:r w:rsidRPr="00A3088B">
        <w:rPr>
          <w:rFonts w:cs="Arial"/>
        </w:rPr>
        <w:t xml:space="preserve"> stud</w:t>
      </w:r>
      <w:r w:rsidR="00A3088B" w:rsidRPr="00A3088B">
        <w:rPr>
          <w:rFonts w:cs="Arial"/>
        </w:rPr>
        <w:t>io di bioequivalenza mostra</w:t>
      </w:r>
      <w:r w:rsidR="00937BEA">
        <w:rPr>
          <w:rFonts w:cs="Arial"/>
        </w:rPr>
        <w:t>no</w:t>
      </w:r>
      <w:r w:rsidRPr="00A3088B">
        <w:rPr>
          <w:rFonts w:cs="Arial"/>
        </w:rPr>
        <w:t xml:space="preserve"> che gli intervalli di confidenza dei parametri farmacocinetici studiati cadono nel range di accettabilità di 80-125%, in accordo con le linee guida correnti.</w:t>
      </w:r>
    </w:p>
    <w:p w:rsidR="001D08F6" w:rsidRPr="00A3088B" w:rsidRDefault="001D08F6" w:rsidP="00036C3F">
      <w:pPr>
        <w:spacing w:after="0" w:line="240" w:lineRule="auto"/>
        <w:jc w:val="both"/>
        <w:rPr>
          <w:rFonts w:cs="Arial"/>
        </w:rPr>
      </w:pPr>
    </w:p>
    <w:p w:rsidR="00AB54C2" w:rsidRPr="000B3C59" w:rsidRDefault="00AB54C2" w:rsidP="00036C3F">
      <w:pPr>
        <w:spacing w:after="0" w:line="240" w:lineRule="auto"/>
        <w:jc w:val="both"/>
        <w:rPr>
          <w:rFonts w:cs="Arial"/>
          <w:b/>
        </w:rPr>
      </w:pPr>
      <w:r w:rsidRPr="00A3088B">
        <w:rPr>
          <w:rFonts w:cs="Arial"/>
          <w:b/>
        </w:rPr>
        <w:t>Efficacia</w:t>
      </w:r>
      <w:r w:rsidRPr="000B3C59">
        <w:rPr>
          <w:rFonts w:cs="Arial"/>
          <w:b/>
        </w:rPr>
        <w:t xml:space="preserve"> e sicurezza clinica</w:t>
      </w:r>
    </w:p>
    <w:p w:rsidR="00AB54C2" w:rsidRPr="00A94752" w:rsidRDefault="00AB54C2" w:rsidP="00036C3F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</w:t>
      </w:r>
      <w:r w:rsidRPr="00A94752">
        <w:rPr>
          <w:rFonts w:cs="Arial"/>
        </w:rPr>
        <w:t xml:space="preserve">principio attivo di </w:t>
      </w:r>
      <w:proofErr w:type="spellStart"/>
      <w:r w:rsidR="00F16CDC" w:rsidRPr="00A94752">
        <w:rPr>
          <w:rFonts w:cs="Arial"/>
        </w:rPr>
        <w:t>Momentfene</w:t>
      </w:r>
      <w:proofErr w:type="spellEnd"/>
      <w:r w:rsidRPr="00A94752">
        <w:rPr>
          <w:rFonts w:cs="Arial"/>
        </w:rPr>
        <w:t xml:space="preserve"> è ben conosciuto. </w:t>
      </w:r>
    </w:p>
    <w:p w:rsidR="00AB54C2" w:rsidRPr="00A94752" w:rsidRDefault="00AB54C2" w:rsidP="00036C3F">
      <w:pPr>
        <w:pStyle w:val="Paragrafoelenco"/>
        <w:spacing w:after="0" w:line="240" w:lineRule="auto"/>
        <w:ind w:left="0"/>
        <w:jc w:val="both"/>
      </w:pPr>
    </w:p>
    <w:p w:rsidR="00AB54C2" w:rsidRPr="00D1324F" w:rsidRDefault="00AB54C2" w:rsidP="00036C3F">
      <w:pPr>
        <w:pStyle w:val="Paragrafoelenco"/>
        <w:spacing w:after="0" w:line="240" w:lineRule="auto"/>
        <w:ind w:left="0"/>
        <w:jc w:val="both"/>
        <w:rPr>
          <w:b/>
        </w:rPr>
      </w:pPr>
      <w:r w:rsidRPr="00A94752">
        <w:rPr>
          <w:b/>
        </w:rPr>
        <w:t>Piano di Valutazione del Rischio (</w:t>
      </w:r>
      <w:r w:rsidRPr="00A94752">
        <w:rPr>
          <w:b/>
          <w:i/>
        </w:rPr>
        <w:t>Risk Management Plan</w:t>
      </w:r>
      <w:r w:rsidRPr="00A94752">
        <w:rPr>
          <w:b/>
        </w:rPr>
        <w:t xml:space="preserve"> - RMP)</w:t>
      </w:r>
    </w:p>
    <w:p w:rsidR="00AB54C2" w:rsidRPr="00D1324F" w:rsidRDefault="00AB54C2" w:rsidP="00036C3F">
      <w:pPr>
        <w:pStyle w:val="Paragrafoelenco"/>
        <w:spacing w:after="0" w:line="240" w:lineRule="auto"/>
        <w:ind w:left="0"/>
        <w:jc w:val="both"/>
      </w:pPr>
      <w:r w:rsidRPr="00D1324F">
        <w:t xml:space="preserve">E’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proofErr w:type="spellStart"/>
      <w:r w:rsidR="00F16CDC">
        <w:t>Momentfene</w:t>
      </w:r>
      <w:proofErr w:type="spellEnd"/>
      <w:r w:rsidRPr="00B84547">
        <w:t>.</w:t>
      </w:r>
    </w:p>
    <w:p w:rsidR="00AB54C2" w:rsidRDefault="006A5A76" w:rsidP="00036C3F">
      <w:pPr>
        <w:pStyle w:val="Paragrafoelenco"/>
        <w:spacing w:after="0" w:line="240" w:lineRule="auto"/>
        <w:ind w:left="0"/>
        <w:jc w:val="both"/>
      </w:pPr>
      <w:r>
        <w:t>Un</w:t>
      </w:r>
      <w:r w:rsidRPr="00987A69">
        <w:t xml:space="preserve"> </w:t>
      </w:r>
      <w:r w:rsidR="00AB54C2" w:rsidRPr="00987A69">
        <w:t xml:space="preserve">riassunto delle problematiche di sicurezza </w:t>
      </w:r>
      <w:r>
        <w:t>è riportato</w:t>
      </w:r>
      <w:r w:rsidR="00AB54C2" w:rsidRPr="00987A69">
        <w:t xml:space="preserve"> nella tabella seguente.</w:t>
      </w:r>
    </w:p>
    <w:p w:rsidR="00AB54C2" w:rsidRDefault="00AB54C2" w:rsidP="00036C3F">
      <w:pPr>
        <w:pStyle w:val="Paragrafoelenco"/>
        <w:spacing w:after="0" w:line="240" w:lineRule="auto"/>
        <w:ind w:left="0"/>
        <w:jc w:val="both"/>
        <w:rPr>
          <w:noProof/>
          <w:lang w:eastAsia="it-IT"/>
        </w:rPr>
      </w:pPr>
    </w:p>
    <w:tbl>
      <w:tblPr>
        <w:tblW w:w="9385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67"/>
        <w:gridCol w:w="6418"/>
      </w:tblGrid>
      <w:tr w:rsidR="00860981" w:rsidRPr="00885C73" w:rsidTr="00860981">
        <w:trPr>
          <w:trHeight w:val="4380"/>
          <w:jc w:val="center"/>
        </w:trPr>
        <w:tc>
          <w:tcPr>
            <w:tcW w:w="2967" w:type="dxa"/>
          </w:tcPr>
          <w:p w:rsidR="00860981" w:rsidRPr="00036C3F" w:rsidRDefault="00860981" w:rsidP="00425AB5">
            <w:pPr>
              <w:spacing w:after="0" w:line="240" w:lineRule="auto"/>
              <w:rPr>
                <w:b/>
                <w:sz w:val="20"/>
                <w:lang w:val="en-US"/>
              </w:rPr>
            </w:pPr>
            <w:proofErr w:type="spellStart"/>
            <w:r w:rsidRPr="00036C3F">
              <w:rPr>
                <w:b/>
                <w:sz w:val="20"/>
                <w:lang w:val="en-US"/>
              </w:rPr>
              <w:lastRenderedPageBreak/>
              <w:t>Importanti</w:t>
            </w:r>
            <w:proofErr w:type="spellEnd"/>
            <w:r w:rsidRPr="00036C3F">
              <w:rPr>
                <w:b/>
                <w:sz w:val="20"/>
                <w:lang w:val="en-US"/>
              </w:rPr>
              <w:t xml:space="preserve"> </w:t>
            </w:r>
            <w:proofErr w:type="spellStart"/>
            <w:r w:rsidRPr="00036C3F">
              <w:rPr>
                <w:b/>
                <w:sz w:val="20"/>
                <w:lang w:val="en-US"/>
              </w:rPr>
              <w:t>rischi</w:t>
            </w:r>
            <w:proofErr w:type="spellEnd"/>
            <w:r w:rsidRPr="00036C3F">
              <w:rPr>
                <w:b/>
                <w:sz w:val="20"/>
                <w:lang w:val="en-US"/>
              </w:rPr>
              <w:t xml:space="preserve"> </w:t>
            </w:r>
            <w:proofErr w:type="spellStart"/>
            <w:r w:rsidRPr="00036C3F">
              <w:rPr>
                <w:b/>
                <w:sz w:val="20"/>
                <w:lang w:val="en-US"/>
              </w:rPr>
              <w:t>identificati</w:t>
            </w:r>
            <w:proofErr w:type="spellEnd"/>
            <w:r w:rsidRPr="00036C3F">
              <w:rPr>
                <w:b/>
                <w:sz w:val="20"/>
                <w:lang w:val="en-US"/>
              </w:rPr>
              <w:t xml:space="preserve"> </w:t>
            </w:r>
          </w:p>
        </w:tc>
        <w:tc>
          <w:tcPr>
            <w:tcW w:w="6418" w:type="dxa"/>
          </w:tcPr>
          <w:p w:rsidR="00860981" w:rsidRPr="00036C3F" w:rsidRDefault="00860981" w:rsidP="00425AB5">
            <w:pPr>
              <w:numPr>
                <w:ilvl w:val="0"/>
                <w:numId w:val="8"/>
              </w:numPr>
              <w:spacing w:after="0" w:line="240" w:lineRule="auto"/>
              <w:ind w:left="215" w:hanging="142"/>
              <w:contextualSpacing/>
              <w:rPr>
                <w:sz w:val="20"/>
              </w:rPr>
            </w:pPr>
            <w:r w:rsidRPr="00036C3F">
              <w:rPr>
                <w:sz w:val="20"/>
              </w:rPr>
              <w:t>Perforazione , ulcerazione e sanguinamento gastrointestinale</w:t>
            </w:r>
          </w:p>
          <w:p w:rsidR="00860981" w:rsidRPr="00036C3F" w:rsidRDefault="00860981" w:rsidP="00425AB5">
            <w:pPr>
              <w:numPr>
                <w:ilvl w:val="0"/>
                <w:numId w:val="8"/>
              </w:numPr>
              <w:spacing w:after="0" w:line="240" w:lineRule="auto"/>
              <w:ind w:left="215" w:hanging="142"/>
              <w:contextualSpacing/>
              <w:rPr>
                <w:sz w:val="20"/>
              </w:rPr>
            </w:pPr>
            <w:r w:rsidRPr="00036C3F">
              <w:rPr>
                <w:sz w:val="20"/>
              </w:rPr>
              <w:t>Effetti ematologici</w:t>
            </w:r>
          </w:p>
          <w:p w:rsidR="00860981" w:rsidRPr="00036C3F" w:rsidRDefault="00860981" w:rsidP="00425AB5">
            <w:pPr>
              <w:numPr>
                <w:ilvl w:val="0"/>
                <w:numId w:val="8"/>
              </w:numPr>
              <w:spacing w:after="0" w:line="240" w:lineRule="auto"/>
              <w:ind w:left="215" w:hanging="142"/>
              <w:contextualSpacing/>
              <w:rPr>
                <w:sz w:val="20"/>
              </w:rPr>
            </w:pPr>
            <w:r w:rsidRPr="00036C3F">
              <w:rPr>
                <w:sz w:val="20"/>
              </w:rPr>
              <w:t>Uso durante il terzo trimestre di gravidanza</w:t>
            </w:r>
          </w:p>
          <w:p w:rsidR="00860981" w:rsidRPr="00036C3F" w:rsidRDefault="00860981" w:rsidP="00425AB5">
            <w:pPr>
              <w:numPr>
                <w:ilvl w:val="0"/>
                <w:numId w:val="8"/>
              </w:numPr>
              <w:spacing w:after="0" w:line="240" w:lineRule="auto"/>
              <w:ind w:left="215" w:hanging="142"/>
              <w:contextualSpacing/>
              <w:rPr>
                <w:sz w:val="20"/>
              </w:rPr>
            </w:pPr>
            <w:r w:rsidRPr="00036C3F">
              <w:rPr>
                <w:sz w:val="20"/>
              </w:rPr>
              <w:t xml:space="preserve">Reazioni di ipersensibilità / reazioni allergiche. </w:t>
            </w:r>
          </w:p>
          <w:p w:rsidR="00860981" w:rsidRPr="00036C3F" w:rsidRDefault="00860981" w:rsidP="00425AB5">
            <w:pPr>
              <w:numPr>
                <w:ilvl w:val="0"/>
                <w:numId w:val="8"/>
              </w:numPr>
              <w:spacing w:after="0" w:line="240" w:lineRule="auto"/>
              <w:ind w:left="215" w:hanging="142"/>
              <w:contextualSpacing/>
              <w:rPr>
                <w:sz w:val="20"/>
              </w:rPr>
            </w:pPr>
            <w:r w:rsidRPr="00036C3F">
              <w:rPr>
                <w:sz w:val="20"/>
              </w:rPr>
              <w:t>Malattie cardiovascolari (infarto del miocardio, ritenzione di fluidi, ipertensione, edema)</w:t>
            </w:r>
          </w:p>
          <w:p w:rsidR="00860981" w:rsidRPr="00036C3F" w:rsidRDefault="00860981" w:rsidP="00425AB5">
            <w:pPr>
              <w:numPr>
                <w:ilvl w:val="0"/>
                <w:numId w:val="8"/>
              </w:numPr>
              <w:spacing w:after="0" w:line="240" w:lineRule="auto"/>
              <w:ind w:left="215" w:hanging="142"/>
              <w:contextualSpacing/>
              <w:rPr>
                <w:sz w:val="20"/>
              </w:rPr>
            </w:pPr>
            <w:r w:rsidRPr="00036C3F">
              <w:rPr>
                <w:sz w:val="20"/>
              </w:rPr>
              <w:t xml:space="preserve"> Malattie cerebrovascolari (ictus) </w:t>
            </w:r>
          </w:p>
          <w:p w:rsidR="00860981" w:rsidRPr="00036C3F" w:rsidRDefault="00860981" w:rsidP="00425AB5">
            <w:pPr>
              <w:numPr>
                <w:ilvl w:val="0"/>
                <w:numId w:val="8"/>
              </w:numPr>
              <w:spacing w:after="0" w:line="240" w:lineRule="auto"/>
              <w:ind w:left="215" w:right="62" w:hanging="142"/>
              <w:contextualSpacing/>
              <w:jc w:val="both"/>
              <w:rPr>
                <w:sz w:val="20"/>
              </w:rPr>
            </w:pPr>
            <w:r w:rsidRPr="00036C3F">
              <w:rPr>
                <w:sz w:val="20"/>
              </w:rPr>
              <w:t xml:space="preserve">Sanguinamento e/o ulcerazione dovuta alla somministrazione </w:t>
            </w:r>
            <w:proofErr w:type="spellStart"/>
            <w:r w:rsidRPr="00036C3F">
              <w:rPr>
                <w:sz w:val="20"/>
              </w:rPr>
              <w:t>contermporanea</w:t>
            </w:r>
            <w:proofErr w:type="spellEnd"/>
            <w:r w:rsidRPr="00036C3F">
              <w:rPr>
                <w:sz w:val="20"/>
              </w:rPr>
              <w:t xml:space="preserve"> di altri FANS inclusi gli inibitori selettivi della </w:t>
            </w:r>
            <w:proofErr w:type="spellStart"/>
            <w:r w:rsidRPr="00036C3F">
              <w:rPr>
                <w:sz w:val="20"/>
              </w:rPr>
              <w:t>cicloossigenasi</w:t>
            </w:r>
            <w:proofErr w:type="spellEnd"/>
            <w:r w:rsidRPr="00036C3F">
              <w:rPr>
                <w:sz w:val="20"/>
              </w:rPr>
              <w:t xml:space="preserve"> 2 </w:t>
            </w:r>
          </w:p>
          <w:p w:rsidR="00860981" w:rsidRPr="00036C3F" w:rsidRDefault="00860981" w:rsidP="00425AB5">
            <w:pPr>
              <w:numPr>
                <w:ilvl w:val="0"/>
                <w:numId w:val="8"/>
              </w:numPr>
              <w:spacing w:after="0" w:line="240" w:lineRule="auto"/>
              <w:ind w:left="215" w:right="62" w:hanging="142"/>
              <w:contextualSpacing/>
              <w:jc w:val="both"/>
              <w:rPr>
                <w:sz w:val="20"/>
              </w:rPr>
            </w:pPr>
            <w:r w:rsidRPr="00036C3F">
              <w:rPr>
                <w:sz w:val="20"/>
              </w:rPr>
              <w:t>Aumentata frequenza di eventi avversi nei pazienti anziani (in particolare disturbi gastrointestinali come sanguinamento, ulcerazione e perforazione)</w:t>
            </w:r>
          </w:p>
          <w:p w:rsidR="00860981" w:rsidRPr="00036C3F" w:rsidRDefault="00860981" w:rsidP="00425AB5">
            <w:pPr>
              <w:numPr>
                <w:ilvl w:val="0"/>
                <w:numId w:val="8"/>
              </w:numPr>
              <w:spacing w:after="0" w:line="240" w:lineRule="auto"/>
              <w:ind w:left="215" w:hanging="142"/>
              <w:contextualSpacing/>
              <w:rPr>
                <w:sz w:val="20"/>
              </w:rPr>
            </w:pPr>
            <w:r w:rsidRPr="00036C3F">
              <w:rPr>
                <w:sz w:val="20"/>
              </w:rPr>
              <w:t xml:space="preserve">Gravi reazioni cutanee incluse la sindrome di </w:t>
            </w:r>
            <w:proofErr w:type="spellStart"/>
            <w:r w:rsidRPr="00036C3F">
              <w:rPr>
                <w:sz w:val="20"/>
              </w:rPr>
              <w:t>Stevens-Johnson</w:t>
            </w:r>
            <w:proofErr w:type="spellEnd"/>
            <w:r w:rsidRPr="00036C3F">
              <w:rPr>
                <w:sz w:val="20"/>
              </w:rPr>
              <w:t xml:space="preserve">, la </w:t>
            </w:r>
            <w:proofErr w:type="spellStart"/>
            <w:r w:rsidRPr="00036C3F">
              <w:rPr>
                <w:sz w:val="20"/>
              </w:rPr>
              <w:t>necrolisi</w:t>
            </w:r>
            <w:proofErr w:type="spellEnd"/>
            <w:r w:rsidRPr="00036C3F">
              <w:rPr>
                <w:sz w:val="20"/>
              </w:rPr>
              <w:t xml:space="preserve"> epidermica tossica e la dermatite bollosa</w:t>
            </w:r>
          </w:p>
          <w:p w:rsidR="00860981" w:rsidRPr="00036C3F" w:rsidRDefault="00860981" w:rsidP="00425AB5">
            <w:pPr>
              <w:numPr>
                <w:ilvl w:val="0"/>
                <w:numId w:val="8"/>
              </w:numPr>
              <w:spacing w:after="0" w:line="240" w:lineRule="auto"/>
              <w:ind w:left="215" w:hanging="142"/>
              <w:contextualSpacing/>
              <w:rPr>
                <w:sz w:val="20"/>
              </w:rPr>
            </w:pPr>
            <w:r w:rsidRPr="00036C3F">
              <w:rPr>
                <w:sz w:val="20"/>
              </w:rPr>
              <w:t>Tossicità renale</w:t>
            </w:r>
          </w:p>
          <w:p w:rsidR="00860981" w:rsidRPr="00036C3F" w:rsidRDefault="00860981" w:rsidP="00425AB5">
            <w:pPr>
              <w:numPr>
                <w:ilvl w:val="0"/>
                <w:numId w:val="8"/>
              </w:numPr>
              <w:spacing w:after="0" w:line="240" w:lineRule="auto"/>
              <w:ind w:left="215" w:hanging="142"/>
              <w:contextualSpacing/>
              <w:rPr>
                <w:sz w:val="20"/>
              </w:rPr>
            </w:pPr>
            <w:r w:rsidRPr="00036C3F">
              <w:rPr>
                <w:sz w:val="20"/>
              </w:rPr>
              <w:t xml:space="preserve">Aumentato rischio di sanguinamento in pazienti adulti che assumono </w:t>
            </w:r>
            <w:proofErr w:type="spellStart"/>
            <w:r w:rsidRPr="00036C3F">
              <w:rPr>
                <w:sz w:val="20"/>
              </w:rPr>
              <w:t>acvido</w:t>
            </w:r>
            <w:proofErr w:type="spellEnd"/>
            <w:r w:rsidRPr="00036C3F">
              <w:rPr>
                <w:sz w:val="20"/>
              </w:rPr>
              <w:t xml:space="preserve"> </w:t>
            </w:r>
            <w:proofErr w:type="spellStart"/>
            <w:r w:rsidRPr="00036C3F">
              <w:rPr>
                <w:sz w:val="20"/>
              </w:rPr>
              <w:t>acetil</w:t>
            </w:r>
            <w:proofErr w:type="spellEnd"/>
            <w:r w:rsidRPr="00036C3F">
              <w:rPr>
                <w:sz w:val="20"/>
              </w:rPr>
              <w:t xml:space="preserve"> salicilico (anche a basse dosi) </w:t>
            </w:r>
          </w:p>
          <w:p w:rsidR="00860981" w:rsidRPr="00036C3F" w:rsidRDefault="00860981" w:rsidP="00425AB5">
            <w:pPr>
              <w:numPr>
                <w:ilvl w:val="0"/>
                <w:numId w:val="8"/>
              </w:numPr>
              <w:spacing w:after="0" w:line="240" w:lineRule="auto"/>
              <w:ind w:left="215" w:hanging="142"/>
              <w:contextualSpacing/>
              <w:rPr>
                <w:sz w:val="20"/>
              </w:rPr>
            </w:pPr>
            <w:r w:rsidRPr="00036C3F">
              <w:rPr>
                <w:sz w:val="20"/>
              </w:rPr>
              <w:t>Disturbi epatici per trattamenti di lunga durata</w:t>
            </w:r>
          </w:p>
          <w:p w:rsidR="00860981" w:rsidRPr="00036C3F" w:rsidRDefault="00860981" w:rsidP="00425AB5">
            <w:pPr>
              <w:numPr>
                <w:ilvl w:val="0"/>
                <w:numId w:val="8"/>
              </w:numPr>
              <w:spacing w:after="0" w:line="240" w:lineRule="auto"/>
              <w:ind w:left="215" w:hanging="142"/>
              <w:contextualSpacing/>
              <w:rPr>
                <w:sz w:val="20"/>
              </w:rPr>
            </w:pPr>
            <w:r w:rsidRPr="00036C3F">
              <w:rPr>
                <w:sz w:val="20"/>
              </w:rPr>
              <w:t>Rischio di insufficienza renale in bambini disidratati</w:t>
            </w:r>
          </w:p>
        </w:tc>
      </w:tr>
      <w:tr w:rsidR="00860981" w:rsidRPr="00885C73" w:rsidTr="00860981">
        <w:trPr>
          <w:trHeight w:val="703"/>
          <w:jc w:val="center"/>
        </w:trPr>
        <w:tc>
          <w:tcPr>
            <w:tcW w:w="2967" w:type="dxa"/>
          </w:tcPr>
          <w:p w:rsidR="00860981" w:rsidRPr="00036C3F" w:rsidRDefault="00860981" w:rsidP="00425AB5">
            <w:pPr>
              <w:spacing w:after="0" w:line="240" w:lineRule="auto"/>
              <w:rPr>
                <w:sz w:val="20"/>
                <w:lang w:val="en-US"/>
              </w:rPr>
            </w:pPr>
            <w:proofErr w:type="spellStart"/>
            <w:r w:rsidRPr="00036C3F">
              <w:rPr>
                <w:sz w:val="20"/>
                <w:lang w:val="en-US"/>
              </w:rPr>
              <w:t>Importanti</w:t>
            </w:r>
            <w:proofErr w:type="spellEnd"/>
            <w:r w:rsidRPr="00036C3F">
              <w:rPr>
                <w:sz w:val="20"/>
                <w:lang w:val="en-US"/>
              </w:rPr>
              <w:t xml:space="preserve"> </w:t>
            </w:r>
            <w:proofErr w:type="spellStart"/>
            <w:r w:rsidRPr="00036C3F">
              <w:rPr>
                <w:sz w:val="20"/>
                <w:lang w:val="en-US"/>
              </w:rPr>
              <w:t>rischi</w:t>
            </w:r>
            <w:proofErr w:type="spellEnd"/>
            <w:r w:rsidRPr="00036C3F">
              <w:rPr>
                <w:sz w:val="20"/>
                <w:lang w:val="en-US"/>
              </w:rPr>
              <w:t xml:space="preserve"> </w:t>
            </w:r>
            <w:proofErr w:type="spellStart"/>
            <w:r w:rsidRPr="00036C3F">
              <w:rPr>
                <w:sz w:val="20"/>
                <w:lang w:val="en-US"/>
              </w:rPr>
              <w:t>potenziali</w:t>
            </w:r>
            <w:proofErr w:type="spellEnd"/>
            <w:r w:rsidRPr="00036C3F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6418" w:type="dxa"/>
          </w:tcPr>
          <w:p w:rsidR="00860981" w:rsidRPr="00036C3F" w:rsidRDefault="00860981" w:rsidP="00425AB5">
            <w:pPr>
              <w:numPr>
                <w:ilvl w:val="0"/>
                <w:numId w:val="8"/>
              </w:numPr>
              <w:spacing w:after="0" w:line="240" w:lineRule="auto"/>
              <w:ind w:left="215" w:hanging="142"/>
              <w:contextualSpacing/>
              <w:rPr>
                <w:sz w:val="20"/>
              </w:rPr>
            </w:pPr>
            <w:r w:rsidRPr="00036C3F">
              <w:rPr>
                <w:sz w:val="20"/>
              </w:rPr>
              <w:t xml:space="preserve">Peggioramento di malattie infettive durante il trattamento con FANS </w:t>
            </w:r>
          </w:p>
          <w:p w:rsidR="00860981" w:rsidRPr="00036C3F" w:rsidRDefault="00860981" w:rsidP="00425AB5">
            <w:pPr>
              <w:numPr>
                <w:ilvl w:val="0"/>
                <w:numId w:val="8"/>
              </w:numPr>
              <w:spacing w:after="0" w:line="240" w:lineRule="auto"/>
              <w:ind w:left="215" w:hanging="142"/>
              <w:contextualSpacing/>
              <w:rPr>
                <w:sz w:val="20"/>
              </w:rPr>
            </w:pPr>
            <w:r w:rsidRPr="00036C3F">
              <w:rPr>
                <w:sz w:val="20"/>
              </w:rPr>
              <w:t xml:space="preserve">Uso </w:t>
            </w:r>
            <w:proofErr w:type="spellStart"/>
            <w:r w:rsidRPr="00036C3F">
              <w:rPr>
                <w:sz w:val="20"/>
              </w:rPr>
              <w:t>off-label</w:t>
            </w:r>
            <w:proofErr w:type="spellEnd"/>
            <w:r w:rsidRPr="00036C3F">
              <w:rPr>
                <w:sz w:val="20"/>
              </w:rPr>
              <w:t xml:space="preserve"> (per esempio nei bambini al di sotto di 12 annidi età)</w:t>
            </w:r>
          </w:p>
          <w:p w:rsidR="00860981" w:rsidRPr="00036C3F" w:rsidRDefault="00860981" w:rsidP="00425AB5">
            <w:pPr>
              <w:numPr>
                <w:ilvl w:val="0"/>
                <w:numId w:val="8"/>
              </w:numPr>
              <w:spacing w:after="0" w:line="240" w:lineRule="auto"/>
              <w:ind w:left="215" w:hanging="142"/>
              <w:contextualSpacing/>
              <w:rPr>
                <w:sz w:val="20"/>
              </w:rPr>
            </w:pPr>
            <w:r w:rsidRPr="00036C3F">
              <w:rPr>
                <w:sz w:val="20"/>
              </w:rPr>
              <w:t xml:space="preserve">Uso nel primo trimestre di gravidanza </w:t>
            </w:r>
          </w:p>
        </w:tc>
      </w:tr>
      <w:tr w:rsidR="00860981" w:rsidRPr="00885C73" w:rsidTr="00860981">
        <w:trPr>
          <w:trHeight w:val="672"/>
          <w:jc w:val="center"/>
        </w:trPr>
        <w:tc>
          <w:tcPr>
            <w:tcW w:w="2967" w:type="dxa"/>
          </w:tcPr>
          <w:p w:rsidR="00860981" w:rsidRPr="00036C3F" w:rsidRDefault="00860981" w:rsidP="00425AB5">
            <w:pPr>
              <w:spacing w:after="0" w:line="240" w:lineRule="auto"/>
              <w:rPr>
                <w:sz w:val="20"/>
                <w:lang w:val="en-US"/>
              </w:rPr>
            </w:pPr>
            <w:proofErr w:type="spellStart"/>
            <w:r w:rsidRPr="00036C3F">
              <w:rPr>
                <w:sz w:val="20"/>
                <w:lang w:val="en-US"/>
              </w:rPr>
              <w:t>Informazioni</w:t>
            </w:r>
            <w:proofErr w:type="spellEnd"/>
            <w:r w:rsidRPr="00036C3F">
              <w:rPr>
                <w:sz w:val="20"/>
                <w:lang w:val="en-US"/>
              </w:rPr>
              <w:t xml:space="preserve"> </w:t>
            </w:r>
            <w:proofErr w:type="spellStart"/>
            <w:r w:rsidRPr="00036C3F">
              <w:rPr>
                <w:sz w:val="20"/>
                <w:lang w:val="en-US"/>
              </w:rPr>
              <w:t>mancanti</w:t>
            </w:r>
            <w:proofErr w:type="spellEnd"/>
          </w:p>
        </w:tc>
        <w:tc>
          <w:tcPr>
            <w:tcW w:w="6418" w:type="dxa"/>
          </w:tcPr>
          <w:p w:rsidR="00860981" w:rsidRPr="00036C3F" w:rsidRDefault="00860981" w:rsidP="00425AB5">
            <w:pPr>
              <w:numPr>
                <w:ilvl w:val="0"/>
                <w:numId w:val="8"/>
              </w:numPr>
              <w:spacing w:after="0" w:line="240" w:lineRule="auto"/>
              <w:ind w:left="215" w:hanging="142"/>
              <w:contextualSpacing/>
              <w:rPr>
                <w:sz w:val="20"/>
              </w:rPr>
            </w:pPr>
            <w:r w:rsidRPr="00036C3F">
              <w:rPr>
                <w:sz w:val="20"/>
              </w:rPr>
              <w:t xml:space="preserve">Uso della forma orale di </w:t>
            </w:r>
            <w:proofErr w:type="spellStart"/>
            <w:r w:rsidRPr="00036C3F">
              <w:rPr>
                <w:sz w:val="20"/>
              </w:rPr>
              <w:t>ibuprofene</w:t>
            </w:r>
            <w:proofErr w:type="spellEnd"/>
            <w:r w:rsidRPr="00036C3F">
              <w:rPr>
                <w:sz w:val="20"/>
              </w:rPr>
              <w:t xml:space="preserve"> per il trattamento del dotto arterioso pervio (PDA) nei neonati</w:t>
            </w:r>
          </w:p>
          <w:p w:rsidR="00860981" w:rsidRPr="00036C3F" w:rsidRDefault="00860981" w:rsidP="00425AB5">
            <w:pPr>
              <w:numPr>
                <w:ilvl w:val="0"/>
                <w:numId w:val="8"/>
              </w:numPr>
              <w:spacing w:after="0" w:line="240" w:lineRule="auto"/>
              <w:ind w:left="215" w:hanging="142"/>
              <w:contextualSpacing/>
              <w:rPr>
                <w:sz w:val="20"/>
              </w:rPr>
            </w:pPr>
            <w:r w:rsidRPr="00036C3F">
              <w:rPr>
                <w:sz w:val="20"/>
              </w:rPr>
              <w:t xml:space="preserve">Uso nei bambini al di sotto di 12 anni di età </w:t>
            </w:r>
          </w:p>
        </w:tc>
      </w:tr>
    </w:tbl>
    <w:p w:rsidR="00860981" w:rsidRDefault="00860981" w:rsidP="00036C3F">
      <w:pPr>
        <w:pStyle w:val="Paragrafoelenco"/>
        <w:spacing w:after="0" w:line="240" w:lineRule="auto"/>
        <w:ind w:left="0"/>
        <w:jc w:val="both"/>
        <w:rPr>
          <w:noProof/>
          <w:lang w:eastAsia="it-IT"/>
        </w:rPr>
      </w:pPr>
    </w:p>
    <w:p w:rsidR="00AB54C2" w:rsidRDefault="006A5A76" w:rsidP="00036C3F">
      <w:pPr>
        <w:pStyle w:val="Paragrafoelenco"/>
        <w:spacing w:after="0" w:line="240" w:lineRule="auto"/>
        <w:ind w:left="0"/>
        <w:jc w:val="both"/>
      </w:pPr>
      <w:r>
        <w:t>Attività</w:t>
      </w:r>
      <w:r w:rsidRPr="009A2805">
        <w:t xml:space="preserve"> </w:t>
      </w:r>
      <w:proofErr w:type="spellStart"/>
      <w:r w:rsidR="00AB54C2" w:rsidRPr="009A2805">
        <w:t>routinarie</w:t>
      </w:r>
      <w:proofErr w:type="spellEnd"/>
      <w:r w:rsidR="00AB54C2" w:rsidRPr="009A2805">
        <w:t xml:space="preserve"> di farmacovigilanza e di </w:t>
      </w:r>
      <w:r w:rsidR="00AB54C2">
        <w:t xml:space="preserve">minimizzazione del rischio sono </w:t>
      </w:r>
      <w:r>
        <w:t xml:space="preserve">previste </w:t>
      </w:r>
      <w:r w:rsidR="00AB54C2">
        <w:t>per tutte le problematiche di sicurezza.</w:t>
      </w:r>
    </w:p>
    <w:p w:rsidR="00AB54C2" w:rsidRDefault="00AB54C2" w:rsidP="00036C3F">
      <w:pPr>
        <w:pStyle w:val="Paragrafoelenco"/>
        <w:spacing w:after="0" w:line="240" w:lineRule="auto"/>
        <w:ind w:left="0"/>
        <w:jc w:val="both"/>
      </w:pPr>
      <w:r>
        <w:t xml:space="preserve">Oltre </w:t>
      </w:r>
      <w:r w:rsidR="00954B11">
        <w:t>al</w:t>
      </w:r>
      <w:r>
        <w:t xml:space="preserve">le misure </w:t>
      </w:r>
      <w:r w:rsidR="00954B11">
        <w:t xml:space="preserve">contenute </w:t>
      </w:r>
      <w:r>
        <w:t xml:space="preserve">nel Riassunto delle caratteristiche del prodotto </w:t>
      </w:r>
      <w:r w:rsidR="00954B11">
        <w:t xml:space="preserve">e nel Foglio Illustrativo, </w:t>
      </w:r>
      <w:r>
        <w:t xml:space="preserve">non sono </w:t>
      </w:r>
      <w:r w:rsidR="00954B11">
        <w:t xml:space="preserve">al momento </w:t>
      </w:r>
      <w:r>
        <w:t>previste attività addizionali di minimizzazione del rischio</w:t>
      </w:r>
      <w:r w:rsidR="00954B11">
        <w:t>.</w:t>
      </w:r>
    </w:p>
    <w:p w:rsidR="00AB54C2" w:rsidRDefault="00AB54C2" w:rsidP="00036C3F">
      <w:pPr>
        <w:pStyle w:val="Paragrafoelenco"/>
        <w:spacing w:after="0" w:line="240" w:lineRule="auto"/>
        <w:ind w:left="0"/>
        <w:jc w:val="both"/>
      </w:pPr>
    </w:p>
    <w:p w:rsidR="00AB54C2" w:rsidRPr="002E4DCB" w:rsidRDefault="00AB54C2" w:rsidP="00036C3F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AB54C2" w:rsidRDefault="00AB54C2" w:rsidP="00036C3F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 w:rsidR="00F16CDC">
        <w:t>Momentfene</w:t>
      </w:r>
      <w:proofErr w:type="spellEnd"/>
      <w:r>
        <w:t xml:space="preserve"> sono state presentate sufficienti informazioni cliniche.</w:t>
      </w:r>
    </w:p>
    <w:p w:rsidR="00AB54C2" w:rsidRDefault="00AB54C2" w:rsidP="00036C3F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 w:rsidR="00F16CDC">
        <w:t>Momentfene</w:t>
      </w:r>
      <w:proofErr w:type="spellEnd"/>
      <w:r>
        <w:t xml:space="preserve"> è considerato favorevole dal punto di vista clinico.</w:t>
      </w:r>
    </w:p>
    <w:p w:rsidR="00AB54C2" w:rsidRDefault="00AB54C2" w:rsidP="00036C3F">
      <w:pPr>
        <w:pStyle w:val="Paragrafoelenco"/>
        <w:spacing w:after="0" w:line="240" w:lineRule="auto"/>
        <w:ind w:left="0"/>
        <w:jc w:val="both"/>
      </w:pPr>
    </w:p>
    <w:p w:rsidR="00A96069" w:rsidRDefault="00A96069" w:rsidP="00036C3F">
      <w:pPr>
        <w:pStyle w:val="Paragrafoelenco"/>
        <w:spacing w:after="0" w:line="240" w:lineRule="auto"/>
        <w:ind w:left="0"/>
        <w:jc w:val="both"/>
      </w:pPr>
    </w:p>
    <w:p w:rsidR="00AB54C2" w:rsidRPr="002E4DCB" w:rsidRDefault="00AB54C2" w:rsidP="00036C3F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AB54C2" w:rsidRDefault="00AB54C2" w:rsidP="00036C3F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</w:t>
      </w:r>
      <w:proofErr w:type="spellEnd"/>
      <w:r>
        <w:t>.</w:t>
      </w:r>
      <w:r w:rsidR="008D0DF9">
        <w:t>.</w:t>
      </w:r>
      <w:r>
        <w:t xml:space="preserve"> </w:t>
      </w:r>
      <w:r w:rsidR="008D0DF9">
        <w:t xml:space="preserve">I </w:t>
      </w:r>
      <w:r>
        <w:t>risultati del test hanno dimostrato che il foglio illustrativo corrisponde ai criteri imposti dalla linea guida sulla leggibilità di etichetta e foglio illustrativo dei medicinali per uso umano.</w:t>
      </w:r>
    </w:p>
    <w:p w:rsidR="00AB54C2" w:rsidRDefault="00AB54C2" w:rsidP="00036C3F">
      <w:pPr>
        <w:pStyle w:val="Paragrafoelenco"/>
        <w:spacing w:after="0" w:line="240" w:lineRule="auto"/>
        <w:ind w:left="0"/>
        <w:jc w:val="both"/>
      </w:pPr>
    </w:p>
    <w:p w:rsidR="00AB54C2" w:rsidRDefault="00AB54C2" w:rsidP="00036C3F">
      <w:pPr>
        <w:spacing w:after="0" w:line="240" w:lineRule="auto"/>
        <w:jc w:val="both"/>
      </w:pPr>
    </w:p>
    <w:p w:rsidR="00AB54C2" w:rsidRPr="00BC23ED" w:rsidRDefault="00AB54C2" w:rsidP="00036C3F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AB54C2" w:rsidRDefault="00AB54C2" w:rsidP="00036C3F">
      <w:pPr>
        <w:spacing w:after="0" w:line="240" w:lineRule="auto"/>
        <w:jc w:val="both"/>
      </w:pPr>
      <w:r>
        <w:t xml:space="preserve">La qualità di </w:t>
      </w:r>
      <w:proofErr w:type="spellStart"/>
      <w:r w:rsidR="00F16CDC">
        <w:t>Momentfene</w:t>
      </w:r>
      <w:proofErr w:type="spellEnd"/>
      <w:r>
        <w:t xml:space="preserve"> è accettabile e non sono state rilevate criticità da un punto di vista non clinico e clinico.</w:t>
      </w:r>
    </w:p>
    <w:p w:rsidR="00AB54C2" w:rsidRDefault="008D0DF9" w:rsidP="00036C3F">
      <w:pPr>
        <w:spacing w:after="0" w:line="240" w:lineRule="auto"/>
        <w:jc w:val="both"/>
      </w:pPr>
      <w:r>
        <w:t>Lo studio</w:t>
      </w:r>
      <w:r w:rsidR="00AB54C2">
        <w:t xml:space="preserve"> di bioequivalenza e le sue conclusioni confermano che </w:t>
      </w:r>
      <w:proofErr w:type="spellStart"/>
      <w:r w:rsidR="00F16CDC">
        <w:t>Momentfene</w:t>
      </w:r>
      <w:proofErr w:type="spellEnd"/>
      <w:r w:rsidR="002726A2">
        <w:t xml:space="preserve"> e il </w:t>
      </w:r>
      <w:r w:rsidR="00AB54C2">
        <w:t>medicinale di riferimento Brufen sono bioequivalenti.</w:t>
      </w:r>
    </w:p>
    <w:p w:rsidR="00AB54C2" w:rsidRDefault="00AB54C2" w:rsidP="00036C3F">
      <w:pPr>
        <w:spacing w:after="0" w:line="240" w:lineRule="auto"/>
        <w:jc w:val="both"/>
      </w:pPr>
      <w:r>
        <w:t>Il rapporto beneficio/rischio è considerato positivo.</w:t>
      </w:r>
    </w:p>
    <w:p w:rsidR="004241AC" w:rsidRPr="002A3F14" w:rsidRDefault="00AB54C2" w:rsidP="00036C3F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</w:t>
      </w:r>
      <w:r w:rsidR="00A36A13" w:rsidRPr="00377418">
        <w:t>documenti</w:t>
      </w:r>
      <w:r w:rsidR="003F41E3">
        <w:t xml:space="preserve"> </w:t>
      </w:r>
      <w:r>
        <w:t xml:space="preserve">possono essere consultati sul sito istituzionale di AIFA </w:t>
      </w:r>
      <w:r>
        <w:rPr>
          <w:rFonts w:cs="Calibri"/>
          <w:lang w:eastAsia="it-IT"/>
        </w:rPr>
        <w:t>(</w:t>
      </w:r>
      <w:hyperlink r:id="rId10" w:history="1">
        <w:r>
          <w:rPr>
            <w:rStyle w:val="Collegamentoipertestuale"/>
            <w:rFonts w:cs="Calibri"/>
            <w:lang w:eastAsia="it-IT"/>
          </w:rPr>
          <w:t>https://farmaci.agenziafarmaco.gov.it/bancadatifarmaci</w:t>
        </w:r>
      </w:hyperlink>
      <w:r>
        <w:rPr>
          <w:rFonts w:cs="Calibri"/>
          <w:lang w:eastAsia="it-IT"/>
        </w:rPr>
        <w:t>).</w:t>
      </w:r>
      <w:r w:rsidRPr="002A3F14">
        <w:t xml:space="preserve"> </w:t>
      </w:r>
    </w:p>
    <w:p w:rsidR="009A260F" w:rsidRDefault="009A260F" w:rsidP="00036C3F">
      <w:pPr>
        <w:spacing w:after="0" w:line="240" w:lineRule="auto"/>
      </w:pPr>
    </w:p>
    <w:sectPr w:rsidR="009A260F" w:rsidSect="00493E9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-BoldObliq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D062CB"/>
    <w:multiLevelType w:val="hybridMultilevel"/>
    <w:tmpl w:val="A1BC2EC4"/>
    <w:lvl w:ilvl="0" w:tplc="79DEA9F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4">
    <w:abstractNumId w:val="1"/>
  </w:num>
  <w:num w:numId="5">
    <w:abstractNumId w:val="6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4241AC"/>
    <w:rsid w:val="00000FB4"/>
    <w:rsid w:val="00013020"/>
    <w:rsid w:val="0001762A"/>
    <w:rsid w:val="00017788"/>
    <w:rsid w:val="00032705"/>
    <w:rsid w:val="000357C4"/>
    <w:rsid w:val="0003696A"/>
    <w:rsid w:val="00036C3F"/>
    <w:rsid w:val="00037F9B"/>
    <w:rsid w:val="00062636"/>
    <w:rsid w:val="00067364"/>
    <w:rsid w:val="0007323C"/>
    <w:rsid w:val="00075AD7"/>
    <w:rsid w:val="00077016"/>
    <w:rsid w:val="00097D78"/>
    <w:rsid w:val="000D2313"/>
    <w:rsid w:val="000E1A3B"/>
    <w:rsid w:val="00111E9E"/>
    <w:rsid w:val="0011250C"/>
    <w:rsid w:val="00180C71"/>
    <w:rsid w:val="00195CF5"/>
    <w:rsid w:val="001A6B21"/>
    <w:rsid w:val="001C1A8E"/>
    <w:rsid w:val="001D08F6"/>
    <w:rsid w:val="001D239E"/>
    <w:rsid w:val="001F4792"/>
    <w:rsid w:val="00237B87"/>
    <w:rsid w:val="00246D26"/>
    <w:rsid w:val="00253A1E"/>
    <w:rsid w:val="002726A2"/>
    <w:rsid w:val="002748E4"/>
    <w:rsid w:val="00275F75"/>
    <w:rsid w:val="002B77E3"/>
    <w:rsid w:val="003440B2"/>
    <w:rsid w:val="00377418"/>
    <w:rsid w:val="00380EA8"/>
    <w:rsid w:val="00393AF3"/>
    <w:rsid w:val="003F05B0"/>
    <w:rsid w:val="003F41E3"/>
    <w:rsid w:val="0042124B"/>
    <w:rsid w:val="004241AC"/>
    <w:rsid w:val="00445828"/>
    <w:rsid w:val="00452364"/>
    <w:rsid w:val="00467593"/>
    <w:rsid w:val="00480B90"/>
    <w:rsid w:val="00493E91"/>
    <w:rsid w:val="004A1685"/>
    <w:rsid w:val="004B20A8"/>
    <w:rsid w:val="004B7E5B"/>
    <w:rsid w:val="004C32A6"/>
    <w:rsid w:val="005416B2"/>
    <w:rsid w:val="005469E9"/>
    <w:rsid w:val="00571F56"/>
    <w:rsid w:val="005928E6"/>
    <w:rsid w:val="005A64F7"/>
    <w:rsid w:val="005B50AD"/>
    <w:rsid w:val="005E18C6"/>
    <w:rsid w:val="006445FF"/>
    <w:rsid w:val="006808E3"/>
    <w:rsid w:val="006A5A76"/>
    <w:rsid w:val="006B4A46"/>
    <w:rsid w:val="006C29FB"/>
    <w:rsid w:val="006C7E98"/>
    <w:rsid w:val="006E54A1"/>
    <w:rsid w:val="00707174"/>
    <w:rsid w:val="00786BAF"/>
    <w:rsid w:val="007A61D2"/>
    <w:rsid w:val="007D7E2F"/>
    <w:rsid w:val="007E6F4B"/>
    <w:rsid w:val="00860981"/>
    <w:rsid w:val="00874733"/>
    <w:rsid w:val="00875031"/>
    <w:rsid w:val="00876564"/>
    <w:rsid w:val="00885C73"/>
    <w:rsid w:val="008D0DF9"/>
    <w:rsid w:val="00903AB4"/>
    <w:rsid w:val="00925033"/>
    <w:rsid w:val="00937BEA"/>
    <w:rsid w:val="00954B11"/>
    <w:rsid w:val="00960B48"/>
    <w:rsid w:val="00967961"/>
    <w:rsid w:val="00987A69"/>
    <w:rsid w:val="00991D00"/>
    <w:rsid w:val="009A2010"/>
    <w:rsid w:val="009A260F"/>
    <w:rsid w:val="009B03DB"/>
    <w:rsid w:val="009F20F1"/>
    <w:rsid w:val="00A01F72"/>
    <w:rsid w:val="00A05212"/>
    <w:rsid w:val="00A1005E"/>
    <w:rsid w:val="00A3088B"/>
    <w:rsid w:val="00A36A13"/>
    <w:rsid w:val="00A374EA"/>
    <w:rsid w:val="00A40FF3"/>
    <w:rsid w:val="00A50E86"/>
    <w:rsid w:val="00A84C8D"/>
    <w:rsid w:val="00A94752"/>
    <w:rsid w:val="00A96069"/>
    <w:rsid w:val="00A97727"/>
    <w:rsid w:val="00AB54C2"/>
    <w:rsid w:val="00AE0670"/>
    <w:rsid w:val="00B84547"/>
    <w:rsid w:val="00B90347"/>
    <w:rsid w:val="00BA7D67"/>
    <w:rsid w:val="00BB4CC4"/>
    <w:rsid w:val="00BC74C2"/>
    <w:rsid w:val="00BD60CF"/>
    <w:rsid w:val="00BE2C92"/>
    <w:rsid w:val="00C05220"/>
    <w:rsid w:val="00C1628E"/>
    <w:rsid w:val="00C47C57"/>
    <w:rsid w:val="00CA46D9"/>
    <w:rsid w:val="00CB2CA1"/>
    <w:rsid w:val="00CB7D5D"/>
    <w:rsid w:val="00CC7AFF"/>
    <w:rsid w:val="00D05DEB"/>
    <w:rsid w:val="00D20170"/>
    <w:rsid w:val="00D51173"/>
    <w:rsid w:val="00D64490"/>
    <w:rsid w:val="00D764C4"/>
    <w:rsid w:val="00D84D6D"/>
    <w:rsid w:val="00D85C3C"/>
    <w:rsid w:val="00DC2CE8"/>
    <w:rsid w:val="00E43089"/>
    <w:rsid w:val="00E83F8D"/>
    <w:rsid w:val="00E95C24"/>
    <w:rsid w:val="00E97248"/>
    <w:rsid w:val="00EE29EF"/>
    <w:rsid w:val="00EF062E"/>
    <w:rsid w:val="00EF0A69"/>
    <w:rsid w:val="00F16CDC"/>
    <w:rsid w:val="00F22C10"/>
    <w:rsid w:val="00F64583"/>
    <w:rsid w:val="00F66767"/>
    <w:rsid w:val="00F73450"/>
    <w:rsid w:val="00F96BAC"/>
    <w:rsid w:val="00FA2702"/>
    <w:rsid w:val="00FB455A"/>
    <w:rsid w:val="00FC20CF"/>
    <w:rsid w:val="00FE5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9"/>
    <w:qFormat/>
    <w:rsid w:val="00AB54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uiPriority w:val="99"/>
    <w:unhideWhenUsed/>
    <w:rsid w:val="002748E4"/>
    <w:rPr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2748E4"/>
    <w:rPr>
      <w:color w:val="800080"/>
      <w:u w:val="single"/>
    </w:rPr>
  </w:style>
  <w:style w:type="character" w:customStyle="1" w:styleId="Titolo1Carattere">
    <w:name w:val="Titolo 1 Carattere"/>
    <w:link w:val="Titolo1"/>
    <w:uiPriority w:val="9"/>
    <w:rsid w:val="00AB54C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rsid w:val="00AB54C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AB54C2"/>
    <w:pPr>
      <w:spacing w:before="120" w:after="120" w:line="240" w:lineRule="auto"/>
    </w:pPr>
    <w:rPr>
      <w:rFonts w:ascii="Times New Roman" w:eastAsia="Times New Roman" w:hAnsi="Times New Roman"/>
      <w:b/>
      <w:sz w:val="24"/>
      <w:szCs w:val="20"/>
      <w:lang w:val="en-US"/>
    </w:rPr>
  </w:style>
  <w:style w:type="character" w:styleId="Rimandocommento">
    <w:name w:val="annotation reference"/>
    <w:uiPriority w:val="99"/>
    <w:semiHidden/>
    <w:unhideWhenUsed/>
    <w:rsid w:val="006A5A7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A5A76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A5A76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A5A76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A5A76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1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65678D-B73B-4905-BE22-0676BC3B4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2968</Words>
  <Characters>16923</Characters>
  <Application>Microsoft Office Word</Application>
  <DocSecurity>0</DocSecurity>
  <Lines>141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19852</CharactersWithSpaces>
  <SharedDoc>false</SharedDoc>
  <HLinks>
    <vt:vector size="18" baseType="variant">
      <vt:variant>
        <vt:i4>7536701</vt:i4>
      </vt:variant>
      <vt:variant>
        <vt:i4>6</vt:i4>
      </vt:variant>
      <vt:variant>
        <vt:i4>0</vt:i4>
      </vt:variant>
      <vt:variant>
        <vt:i4>5</vt:i4>
      </vt:variant>
      <vt:variant>
        <vt:lpwstr>https://farmaci.agenziafarmaco.gov.it/bancadatifarmaci</vt:lpwstr>
      </vt:variant>
      <vt:variant>
        <vt:lpwstr/>
      </vt:variant>
      <vt:variant>
        <vt:i4>7536701</vt:i4>
      </vt:variant>
      <vt:variant>
        <vt:i4>3</vt:i4>
      </vt:variant>
      <vt:variant>
        <vt:i4>0</vt:i4>
      </vt:variant>
      <vt:variant>
        <vt:i4>5</vt:i4>
      </vt:variant>
      <vt:variant>
        <vt:lpwstr>https://farmaci.agenziafarmaco.gov.it/bancadatifarmaci</vt:lpwstr>
      </vt:variant>
      <vt:variant>
        <vt:lpwstr/>
      </vt:variant>
      <vt:variant>
        <vt:i4>7536701</vt:i4>
      </vt:variant>
      <vt:variant>
        <vt:i4>0</vt:i4>
      </vt:variant>
      <vt:variant>
        <vt:i4>0</vt:i4>
      </vt:variant>
      <vt:variant>
        <vt:i4>5</vt:i4>
      </vt:variant>
      <vt:variant>
        <vt:lpwstr>https://farmaci.agenziafarmaco.gov.it/bancadatifarmaci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4</cp:revision>
  <dcterms:created xsi:type="dcterms:W3CDTF">2017-01-13T13:52:00Z</dcterms:created>
  <dcterms:modified xsi:type="dcterms:W3CDTF">2017-02-16T15:11:00Z</dcterms:modified>
</cp:coreProperties>
</file>