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D14FBB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D14FBB">
      <w:pPr>
        <w:spacing w:after="0" w:line="240" w:lineRule="auto"/>
        <w:jc w:val="center"/>
        <w:rPr>
          <w:b/>
        </w:rPr>
      </w:pPr>
    </w:p>
    <w:p w:rsidR="001844AF" w:rsidRDefault="001844AF" w:rsidP="00D14FB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D14FB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844AF" w:rsidRDefault="001844AF" w:rsidP="00D14FB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C7780" w:rsidRPr="003B3BD7" w:rsidRDefault="002C7780" w:rsidP="00D14FB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BC06C8" w:rsidRDefault="00BC06C8" w:rsidP="00D14FBB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BC06C8">
        <w:rPr>
          <w:b/>
          <w:sz w:val="32"/>
        </w:rPr>
        <w:t xml:space="preserve">PRAMEFFEX </w:t>
      </w:r>
      <w:r w:rsidR="005750F3" w:rsidRPr="00BC06C8">
        <w:rPr>
          <w:b/>
          <w:sz w:val="32"/>
        </w:rPr>
        <w:t xml:space="preserve"> </w:t>
      </w:r>
    </w:p>
    <w:p w:rsidR="004241AC" w:rsidRPr="00BC06C8" w:rsidRDefault="00284133" w:rsidP="00D14FBB">
      <w:pPr>
        <w:widowControl w:val="0"/>
        <w:spacing w:after="0" w:line="240" w:lineRule="auto"/>
        <w:jc w:val="center"/>
        <w:rPr>
          <w:snapToGrid w:val="0"/>
        </w:rPr>
      </w:pPr>
      <w:r w:rsidRPr="00BC06C8">
        <w:rPr>
          <w:snapToGrid w:val="0"/>
        </w:rPr>
        <w:t xml:space="preserve"> </w:t>
      </w:r>
      <w:r w:rsidR="00921B17" w:rsidRPr="00BC06C8">
        <w:rPr>
          <w:snapToGrid w:val="0"/>
        </w:rPr>
        <w:t>(</w:t>
      </w:r>
      <w:proofErr w:type="spellStart"/>
      <w:r w:rsidR="007B0755" w:rsidRPr="00BC06C8">
        <w:rPr>
          <w:snapToGrid w:val="0"/>
        </w:rPr>
        <w:t>Escitalopram</w:t>
      </w:r>
      <w:proofErr w:type="spellEnd"/>
      <w:r w:rsidR="004241AC" w:rsidRPr="00BC06C8">
        <w:rPr>
          <w:snapToGrid w:val="0"/>
        </w:rPr>
        <w:t>)</w:t>
      </w:r>
    </w:p>
    <w:p w:rsidR="004241AC" w:rsidRPr="00BC06C8" w:rsidRDefault="004241AC" w:rsidP="00D14FB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D026E" w:rsidRPr="00BC06C8" w:rsidRDefault="00D14FBB" w:rsidP="00D14FBB">
      <w:pPr>
        <w:tabs>
          <w:tab w:val="left" w:pos="4649"/>
        </w:tabs>
        <w:spacing w:after="0" w:line="240" w:lineRule="auto"/>
        <w:jc w:val="center"/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So.Se.</w:t>
      </w:r>
      <w:r w:rsidR="007D026E" w:rsidRPr="00BC06C8">
        <w:rPr>
          <w:rFonts w:ascii="Calibri" w:hAnsi="Calibri"/>
          <w:b/>
        </w:rPr>
        <w:t>P</w:t>
      </w:r>
      <w:r>
        <w:rPr>
          <w:rFonts w:ascii="Calibri" w:hAnsi="Calibri"/>
          <w:b/>
        </w:rPr>
        <w:t>harm</w:t>
      </w:r>
      <w:proofErr w:type="spellEnd"/>
    </w:p>
    <w:p w:rsidR="003B3BD7" w:rsidRPr="00BC06C8" w:rsidRDefault="003B3BD7" w:rsidP="00D14FB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0DBA" w:rsidRPr="00BC06C8" w:rsidRDefault="00BB0DBA" w:rsidP="00D14FB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D14FBB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>Numero di AIC</w:t>
      </w:r>
      <w:r w:rsidRPr="003E0283">
        <w:rPr>
          <w:b/>
        </w:rPr>
        <w:t xml:space="preserve">: </w:t>
      </w:r>
      <w:r w:rsidR="003E0283" w:rsidRPr="003E0283">
        <w:rPr>
          <w:rFonts w:cs="Helvetica"/>
          <w:b/>
        </w:rPr>
        <w:t>044271</w:t>
      </w:r>
    </w:p>
    <w:p w:rsidR="000B1AA0" w:rsidRPr="00062636" w:rsidRDefault="000B1AA0" w:rsidP="00D14FBB">
      <w:pPr>
        <w:spacing w:after="0" w:line="240" w:lineRule="auto"/>
        <w:jc w:val="center"/>
        <w:rPr>
          <w:b/>
        </w:rPr>
      </w:pPr>
    </w:p>
    <w:p w:rsidR="004241AC" w:rsidRPr="00062636" w:rsidRDefault="004241AC" w:rsidP="00D14FBB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0B1AA0" w:rsidP="00D14FB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253A7D">
        <w:rPr>
          <w:rFonts w:eastAsia="Calibri" w:cs="Calibri"/>
          <w:b/>
          <w:color w:val="000000"/>
        </w:rPr>
        <w:t xml:space="preserve">RIASSUNTO DELLA RELAZIONE PUBBLICA </w:t>
      </w:r>
      <w:proofErr w:type="spellStart"/>
      <w:r w:rsidRPr="00253A7D">
        <w:rPr>
          <w:rFonts w:eastAsia="Calibri" w:cs="Calibri"/>
          <w:b/>
          <w:color w:val="000000"/>
        </w:rPr>
        <w:t>DI</w:t>
      </w:r>
      <w:proofErr w:type="spellEnd"/>
      <w:r w:rsidRPr="00253A7D">
        <w:rPr>
          <w:rFonts w:eastAsia="Calibri" w:cs="Calibri"/>
          <w:b/>
          <w:color w:val="000000"/>
        </w:rPr>
        <w:t xml:space="preserve"> VALUTAZIONE</w:t>
      </w:r>
    </w:p>
    <w:p w:rsidR="000B1AA0" w:rsidRDefault="000B1AA0" w:rsidP="00D14FB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74C4E">
        <w:rPr>
          <w:rFonts w:eastAsia="Calibri" w:cs="Calibri"/>
          <w:color w:val="000000"/>
          <w:lang w:eastAsia="it-IT"/>
        </w:rPr>
        <w:t xml:space="preserve">Questa è la sintesi del </w:t>
      </w:r>
      <w:r w:rsidRPr="00774C4E">
        <w:rPr>
          <w:rFonts w:eastAsia="Calibri" w:cs="Calibri"/>
          <w:i/>
          <w:color w:val="000000"/>
          <w:lang w:eastAsia="it-IT"/>
        </w:rPr>
        <w:t>Public Assessment Report</w:t>
      </w:r>
      <w:r w:rsidRPr="00774C4E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41249">
        <w:rPr>
          <w:rFonts w:eastAsia="Calibri" w:cs="Calibri"/>
          <w:color w:val="000000"/>
          <w:lang w:eastAsia="it-IT"/>
        </w:rPr>
        <w:t>Prameffex</w:t>
      </w:r>
      <w:proofErr w:type="spellEnd"/>
      <w:r w:rsidRPr="00774C4E">
        <w:rPr>
          <w:rFonts w:eastAsia="Calibri" w:cs="Calibri"/>
          <w:color w:val="000000"/>
          <w:lang w:eastAsia="it-IT"/>
        </w:rPr>
        <w:t>.</w:t>
      </w:r>
      <w:r w:rsidRPr="00774C4E">
        <w:rPr>
          <w:rFonts w:eastAsia="Calibri" w:cs="Calibri"/>
          <w:bCs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41249">
        <w:rPr>
          <w:rFonts w:eastAsia="Calibri" w:cs="Calibri"/>
          <w:color w:val="000000"/>
          <w:lang w:eastAsia="it-IT"/>
        </w:rPr>
        <w:t>Prameffex</w:t>
      </w:r>
      <w:proofErr w:type="spellEnd"/>
      <w:r w:rsidR="00062636" w:rsidRPr="00774C4E">
        <w:rPr>
          <w:rFonts w:eastAsia="Calibri" w:cs="Calibri"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 xml:space="preserve">è stato valutato </w:t>
      </w:r>
      <w:r w:rsidR="007552D9" w:rsidRPr="00774C4E">
        <w:rPr>
          <w:rFonts w:eastAsia="Calibri" w:cs="Calibri"/>
          <w:lang w:eastAsia="it-IT"/>
        </w:rPr>
        <w:t xml:space="preserve">dalla </w:t>
      </w:r>
      <w:r w:rsidRPr="00774C4E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D52F0A" w:rsidRPr="00774C4E">
        <w:rPr>
          <w:rFonts w:eastAsia="Calibri" w:cs="Calibri"/>
          <w:color w:val="000000"/>
          <w:lang w:eastAsia="it-IT"/>
        </w:rPr>
        <w:t>e le sue condizioni di impiego</w:t>
      </w:r>
      <w:r w:rsidRPr="00774C4E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41249">
        <w:rPr>
          <w:rFonts w:eastAsia="Calibri" w:cs="Calibri"/>
          <w:color w:val="000000"/>
          <w:lang w:eastAsia="it-IT"/>
        </w:rPr>
        <w:t>Prameffex</w:t>
      </w:r>
      <w:proofErr w:type="spellEnd"/>
      <w:r w:rsidRPr="00774C4E">
        <w:rPr>
          <w:rFonts w:eastAsia="Calibri" w:cs="Calibri"/>
          <w:bCs/>
          <w:color w:val="000000"/>
          <w:lang w:eastAsia="it-IT"/>
        </w:rPr>
        <w:t>.</w:t>
      </w:r>
    </w:p>
    <w:p w:rsidR="004241AC" w:rsidRPr="00774C4E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74C4E">
        <w:rPr>
          <w:rFonts w:eastAsia="Calibri" w:cs="Calibri"/>
          <w:color w:val="000000"/>
          <w:lang w:eastAsia="it-IT"/>
        </w:rPr>
        <w:t>Per informazioni pratiche sull'utilizzo di</w:t>
      </w:r>
      <w:r w:rsidRPr="00774C4E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B1AA0">
        <w:rPr>
          <w:rFonts w:eastAsia="Calibri" w:cs="Calibri"/>
          <w:color w:val="000000"/>
          <w:lang w:eastAsia="it-IT"/>
        </w:rPr>
        <w:t>P</w:t>
      </w:r>
      <w:r w:rsidR="00541249">
        <w:rPr>
          <w:rFonts w:eastAsia="Calibri" w:cs="Calibri"/>
          <w:color w:val="000000"/>
          <w:lang w:eastAsia="it-IT"/>
        </w:rPr>
        <w:t>rameffex</w:t>
      </w:r>
      <w:proofErr w:type="spellEnd"/>
      <w:r w:rsidR="00541249">
        <w:rPr>
          <w:rFonts w:eastAsia="Calibri" w:cs="Calibri"/>
          <w:color w:val="000000"/>
          <w:lang w:eastAsia="it-IT"/>
        </w:rPr>
        <w:t xml:space="preserve"> </w:t>
      </w:r>
      <w:r w:rsidRPr="00774C4E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3B3BD7" w:rsidRPr="00774C4E">
        <w:rPr>
          <w:rFonts w:eastAsia="Calibri" w:cs="Calibri"/>
          <w:color w:val="000000"/>
          <w:lang w:eastAsia="it-IT"/>
        </w:rPr>
        <w:t xml:space="preserve"> il farmacista</w:t>
      </w:r>
      <w:r w:rsidRPr="00774C4E">
        <w:rPr>
          <w:rFonts w:eastAsia="Calibri" w:cs="Calibri"/>
          <w:color w:val="000000"/>
          <w:lang w:eastAsia="it-IT"/>
        </w:rPr>
        <w:t xml:space="preserve">. </w:t>
      </w:r>
    </w:p>
    <w:p w:rsidR="004241AC" w:rsidRPr="00774C4E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774C4E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02E20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02E2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B1AA0">
        <w:rPr>
          <w:rFonts w:eastAsia="Calibri" w:cs="Calibri"/>
          <w:b/>
          <w:bCs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E0192" w:rsidRPr="00D02E20">
        <w:rPr>
          <w:rFonts w:eastAsia="Calibri" w:cs="Calibri"/>
          <w:b/>
          <w:bCs/>
          <w:color w:val="000000"/>
          <w:lang w:eastAsia="it-IT"/>
        </w:rPr>
        <w:t>E A COSA SERVE</w:t>
      </w:r>
      <w:r w:rsidRPr="00D02E2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2C7780" w:rsidRDefault="00541249" w:rsidP="00D14FB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Prameffex</w:t>
      </w:r>
      <w:proofErr w:type="spellEnd"/>
      <w:r w:rsidR="000B1AA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C778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2C7780">
        <w:rPr>
          <w:rFonts w:eastAsia="Calibri" w:cs="Calibri"/>
          <w:color w:val="000000"/>
          <w:lang w:eastAsia="it-IT"/>
        </w:rPr>
        <w:t>i</w:t>
      </w:r>
      <w:r w:rsidR="003B3BD7" w:rsidRPr="002C7780">
        <w:rPr>
          <w:rFonts w:eastAsia="Calibri" w:cs="Calibri"/>
          <w:color w:val="000000"/>
          <w:lang w:eastAsia="it-IT"/>
        </w:rPr>
        <w:t>l</w:t>
      </w:r>
      <w:r w:rsidR="004241AC" w:rsidRPr="002C7780">
        <w:rPr>
          <w:rFonts w:eastAsia="Calibri" w:cs="Calibri"/>
          <w:color w:val="000000"/>
          <w:lang w:eastAsia="it-IT"/>
        </w:rPr>
        <w:t xml:space="preserve"> principi</w:t>
      </w:r>
      <w:r w:rsidR="003B3BD7" w:rsidRPr="002C7780">
        <w:rPr>
          <w:rFonts w:eastAsia="Calibri" w:cs="Calibri"/>
          <w:color w:val="000000"/>
          <w:lang w:eastAsia="it-IT"/>
        </w:rPr>
        <w:t>o</w:t>
      </w:r>
      <w:r w:rsidR="004241AC" w:rsidRPr="002C7780">
        <w:rPr>
          <w:rFonts w:eastAsia="Calibri" w:cs="Calibri"/>
          <w:color w:val="000000"/>
          <w:lang w:eastAsia="it-IT"/>
        </w:rPr>
        <w:t xml:space="preserve"> attiv</w:t>
      </w:r>
      <w:r w:rsidR="003B3BD7" w:rsidRPr="002C7780">
        <w:rPr>
          <w:rFonts w:eastAsia="Calibri" w:cs="Calibri"/>
          <w:color w:val="000000"/>
          <w:lang w:eastAsia="it-IT"/>
        </w:rPr>
        <w:t>o</w:t>
      </w:r>
      <w:r w:rsidR="004241AC" w:rsidRPr="002C7780">
        <w:rPr>
          <w:rFonts w:eastAsia="Calibri" w:cs="Calibri"/>
          <w:color w:val="000000"/>
          <w:lang w:eastAsia="it-IT"/>
        </w:rPr>
        <w:t xml:space="preserve"> </w:t>
      </w:r>
      <w:r w:rsidR="00774C4E" w:rsidRPr="002C7780">
        <w:rPr>
          <w:lang w:eastAsia="it-IT"/>
        </w:rPr>
        <w:t>escitalopram</w:t>
      </w:r>
      <w:r w:rsidR="004110E3" w:rsidRPr="002C7780">
        <w:rPr>
          <w:lang w:eastAsia="it-IT"/>
        </w:rPr>
        <w:t xml:space="preserve"> </w:t>
      </w:r>
      <w:r w:rsidR="000E0632" w:rsidRPr="002C7780">
        <w:rPr>
          <w:rFonts w:eastAsia="Calibri" w:cs="Calibri"/>
          <w:color w:val="000000"/>
          <w:lang w:eastAsia="it-IT"/>
        </w:rPr>
        <w:t xml:space="preserve">ed </w:t>
      </w:r>
      <w:r w:rsidR="004241AC" w:rsidRPr="002C7780">
        <w:rPr>
          <w:rFonts w:eastAsia="Calibri" w:cs="Calibri"/>
          <w:color w:val="000000"/>
          <w:lang w:eastAsia="it-IT"/>
        </w:rPr>
        <w:t xml:space="preserve">è disponibile </w:t>
      </w:r>
      <w:r w:rsidR="003B3BD7" w:rsidRPr="002C7780">
        <w:rPr>
          <w:rFonts w:eastAsia="Calibri" w:cs="Calibri"/>
          <w:color w:val="000000"/>
          <w:lang w:eastAsia="it-IT"/>
        </w:rPr>
        <w:t xml:space="preserve">in </w:t>
      </w:r>
      <w:r w:rsidR="00636D58">
        <w:rPr>
          <w:rFonts w:eastAsia="Calibri" w:cs="Calibri"/>
          <w:color w:val="000000"/>
          <w:lang w:eastAsia="it-IT"/>
        </w:rPr>
        <w:t>compresse divisibili</w:t>
      </w:r>
      <w:r w:rsidR="00ED1CA8">
        <w:rPr>
          <w:rFonts w:eastAsia="Calibri" w:cs="Calibri"/>
          <w:color w:val="000000"/>
          <w:lang w:eastAsia="it-IT"/>
        </w:rPr>
        <w:t xml:space="preserve"> contenenti 10</w:t>
      </w:r>
      <w:r>
        <w:rPr>
          <w:rFonts w:eastAsia="Calibri" w:cs="Calibri"/>
          <w:color w:val="000000"/>
          <w:lang w:eastAsia="it-IT"/>
        </w:rPr>
        <w:t xml:space="preserve"> </w:t>
      </w:r>
      <w:r w:rsidR="00ED1CA8">
        <w:rPr>
          <w:rFonts w:eastAsia="Calibri" w:cs="Calibri"/>
          <w:color w:val="000000"/>
          <w:lang w:eastAsia="it-IT"/>
        </w:rPr>
        <w:t>mg  e</w:t>
      </w:r>
      <w:r w:rsidR="00E31DCF">
        <w:rPr>
          <w:rFonts w:eastAsia="Calibri" w:cs="Calibri"/>
          <w:color w:val="000000"/>
          <w:lang w:eastAsia="it-IT"/>
        </w:rPr>
        <w:t xml:space="preserve"> 20 </w:t>
      </w:r>
      <w:r w:rsidR="00D02E20" w:rsidRPr="002C7780">
        <w:rPr>
          <w:rFonts w:eastAsia="Calibri" w:cs="Calibri"/>
          <w:color w:val="000000"/>
          <w:lang w:eastAsia="it-IT"/>
        </w:rPr>
        <w:t>mg</w:t>
      </w:r>
      <w:r w:rsidR="00E31DCF">
        <w:rPr>
          <w:rFonts w:eastAsia="Calibri" w:cs="Calibri"/>
          <w:color w:val="000000"/>
          <w:lang w:eastAsia="it-IT"/>
        </w:rPr>
        <w:t xml:space="preserve"> di principio attivo</w:t>
      </w:r>
      <w:r w:rsidR="005750F3">
        <w:rPr>
          <w:rFonts w:eastAsia="Calibri" w:cs="Calibri"/>
          <w:color w:val="000000"/>
          <w:lang w:eastAsia="it-IT"/>
        </w:rPr>
        <w:t xml:space="preserve"> e in </w:t>
      </w:r>
      <w:r w:rsidR="007401FA">
        <w:rPr>
          <w:rFonts w:eastAsia="Calibri" w:cs="Calibri"/>
          <w:color w:val="000000"/>
          <w:lang w:eastAsia="it-IT"/>
        </w:rPr>
        <w:t xml:space="preserve">gocce orali contenenti </w:t>
      </w:r>
      <w:r>
        <w:rPr>
          <w:rFonts w:eastAsia="Calibri" w:cs="Calibri"/>
          <w:color w:val="000000"/>
          <w:lang w:eastAsia="it-IT"/>
        </w:rPr>
        <w:t xml:space="preserve">il </w:t>
      </w:r>
      <w:r w:rsidR="005750F3">
        <w:rPr>
          <w:rFonts w:eastAsia="Calibri" w:cs="Calibri"/>
          <w:color w:val="000000"/>
          <w:lang w:eastAsia="it-IT"/>
        </w:rPr>
        <w:t>principio attivo</w:t>
      </w:r>
      <w:r>
        <w:rPr>
          <w:rFonts w:eastAsia="Calibri" w:cs="Calibri"/>
          <w:color w:val="000000"/>
          <w:lang w:eastAsia="it-IT"/>
        </w:rPr>
        <w:t xml:space="preserve"> alla concentrazione di 20mg/ml di</w:t>
      </w:r>
      <w:r w:rsidR="00D02E20" w:rsidRPr="002C7780">
        <w:rPr>
          <w:rFonts w:eastAsia="Calibri" w:cs="Calibri"/>
          <w:color w:val="000000"/>
          <w:lang w:eastAsia="it-IT"/>
        </w:rPr>
        <w:t>.</w:t>
      </w:r>
    </w:p>
    <w:p w:rsidR="004B1E51" w:rsidRPr="002C7780" w:rsidRDefault="00541249" w:rsidP="00D14FB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color w:val="000000"/>
          <w:lang w:eastAsia="it-IT"/>
        </w:rPr>
        <w:t xml:space="preserve"> </w:t>
      </w:r>
      <w:r w:rsidR="004B1E51" w:rsidRPr="002C778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r w:rsidR="00D02E20" w:rsidRPr="002C7780">
        <w:rPr>
          <w:rFonts w:eastAsia="Calibri" w:cs="Calibri"/>
          <w:color w:val="000000"/>
          <w:lang w:eastAsia="it-IT"/>
        </w:rPr>
        <w:t>Cipralex</w:t>
      </w:r>
      <w:r w:rsidR="00891C5D" w:rsidRPr="002C7780">
        <w:rPr>
          <w:rFonts w:eastAsia="Calibri" w:cs="Calibri"/>
          <w:color w:val="000000"/>
          <w:lang w:eastAsia="it-IT"/>
        </w:rPr>
        <w:t xml:space="preserve"> che è stato autorizzato con procedura di mutuo riconoscimento con la Svezia come stato di riferimento (</w:t>
      </w:r>
      <w:hyperlink r:id="rId6" w:history="1">
        <w:r w:rsidR="00891C5D" w:rsidRPr="002C7780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891C5D" w:rsidRPr="002C7780">
        <w:rPr>
          <w:rFonts w:cs="Arial"/>
          <w:shd w:val="clear" w:color="auto" w:fill="FFFFFF"/>
        </w:rPr>
        <w:t>)</w:t>
      </w:r>
      <w:r w:rsidR="00891C5D" w:rsidRPr="002C7780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891C5D" w:rsidRPr="002C778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891C5D" w:rsidRPr="002C7780">
        <w:rPr>
          <w:rFonts w:eastAsia="Calibri" w:cs="Calibri"/>
          <w:lang w:eastAsia="it-IT"/>
        </w:rPr>
        <w:t>)</w:t>
      </w:r>
      <w:r w:rsidR="00891C5D" w:rsidRPr="002C7780">
        <w:t xml:space="preserve"> </w:t>
      </w:r>
      <w:r w:rsidR="00891C5D" w:rsidRPr="002C7780">
        <w:rPr>
          <w:rFonts w:eastAsia="Calibri" w:cs="Calibri"/>
          <w:color w:val="000000"/>
          <w:lang w:eastAsia="it-IT"/>
        </w:rPr>
        <w:t xml:space="preserve">è possibile consultare il Riassunto delle </w:t>
      </w:r>
      <w:r w:rsidR="007401FA">
        <w:rPr>
          <w:rFonts w:eastAsia="Calibri" w:cs="Calibri"/>
          <w:color w:val="000000"/>
          <w:lang w:eastAsia="it-IT"/>
        </w:rPr>
        <w:t>C</w:t>
      </w:r>
      <w:r w:rsidR="00891C5D" w:rsidRPr="002C7780">
        <w:rPr>
          <w:rFonts w:eastAsia="Calibri" w:cs="Calibri"/>
          <w:color w:val="000000"/>
          <w:lang w:eastAsia="it-IT"/>
        </w:rPr>
        <w:t xml:space="preserve">aratteristiche del </w:t>
      </w:r>
      <w:r w:rsidR="007401FA">
        <w:rPr>
          <w:rFonts w:eastAsia="Calibri" w:cs="Calibri"/>
          <w:color w:val="000000"/>
          <w:lang w:eastAsia="it-IT"/>
        </w:rPr>
        <w:t>P</w:t>
      </w:r>
      <w:r w:rsidR="00891C5D" w:rsidRPr="002C7780">
        <w:rPr>
          <w:rFonts w:eastAsia="Calibri" w:cs="Calibri"/>
          <w:color w:val="000000"/>
          <w:lang w:eastAsia="it-IT"/>
        </w:rPr>
        <w:t xml:space="preserve">rodotto e il </w:t>
      </w:r>
      <w:r w:rsidR="007401FA">
        <w:rPr>
          <w:rFonts w:eastAsia="Calibri" w:cs="Calibri"/>
          <w:color w:val="000000"/>
          <w:lang w:eastAsia="it-IT"/>
        </w:rPr>
        <w:t>F</w:t>
      </w:r>
      <w:r w:rsidR="00891C5D" w:rsidRPr="002C7780">
        <w:rPr>
          <w:rFonts w:eastAsia="Calibri" w:cs="Calibri"/>
          <w:color w:val="000000"/>
          <w:lang w:eastAsia="it-IT"/>
        </w:rPr>
        <w:t xml:space="preserve">oglio </w:t>
      </w:r>
      <w:r w:rsidR="007401FA">
        <w:rPr>
          <w:rFonts w:eastAsia="Calibri" w:cs="Calibri"/>
          <w:color w:val="000000"/>
          <w:lang w:eastAsia="it-IT"/>
        </w:rPr>
        <w:t>I</w:t>
      </w:r>
      <w:r w:rsidR="00891C5D" w:rsidRPr="002C7780">
        <w:rPr>
          <w:rFonts w:eastAsia="Calibri" w:cs="Calibri"/>
          <w:color w:val="000000"/>
          <w:lang w:eastAsia="it-IT"/>
        </w:rPr>
        <w:t xml:space="preserve">llustrativo di </w:t>
      </w:r>
      <w:r w:rsidR="00D02E20" w:rsidRPr="002C7780">
        <w:rPr>
          <w:rFonts w:eastAsia="Calibri" w:cs="Calibri"/>
          <w:color w:val="000000"/>
          <w:lang w:eastAsia="it-IT"/>
        </w:rPr>
        <w:t>Cipralex</w:t>
      </w:r>
      <w:r w:rsidR="00891C5D" w:rsidRPr="002C7780">
        <w:rPr>
          <w:rFonts w:eastAsia="Calibri" w:cs="Calibri"/>
          <w:color w:val="000000"/>
          <w:lang w:eastAsia="it-IT"/>
        </w:rPr>
        <w:t>.</w:t>
      </w:r>
    </w:p>
    <w:p w:rsidR="00891C5D" w:rsidRPr="002C7780" w:rsidRDefault="00541249" w:rsidP="00D14FBB">
      <w:pPr>
        <w:pStyle w:val="SPCnormal"/>
        <w:jc w:val="both"/>
        <w:rPr>
          <w:rFonts w:asciiTheme="minorHAnsi" w:hAnsiTheme="minorHAnsi"/>
          <w:lang w:val="it-IT"/>
        </w:rPr>
      </w:pPr>
      <w:proofErr w:type="spellStart"/>
      <w:r>
        <w:rPr>
          <w:rFonts w:asciiTheme="minorHAnsi" w:eastAsia="Calibri" w:hAnsiTheme="minorHAnsi" w:cs="Calibri"/>
          <w:color w:val="000000"/>
          <w:lang w:val="it-IT" w:eastAsia="it-IT"/>
        </w:rPr>
        <w:t>Prameffex</w:t>
      </w:r>
      <w:proofErr w:type="spellEnd"/>
      <w:r w:rsidR="00BC06C8">
        <w:rPr>
          <w:rFonts w:asciiTheme="minorHAnsi" w:eastAsia="Calibri" w:hAnsiTheme="minorHAnsi" w:cs="Calibri"/>
          <w:color w:val="000000"/>
          <w:lang w:val="it-IT" w:eastAsia="it-IT"/>
        </w:rPr>
        <w:t xml:space="preserve"> </w:t>
      </w:r>
      <w:r w:rsidR="003B3BD7" w:rsidRPr="002C7780">
        <w:rPr>
          <w:rFonts w:asciiTheme="minorHAnsi" w:eastAsia="Calibri" w:hAnsiTheme="minorHAnsi" w:cs="Calibri"/>
          <w:color w:val="000000"/>
          <w:lang w:val="it-IT" w:eastAsia="it-IT"/>
        </w:rPr>
        <w:t xml:space="preserve"> è utilizzato </w:t>
      </w:r>
      <w:r w:rsidRPr="002C7780">
        <w:rPr>
          <w:rFonts w:asciiTheme="minorHAnsi" w:hAnsiTheme="minorHAnsi"/>
          <w:lang w:val="it-IT"/>
        </w:rPr>
        <w:t xml:space="preserve">negli adulti </w:t>
      </w:r>
      <w:r w:rsidR="002C7780" w:rsidRPr="002C7780">
        <w:rPr>
          <w:rFonts w:asciiTheme="minorHAnsi" w:hAnsiTheme="minorHAnsi"/>
          <w:lang w:val="it-IT"/>
        </w:rPr>
        <w:t xml:space="preserve">per trattare la depressione (episodi depressivi maggiori) e l’ansia (come </w:t>
      </w:r>
      <w:r>
        <w:rPr>
          <w:rFonts w:asciiTheme="minorHAnsi" w:hAnsiTheme="minorHAnsi"/>
          <w:lang w:val="it-IT"/>
        </w:rPr>
        <w:t xml:space="preserve">i </w:t>
      </w:r>
      <w:r w:rsidR="002C7780" w:rsidRPr="002C7780">
        <w:rPr>
          <w:rFonts w:asciiTheme="minorHAnsi" w:hAnsiTheme="minorHAnsi"/>
          <w:lang w:val="it-IT"/>
        </w:rPr>
        <w:t xml:space="preserve">disturbi da attacchi di panico con o senza agorafobia, </w:t>
      </w:r>
      <w:r>
        <w:rPr>
          <w:rFonts w:asciiTheme="minorHAnsi" w:hAnsiTheme="minorHAnsi"/>
          <w:lang w:val="it-IT"/>
        </w:rPr>
        <w:t xml:space="preserve">il </w:t>
      </w:r>
      <w:r w:rsidR="002C7780" w:rsidRPr="002C7780">
        <w:rPr>
          <w:rFonts w:asciiTheme="minorHAnsi" w:hAnsiTheme="minorHAnsi"/>
          <w:lang w:val="it-IT"/>
        </w:rPr>
        <w:t xml:space="preserve">disturbo d’ansia sociale, </w:t>
      </w:r>
      <w:r>
        <w:rPr>
          <w:rFonts w:asciiTheme="minorHAnsi" w:hAnsiTheme="minorHAnsi"/>
          <w:lang w:val="it-IT"/>
        </w:rPr>
        <w:t xml:space="preserve">il </w:t>
      </w:r>
      <w:r w:rsidR="002C7780" w:rsidRPr="002C7780">
        <w:rPr>
          <w:rFonts w:asciiTheme="minorHAnsi" w:hAnsiTheme="minorHAnsi"/>
          <w:lang w:val="it-IT"/>
        </w:rPr>
        <w:t xml:space="preserve">disturbo d’ansia generalizzato e </w:t>
      </w:r>
      <w:r>
        <w:rPr>
          <w:rFonts w:asciiTheme="minorHAnsi" w:hAnsiTheme="minorHAnsi"/>
          <w:lang w:val="it-IT"/>
        </w:rPr>
        <w:t xml:space="preserve">il </w:t>
      </w:r>
      <w:r w:rsidR="002C7780" w:rsidRPr="002C7780">
        <w:rPr>
          <w:rFonts w:asciiTheme="minorHAnsi" w:hAnsiTheme="minorHAnsi"/>
          <w:lang w:val="it-IT"/>
        </w:rPr>
        <w:t>disturbo ossessivo compulsivo)</w:t>
      </w:r>
      <w:r w:rsidR="00891C5D" w:rsidRPr="002C7780">
        <w:rPr>
          <w:rFonts w:asciiTheme="minorHAnsi" w:hAnsiTheme="minorHAnsi"/>
          <w:lang w:val="it-IT"/>
        </w:rPr>
        <w:t>.</w:t>
      </w:r>
    </w:p>
    <w:p w:rsidR="004241AC" w:rsidRPr="002C7780" w:rsidRDefault="004241AC" w:rsidP="00D14FBB">
      <w:pPr>
        <w:tabs>
          <w:tab w:val="left" w:pos="426"/>
          <w:tab w:val="left" w:pos="1152"/>
          <w:tab w:val="left" w:pos="5472"/>
          <w:tab w:val="left" w:pos="6912"/>
          <w:tab w:val="left" w:pos="11088"/>
          <w:tab w:val="right" w:pos="17136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2C7780" w:rsidRDefault="00E83F8D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C7780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C778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41249">
        <w:rPr>
          <w:rFonts w:eastAsia="Calibri" w:cs="Calibri"/>
          <w:b/>
          <w:bCs/>
          <w:color w:val="000000"/>
          <w:lang w:eastAsia="it-IT"/>
        </w:rPr>
        <w:t>Prameffex</w:t>
      </w:r>
      <w:proofErr w:type="spellEnd"/>
      <w:r w:rsidRPr="002C7780">
        <w:rPr>
          <w:rFonts w:eastAsia="Calibri" w:cs="Calibri"/>
          <w:b/>
          <w:bCs/>
          <w:color w:val="000000"/>
          <w:lang w:eastAsia="it-IT"/>
        </w:rPr>
        <w:t>?</w:t>
      </w:r>
    </w:p>
    <w:p w:rsidR="003B3BD7" w:rsidRPr="002C7780" w:rsidRDefault="00541249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color w:val="000000"/>
          <w:lang w:eastAsia="it-IT"/>
        </w:rPr>
        <w:t xml:space="preserve"> </w:t>
      </w:r>
      <w:r w:rsidR="005658C4" w:rsidRPr="002C7780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91C5D" w:rsidRPr="002C7780" w:rsidRDefault="00891C5D" w:rsidP="00D14FBB">
      <w:pPr>
        <w:pStyle w:val="SPCnormal"/>
        <w:jc w:val="both"/>
        <w:rPr>
          <w:rFonts w:asciiTheme="minorHAnsi" w:hAnsiTheme="minorHAnsi"/>
          <w:snapToGrid w:val="0"/>
          <w:lang w:val="it-IT"/>
        </w:rPr>
      </w:pPr>
      <w:r w:rsidRPr="002C7780">
        <w:rPr>
          <w:rFonts w:asciiTheme="minorHAnsi" w:hAnsiTheme="minorHAnsi"/>
          <w:snapToGrid w:val="0"/>
          <w:lang w:val="it-IT"/>
        </w:rPr>
        <w:t xml:space="preserve">La dose raccomandata iniziale </w:t>
      </w:r>
      <w:r w:rsidR="002C7780" w:rsidRPr="002C7780">
        <w:rPr>
          <w:rFonts w:asciiTheme="minorHAnsi" w:hAnsiTheme="minorHAnsi"/>
          <w:snapToGrid w:val="0"/>
          <w:lang w:val="it-IT"/>
        </w:rPr>
        <w:t xml:space="preserve">negli adulti </w:t>
      </w:r>
      <w:r w:rsidRPr="002C7780">
        <w:rPr>
          <w:rFonts w:asciiTheme="minorHAnsi" w:hAnsiTheme="minorHAnsi"/>
          <w:snapToGrid w:val="0"/>
          <w:lang w:val="it-IT"/>
        </w:rPr>
        <w:t>è di 1</w:t>
      </w:r>
      <w:r w:rsidR="002C7780" w:rsidRPr="002C7780">
        <w:rPr>
          <w:rFonts w:asciiTheme="minorHAnsi" w:hAnsiTheme="minorHAnsi"/>
          <w:snapToGrid w:val="0"/>
          <w:lang w:val="it-IT"/>
        </w:rPr>
        <w:t>0</w:t>
      </w:r>
      <w:r w:rsidRPr="002C7780">
        <w:rPr>
          <w:rFonts w:asciiTheme="minorHAnsi" w:hAnsiTheme="minorHAnsi"/>
          <w:snapToGrid w:val="0"/>
          <w:lang w:val="it-IT"/>
        </w:rPr>
        <w:t xml:space="preserve"> mg</w:t>
      </w:r>
      <w:r w:rsidR="002C7780" w:rsidRPr="002C7780">
        <w:rPr>
          <w:rFonts w:asciiTheme="minorHAnsi" w:hAnsiTheme="minorHAnsi"/>
          <w:snapToGrid w:val="0"/>
          <w:lang w:val="it-IT"/>
        </w:rPr>
        <w:t xml:space="preserve"> </w:t>
      </w:r>
      <w:r w:rsidRPr="002C7780">
        <w:rPr>
          <w:rFonts w:asciiTheme="minorHAnsi" w:hAnsiTheme="minorHAnsi"/>
          <w:snapToGrid w:val="0"/>
          <w:lang w:val="it-IT"/>
        </w:rPr>
        <w:t>al giorno</w:t>
      </w:r>
      <w:r w:rsidR="002C7780" w:rsidRPr="002C7780">
        <w:rPr>
          <w:rFonts w:asciiTheme="minorHAnsi" w:hAnsiTheme="minorHAnsi"/>
          <w:snapToGrid w:val="0"/>
          <w:lang w:val="it-IT"/>
        </w:rPr>
        <w:t>; il medico potrà adattare que</w:t>
      </w:r>
      <w:r w:rsidR="002C7780">
        <w:rPr>
          <w:rFonts w:asciiTheme="minorHAnsi" w:hAnsiTheme="minorHAnsi"/>
          <w:snapToGrid w:val="0"/>
          <w:lang w:val="it-IT"/>
        </w:rPr>
        <w:t>s</w:t>
      </w:r>
      <w:r w:rsidR="002C7780" w:rsidRPr="002C7780">
        <w:rPr>
          <w:rFonts w:asciiTheme="minorHAnsi" w:hAnsiTheme="minorHAnsi"/>
          <w:snapToGrid w:val="0"/>
          <w:lang w:val="it-IT"/>
        </w:rPr>
        <w:t>ta dose alle condizioni del paziente fino ad un massimo di 20 mg al giorno.</w:t>
      </w:r>
      <w:r w:rsidR="00636D58">
        <w:rPr>
          <w:rFonts w:asciiTheme="minorHAnsi" w:hAnsiTheme="minorHAnsi"/>
          <w:snapToGrid w:val="0"/>
          <w:lang w:val="it-IT"/>
        </w:rPr>
        <w:t xml:space="preserve"> Le compresse sono divisibili in due parti equivalenti per permettere un opportuno aggiustamento della dose.</w:t>
      </w:r>
    </w:p>
    <w:p w:rsidR="007D2B66" w:rsidRPr="002C7780" w:rsidRDefault="002C7780" w:rsidP="00D14FBB">
      <w:pPr>
        <w:tabs>
          <w:tab w:val="left" w:pos="567"/>
        </w:tabs>
        <w:spacing w:after="0" w:line="240" w:lineRule="auto"/>
        <w:jc w:val="both"/>
      </w:pPr>
      <w:r>
        <w:t>Nei</w:t>
      </w:r>
      <w:r w:rsidRPr="002C7780">
        <w:t xml:space="preserve"> pazienti anziani </w:t>
      </w:r>
      <w:r>
        <w:t xml:space="preserve">e nei pazienti con problemi al fegato </w:t>
      </w:r>
      <w:r w:rsidRPr="002C7780">
        <w:t>queste dosi possono essere ridott</w:t>
      </w:r>
      <w:r>
        <w:t>e</w:t>
      </w:r>
      <w:r w:rsidRPr="002C7780">
        <w:t>.</w:t>
      </w:r>
    </w:p>
    <w:p w:rsidR="002C7780" w:rsidRPr="002C7780" w:rsidRDefault="002C7780" w:rsidP="00D14FBB">
      <w:pPr>
        <w:tabs>
          <w:tab w:val="left" w:pos="567"/>
        </w:tabs>
        <w:spacing w:after="0" w:line="240" w:lineRule="auto"/>
        <w:jc w:val="both"/>
        <w:rPr>
          <w:rFonts w:eastAsia="Calibri" w:cs="Times New Roman"/>
        </w:rPr>
      </w:pPr>
      <w:r w:rsidRPr="002C7780">
        <w:lastRenderedPageBreak/>
        <w:t>I bambini e gli adolescenti (età fino a 18 anni) non devono assumere questo medicinale</w:t>
      </w:r>
      <w:r w:rsidR="003E0283">
        <w:t>.</w:t>
      </w:r>
    </w:p>
    <w:p w:rsidR="00AD1A27" w:rsidRPr="007D026E" w:rsidRDefault="00636D58" w:rsidP="00D14FBB">
      <w:pPr>
        <w:spacing w:after="0" w:line="240" w:lineRule="auto"/>
        <w:jc w:val="both"/>
        <w:rPr>
          <w:highlight w:val="yellow"/>
          <w:lang w:eastAsia="it-IT"/>
        </w:rPr>
      </w:pPr>
      <w:r w:rsidRPr="007D026E">
        <w:t>Le compresse devono essere assunte con un po’ di acqua, indipendentemente dai pasti</w:t>
      </w:r>
      <w:r w:rsidR="007D026E" w:rsidRPr="007D026E">
        <w:t xml:space="preserve">, le gocce possono essere </w:t>
      </w:r>
      <w:r w:rsidR="007D026E" w:rsidRPr="007D026E">
        <w:rPr>
          <w:rFonts w:ascii="Calibri" w:eastAsia="Calibri" w:hAnsi="Calibri" w:cs="Tahoma"/>
          <w:spacing w:val="-3"/>
        </w:rPr>
        <w:t>miscelat</w:t>
      </w:r>
      <w:r w:rsidR="007D026E" w:rsidRPr="007D026E">
        <w:rPr>
          <w:rFonts w:ascii="Calibri" w:hAnsi="Calibri" w:cs="Tahoma"/>
          <w:spacing w:val="-3"/>
        </w:rPr>
        <w:t>e</w:t>
      </w:r>
      <w:r w:rsidR="007D026E" w:rsidRPr="007D026E">
        <w:rPr>
          <w:rFonts w:ascii="Calibri" w:eastAsia="Calibri" w:hAnsi="Calibri" w:cs="Tahoma"/>
          <w:spacing w:val="-3"/>
        </w:rPr>
        <w:t xml:space="preserve"> con acqua, succo d’arancia o succo di mela</w:t>
      </w:r>
      <w:r w:rsidR="003E0283">
        <w:t>.</w:t>
      </w:r>
    </w:p>
    <w:p w:rsidR="004241AC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2C7780" w:rsidRPr="007B0755" w:rsidRDefault="002C7780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highlight w:val="yellow"/>
          <w:lang w:eastAsia="it-IT"/>
        </w:rPr>
      </w:pPr>
    </w:p>
    <w:p w:rsidR="004241AC" w:rsidRPr="00D02E20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541249">
        <w:rPr>
          <w:rFonts w:eastAsia="Calibri" w:cs="Calibri"/>
          <w:b/>
          <w:bCs/>
          <w:lang w:eastAsia="it-IT"/>
        </w:rPr>
        <w:t>Prameffex</w:t>
      </w:r>
      <w:proofErr w:type="spellEnd"/>
      <w:r w:rsidRPr="00D02E20">
        <w:rPr>
          <w:rFonts w:eastAsia="Calibri" w:cs="Calibri"/>
          <w:b/>
          <w:bCs/>
          <w:lang w:eastAsia="it-IT"/>
        </w:rPr>
        <w:t xml:space="preserve">? </w:t>
      </w:r>
    </w:p>
    <w:p w:rsidR="00891C5D" w:rsidRPr="007B0755" w:rsidRDefault="00541249" w:rsidP="00D14FBB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Prameffex</w:t>
      </w:r>
      <w:proofErr w:type="spellEnd"/>
      <w:r w:rsidR="00E6595F" w:rsidRPr="00A61E34">
        <w:rPr>
          <w:rFonts w:eastAsia="Calibri" w:cs="Calibri"/>
          <w:color w:val="000000"/>
          <w:lang w:eastAsia="it-IT"/>
        </w:rPr>
        <w:t>,</w:t>
      </w:r>
      <w:r w:rsidR="00E6595F" w:rsidRPr="00A61E34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A61E34" w:rsidRPr="00A61E34">
        <w:t>N06AB10</w:t>
      </w:r>
      <w:r w:rsidR="00E6595F" w:rsidRPr="00A61E34">
        <w:rPr>
          <w:rFonts w:ascii="Calibri" w:hAnsi="Calibri"/>
          <w:spacing w:val="-3"/>
        </w:rPr>
        <w:t>,</w:t>
      </w:r>
      <w:r w:rsidR="00E43089" w:rsidRPr="00A61E34">
        <w:rPr>
          <w:rFonts w:eastAsia="DejaVuSans" w:cs="DejaVuSans"/>
        </w:rPr>
        <w:t xml:space="preserve"> </w:t>
      </w:r>
      <w:r w:rsidR="004241AC" w:rsidRPr="00A61E34">
        <w:rPr>
          <w:rFonts w:eastAsia="Calibri" w:cs="Calibri"/>
          <w:color w:val="000000"/>
          <w:lang w:eastAsia="it-IT"/>
        </w:rPr>
        <w:t>contiene i</w:t>
      </w:r>
      <w:r w:rsidR="00785B6C" w:rsidRPr="00A61E34">
        <w:rPr>
          <w:rFonts w:eastAsia="Calibri" w:cs="Calibri"/>
          <w:color w:val="000000"/>
          <w:lang w:eastAsia="it-IT"/>
        </w:rPr>
        <w:t>l</w:t>
      </w:r>
      <w:r w:rsidR="004241AC" w:rsidRPr="00A61E34">
        <w:rPr>
          <w:rFonts w:eastAsia="Calibri" w:cs="Calibri"/>
          <w:color w:val="000000"/>
          <w:lang w:eastAsia="it-IT"/>
        </w:rPr>
        <w:t xml:space="preserve"> principi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4241AC" w:rsidRPr="00A61E34">
        <w:rPr>
          <w:rFonts w:eastAsia="Calibri" w:cs="Calibri"/>
          <w:color w:val="000000"/>
          <w:lang w:eastAsia="it-IT"/>
        </w:rPr>
        <w:t xml:space="preserve"> attiv</w:t>
      </w:r>
      <w:r w:rsidR="00785B6C" w:rsidRPr="00A61E34">
        <w:rPr>
          <w:rFonts w:eastAsia="Calibri" w:cs="Calibri"/>
          <w:color w:val="000000"/>
          <w:lang w:eastAsia="it-IT"/>
        </w:rPr>
        <w:t>o</w:t>
      </w:r>
      <w:r w:rsidR="004241AC" w:rsidRPr="00A61E34">
        <w:rPr>
          <w:rFonts w:eastAsia="Calibri" w:cs="Calibri"/>
          <w:color w:val="000000"/>
          <w:lang w:eastAsia="it-IT"/>
        </w:rPr>
        <w:t xml:space="preserve"> </w:t>
      </w:r>
      <w:r w:rsidR="00774C4E" w:rsidRPr="00A61E34">
        <w:rPr>
          <w:snapToGrid w:val="0"/>
        </w:rPr>
        <w:t>escitalopram</w:t>
      </w:r>
      <w:r w:rsidR="004110E3" w:rsidRPr="00A61E34">
        <w:rPr>
          <w:snapToGrid w:val="0"/>
        </w:rPr>
        <w:t xml:space="preserve"> </w:t>
      </w:r>
      <w:r w:rsidR="002C7780" w:rsidRPr="00A61E34">
        <w:t>che</w:t>
      </w:r>
      <w:r w:rsidR="002C7780">
        <w:t xml:space="preserve"> appartiene al gruppo dei medicinali antidepressivi chiamati </w:t>
      </w:r>
      <w:r>
        <w:t>I</w:t>
      </w:r>
      <w:r w:rsidR="002C7780">
        <w:t xml:space="preserve">nibitori Selettivi della </w:t>
      </w:r>
      <w:proofErr w:type="spellStart"/>
      <w:r w:rsidR="002C7780">
        <w:t>Ricaptazione</w:t>
      </w:r>
      <w:proofErr w:type="spellEnd"/>
      <w:r w:rsidR="002C7780">
        <w:t xml:space="preserve"> della Serotonina (SSRI). Questi medicinali aiutano</w:t>
      </w:r>
      <w:r>
        <w:t xml:space="preserve"> </w:t>
      </w:r>
      <w:r w:rsidR="002C7780">
        <w:t>ad aumentare i livelli di serotonina nel cervello</w:t>
      </w:r>
      <w:r>
        <w:t xml:space="preserve">, la cui </w:t>
      </w:r>
      <w:r w:rsidR="002C7780">
        <w:t>alterazion</w:t>
      </w:r>
      <w:r>
        <w:t>e</w:t>
      </w:r>
      <w:r w:rsidR="002C7780">
        <w:t xml:space="preserve"> </w:t>
      </w:r>
      <w:r w:rsidR="00D14FBB">
        <w:t>è</w:t>
      </w:r>
      <w:r w:rsidR="002C7780">
        <w:t xml:space="preserve"> considerat</w:t>
      </w:r>
      <w:r w:rsidR="00D14FBB">
        <w:t>a un</w:t>
      </w:r>
      <w:r w:rsidR="002C7780">
        <w:t xml:space="preserve"> fattor</w:t>
      </w:r>
      <w:r w:rsidR="00D14FBB">
        <w:t>e</w:t>
      </w:r>
      <w:r w:rsidR="002C7780">
        <w:t xml:space="preserve"> important</w:t>
      </w:r>
      <w:r w:rsidR="00D14FBB">
        <w:t>e</w:t>
      </w:r>
      <w:r w:rsidR="002C7780">
        <w:t xml:space="preserve"> per lo sviluppo di depressione e dei disturbi ad essa correlati.</w:t>
      </w:r>
    </w:p>
    <w:p w:rsidR="00350ECC" w:rsidRDefault="00350ECC" w:rsidP="00D14FB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2C7780" w:rsidRPr="007B0755" w:rsidRDefault="002C7780" w:rsidP="00D14FB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A61E34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1E3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D14FBB">
        <w:rPr>
          <w:rFonts w:eastAsia="Calibri" w:cs="Calibri"/>
          <w:b/>
          <w:bCs/>
          <w:color w:val="000000"/>
          <w:lang w:eastAsia="it-IT"/>
        </w:rPr>
        <w:t>Prameffex</w:t>
      </w:r>
      <w:proofErr w:type="spellEnd"/>
      <w:r w:rsidRPr="00A61E34">
        <w:rPr>
          <w:rFonts w:eastAsia="Calibri" w:cs="Calibri"/>
          <w:b/>
          <w:bCs/>
          <w:lang w:eastAsia="it-IT"/>
        </w:rPr>
        <w:t xml:space="preserve">? </w:t>
      </w:r>
    </w:p>
    <w:p w:rsidR="00636D58" w:rsidRPr="00452241" w:rsidRDefault="007D2B66" w:rsidP="00D14FBB">
      <w:pPr>
        <w:spacing w:after="0" w:line="240" w:lineRule="auto"/>
        <w:jc w:val="both"/>
        <w:rPr>
          <w:rFonts w:cs="Arial"/>
        </w:rPr>
      </w:pPr>
      <w:r w:rsidRPr="00A61E34">
        <w:rPr>
          <w:rFonts w:ascii="Calibri" w:hAnsi="Calibri" w:cs="Arial"/>
        </w:rPr>
        <w:t xml:space="preserve">Poiché </w:t>
      </w:r>
      <w:proofErr w:type="spellStart"/>
      <w:r w:rsidR="00D14FBB">
        <w:rPr>
          <w:rFonts w:eastAsia="Calibri" w:cs="Calibri"/>
          <w:bCs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bCs/>
          <w:color w:val="000000"/>
          <w:lang w:eastAsia="it-IT"/>
        </w:rPr>
        <w:t xml:space="preserve"> </w:t>
      </w:r>
      <w:r w:rsidR="005750F3">
        <w:rPr>
          <w:rFonts w:eastAsia="Calibri" w:cs="Calibri"/>
          <w:bCs/>
          <w:color w:val="000000"/>
          <w:lang w:eastAsia="it-IT"/>
        </w:rPr>
        <w:t xml:space="preserve"> </w:t>
      </w:r>
      <w:r w:rsidR="00A61E34" w:rsidRPr="00A61E34">
        <w:rPr>
          <w:rFonts w:ascii="Calibri" w:hAnsi="Calibri" w:cs="Arial"/>
        </w:rPr>
        <w:t>è un medicinale generico</w:t>
      </w:r>
      <w:r w:rsidR="00636D58">
        <w:rPr>
          <w:rFonts w:ascii="Calibri" w:hAnsi="Calibri" w:cs="Arial"/>
        </w:rPr>
        <w:t>,</w:t>
      </w:r>
      <w:r w:rsidR="00A61E34" w:rsidRPr="00A61E34">
        <w:rPr>
          <w:rFonts w:ascii="Calibri" w:hAnsi="Calibri" w:cs="Arial"/>
        </w:rPr>
        <w:t xml:space="preserve"> </w:t>
      </w:r>
      <w:r w:rsidR="00636D58" w:rsidRPr="00452241">
        <w:rPr>
          <w:rFonts w:cs="Arial"/>
        </w:rPr>
        <w:t>è stato sufficiente effettuare prove cliniche per determinare</w:t>
      </w:r>
      <w:r w:rsidR="00636D58" w:rsidRPr="00452241">
        <w:rPr>
          <w:rFonts w:cs="Arial"/>
          <w:b/>
        </w:rPr>
        <w:t xml:space="preserve"> </w:t>
      </w:r>
      <w:r w:rsidR="00636D58" w:rsidRPr="00452241">
        <w:rPr>
          <w:rFonts w:cs="Arial"/>
        </w:rPr>
        <w:t xml:space="preserve">la bioequivalenza rispetto al medicinale </w:t>
      </w:r>
      <w:r w:rsidR="00636D58">
        <w:rPr>
          <w:rFonts w:cs="Arial"/>
        </w:rPr>
        <w:t>Cipralex</w:t>
      </w:r>
      <w:r w:rsidR="00636D58" w:rsidRPr="00452241">
        <w:rPr>
          <w:rFonts w:cs="Arial"/>
        </w:rPr>
        <w:t xml:space="preserve">. Due medicinali sono bioequivalenti quando producono gli stessi livelli di principio attivo nell’organismo. </w:t>
      </w:r>
    </w:p>
    <w:p w:rsidR="00A61E34" w:rsidRPr="00A61E34" w:rsidRDefault="00A61E34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0DBA" w:rsidRPr="00A61E34" w:rsidRDefault="00BB0DBA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B1E51" w:rsidRPr="00D02E20" w:rsidRDefault="004B1E51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1E3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D14FBB">
        <w:rPr>
          <w:rFonts w:eastAsia="Calibri" w:cs="Calibri"/>
          <w:b/>
          <w:bCs/>
          <w:color w:val="000000"/>
          <w:lang w:eastAsia="it-IT"/>
        </w:rPr>
        <w:t>Prameffex</w:t>
      </w:r>
      <w:proofErr w:type="spellEnd"/>
      <w:r w:rsidRPr="00A61E34">
        <w:rPr>
          <w:rFonts w:eastAsia="Calibri" w:cs="Calibri"/>
          <w:b/>
          <w:lang w:eastAsia="it-IT"/>
        </w:rPr>
        <w:t>?</w:t>
      </w:r>
      <w:r w:rsidRPr="00D02E20">
        <w:rPr>
          <w:rFonts w:eastAsia="Calibri" w:cs="Calibri"/>
          <w:lang w:eastAsia="it-IT"/>
        </w:rPr>
        <w:t xml:space="preserve"> </w:t>
      </w:r>
    </w:p>
    <w:p w:rsidR="004B1E51" w:rsidRPr="00D02E20" w:rsidRDefault="00D14FBB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bCs/>
          <w:color w:val="000000"/>
          <w:lang w:eastAsia="it-IT"/>
        </w:rPr>
        <w:t xml:space="preserve"> </w:t>
      </w:r>
      <w:r w:rsidR="005750F3">
        <w:rPr>
          <w:rFonts w:eastAsia="Calibri" w:cs="Calibri"/>
          <w:bCs/>
          <w:color w:val="000000"/>
          <w:lang w:eastAsia="it-IT"/>
        </w:rPr>
        <w:t xml:space="preserve"> </w:t>
      </w:r>
      <w:r w:rsidR="004B1E51" w:rsidRPr="00D02E20">
        <w:rPr>
          <w:rFonts w:eastAsia="Calibri" w:cs="Calibri"/>
          <w:lang w:eastAsia="it-IT"/>
        </w:rPr>
        <w:t>è un medicinale generico</w:t>
      </w:r>
      <w:r w:rsidR="00BB0DBA" w:rsidRPr="00D02E20">
        <w:rPr>
          <w:rFonts w:eastAsia="Calibri" w:cs="Calibri"/>
          <w:lang w:eastAsia="it-IT"/>
        </w:rPr>
        <w:t xml:space="preserve"> ed è </w:t>
      </w:r>
      <w:proofErr w:type="spellStart"/>
      <w:r w:rsidR="00BB0DBA" w:rsidRPr="00D02E20">
        <w:rPr>
          <w:rFonts w:eastAsia="Calibri" w:cs="Calibri"/>
          <w:lang w:eastAsia="it-IT"/>
        </w:rPr>
        <w:t>bioequivalente</w:t>
      </w:r>
      <w:proofErr w:type="spellEnd"/>
      <w:r w:rsidR="00BB0DBA" w:rsidRPr="00D02E20">
        <w:rPr>
          <w:rFonts w:eastAsia="Calibri" w:cs="Calibri"/>
          <w:lang w:eastAsia="it-IT"/>
        </w:rPr>
        <w:t xml:space="preserve"> al medicinale di riferimento</w:t>
      </w:r>
      <w:r w:rsidR="007552D9" w:rsidRPr="00D02E20">
        <w:rPr>
          <w:rFonts w:eastAsia="Calibri" w:cs="Calibri"/>
          <w:lang w:eastAsia="it-IT"/>
        </w:rPr>
        <w:t xml:space="preserve"> </w:t>
      </w:r>
      <w:r w:rsidR="00D02E20" w:rsidRPr="00D02E20">
        <w:rPr>
          <w:rFonts w:eastAsia="Calibri" w:cs="Calibri"/>
          <w:lang w:eastAsia="it-IT"/>
        </w:rPr>
        <w:t>Cipralex</w:t>
      </w:r>
      <w:r w:rsidR="00BB0DBA" w:rsidRPr="00D02E20">
        <w:rPr>
          <w:rFonts w:eastAsia="Calibri" w:cs="Calibri"/>
          <w:lang w:eastAsia="it-IT"/>
        </w:rPr>
        <w:t>;</w:t>
      </w:r>
      <w:r w:rsidR="004B1E51" w:rsidRPr="00D02E20">
        <w:rPr>
          <w:rFonts w:eastAsia="Calibri" w:cs="Calibri"/>
          <w:lang w:eastAsia="it-IT"/>
        </w:rPr>
        <w:t xml:space="preserve"> pertanto, i suoi benefici e rischi sono sovrapponibili a quelli del medicinale di riferimento. </w:t>
      </w:r>
    </w:p>
    <w:p w:rsidR="004241AC" w:rsidRPr="007B0755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9A4251" w:rsidRPr="007B0755" w:rsidRDefault="009A4251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D14FBB">
        <w:rPr>
          <w:rFonts w:eastAsia="Calibri" w:cs="Calibri"/>
          <w:b/>
          <w:bCs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02E20">
        <w:rPr>
          <w:rFonts w:eastAsia="Calibri" w:cs="Calibri"/>
          <w:b/>
          <w:bCs/>
          <w:lang w:eastAsia="it-IT"/>
        </w:rPr>
        <w:t xml:space="preserve">E’ STATO APPROVATO? </w:t>
      </w:r>
    </w:p>
    <w:p w:rsidR="004B1E51" w:rsidRPr="00E5633F" w:rsidRDefault="0017631B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5633F">
        <w:rPr>
          <w:rFonts w:eastAsia="Calibri" w:cs="Calibri"/>
          <w:lang w:eastAsia="it-IT"/>
        </w:rPr>
        <w:t xml:space="preserve">La </w:t>
      </w:r>
      <w:r w:rsidR="004B1E51" w:rsidRPr="00E5633F">
        <w:rPr>
          <w:rFonts w:eastAsia="Calibri" w:cs="Calibri"/>
          <w:lang w:eastAsia="it-IT"/>
        </w:rPr>
        <w:t>Commissione Tecnico Scientifica (CTS)</w:t>
      </w:r>
      <w:r w:rsidR="00350ECC" w:rsidRPr="00E5633F">
        <w:rPr>
          <w:rFonts w:eastAsia="Calibri" w:cs="Calibri"/>
          <w:lang w:eastAsia="it-IT"/>
        </w:rPr>
        <w:t>,</w:t>
      </w:r>
      <w:r w:rsidR="00D14FBB">
        <w:rPr>
          <w:rFonts w:eastAsia="Calibri" w:cs="Calibri"/>
          <w:lang w:eastAsia="it-IT"/>
        </w:rPr>
        <w:t xml:space="preserve"> </w:t>
      </w:r>
      <w:r w:rsidR="004B1E51" w:rsidRPr="00E5633F">
        <w:rPr>
          <w:rFonts w:eastAsia="Calibri" w:cs="Calibri"/>
          <w:lang w:eastAsia="it-IT"/>
        </w:rPr>
        <w:t xml:space="preserve">nella seduta </w:t>
      </w:r>
      <w:r w:rsidR="004B1E51" w:rsidRPr="00E00A8C">
        <w:rPr>
          <w:rFonts w:eastAsia="Calibri" w:cs="Calibri"/>
          <w:lang w:eastAsia="it-IT"/>
        </w:rPr>
        <w:t xml:space="preserve">del </w:t>
      </w:r>
      <w:r w:rsidR="00E00A8C">
        <w:rPr>
          <w:rFonts w:eastAsia="Calibri" w:cs="Calibri"/>
          <w:lang w:eastAsia="it-IT"/>
        </w:rPr>
        <w:t>13-15 G</w:t>
      </w:r>
      <w:r w:rsidR="003E0283" w:rsidRPr="00E00A8C">
        <w:rPr>
          <w:rFonts w:eastAsia="Calibri" w:cs="Calibri"/>
          <w:lang w:eastAsia="it-IT"/>
        </w:rPr>
        <w:t>iugno</w:t>
      </w:r>
      <w:r w:rsidR="00E00A8C" w:rsidRPr="00E00A8C">
        <w:rPr>
          <w:rFonts w:eastAsia="Calibri" w:cs="Calibri"/>
          <w:lang w:eastAsia="it-IT"/>
        </w:rPr>
        <w:t xml:space="preserve"> </w:t>
      </w:r>
      <w:r w:rsidR="007D026E" w:rsidRPr="00E00A8C">
        <w:rPr>
          <w:rFonts w:eastAsia="Calibri" w:cs="Calibri"/>
          <w:lang w:eastAsia="it-IT"/>
        </w:rPr>
        <w:t>2016</w:t>
      </w:r>
      <w:r w:rsidR="00350ECC" w:rsidRPr="00E00A8C">
        <w:rPr>
          <w:rFonts w:eastAsia="Calibri" w:cs="Calibri"/>
          <w:lang w:eastAsia="it-IT"/>
        </w:rPr>
        <w:t>,</w:t>
      </w:r>
      <w:r w:rsidR="00350ECC" w:rsidRPr="00E5633F">
        <w:rPr>
          <w:rFonts w:eastAsia="Calibri" w:cs="Calibri"/>
          <w:lang w:eastAsia="it-IT"/>
        </w:rPr>
        <w:t xml:space="preserve"> </w:t>
      </w:r>
      <w:r w:rsidR="004B1E51" w:rsidRPr="00E5633F">
        <w:rPr>
          <w:rFonts w:eastAsia="Calibri" w:cs="Calibri"/>
          <w:lang w:eastAsia="it-IT"/>
        </w:rPr>
        <w:t>ha concluso che, conformemente ai requisiti della normativa vigente, come nel cas</w:t>
      </w:r>
      <w:r w:rsidR="007552D9" w:rsidRPr="00E5633F">
        <w:rPr>
          <w:rFonts w:eastAsia="Calibri" w:cs="Calibri"/>
          <w:lang w:eastAsia="it-IT"/>
        </w:rPr>
        <w:t>o del medicinale di riferimento</w:t>
      </w:r>
      <w:r w:rsidR="004B1E51" w:rsidRPr="00E5633F">
        <w:rPr>
          <w:rFonts w:eastAsia="Calibri" w:cs="Calibri"/>
          <w:lang w:eastAsia="it-IT"/>
        </w:rPr>
        <w:t xml:space="preserve"> </w:t>
      </w:r>
      <w:r w:rsidR="00D02E20" w:rsidRPr="00E5633F">
        <w:rPr>
          <w:rFonts w:eastAsia="Calibri" w:cs="Calibri"/>
          <w:lang w:eastAsia="it-IT"/>
        </w:rPr>
        <w:t>Cipralex</w:t>
      </w:r>
      <w:r w:rsidR="004B1E51" w:rsidRPr="00E5633F">
        <w:rPr>
          <w:rFonts w:eastAsia="Calibri" w:cs="Calibri"/>
          <w:lang w:eastAsia="it-IT"/>
        </w:rPr>
        <w:t xml:space="preserve">, i benefici di </w:t>
      </w:r>
      <w:proofErr w:type="spellStart"/>
      <w:r w:rsidR="00D14FBB">
        <w:rPr>
          <w:rFonts w:eastAsia="Calibri" w:cs="Calibri"/>
          <w:lang w:eastAsia="it-IT"/>
        </w:rPr>
        <w:t>Prameffex</w:t>
      </w:r>
      <w:proofErr w:type="spellEnd"/>
      <w:r w:rsidR="00D14FBB">
        <w:rPr>
          <w:rFonts w:eastAsia="Calibri" w:cs="Calibri"/>
          <w:lang w:eastAsia="it-IT"/>
        </w:rPr>
        <w:t xml:space="preserve"> </w:t>
      </w:r>
      <w:r w:rsidR="004064E4" w:rsidRPr="00E5633F">
        <w:rPr>
          <w:rFonts w:eastAsia="Calibri" w:cs="Calibri"/>
          <w:lang w:eastAsia="it-IT"/>
        </w:rPr>
        <w:t>sono</w:t>
      </w:r>
      <w:r w:rsidR="004B1E51" w:rsidRPr="00E5633F">
        <w:rPr>
          <w:rFonts w:eastAsia="Calibri" w:cs="Calibri"/>
          <w:lang w:eastAsia="it-IT"/>
        </w:rPr>
        <w:t xml:space="preserve"> superiori ai rischi individuati. </w:t>
      </w:r>
      <w:r w:rsidR="00350ECC" w:rsidRPr="00E5633F">
        <w:rPr>
          <w:rFonts w:eastAsia="Calibri" w:cs="Calibri"/>
          <w:lang w:eastAsia="it-IT"/>
        </w:rPr>
        <w:t>La CTS</w:t>
      </w:r>
      <w:r w:rsidR="007552D9" w:rsidRPr="00E5633F">
        <w:rPr>
          <w:rFonts w:eastAsia="Calibri" w:cs="Calibri"/>
          <w:lang w:eastAsia="it-IT"/>
        </w:rPr>
        <w:t xml:space="preserve"> ha</w:t>
      </w:r>
      <w:r w:rsidR="004B1E51" w:rsidRPr="00E5633F">
        <w:rPr>
          <w:rFonts w:eastAsia="Calibri" w:cs="Calibri"/>
          <w:lang w:eastAsia="it-IT"/>
        </w:rPr>
        <w:t>, inoltre, definito le modalità d</w:t>
      </w:r>
      <w:r w:rsidR="007552D9" w:rsidRPr="00E5633F">
        <w:rPr>
          <w:rFonts w:eastAsia="Calibri" w:cs="Calibri"/>
          <w:lang w:eastAsia="it-IT"/>
        </w:rPr>
        <w:t xml:space="preserve">i </w:t>
      </w:r>
      <w:r w:rsidR="007552D9" w:rsidRPr="000C5BC9">
        <w:rPr>
          <w:rFonts w:eastAsia="Calibri" w:cs="Calibri"/>
          <w:lang w:eastAsia="it-IT"/>
        </w:rPr>
        <w:t xml:space="preserve">prescrizione di cui al punto </w:t>
      </w:r>
      <w:r w:rsidR="004B1E51" w:rsidRPr="000C5BC9">
        <w:rPr>
          <w:rFonts w:eastAsia="Calibri" w:cs="Calibri"/>
          <w:lang w:eastAsia="it-IT"/>
        </w:rPr>
        <w:t>2) di questo Riassunto e la classe di rimborsabilità del medicinale (</w:t>
      </w:r>
      <w:r w:rsidR="00350ECC" w:rsidRPr="000C5BC9">
        <w:rPr>
          <w:rFonts w:eastAsia="Calibri" w:cs="Calibri"/>
          <w:lang w:eastAsia="it-IT"/>
        </w:rPr>
        <w:t>A</w:t>
      </w:r>
      <w:r w:rsidR="006C6F14" w:rsidRPr="000C5BC9">
        <w:rPr>
          <w:rFonts w:eastAsia="Calibri" w:cs="Calibri"/>
          <w:lang w:eastAsia="it-IT"/>
        </w:rPr>
        <w:t>)</w:t>
      </w:r>
      <w:r w:rsidR="007401FA" w:rsidRPr="000C5BC9">
        <w:rPr>
          <w:rFonts w:eastAsia="Calibri" w:cs="Calibri"/>
          <w:lang w:eastAsia="it-IT"/>
        </w:rPr>
        <w:t>.</w:t>
      </w:r>
    </w:p>
    <w:p w:rsidR="004241AC" w:rsidRPr="007B0755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7B0755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7D026E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D026E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7D026E">
        <w:rPr>
          <w:rFonts w:eastAsia="Calibri" w:cs="Calibri"/>
          <w:b/>
          <w:bCs/>
          <w:lang w:eastAsia="it-IT"/>
        </w:rPr>
        <w:t>DI</w:t>
      </w:r>
      <w:proofErr w:type="spellEnd"/>
      <w:r w:rsidRPr="007D026E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D14FBB">
        <w:rPr>
          <w:rFonts w:eastAsia="Calibri" w:cs="Calibri"/>
          <w:b/>
          <w:bCs/>
          <w:color w:val="000000"/>
          <w:lang w:eastAsia="it-IT"/>
        </w:rPr>
        <w:t>Prameffex</w:t>
      </w:r>
      <w:proofErr w:type="spellEnd"/>
      <w:r w:rsidRPr="007D026E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02E20" w:rsidRDefault="007D026E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D026E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</w:t>
      </w:r>
      <w:proofErr w:type="spellStart"/>
      <w:r w:rsidR="00D14FBB">
        <w:rPr>
          <w:rFonts w:eastAsia="Calibri" w:cs="Calibri"/>
          <w:lang w:eastAsia="it-IT"/>
        </w:rPr>
        <w:t>Prameffex</w:t>
      </w:r>
      <w:proofErr w:type="spellEnd"/>
      <w:r w:rsidR="00D14FBB">
        <w:rPr>
          <w:rFonts w:eastAsia="Calibri" w:cs="Calibri"/>
          <w:lang w:eastAsia="it-IT"/>
        </w:rPr>
        <w:t>.</w:t>
      </w:r>
    </w:p>
    <w:p w:rsidR="004241AC" w:rsidRPr="007B0755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7B0755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D02E20" w:rsidRDefault="004241A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02E20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0C5BC9">
        <w:rPr>
          <w:rFonts w:eastAsia="Calibri" w:cs="Calibri"/>
          <w:b/>
          <w:bCs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750F3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D02E20" w:rsidRDefault="00350EC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D02E20">
        <w:rPr>
          <w:rFonts w:eastAsia="Calibri" w:cs="Calibri"/>
          <w:bCs/>
          <w:iCs/>
          <w:lang w:eastAsia="it-IT"/>
        </w:rPr>
        <w:t xml:space="preserve">Il </w:t>
      </w:r>
      <w:r w:rsidR="00D919DB">
        <w:rPr>
          <w:rFonts w:eastAsia="Calibri" w:cs="Calibri"/>
          <w:bCs/>
          <w:iCs/>
          <w:lang w:eastAsia="it-IT"/>
        </w:rPr>
        <w:t>24 maggio 2017</w:t>
      </w:r>
      <w:r w:rsidR="007D026E">
        <w:rPr>
          <w:rFonts w:eastAsia="Calibri" w:cs="Calibri"/>
          <w:bCs/>
          <w:iCs/>
          <w:lang w:eastAsia="it-IT"/>
        </w:rPr>
        <w:t xml:space="preserve"> </w:t>
      </w:r>
      <w:r w:rsidRPr="00D02E20">
        <w:rPr>
          <w:rFonts w:eastAsia="Calibri" w:cs="Calibri"/>
          <w:bCs/>
          <w:iCs/>
          <w:lang w:eastAsia="it-IT"/>
        </w:rPr>
        <w:t>l</w:t>
      </w:r>
      <w:r w:rsidR="004241AC" w:rsidRPr="00D02E20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proofErr w:type="spellStart"/>
      <w:r w:rsidR="000C5BC9">
        <w:rPr>
          <w:rFonts w:eastAsia="Calibri" w:cs="Calibri"/>
          <w:bCs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bCs/>
          <w:color w:val="000000"/>
          <w:lang w:eastAsia="it-IT"/>
        </w:rPr>
        <w:t xml:space="preserve"> </w:t>
      </w:r>
      <w:r w:rsidR="006C6F14" w:rsidRPr="00D02E20">
        <w:rPr>
          <w:rFonts w:eastAsia="Calibri" w:cs="Calibri"/>
          <w:bCs/>
          <w:color w:val="000000"/>
          <w:lang w:eastAsia="it-IT"/>
        </w:rPr>
        <w:t>.</w:t>
      </w:r>
    </w:p>
    <w:p w:rsidR="00350ECC" w:rsidRPr="00D02E20" w:rsidRDefault="00350EC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Pr="00617591" w:rsidRDefault="007D026E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</w:rPr>
        <w:t xml:space="preserve">La Relazione Pubblica di Valutazione completa segue questo Riassunto. </w:t>
      </w:r>
    </w:p>
    <w:p w:rsidR="007D026E" w:rsidRPr="00617591" w:rsidRDefault="007D026E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617591">
        <w:rPr>
          <w:rFonts w:eastAsia="Calibri" w:cs="Calibri"/>
        </w:rPr>
        <w:t>Per maggiori informazioni riguardo il trattamento con</w:t>
      </w:r>
      <w:r>
        <w:rPr>
          <w:rFonts w:eastAsia="Calibri" w:cs="Calibri"/>
        </w:rPr>
        <w:t xml:space="preserve"> </w:t>
      </w:r>
      <w:proofErr w:type="spellStart"/>
      <w:r w:rsidR="000C5BC9">
        <w:rPr>
          <w:rFonts w:eastAsia="Calibri" w:cs="Calibri"/>
          <w:bCs/>
          <w:color w:val="000000"/>
        </w:rPr>
        <w:t>Prameffex</w:t>
      </w:r>
      <w:proofErr w:type="spellEnd"/>
      <w:r w:rsidR="00BC06C8">
        <w:rPr>
          <w:rFonts w:eastAsia="Calibri" w:cs="Calibri"/>
          <w:bCs/>
          <w:color w:val="000000"/>
        </w:rPr>
        <w:t xml:space="preserve"> </w:t>
      </w:r>
      <w:r w:rsidRPr="00617591">
        <w:rPr>
          <w:rFonts w:eastAsia="Calibri" w:cs="Calibri"/>
        </w:rPr>
        <w:t>si può leggere il foglio illustrativo (</w:t>
      </w:r>
      <w:hyperlink r:id="rId8" w:history="1">
        <w:r w:rsidRPr="0061759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617591">
        <w:rPr>
          <w:rFonts w:eastAsia="Calibri" w:cs="Calibri"/>
        </w:rPr>
        <w:t xml:space="preserve">) o contattare il medico o il farmacista. </w:t>
      </w:r>
    </w:p>
    <w:p w:rsidR="007D026E" w:rsidRPr="00617591" w:rsidRDefault="007D026E" w:rsidP="00D14FBB">
      <w:pPr>
        <w:spacing w:after="0" w:line="240" w:lineRule="auto"/>
        <w:jc w:val="both"/>
        <w:rPr>
          <w:rFonts w:eastAsia="Calibri" w:cs="Calibri"/>
        </w:rPr>
      </w:pPr>
    </w:p>
    <w:p w:rsidR="007D026E" w:rsidRPr="00617591" w:rsidRDefault="007D026E" w:rsidP="00D14FBB">
      <w:pPr>
        <w:spacing w:after="0" w:line="240" w:lineRule="auto"/>
        <w:jc w:val="both"/>
        <w:rPr>
          <w:rFonts w:eastAsia="Calibri" w:cs="Calibri"/>
        </w:rPr>
      </w:pPr>
    </w:p>
    <w:p w:rsidR="007D026E" w:rsidRPr="00617591" w:rsidRDefault="007D026E" w:rsidP="00D14FBB">
      <w:pPr>
        <w:spacing w:after="0" w:line="240" w:lineRule="auto"/>
        <w:jc w:val="both"/>
        <w:rPr>
          <w:color w:val="FF0000"/>
        </w:rPr>
      </w:pPr>
      <w:r w:rsidRPr="00617591">
        <w:rPr>
          <w:rFonts w:eastAsia="Calibri" w:cs="Calibri"/>
        </w:rPr>
        <w:t xml:space="preserve">Questo riassunto è stato redatto in data </w:t>
      </w:r>
      <w:r w:rsidR="00D14FBB">
        <w:rPr>
          <w:rFonts w:eastAsia="Calibri" w:cs="Calibri"/>
        </w:rPr>
        <w:t>14.07.</w:t>
      </w:r>
      <w:r w:rsidR="00E00A8C">
        <w:rPr>
          <w:rFonts w:eastAsia="Calibri" w:cs="Calibri"/>
        </w:rPr>
        <w:t>2016</w:t>
      </w:r>
    </w:p>
    <w:p w:rsidR="009A260F" w:rsidRDefault="009A260F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Default="007D026E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Default="007D026E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Default="007D026E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Default="007D026E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Default="00E00A8C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-</w:t>
      </w:r>
    </w:p>
    <w:p w:rsidR="00D14FBB" w:rsidRDefault="00D14FBB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D14FBB" w:rsidRDefault="00D14FBB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D026E" w:rsidRPr="007C4B57" w:rsidRDefault="007D026E" w:rsidP="00D14FBB">
      <w:pPr>
        <w:spacing w:after="0" w:line="240" w:lineRule="auto"/>
        <w:jc w:val="center"/>
        <w:rPr>
          <w:b/>
          <w:sz w:val="28"/>
        </w:rPr>
      </w:pPr>
      <w:r w:rsidRPr="007C4B57">
        <w:rPr>
          <w:b/>
          <w:sz w:val="28"/>
        </w:rPr>
        <w:t xml:space="preserve">RELAZIONE PUBBLICA </w:t>
      </w:r>
      <w:proofErr w:type="spellStart"/>
      <w:r w:rsidRPr="007C4B57">
        <w:rPr>
          <w:b/>
          <w:sz w:val="28"/>
        </w:rPr>
        <w:t>DI</w:t>
      </w:r>
      <w:proofErr w:type="spellEnd"/>
      <w:r w:rsidRPr="007C4B57">
        <w:rPr>
          <w:b/>
          <w:sz w:val="28"/>
        </w:rPr>
        <w:t xml:space="preserve"> VALUTAZIONE</w:t>
      </w:r>
    </w:p>
    <w:p w:rsidR="007D026E" w:rsidRPr="002E06A2" w:rsidRDefault="007D026E" w:rsidP="00D14FBB">
      <w:pPr>
        <w:spacing w:after="0" w:line="240" w:lineRule="auto"/>
        <w:jc w:val="center"/>
        <w:rPr>
          <w:b/>
        </w:rPr>
      </w:pPr>
    </w:p>
    <w:p w:rsidR="007D026E" w:rsidRPr="002E06A2" w:rsidRDefault="007D026E" w:rsidP="00D14FBB">
      <w:pPr>
        <w:spacing w:after="0" w:line="240" w:lineRule="auto"/>
        <w:jc w:val="both"/>
        <w:rPr>
          <w:b/>
        </w:rPr>
      </w:pPr>
    </w:p>
    <w:p w:rsidR="007D026E" w:rsidRPr="002E06A2" w:rsidRDefault="007D026E" w:rsidP="00D14FBB">
      <w:pPr>
        <w:spacing w:after="0" w:line="240" w:lineRule="auto"/>
        <w:jc w:val="both"/>
        <w:rPr>
          <w:b/>
        </w:rPr>
      </w:pPr>
    </w:p>
    <w:p w:rsidR="007D026E" w:rsidRPr="002E06A2" w:rsidRDefault="007D026E" w:rsidP="00D14FBB">
      <w:pPr>
        <w:spacing w:after="0" w:line="240" w:lineRule="auto"/>
        <w:jc w:val="both"/>
        <w:rPr>
          <w:b/>
        </w:rPr>
      </w:pPr>
    </w:p>
    <w:p w:rsidR="007D026E" w:rsidRPr="002E06A2" w:rsidRDefault="007D026E" w:rsidP="00D14FBB">
      <w:pPr>
        <w:spacing w:after="0" w:line="240" w:lineRule="auto"/>
        <w:jc w:val="center"/>
        <w:rPr>
          <w:b/>
        </w:rPr>
      </w:pPr>
      <w:r w:rsidRPr="002E06A2">
        <w:rPr>
          <w:b/>
        </w:rPr>
        <w:t>INDICE</w:t>
      </w: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INTRODUZIONE</w:t>
      </w: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 xml:space="preserve">ASPETTI </w:t>
      </w:r>
      <w:proofErr w:type="spellStart"/>
      <w:r w:rsidRPr="002E06A2">
        <w:rPr>
          <w:b/>
        </w:rPr>
        <w:t>DI</w:t>
      </w:r>
      <w:proofErr w:type="spellEnd"/>
      <w:r w:rsidRPr="002E06A2">
        <w:rPr>
          <w:b/>
        </w:rPr>
        <w:t xml:space="preserve"> QUALITA’</w:t>
      </w:r>
    </w:p>
    <w:p w:rsidR="007D026E" w:rsidRPr="002E06A2" w:rsidRDefault="007D026E" w:rsidP="00D14FBB">
      <w:pPr>
        <w:pStyle w:val="Paragrafoelenco"/>
        <w:spacing w:after="0" w:line="240" w:lineRule="auto"/>
        <w:jc w:val="both"/>
        <w:rPr>
          <w:b/>
        </w:rPr>
      </w:pPr>
    </w:p>
    <w:p w:rsidR="007D026E" w:rsidRPr="002E06A2" w:rsidRDefault="007D026E" w:rsidP="00D14FB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7D026E" w:rsidRPr="002E06A2" w:rsidRDefault="007D026E" w:rsidP="00D14FBB">
      <w:pPr>
        <w:pStyle w:val="Paragrafoelenco"/>
        <w:spacing w:after="0" w:line="240" w:lineRule="auto"/>
        <w:jc w:val="both"/>
        <w:rPr>
          <w:b/>
        </w:rPr>
      </w:pPr>
    </w:p>
    <w:p w:rsidR="007D026E" w:rsidRPr="002E06A2" w:rsidRDefault="007D026E" w:rsidP="00D14FB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7D026E" w:rsidRPr="002E06A2" w:rsidRDefault="007D026E" w:rsidP="00D14FBB">
      <w:pPr>
        <w:pStyle w:val="Paragrafoelenco"/>
        <w:spacing w:after="0" w:line="240" w:lineRule="auto"/>
        <w:jc w:val="both"/>
        <w:rPr>
          <w:b/>
        </w:rPr>
      </w:pPr>
    </w:p>
    <w:p w:rsidR="007D026E" w:rsidRPr="002E06A2" w:rsidRDefault="007D026E" w:rsidP="00D14FB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7D026E" w:rsidRPr="002E06A2" w:rsidRDefault="007D026E" w:rsidP="00D14FBB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D026E" w:rsidRPr="002E06A2" w:rsidRDefault="007D026E" w:rsidP="00D14FB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Default="007D026E" w:rsidP="00D14FBB">
      <w:pPr>
        <w:spacing w:after="0" w:line="240" w:lineRule="auto"/>
        <w:jc w:val="both"/>
      </w:pPr>
    </w:p>
    <w:p w:rsidR="007D026E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lastRenderedPageBreak/>
        <w:t>INTRODUZIONE</w:t>
      </w:r>
    </w:p>
    <w:p w:rsidR="007D026E" w:rsidRPr="002E06A2" w:rsidRDefault="007D026E" w:rsidP="00D14FBB">
      <w:pPr>
        <w:tabs>
          <w:tab w:val="left" w:pos="4649"/>
        </w:tabs>
        <w:spacing w:after="0" w:line="240" w:lineRule="auto"/>
        <w:jc w:val="both"/>
      </w:pPr>
      <w:r w:rsidRPr="002E06A2">
        <w:t xml:space="preserve">Sulla base dei dati di qualità, sicurezza ed efficacia, l’AIFA ha rilasciato a </w:t>
      </w:r>
      <w:proofErr w:type="spellStart"/>
      <w:r w:rsidR="00D14FBB">
        <w:rPr>
          <w:rFonts w:ascii="Calibri" w:hAnsi="Calibri"/>
        </w:rPr>
        <w:t>So.Se.</w:t>
      </w:r>
      <w:r w:rsidRPr="006371B0">
        <w:rPr>
          <w:rFonts w:ascii="Calibri" w:hAnsi="Calibri"/>
        </w:rPr>
        <w:t>P</w:t>
      </w:r>
      <w:r w:rsidR="00D14FBB">
        <w:rPr>
          <w:rFonts w:ascii="Calibri" w:hAnsi="Calibri"/>
        </w:rPr>
        <w:t>harm</w:t>
      </w:r>
      <w:proofErr w:type="spellEnd"/>
      <w:r>
        <w:rPr>
          <w:rFonts w:ascii="Calibri" w:hAnsi="Calibri"/>
        </w:rPr>
        <w:t xml:space="preserve"> </w:t>
      </w:r>
      <w:r w:rsidRPr="00F75454">
        <w:t xml:space="preserve">l’autorizzazione all’immissione in commercio (AIC) per </w:t>
      </w:r>
      <w:r>
        <w:t>il</w:t>
      </w:r>
      <w:r w:rsidRPr="00F75454">
        <w:t xml:space="preserve"> medicinale </w:t>
      </w:r>
      <w:proofErr w:type="spellStart"/>
      <w:r w:rsidR="00D14FBB">
        <w:rPr>
          <w:rFonts w:eastAsia="Calibri" w:cs="Calibri"/>
          <w:bCs/>
          <w:color w:val="000000"/>
        </w:rPr>
        <w:t>Prameffex</w:t>
      </w:r>
      <w:proofErr w:type="spellEnd"/>
      <w:r w:rsidRPr="00F75454">
        <w:rPr>
          <w:rFonts w:eastAsia="Calibri" w:cs="Calibri"/>
          <w:bCs/>
          <w:iCs/>
        </w:rPr>
        <w:t xml:space="preserve"> il </w:t>
      </w:r>
      <w:r w:rsidR="00D919DB">
        <w:rPr>
          <w:rFonts w:eastAsia="Calibri" w:cs="Calibri"/>
          <w:bCs/>
          <w:iCs/>
        </w:rPr>
        <w:t xml:space="preserve"> 24 maggio 2017.</w:t>
      </w: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A34087" w:rsidRDefault="00D14FBB" w:rsidP="00D14FBB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</w:rPr>
        <w:t>Prameffex</w:t>
      </w:r>
      <w:proofErr w:type="spellEnd"/>
      <w:r>
        <w:rPr>
          <w:rFonts w:eastAsia="Calibri" w:cs="Calibri"/>
          <w:bCs/>
          <w:color w:val="000000"/>
        </w:rPr>
        <w:t xml:space="preserve"> </w:t>
      </w:r>
      <w:r w:rsidR="007D026E" w:rsidRPr="00B92205">
        <w:rPr>
          <w:rFonts w:eastAsia="Calibri" w:cs="Calibri"/>
          <w:color w:val="000000"/>
        </w:rPr>
        <w:t xml:space="preserve">può essere ottenuto solo dietro prescrizione da parte del </w:t>
      </w:r>
      <w:r w:rsidR="007401FA">
        <w:rPr>
          <w:rFonts w:eastAsia="Calibri" w:cs="Calibri"/>
          <w:color w:val="000000"/>
        </w:rPr>
        <w:t xml:space="preserve">medico (ricetta </w:t>
      </w:r>
      <w:r w:rsidR="007D026E" w:rsidRPr="005763B6">
        <w:rPr>
          <w:rFonts w:eastAsia="Calibri" w:cs="Calibri"/>
          <w:color w:val="000000"/>
        </w:rPr>
        <w:t>ripetibile).</w:t>
      </w:r>
    </w:p>
    <w:p w:rsidR="007D026E" w:rsidRPr="002E06A2" w:rsidRDefault="007D026E" w:rsidP="00D14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D026E" w:rsidRPr="002E06A2" w:rsidRDefault="007D026E" w:rsidP="00D14FBB">
      <w:pPr>
        <w:spacing w:after="0" w:line="240" w:lineRule="auto"/>
        <w:jc w:val="both"/>
      </w:pPr>
      <w:r w:rsidRPr="002E06A2">
        <w:t>Questa procedura è stata presentata ai sensi dell’art. 10(</w:t>
      </w:r>
      <w:r>
        <w:t>1</w:t>
      </w:r>
      <w:r w:rsidRPr="002E06A2">
        <w:t>) della Direttiva 2001/83/U</w:t>
      </w:r>
      <w:r w:rsidR="007401FA">
        <w:t>E</w:t>
      </w:r>
      <w:r w:rsidRPr="002E06A2">
        <w:t xml:space="preserve"> s.m.i.</w:t>
      </w:r>
    </w:p>
    <w:p w:rsidR="007D026E" w:rsidRPr="002E06A2" w:rsidRDefault="007D026E" w:rsidP="00D14FBB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7D026E" w:rsidRPr="002E06A2" w:rsidRDefault="00D14FBB" w:rsidP="00D14FBB">
      <w:pPr>
        <w:widowControl w:val="0"/>
        <w:spacing w:after="0" w:line="240" w:lineRule="auto"/>
        <w:jc w:val="both"/>
        <w:rPr>
          <w:rFonts w:cs="TimesNewRomanPSMT"/>
          <w:color w:val="0000CD"/>
        </w:rPr>
      </w:pPr>
      <w:proofErr w:type="spellStart"/>
      <w:r>
        <w:rPr>
          <w:rFonts w:eastAsia="Calibri" w:cs="Calibri"/>
          <w:bCs/>
          <w:color w:val="000000"/>
        </w:rPr>
        <w:t>Prameffex</w:t>
      </w:r>
      <w:proofErr w:type="spellEnd"/>
      <w:r w:rsidR="00BC06C8">
        <w:rPr>
          <w:rFonts w:eastAsia="Calibri" w:cs="Calibri"/>
          <w:bCs/>
          <w:color w:val="000000"/>
        </w:rPr>
        <w:t xml:space="preserve"> </w:t>
      </w:r>
      <w:r w:rsidR="007D026E" w:rsidRPr="002E06A2">
        <w:rPr>
          <w:rFonts w:eastAsia="Calibri" w:cs="Calibri"/>
          <w:color w:val="000000"/>
        </w:rPr>
        <w:t xml:space="preserve">è un medicinale generico </w:t>
      </w:r>
      <w:r w:rsidR="007D026E" w:rsidRPr="00CB2666">
        <w:rPr>
          <w:rFonts w:eastAsia="Calibri" w:cs="Calibri"/>
          <w:color w:val="000000"/>
          <w:lang w:eastAsia="it-IT"/>
        </w:rPr>
        <w:t xml:space="preserve">contenente come principio attivo </w:t>
      </w:r>
      <w:r w:rsidR="007D026E">
        <w:rPr>
          <w:rFonts w:eastAsia="Calibri" w:cs="Calibri"/>
          <w:color w:val="000000"/>
          <w:lang w:eastAsia="it-IT"/>
        </w:rPr>
        <w:t xml:space="preserve">escitalopram </w:t>
      </w:r>
      <w:r w:rsidR="003E0283">
        <w:rPr>
          <w:rFonts w:eastAsia="Calibri" w:cs="Calibri"/>
          <w:color w:val="000000"/>
          <w:lang w:eastAsia="it-IT"/>
        </w:rPr>
        <w:t>(</w:t>
      </w:r>
      <w:r w:rsidR="00E10D2E">
        <w:rPr>
          <w:rFonts w:eastAsia="Calibri" w:cs="Calibri"/>
          <w:color w:val="000000"/>
          <w:lang w:eastAsia="it-IT"/>
        </w:rPr>
        <w:t xml:space="preserve">come escitalopram ossalato) </w:t>
      </w:r>
      <w:r w:rsidR="007D026E">
        <w:t>pr</w:t>
      </w:r>
      <w:r w:rsidR="007D026E" w:rsidRPr="002E06A2">
        <w:rPr>
          <w:rFonts w:eastAsia="Calibri" w:cs="Calibri"/>
          <w:color w:val="000000"/>
        </w:rPr>
        <w:t>esente nel medicinale di riferimento</w:t>
      </w:r>
      <w:r w:rsidR="007D026E">
        <w:rPr>
          <w:rFonts w:eastAsia="Calibri" w:cs="Calibri"/>
          <w:color w:val="000000"/>
        </w:rPr>
        <w:t xml:space="preserve"> </w:t>
      </w:r>
      <w:r w:rsidR="00E10D2E">
        <w:rPr>
          <w:rFonts w:eastAsia="Calibri" w:cs="Calibri"/>
          <w:color w:val="000000"/>
        </w:rPr>
        <w:t>Cipralex</w:t>
      </w:r>
      <w:r w:rsidR="007D026E">
        <w:rPr>
          <w:rFonts w:eastAsia="Calibri" w:cs="Calibri"/>
          <w:color w:val="000000"/>
        </w:rPr>
        <w:t xml:space="preserve">, </w:t>
      </w:r>
      <w:r w:rsidR="007D026E" w:rsidRPr="002E06A2">
        <w:rPr>
          <w:rFonts w:eastAsia="Calibri" w:cs="Calibri"/>
          <w:color w:val="000000"/>
        </w:rPr>
        <w:t xml:space="preserve">autorizzato </w:t>
      </w:r>
      <w:r w:rsidR="007D026E">
        <w:rPr>
          <w:rFonts w:eastAsia="Calibri" w:cs="Calibri"/>
          <w:color w:val="000000"/>
        </w:rPr>
        <w:t xml:space="preserve">in Italia </w:t>
      </w:r>
      <w:r w:rsidR="007D026E" w:rsidRPr="00BF7DAE">
        <w:rPr>
          <w:rFonts w:eastAsia="Calibri" w:cs="Calibri"/>
          <w:color w:val="000000"/>
        </w:rPr>
        <w:t>da più di 10 anni.</w:t>
      </w:r>
    </w:p>
    <w:p w:rsidR="007D026E" w:rsidRPr="002E06A2" w:rsidRDefault="007D026E" w:rsidP="00D14FBB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E10D2E" w:rsidRPr="007B0755" w:rsidRDefault="00D14FBB" w:rsidP="00D14FBB">
      <w:pPr>
        <w:autoSpaceDE w:val="0"/>
        <w:autoSpaceDN w:val="0"/>
        <w:adjustRightInd w:val="0"/>
        <w:spacing w:after="0" w:line="240" w:lineRule="auto"/>
        <w:jc w:val="both"/>
        <w:rPr>
          <w:iCs/>
          <w:highlight w:val="yellow"/>
        </w:rPr>
      </w:pPr>
      <w:proofErr w:type="spellStart"/>
      <w:r>
        <w:rPr>
          <w:rFonts w:eastAsia="Calibri" w:cs="Calibri"/>
          <w:bCs/>
          <w:color w:val="000000"/>
        </w:rPr>
        <w:t>Prameffex</w:t>
      </w:r>
      <w:proofErr w:type="spellEnd"/>
      <w:r w:rsidR="007D026E">
        <w:t xml:space="preserve">, </w:t>
      </w:r>
      <w:r w:rsidR="007D026E" w:rsidRPr="002E06A2">
        <w:rPr>
          <w:rFonts w:eastAsia="Calibri" w:cs="Calibri"/>
          <w:color w:val="000000"/>
        </w:rPr>
        <w:t xml:space="preserve">il cui codice ATC è </w:t>
      </w:r>
      <w:r w:rsidR="00E10D2E">
        <w:t>N06AB</w:t>
      </w:r>
      <w:r w:rsidR="00E10D2E" w:rsidRPr="00E10D2E">
        <w:rPr>
          <w:rFonts w:ascii="Calibri" w:eastAsia="Calibri" w:hAnsi="Calibri" w:cs="Times New Roman"/>
        </w:rPr>
        <w:t>10</w:t>
      </w:r>
      <w:r w:rsidR="007D026E" w:rsidRPr="00400301">
        <w:rPr>
          <w:rFonts w:eastAsia="Calibri" w:cs="Calibri"/>
          <w:color w:val="000000"/>
        </w:rPr>
        <w:t>,</w:t>
      </w:r>
      <w:r w:rsidR="007D026E" w:rsidRPr="002E06A2">
        <w:rPr>
          <w:rFonts w:eastAsia="Calibri" w:cs="Calibri"/>
          <w:color w:val="000000"/>
        </w:rPr>
        <w:t xml:space="preserve"> contiene </w:t>
      </w:r>
      <w:r>
        <w:rPr>
          <w:rFonts w:eastAsia="Calibri" w:cs="Calibri"/>
          <w:color w:val="000000"/>
          <w:lang w:eastAsia="it-IT"/>
        </w:rPr>
        <w:t>il</w:t>
      </w:r>
      <w:r w:rsidR="007D026E" w:rsidRPr="00CB2666">
        <w:rPr>
          <w:rFonts w:eastAsia="Calibri" w:cs="Calibri"/>
          <w:color w:val="000000"/>
          <w:lang w:eastAsia="it-IT"/>
        </w:rPr>
        <w:t xml:space="preserve"> principio attivo </w:t>
      </w:r>
      <w:proofErr w:type="spellStart"/>
      <w:r w:rsidR="00E10D2E">
        <w:rPr>
          <w:rFonts w:eastAsia="Calibri" w:cs="Calibri"/>
          <w:color w:val="000000"/>
          <w:lang w:eastAsia="it-IT"/>
        </w:rPr>
        <w:t>escitalopram</w:t>
      </w:r>
      <w:proofErr w:type="spellEnd"/>
      <w:r w:rsidR="00E10D2E">
        <w:rPr>
          <w:rFonts w:eastAsia="Calibri" w:cs="Calibri"/>
          <w:color w:val="000000"/>
          <w:lang w:eastAsia="it-IT"/>
        </w:rPr>
        <w:t xml:space="preserve"> </w:t>
      </w:r>
      <w:r w:rsidR="00E10D2E" w:rsidRPr="00A61E34">
        <w:t>che</w:t>
      </w:r>
      <w:r w:rsidR="00E10D2E">
        <w:t xml:space="preserve"> appartiene al gruppo dei medicinali antidepressivi chiamati Inibitori Selettivi della </w:t>
      </w:r>
      <w:proofErr w:type="spellStart"/>
      <w:r w:rsidR="00E10D2E">
        <w:t>Ricapt</w:t>
      </w:r>
      <w:r>
        <w:t>azione</w:t>
      </w:r>
      <w:proofErr w:type="spellEnd"/>
      <w:r>
        <w:t xml:space="preserve"> della Serotonina (SSRI). </w:t>
      </w:r>
      <w:r w:rsidR="00E10D2E">
        <w:t>Questi medicinali aiutano</w:t>
      </w:r>
      <w:r>
        <w:t xml:space="preserve"> </w:t>
      </w:r>
      <w:r w:rsidR="00E10D2E">
        <w:t>ad aumentare i livelli di serotonina nel cervello. Le alterazioni del sistema serotoninergico del cervello sono considerate fattori importanti per lo sviluppo di depressione e dei disturbi ad essa correlati.</w:t>
      </w:r>
    </w:p>
    <w:p w:rsidR="00E10D2E" w:rsidRDefault="00E10D2E" w:rsidP="00D14FB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D026E" w:rsidRDefault="00D14FBB" w:rsidP="00D14FB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Prameffex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7401FA">
        <w:rPr>
          <w:rFonts w:eastAsia="Calibri" w:cs="Calibri"/>
          <w:color w:val="000000"/>
        </w:rPr>
        <w:t>è</w:t>
      </w:r>
      <w:r w:rsidR="007D026E">
        <w:rPr>
          <w:rFonts w:eastAsia="Calibri" w:cs="Calibri"/>
          <w:color w:val="000000"/>
        </w:rPr>
        <w:t xml:space="preserve"> </w:t>
      </w:r>
      <w:r w:rsidR="007D026E">
        <w:t>impiegato</w:t>
      </w:r>
      <w:r w:rsidR="00E10D2E">
        <w:t xml:space="preserve"> </w:t>
      </w:r>
      <w:r w:rsidR="000F0ABC">
        <w:t>negli adulti per il</w:t>
      </w:r>
      <w:r>
        <w:t xml:space="preserve"> trattamento di episodi depressivi maggiori, del disturbo da attacchi di panico con o senza agorafobia, del disturbo d’ansia sociale (fobia sociale), del disturbo d’ansia generalizzato.</w:t>
      </w:r>
    </w:p>
    <w:p w:rsidR="00D14FBB" w:rsidRPr="002E06A2" w:rsidRDefault="00D14FBB" w:rsidP="00D14FBB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D026E" w:rsidRPr="00B44C11" w:rsidRDefault="007D026E" w:rsidP="00D14FBB">
      <w:pPr>
        <w:spacing w:after="0" w:line="240" w:lineRule="auto"/>
        <w:jc w:val="both"/>
        <w:rPr>
          <w:rFonts w:cs="Arial"/>
        </w:rPr>
      </w:pPr>
      <w:r w:rsidRPr="00140D5A">
        <w:t xml:space="preserve">Poiché </w:t>
      </w:r>
      <w:proofErr w:type="spellStart"/>
      <w:r w:rsidR="000F0ABC">
        <w:rPr>
          <w:rFonts w:eastAsia="Calibri" w:cs="Calibri"/>
          <w:color w:val="000000"/>
          <w:lang w:eastAsia="it-IT"/>
        </w:rPr>
        <w:t>Prameffex</w:t>
      </w:r>
      <w:proofErr w:type="spellEnd"/>
      <w:r w:rsidR="00E10D2E">
        <w:rPr>
          <w:rFonts w:eastAsia="Calibri" w:cs="Calibri"/>
          <w:color w:val="000000"/>
          <w:lang w:eastAsia="it-IT"/>
        </w:rPr>
        <w:t xml:space="preserve"> </w:t>
      </w:r>
      <w:r w:rsidRPr="00140D5A">
        <w:t xml:space="preserve">contiene </w:t>
      </w:r>
      <w:r w:rsidR="007401FA">
        <w:t xml:space="preserve">un </w:t>
      </w:r>
      <w:r w:rsidRPr="00140D5A">
        <w:t>principi</w:t>
      </w:r>
      <w:r>
        <w:t>o</w:t>
      </w:r>
      <w:r w:rsidRPr="00140D5A">
        <w:t xml:space="preserve"> attiv</w:t>
      </w:r>
      <w:r>
        <w:t>o</w:t>
      </w:r>
      <w:r w:rsidRPr="00140D5A">
        <w:t xml:space="preserve"> not</w:t>
      </w:r>
      <w:r>
        <w:t>o</w:t>
      </w:r>
      <w:r w:rsidRPr="00140D5A">
        <w:t xml:space="preserve"> non sono stati forniti nuovi dati non clinici e clinici: questo approccio è accettabile poiché il medicinale di riferimento </w:t>
      </w:r>
      <w:r w:rsidR="00E10D2E">
        <w:t xml:space="preserve">Cipralex </w:t>
      </w:r>
      <w:r w:rsidRPr="00140D5A">
        <w:t>è autorizzato in Italia da oltre 10 anni.</w:t>
      </w:r>
      <w:r>
        <w:t xml:space="preserve"> </w:t>
      </w: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  <w:r w:rsidRPr="002E06A2">
        <w:t>Le officine coinvolte nella produzione sono conformi alle linee guida di Buona Pratica di Fabbricazione (</w:t>
      </w:r>
      <w:proofErr w:type="spellStart"/>
      <w:r w:rsidRPr="002E06A2">
        <w:rPr>
          <w:i/>
        </w:rPr>
        <w:t>Good</w:t>
      </w:r>
      <w:proofErr w:type="spellEnd"/>
      <w:r w:rsidRPr="002E06A2">
        <w:rPr>
          <w:i/>
        </w:rPr>
        <w:t xml:space="preserve"> Manufacturing </w:t>
      </w:r>
      <w:proofErr w:type="spellStart"/>
      <w:r w:rsidRPr="002E06A2">
        <w:rPr>
          <w:i/>
        </w:rPr>
        <w:t>Practice</w:t>
      </w:r>
      <w:proofErr w:type="spellEnd"/>
      <w:r w:rsidRPr="002E06A2">
        <w:t xml:space="preserve"> - GMP). Le autorità </w:t>
      </w:r>
      <w:proofErr w:type="spellStart"/>
      <w:r w:rsidRPr="002E06A2">
        <w:t>regolatorie</w:t>
      </w:r>
      <w:proofErr w:type="spellEnd"/>
      <w:r w:rsidRPr="002E06A2">
        <w:t xml:space="preserve"> competenti hanno rilasciato i certificati GMP per i siti di produzione sul territorio dell’Unione Europea.</w:t>
      </w:r>
    </w:p>
    <w:p w:rsidR="007D026E" w:rsidRPr="002E06A2" w:rsidRDefault="007D026E" w:rsidP="00D14FBB">
      <w:pPr>
        <w:spacing w:after="0" w:line="240" w:lineRule="auto"/>
        <w:jc w:val="both"/>
        <w:rPr>
          <w:highlight w:val="yellow"/>
        </w:rPr>
      </w:pPr>
    </w:p>
    <w:p w:rsidR="007D026E" w:rsidRPr="002E06A2" w:rsidRDefault="007D026E" w:rsidP="00D14FBB">
      <w:pPr>
        <w:spacing w:after="0" w:line="240" w:lineRule="auto"/>
        <w:jc w:val="both"/>
      </w:pPr>
      <w:r w:rsidRPr="002E06A2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2E06A2">
        <w:rPr>
          <w:i/>
        </w:rPr>
        <w:t>Risk</w:t>
      </w:r>
      <w:proofErr w:type="spellEnd"/>
      <w:r w:rsidRPr="002E06A2">
        <w:rPr>
          <w:i/>
        </w:rPr>
        <w:t xml:space="preserve"> Management </w:t>
      </w:r>
      <w:proofErr w:type="spellStart"/>
      <w:r w:rsidRPr="002E06A2">
        <w:rPr>
          <w:i/>
        </w:rPr>
        <w:t>Plan</w:t>
      </w:r>
      <w:proofErr w:type="spellEnd"/>
      <w:r w:rsidRPr="002E06A2">
        <w:t xml:space="preserve"> – RMP) accettabile.</w:t>
      </w: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  <w:r w:rsidRPr="002E06A2">
        <w:t xml:space="preserve">Il titolare di AIC ha presentato una adeguata giustificazione della non presentazione della Valutazione del Rischio ambientale; questo approccio è accettabile in quanto </w:t>
      </w:r>
      <w:r>
        <w:t xml:space="preserve"> </w:t>
      </w:r>
      <w:proofErr w:type="spellStart"/>
      <w:r w:rsidR="000F0ABC">
        <w:rPr>
          <w:rFonts w:eastAsia="Calibri" w:cs="Calibri"/>
          <w:color w:val="000000"/>
          <w:lang w:eastAsia="it-IT"/>
        </w:rPr>
        <w:t>Prameffex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2E06A2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D026E" w:rsidRDefault="007D026E" w:rsidP="00D14FBB">
      <w:pPr>
        <w:spacing w:after="0" w:line="240" w:lineRule="auto"/>
        <w:jc w:val="both"/>
      </w:pPr>
    </w:p>
    <w:p w:rsidR="007D026E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 xml:space="preserve">ASPETTI </w:t>
      </w:r>
      <w:proofErr w:type="spellStart"/>
      <w:r w:rsidRPr="002E06A2">
        <w:rPr>
          <w:b/>
        </w:rPr>
        <w:t>DI</w:t>
      </w:r>
      <w:proofErr w:type="spellEnd"/>
      <w:r w:rsidRPr="002E06A2">
        <w:rPr>
          <w:b/>
        </w:rPr>
        <w:t xml:space="preserve"> QUALITA’</w:t>
      </w:r>
    </w:p>
    <w:p w:rsidR="007D026E" w:rsidRPr="003C3D8D" w:rsidRDefault="007D026E" w:rsidP="00D14FBB">
      <w:pPr>
        <w:spacing w:after="0" w:line="240" w:lineRule="auto"/>
        <w:jc w:val="both"/>
        <w:rPr>
          <w:b/>
        </w:rPr>
      </w:pPr>
      <w:r w:rsidRPr="002E06A2">
        <w:rPr>
          <w:b/>
        </w:rPr>
        <w:t>II.1 PRINCIPIO ATTIVO</w:t>
      </w:r>
      <w:r>
        <w:rPr>
          <w:b/>
        </w:rPr>
        <w:t xml:space="preserve">: </w:t>
      </w:r>
      <w:r w:rsidR="00E10D2E">
        <w:rPr>
          <w:b/>
        </w:rPr>
        <w:t xml:space="preserve">ESCITALOPRAM OSSALATO </w:t>
      </w:r>
    </w:p>
    <w:p w:rsidR="007D026E" w:rsidRPr="002E06A2" w:rsidRDefault="007D026E" w:rsidP="00D14FBB">
      <w:pPr>
        <w:spacing w:after="0" w:line="240" w:lineRule="auto"/>
        <w:jc w:val="both"/>
      </w:pPr>
      <w:r w:rsidRPr="00F6636D">
        <w:rPr>
          <w:u w:val="single"/>
        </w:rPr>
        <w:t>Nome chimico</w:t>
      </w:r>
      <w:r w:rsidRPr="00F6636D">
        <w:t xml:space="preserve">: </w:t>
      </w:r>
      <w:r w:rsidR="00AB74E9" w:rsidRPr="00AB74E9">
        <w:t>(</w:t>
      </w:r>
      <w:r w:rsidR="00ED1CA8" w:rsidRPr="00ED1CA8">
        <w:t>1</w:t>
      </w:r>
      <w:r w:rsidR="00ED1CA8" w:rsidRPr="00ED1CA8">
        <w:rPr>
          <w:i/>
          <w:iCs/>
        </w:rPr>
        <w:t>S</w:t>
      </w:r>
      <w:r w:rsidR="00ED1CA8" w:rsidRPr="00ED1CA8">
        <w:t xml:space="preserve">)-1-[3-(Dimethylamino)propyl]-1-(4-fluorophenyl)-3H-2-benzofuran-5-carbonitrile </w:t>
      </w:r>
      <w:proofErr w:type="spellStart"/>
      <w:r w:rsidR="00ED1CA8" w:rsidRPr="00ED1CA8">
        <w:t>oxalic</w:t>
      </w:r>
      <w:proofErr w:type="spellEnd"/>
      <w:r w:rsidR="00ED1CA8" w:rsidRPr="00ED1CA8">
        <w:t xml:space="preserve"> acid</w:t>
      </w:r>
      <w:r w:rsidR="00AB74E9" w:rsidRPr="00AB74E9">
        <w:t>.</w:t>
      </w:r>
    </w:p>
    <w:p w:rsidR="007D026E" w:rsidRDefault="007D026E" w:rsidP="00D14FBB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  <w:u w:val="single"/>
          <w:vertAlign w:val="subscript"/>
        </w:rPr>
      </w:pPr>
      <w:bookmarkStart w:id="2" w:name="a1845493781"/>
      <w:bookmarkEnd w:id="2"/>
      <w:r>
        <w:rPr>
          <w:rFonts w:asciiTheme="minorHAnsi" w:hAnsiTheme="minorHAnsi"/>
          <w:b w:val="0"/>
          <w:sz w:val="22"/>
          <w:szCs w:val="22"/>
          <w:u w:val="single"/>
        </w:rPr>
        <w:t xml:space="preserve">Formula molecolare: </w:t>
      </w:r>
      <w:r w:rsidR="00AB74E9" w:rsidRPr="00AB74E9">
        <w:rPr>
          <w:rStyle w:val="s1"/>
          <w:b w:val="0"/>
          <w:sz w:val="20"/>
          <w:szCs w:val="20"/>
        </w:rPr>
        <w:t>C</w:t>
      </w:r>
      <w:r w:rsidR="00AB74E9" w:rsidRPr="00AB74E9">
        <w:rPr>
          <w:rStyle w:val="s1"/>
          <w:b w:val="0"/>
          <w:sz w:val="16"/>
          <w:szCs w:val="16"/>
          <w:vertAlign w:val="subscript"/>
        </w:rPr>
        <w:t>22</w:t>
      </w:r>
      <w:r w:rsidR="00AB74E9" w:rsidRPr="00AB74E9">
        <w:rPr>
          <w:rStyle w:val="s1"/>
          <w:b w:val="0"/>
          <w:sz w:val="20"/>
          <w:szCs w:val="20"/>
        </w:rPr>
        <w:t>H</w:t>
      </w:r>
      <w:r w:rsidR="00AB74E9" w:rsidRPr="00AB74E9">
        <w:rPr>
          <w:rStyle w:val="s1"/>
          <w:b w:val="0"/>
          <w:sz w:val="16"/>
          <w:szCs w:val="16"/>
          <w:vertAlign w:val="subscript"/>
        </w:rPr>
        <w:t>23</w:t>
      </w:r>
      <w:r w:rsidR="00AB74E9" w:rsidRPr="00AB74E9">
        <w:rPr>
          <w:rStyle w:val="s1"/>
          <w:b w:val="0"/>
          <w:sz w:val="20"/>
          <w:szCs w:val="20"/>
        </w:rPr>
        <w:t>FN</w:t>
      </w:r>
      <w:r w:rsidR="00AB74E9" w:rsidRPr="00AB74E9">
        <w:rPr>
          <w:rStyle w:val="s1"/>
          <w:b w:val="0"/>
          <w:sz w:val="16"/>
          <w:szCs w:val="16"/>
          <w:vertAlign w:val="subscript"/>
        </w:rPr>
        <w:t>2</w:t>
      </w:r>
      <w:r w:rsidR="00AB74E9" w:rsidRPr="00AB74E9">
        <w:rPr>
          <w:rStyle w:val="s1"/>
          <w:b w:val="0"/>
          <w:sz w:val="20"/>
          <w:szCs w:val="20"/>
        </w:rPr>
        <w:t>O</w:t>
      </w:r>
      <w:r w:rsidR="00AB74E9" w:rsidRPr="00AB74E9">
        <w:rPr>
          <w:rStyle w:val="s1"/>
          <w:b w:val="0"/>
          <w:sz w:val="16"/>
          <w:szCs w:val="16"/>
          <w:vertAlign w:val="subscript"/>
        </w:rPr>
        <w:t>5</w:t>
      </w:r>
    </w:p>
    <w:p w:rsidR="007D026E" w:rsidRDefault="007D026E" w:rsidP="00D14FBB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>
        <w:rPr>
          <w:rFonts w:asciiTheme="minorHAnsi" w:hAnsiTheme="minorHAnsi"/>
          <w:b w:val="0"/>
          <w:sz w:val="22"/>
          <w:szCs w:val="22"/>
          <w:u w:val="single"/>
        </w:rPr>
        <w:t>M</w:t>
      </w:r>
      <w:r w:rsidRPr="00A717A0">
        <w:rPr>
          <w:rFonts w:asciiTheme="minorHAnsi" w:hAnsiTheme="minorHAnsi"/>
          <w:b w:val="0"/>
          <w:sz w:val="22"/>
          <w:szCs w:val="22"/>
          <w:u w:val="single"/>
        </w:rPr>
        <w:t>assa</w:t>
      </w:r>
      <w:r>
        <w:rPr>
          <w:rFonts w:asciiTheme="minorHAnsi" w:hAnsiTheme="minorHAnsi"/>
          <w:b w:val="0"/>
          <w:sz w:val="22"/>
          <w:szCs w:val="22"/>
          <w:u w:val="single"/>
        </w:rPr>
        <w:t xml:space="preserve"> Molecolare</w:t>
      </w:r>
      <w:r w:rsidR="00F44084">
        <w:rPr>
          <w:rFonts w:asciiTheme="minorHAnsi" w:hAnsiTheme="minorHAnsi"/>
          <w:b w:val="0"/>
          <w:sz w:val="22"/>
          <w:szCs w:val="22"/>
          <w:u w:val="single"/>
        </w:rPr>
        <w:t>: 414.4</w:t>
      </w:r>
      <w:r w:rsidRPr="00A717A0">
        <w:rPr>
          <w:rFonts w:asciiTheme="minorHAnsi" w:hAnsiTheme="minorHAnsi"/>
          <w:b w:val="0"/>
          <w:sz w:val="22"/>
          <w:szCs w:val="22"/>
          <w:u w:val="single"/>
        </w:rPr>
        <w:t xml:space="preserve"> </w:t>
      </w:r>
    </w:p>
    <w:p w:rsidR="007D026E" w:rsidRDefault="007D026E" w:rsidP="00D14FBB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3C3D8D">
        <w:rPr>
          <w:rFonts w:asciiTheme="minorHAnsi" w:hAnsiTheme="minorHAnsi"/>
          <w:b w:val="0"/>
          <w:sz w:val="22"/>
          <w:szCs w:val="22"/>
          <w:u w:val="single"/>
        </w:rPr>
        <w:t>Struttura</w:t>
      </w:r>
      <w:r>
        <w:rPr>
          <w:rFonts w:asciiTheme="minorHAnsi" w:hAnsiTheme="minorHAnsi"/>
          <w:b w:val="0"/>
          <w:sz w:val="22"/>
          <w:szCs w:val="22"/>
        </w:rPr>
        <w:t xml:space="preserve">: </w:t>
      </w:r>
    </w:p>
    <w:p w:rsidR="00AB74E9" w:rsidRPr="00AB74E9" w:rsidRDefault="00AB74E9" w:rsidP="00D14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3" w:name="a1946157072"/>
      <w:bookmarkEnd w:id="3"/>
      <w:r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2098508" cy="925353"/>
            <wp:effectExtent l="19050" t="0" r="0" b="0"/>
            <wp:docPr id="2" name="Immagine 1" descr="P:\_dp\808\XML-IN\Images\CF2733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8\XML-IN\Images\CF2733-B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32" cy="929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ABC" w:rsidRDefault="000F0ABC" w:rsidP="00D14FBB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</w:p>
    <w:p w:rsidR="007D026E" w:rsidRPr="002E06A2" w:rsidRDefault="007D026E" w:rsidP="00D14FBB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2E06A2">
        <w:rPr>
          <w:rFonts w:asciiTheme="minorHAnsi" w:hAnsiTheme="minorHAnsi"/>
          <w:b w:val="0"/>
          <w:sz w:val="22"/>
          <w:szCs w:val="22"/>
          <w:u w:val="single"/>
        </w:rPr>
        <w:lastRenderedPageBreak/>
        <w:t>Aspetto</w:t>
      </w:r>
      <w:r w:rsidRPr="002E06A2">
        <w:rPr>
          <w:rFonts w:asciiTheme="minorHAnsi" w:hAnsiTheme="minorHAnsi"/>
          <w:b w:val="0"/>
          <w:sz w:val="22"/>
          <w:szCs w:val="22"/>
        </w:rPr>
        <w:t xml:space="preserve">: </w:t>
      </w:r>
      <w:r w:rsidR="00F44084">
        <w:rPr>
          <w:rFonts w:asciiTheme="minorHAnsi" w:hAnsiTheme="minorHAnsi"/>
          <w:b w:val="0"/>
          <w:sz w:val="22"/>
          <w:szCs w:val="22"/>
        </w:rPr>
        <w:t>polvere cristallina da bianca a quasi bianca</w:t>
      </w:r>
    </w:p>
    <w:p w:rsidR="007D026E" w:rsidRDefault="007D026E" w:rsidP="00D14FBB">
      <w:pPr>
        <w:spacing w:after="0" w:line="240" w:lineRule="auto"/>
        <w:jc w:val="both"/>
      </w:pPr>
      <w:r w:rsidRPr="002E06A2">
        <w:rPr>
          <w:u w:val="single"/>
        </w:rPr>
        <w:t>Solubilità</w:t>
      </w:r>
      <w:r>
        <w:t xml:space="preserve">: </w:t>
      </w:r>
      <w:r w:rsidR="00ED1CA8" w:rsidRPr="00C71A57">
        <w:t xml:space="preserve">solubile in </w:t>
      </w:r>
      <w:proofErr w:type="spellStart"/>
      <w:r w:rsidR="00ED1CA8">
        <w:t>D</w:t>
      </w:r>
      <w:r w:rsidR="000F0ABC">
        <w:t>dimetil</w:t>
      </w:r>
      <w:r w:rsidR="00ED1CA8">
        <w:t>formammide</w:t>
      </w:r>
      <w:proofErr w:type="spellEnd"/>
      <w:r w:rsidR="00ED1CA8">
        <w:t xml:space="preserve"> e </w:t>
      </w:r>
      <w:proofErr w:type="spellStart"/>
      <w:r w:rsidR="00ED1CA8">
        <w:t>dimetilsolfossido</w:t>
      </w:r>
      <w:proofErr w:type="spellEnd"/>
      <w:r w:rsidR="00ED1CA8">
        <w:t xml:space="preserve">, </w:t>
      </w:r>
      <w:r w:rsidR="00ED1CA8" w:rsidRPr="00C71A57">
        <w:t xml:space="preserve"> </w:t>
      </w:r>
      <w:r w:rsidR="00ED1CA8">
        <w:t xml:space="preserve">poco </w:t>
      </w:r>
      <w:r w:rsidR="00ED1CA8" w:rsidRPr="00C71A57">
        <w:t xml:space="preserve">solubile in metanolo, leggermente solubile in </w:t>
      </w:r>
      <w:proofErr w:type="spellStart"/>
      <w:r w:rsidR="00ED1CA8">
        <w:t>diclorometano</w:t>
      </w:r>
      <w:proofErr w:type="spellEnd"/>
      <w:r>
        <w:t>.</w:t>
      </w:r>
    </w:p>
    <w:p w:rsidR="00F44084" w:rsidRDefault="00F44084" w:rsidP="00D14FBB">
      <w:pPr>
        <w:spacing w:after="0" w:line="240" w:lineRule="auto"/>
        <w:jc w:val="both"/>
      </w:pPr>
    </w:p>
    <w:p w:rsidR="00F44084" w:rsidRDefault="00F44084" w:rsidP="00D14FBB">
      <w:pPr>
        <w:spacing w:after="0" w:line="240" w:lineRule="auto"/>
        <w:jc w:val="both"/>
      </w:pPr>
      <w:r w:rsidRPr="009A33E4">
        <w:t xml:space="preserve">Il principio attivo </w:t>
      </w:r>
      <w:r w:rsidR="001B78A7">
        <w:t>escitalopram oss</w:t>
      </w:r>
      <w:r>
        <w:t>alato</w:t>
      </w:r>
      <w:r w:rsidRPr="009A33E4">
        <w:t xml:space="preserve"> è presente in Farmacopea Europea; </w:t>
      </w:r>
      <w:r>
        <w:t>il produttore di principio attivo ha</w:t>
      </w:r>
      <w:r w:rsidRPr="009A33E4">
        <w:t xml:space="preserve"> presentato un ASMF.</w:t>
      </w:r>
    </w:p>
    <w:p w:rsidR="00F44084" w:rsidRDefault="00F44084" w:rsidP="00D14FBB">
      <w:pPr>
        <w:spacing w:after="0" w:line="240" w:lineRule="auto"/>
        <w:jc w:val="both"/>
      </w:pPr>
      <w:r>
        <w:t>La sintesi del principio attivo è stata adegua</w:t>
      </w:r>
      <w:r w:rsidR="007401FA">
        <w:t xml:space="preserve">tamente descritta a partire da </w:t>
      </w:r>
      <w:r>
        <w:t>idonei materiali di partenza; sono utilizzati appropriati controlli di processo e degli intermedi di sintesi.</w:t>
      </w:r>
    </w:p>
    <w:p w:rsidR="00F44084" w:rsidRDefault="00F44084" w:rsidP="00D14FBB">
      <w:pPr>
        <w:spacing w:after="0" w:line="240" w:lineRule="auto"/>
        <w:jc w:val="both"/>
      </w:pPr>
      <w:r>
        <w:t>I materiali e i reagenti utilizzati nella sintesi sono di qualità adeguata.</w:t>
      </w:r>
    </w:p>
    <w:p w:rsidR="00F44084" w:rsidRDefault="00F44084" w:rsidP="00D14FBB">
      <w:pPr>
        <w:spacing w:after="0" w:line="240" w:lineRule="auto"/>
        <w:jc w:val="both"/>
      </w:pPr>
      <w:r>
        <w:t>I materiali, gli intermedi, i reagenti utilizzati nella sintesi non sono di origine umana, biologica o geneticamente modificata.</w:t>
      </w:r>
    </w:p>
    <w:p w:rsidR="00F44084" w:rsidRDefault="00F44084" w:rsidP="00D14FBB">
      <w:pPr>
        <w:spacing w:after="0" w:line="240" w:lineRule="auto"/>
        <w:jc w:val="both"/>
      </w:pPr>
      <w:r>
        <w:t>Le specifiche del principio attivo sono</w:t>
      </w:r>
      <w:r w:rsidR="007401FA">
        <w:t xml:space="preserve"> appropriate e controllat</w:t>
      </w:r>
      <w:r w:rsidR="00ED1CA8">
        <w:t>e</w:t>
      </w:r>
      <w:r w:rsidR="007401FA">
        <w:t xml:space="preserve"> con </w:t>
      </w:r>
      <w:r>
        <w:t>i metodi analitici previsti dall</w:t>
      </w:r>
      <w:r w:rsidR="00ED1CA8">
        <w:t>e</w:t>
      </w:r>
      <w:r>
        <w:t xml:space="preserve"> monografi</w:t>
      </w:r>
      <w:r w:rsidR="00ED1CA8">
        <w:t>e</w:t>
      </w:r>
      <w:r>
        <w:t xml:space="preserve"> di </w:t>
      </w:r>
      <w:r w:rsidR="001B78A7">
        <w:t>Farmacopea</w:t>
      </w:r>
      <w:r>
        <w:t xml:space="preserve"> Europea. Sono stati forniti certificati analitici che confermano la qualità del principio attivo.</w:t>
      </w:r>
    </w:p>
    <w:p w:rsidR="00F44084" w:rsidRDefault="00F44084" w:rsidP="00D14FBB">
      <w:pPr>
        <w:spacing w:after="0" w:line="240" w:lineRule="auto"/>
        <w:jc w:val="both"/>
      </w:pPr>
      <w:r>
        <w:t xml:space="preserve">Il principio </w:t>
      </w:r>
      <w:r w:rsidRPr="005F7971">
        <w:t xml:space="preserve">attivo è confezionato in un adeguato contenitore, per il quale sono stati forniti specifiche e certificati analitici. </w:t>
      </w:r>
      <w:r w:rsidRPr="00561486">
        <w:t xml:space="preserve">Il confezionamento primario è </w:t>
      </w:r>
      <w:r>
        <w:t xml:space="preserve">costituito da una doppia busta </w:t>
      </w:r>
      <w:r w:rsidR="001B78A7">
        <w:t xml:space="preserve">di polietilene ( l’interna  trasparente , l’esterna </w:t>
      </w:r>
      <w:r w:rsidR="00ED1CA8">
        <w:t>nera</w:t>
      </w:r>
      <w:r w:rsidR="001B78A7">
        <w:t xml:space="preserve">) chiusa all’interno di una busta opaca e a sua volta all’interno di un fusto in HDPE. </w:t>
      </w:r>
      <w:r>
        <w:t xml:space="preserve">Sono stati forniti adeguati studi di stabilità per il principio attivo conservato nel confezionamento proposto per il commercio. Sulla base di questi dati, è stato approvato un </w:t>
      </w:r>
      <w:r w:rsidRPr="001B78A7">
        <w:t xml:space="preserve">periodo di </w:t>
      </w:r>
      <w:proofErr w:type="spellStart"/>
      <w:r w:rsidRPr="001B78A7">
        <w:t>retest</w:t>
      </w:r>
      <w:proofErr w:type="spellEnd"/>
      <w:r w:rsidRPr="001B78A7">
        <w:t xml:space="preserve"> di </w:t>
      </w:r>
      <w:r w:rsidR="001B78A7" w:rsidRPr="001B78A7">
        <w:t>5</w:t>
      </w:r>
      <w:r w:rsidR="001B78A7">
        <w:t xml:space="preserve"> anni</w:t>
      </w:r>
    </w:p>
    <w:p w:rsidR="007D026E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  <w:rPr>
          <w:b/>
        </w:rPr>
      </w:pPr>
      <w:r w:rsidRPr="002E06A2">
        <w:rPr>
          <w:b/>
        </w:rPr>
        <w:t>II.2 PRODOTTO FINITO</w:t>
      </w:r>
    </w:p>
    <w:p w:rsidR="001B78A7" w:rsidRPr="00532E32" w:rsidRDefault="001B78A7" w:rsidP="00D14FBB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3E0283" w:rsidRDefault="000F0ABC" w:rsidP="00D14FB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Prameffex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1B78A7" w:rsidRPr="00D33431">
        <w:rPr>
          <w:rFonts w:eastAsia="Calibri" w:cs="Calibri"/>
          <w:color w:val="000000"/>
          <w:lang w:eastAsia="it-IT"/>
        </w:rPr>
        <w:t>è disponibile in compress</w:t>
      </w:r>
      <w:r w:rsidR="007401FA">
        <w:rPr>
          <w:rFonts w:eastAsia="Calibri" w:cs="Calibri"/>
          <w:color w:val="000000"/>
          <w:lang w:eastAsia="it-IT"/>
        </w:rPr>
        <w:t>e</w:t>
      </w:r>
      <w:r w:rsidR="003E0283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da 10 mg e da 20 mg di principio attivo; le compresse sono </w:t>
      </w:r>
      <w:r w:rsidR="003E0283">
        <w:rPr>
          <w:rFonts w:eastAsia="Calibri" w:cs="Calibri"/>
          <w:color w:val="000000"/>
          <w:lang w:eastAsia="it-IT"/>
        </w:rPr>
        <w:t>bianche di forma ovale rivestite e presentano una linea di incisione che consent</w:t>
      </w:r>
      <w:r w:rsidR="007401FA">
        <w:rPr>
          <w:rFonts w:eastAsia="Calibri" w:cs="Calibri"/>
          <w:color w:val="000000"/>
          <w:lang w:eastAsia="it-IT"/>
        </w:rPr>
        <w:t xml:space="preserve">e la divisione della compressa </w:t>
      </w:r>
      <w:r w:rsidR="003E0283">
        <w:rPr>
          <w:rFonts w:eastAsia="Calibri" w:cs="Calibri"/>
          <w:color w:val="000000"/>
          <w:lang w:eastAsia="it-IT"/>
        </w:rPr>
        <w:t>in due dosi uguali.</w:t>
      </w:r>
    </w:p>
    <w:p w:rsidR="000F0ABC" w:rsidRDefault="000F0ABC" w:rsidP="000F0ABC">
      <w:pPr>
        <w:widowControl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Gli eccipienti delle compresse sono cellulosa microcristallina, s</w:t>
      </w:r>
      <w:r w:rsidRPr="003E0283">
        <w:rPr>
          <w:rFonts w:ascii="Calibri" w:hAnsi="Calibri"/>
        </w:rPr>
        <w:t>ili</w:t>
      </w:r>
      <w:r>
        <w:rPr>
          <w:rFonts w:ascii="Calibri" w:hAnsi="Calibri"/>
        </w:rPr>
        <w:t xml:space="preserve">ce colloidale anidra, talco, </w:t>
      </w:r>
      <w:proofErr w:type="spellStart"/>
      <w:r>
        <w:rPr>
          <w:rFonts w:ascii="Calibri" w:hAnsi="Calibri"/>
        </w:rPr>
        <w:t>c</w:t>
      </w:r>
      <w:r w:rsidRPr="003E0283">
        <w:rPr>
          <w:rFonts w:ascii="Calibri" w:hAnsi="Calibri"/>
        </w:rPr>
        <w:t>roscarmellosa</w:t>
      </w:r>
      <w:proofErr w:type="spellEnd"/>
      <w:r w:rsidRPr="003E0283">
        <w:rPr>
          <w:rFonts w:ascii="Calibri" w:hAnsi="Calibri"/>
        </w:rPr>
        <w:t xml:space="preserve"> sodica</w:t>
      </w:r>
      <w:r>
        <w:rPr>
          <w:rFonts w:ascii="Calibri" w:hAnsi="Calibri"/>
        </w:rPr>
        <w:t>, m</w:t>
      </w:r>
      <w:r w:rsidRPr="003E0283">
        <w:rPr>
          <w:rFonts w:ascii="Calibri" w:hAnsi="Calibri"/>
        </w:rPr>
        <w:t>agnesio stearato</w:t>
      </w:r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i</w:t>
      </w:r>
      <w:r w:rsidRPr="003E0283">
        <w:rPr>
          <w:rFonts w:ascii="Calibri" w:hAnsi="Calibri"/>
        </w:rPr>
        <w:t>promellosa</w:t>
      </w:r>
      <w:proofErr w:type="spellEnd"/>
      <w:r>
        <w:rPr>
          <w:rFonts w:ascii="Calibri" w:hAnsi="Calibri"/>
        </w:rPr>
        <w:t>, t</w:t>
      </w:r>
      <w:r w:rsidRPr="003E0283">
        <w:rPr>
          <w:rFonts w:ascii="Calibri" w:hAnsi="Calibri"/>
        </w:rPr>
        <w:t>itanio diossido (E171)</w:t>
      </w:r>
      <w:r>
        <w:rPr>
          <w:rFonts w:ascii="Calibri" w:hAnsi="Calibri"/>
        </w:rPr>
        <w:t>, m</w:t>
      </w:r>
      <w:r w:rsidRPr="003E0283">
        <w:rPr>
          <w:rFonts w:ascii="Calibri" w:hAnsi="Calibri"/>
        </w:rPr>
        <w:t>acrogol 400</w:t>
      </w:r>
      <w:r>
        <w:rPr>
          <w:rFonts w:ascii="Calibri" w:hAnsi="Calibri"/>
        </w:rPr>
        <w:t>.</w:t>
      </w:r>
    </w:p>
    <w:p w:rsidR="001B78A7" w:rsidRPr="00D33431" w:rsidRDefault="00ED1CA8" w:rsidP="00D14FBB">
      <w:pPr>
        <w:widowControl w:val="0"/>
        <w:spacing w:after="0" w:line="240" w:lineRule="auto"/>
        <w:jc w:val="both"/>
      </w:pPr>
      <w:r>
        <w:rPr>
          <w:rFonts w:cs="Helvetica"/>
        </w:rPr>
        <w:t>L</w:t>
      </w:r>
      <w:r w:rsidR="003E0283">
        <w:rPr>
          <w:rFonts w:cs="Helvetica"/>
        </w:rPr>
        <w:t xml:space="preserve">e </w:t>
      </w:r>
      <w:r w:rsidR="001B78A7">
        <w:rPr>
          <w:rFonts w:cs="Helvetica"/>
        </w:rPr>
        <w:t xml:space="preserve">gocce orali </w:t>
      </w:r>
      <w:r w:rsidR="000F0ABC">
        <w:rPr>
          <w:rFonts w:cs="Helvetica"/>
        </w:rPr>
        <w:t>contengono</w:t>
      </w:r>
      <w:r w:rsidR="003E0283">
        <w:rPr>
          <w:rFonts w:cs="Helvetica"/>
        </w:rPr>
        <w:t xml:space="preserve"> </w:t>
      </w:r>
      <w:r w:rsidR="000F0ABC">
        <w:rPr>
          <w:rFonts w:cs="Helvetica"/>
        </w:rPr>
        <w:t xml:space="preserve">il principio attivo ad </w:t>
      </w:r>
      <w:r w:rsidR="003E0283">
        <w:rPr>
          <w:rFonts w:cs="Helvetica"/>
        </w:rPr>
        <w:t xml:space="preserve">una </w:t>
      </w:r>
      <w:r w:rsidR="001B78A7">
        <w:rPr>
          <w:rFonts w:cs="Helvetica"/>
        </w:rPr>
        <w:t xml:space="preserve">concentrazione </w:t>
      </w:r>
      <w:r w:rsidR="003E0283">
        <w:rPr>
          <w:rFonts w:cs="Helvetica"/>
        </w:rPr>
        <w:t xml:space="preserve">di </w:t>
      </w:r>
      <w:r w:rsidR="001B78A7">
        <w:rPr>
          <w:rFonts w:cs="Helvetica"/>
        </w:rPr>
        <w:t xml:space="preserve"> 20mg/ml</w:t>
      </w:r>
      <w:r w:rsidR="003E0283">
        <w:rPr>
          <w:rFonts w:cs="Helvetica"/>
        </w:rPr>
        <w:t xml:space="preserve"> e si presentano come</w:t>
      </w:r>
      <w:r w:rsidR="003E0283" w:rsidRPr="003E0283">
        <w:rPr>
          <w:rFonts w:ascii="Calibri" w:hAnsi="Calibri"/>
        </w:rPr>
        <w:t xml:space="preserve"> </w:t>
      </w:r>
      <w:r w:rsidR="003E0283">
        <w:rPr>
          <w:rFonts w:ascii="Calibri" w:hAnsi="Calibri"/>
        </w:rPr>
        <w:t xml:space="preserve">una </w:t>
      </w:r>
      <w:r w:rsidR="003E0283" w:rsidRPr="006371B0">
        <w:rPr>
          <w:rFonts w:ascii="Calibri" w:hAnsi="Calibri"/>
        </w:rPr>
        <w:t xml:space="preserve">soluzione </w:t>
      </w:r>
      <w:r>
        <w:rPr>
          <w:rFonts w:ascii="Calibri" w:hAnsi="Calibri"/>
        </w:rPr>
        <w:t>chiara ed</w:t>
      </w:r>
      <w:r w:rsidR="003E0283" w:rsidRPr="006371B0">
        <w:rPr>
          <w:rFonts w:ascii="Calibri" w:hAnsi="Calibri"/>
        </w:rPr>
        <w:t xml:space="preserve"> incolore</w:t>
      </w:r>
      <w:r>
        <w:rPr>
          <w:rFonts w:ascii="Calibri" w:hAnsi="Calibri"/>
        </w:rPr>
        <w:t>.</w:t>
      </w:r>
    </w:p>
    <w:p w:rsidR="001B78A7" w:rsidRPr="003E0283" w:rsidRDefault="007401FA" w:rsidP="00D14FBB">
      <w:pPr>
        <w:widowControl w:val="0"/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Gli eccipienti </w:t>
      </w:r>
      <w:r w:rsidR="001B78A7" w:rsidRPr="003E0283">
        <w:rPr>
          <w:rFonts w:ascii="Calibri" w:hAnsi="Calibri"/>
        </w:rPr>
        <w:t>delle gocce</w:t>
      </w:r>
      <w:r w:rsidR="000F0ABC">
        <w:rPr>
          <w:rFonts w:ascii="Calibri" w:hAnsi="Calibri"/>
        </w:rPr>
        <w:t xml:space="preserve"> sono </w:t>
      </w:r>
      <w:proofErr w:type="spellStart"/>
      <w:r w:rsidR="000F0ABC">
        <w:rPr>
          <w:rFonts w:ascii="Calibri" w:hAnsi="Calibri"/>
        </w:rPr>
        <w:t>p</w:t>
      </w:r>
      <w:r w:rsidR="001B78A7" w:rsidRPr="003E0283">
        <w:rPr>
          <w:rFonts w:ascii="Calibri" w:hAnsi="Calibri"/>
        </w:rPr>
        <w:t>ropil</w:t>
      </w:r>
      <w:proofErr w:type="spellEnd"/>
      <w:r w:rsidR="001B78A7" w:rsidRPr="003E0283">
        <w:rPr>
          <w:rFonts w:ascii="Calibri" w:hAnsi="Calibri"/>
        </w:rPr>
        <w:t xml:space="preserve"> gallato (E310)</w:t>
      </w:r>
      <w:r w:rsidR="003E0283">
        <w:rPr>
          <w:rFonts w:ascii="Calibri" w:hAnsi="Calibri"/>
        </w:rPr>
        <w:t>,</w:t>
      </w:r>
      <w:r w:rsidR="001B78A7" w:rsidRPr="003E0283">
        <w:rPr>
          <w:rFonts w:ascii="Calibri" w:hAnsi="Calibri"/>
        </w:rPr>
        <w:t xml:space="preserve"> </w:t>
      </w:r>
      <w:r w:rsidR="000F0ABC">
        <w:rPr>
          <w:rFonts w:ascii="Calibri" w:hAnsi="Calibri"/>
        </w:rPr>
        <w:t>a</w:t>
      </w:r>
      <w:r w:rsidR="001B78A7" w:rsidRPr="003E0283">
        <w:rPr>
          <w:rFonts w:ascii="Calibri" w:hAnsi="Calibri"/>
        </w:rPr>
        <w:t>cido citrico anidro (E330)</w:t>
      </w:r>
      <w:r w:rsidR="003E0283">
        <w:rPr>
          <w:rFonts w:ascii="Calibri" w:hAnsi="Calibri"/>
        </w:rPr>
        <w:t>,</w:t>
      </w:r>
      <w:r w:rsidR="001B78A7" w:rsidRPr="003E0283">
        <w:rPr>
          <w:rFonts w:ascii="Calibri" w:hAnsi="Calibri"/>
        </w:rPr>
        <w:t xml:space="preserve"> </w:t>
      </w:r>
      <w:r w:rsidR="000F0ABC">
        <w:rPr>
          <w:rFonts w:ascii="Calibri" w:hAnsi="Calibri"/>
        </w:rPr>
        <w:t>e</w:t>
      </w:r>
      <w:r w:rsidR="001B78A7" w:rsidRPr="003E0283">
        <w:rPr>
          <w:rFonts w:ascii="Calibri" w:hAnsi="Calibri"/>
        </w:rPr>
        <w:t>tanolo 96% (E1510)</w:t>
      </w:r>
      <w:r w:rsidR="003E0283">
        <w:rPr>
          <w:rFonts w:ascii="Calibri" w:hAnsi="Calibri"/>
        </w:rPr>
        <w:t xml:space="preserve">, </w:t>
      </w:r>
      <w:r w:rsidR="000F0ABC">
        <w:rPr>
          <w:rFonts w:ascii="Calibri" w:hAnsi="Calibri"/>
        </w:rPr>
        <w:t>s</w:t>
      </w:r>
      <w:r w:rsidR="001B78A7" w:rsidRPr="003E0283">
        <w:rPr>
          <w:rFonts w:ascii="Calibri" w:hAnsi="Calibri"/>
        </w:rPr>
        <w:t>odio idrossido (E524)</w:t>
      </w:r>
      <w:r w:rsidR="003E0283">
        <w:rPr>
          <w:rFonts w:ascii="Calibri" w:hAnsi="Calibri"/>
        </w:rPr>
        <w:t>,</w:t>
      </w:r>
      <w:r w:rsidR="001B78A7" w:rsidRPr="003E0283">
        <w:rPr>
          <w:rFonts w:ascii="Calibri" w:hAnsi="Calibri"/>
        </w:rPr>
        <w:t xml:space="preserve"> </w:t>
      </w:r>
      <w:r w:rsidR="000F0ABC">
        <w:rPr>
          <w:rFonts w:ascii="Calibri" w:hAnsi="Calibri"/>
        </w:rPr>
        <w:t>a</w:t>
      </w:r>
      <w:r w:rsidR="001B78A7" w:rsidRPr="003E0283">
        <w:rPr>
          <w:rFonts w:ascii="Calibri" w:hAnsi="Calibri"/>
        </w:rPr>
        <w:t>cqua depurata</w:t>
      </w:r>
      <w:r w:rsidR="003E0283">
        <w:rPr>
          <w:rFonts w:ascii="Calibri" w:hAnsi="Calibri"/>
        </w:rPr>
        <w:t>.</w:t>
      </w:r>
    </w:p>
    <w:p w:rsidR="001B78A7" w:rsidRDefault="001B78A7" w:rsidP="00D14FBB">
      <w:pPr>
        <w:spacing w:after="0" w:line="240" w:lineRule="auto"/>
        <w:ind w:right="13"/>
        <w:jc w:val="both"/>
      </w:pPr>
      <w:r w:rsidRPr="00561486">
        <w:t>Tutti gli eccipienti sono conformi alla relativa monografia di Farmacopea Europea</w:t>
      </w:r>
      <w:r>
        <w:t>. Non ci sono</w:t>
      </w:r>
      <w:r w:rsidR="007401FA">
        <w:t xml:space="preserve"> eccipienti di origine animale.</w:t>
      </w:r>
    </w:p>
    <w:p w:rsidR="001B78A7" w:rsidRDefault="001B78A7" w:rsidP="00D14FBB">
      <w:pPr>
        <w:spacing w:after="0" w:line="240" w:lineRule="auto"/>
        <w:jc w:val="both"/>
      </w:pPr>
      <w:r w:rsidRPr="00561486">
        <w:t>Nessun eccipiente è ottenuto da organismi geneticamente modificati; non sono presenti eccipienti mai utilizzati nell’uomo.</w:t>
      </w:r>
    </w:p>
    <w:p w:rsidR="001B78A7" w:rsidRDefault="001B78A7" w:rsidP="00D14FBB">
      <w:pPr>
        <w:spacing w:after="0" w:line="240" w:lineRule="auto"/>
        <w:jc w:val="both"/>
      </w:pPr>
    </w:p>
    <w:p w:rsidR="001B78A7" w:rsidRPr="009320D1" w:rsidRDefault="001B78A7" w:rsidP="00D14FBB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1B78A7" w:rsidRDefault="001B78A7" w:rsidP="00D14FBB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1B78A7" w:rsidRPr="00900C91" w:rsidRDefault="001B78A7" w:rsidP="00D14FBB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al medicinale </w:t>
      </w:r>
      <w:proofErr w:type="spellStart"/>
      <w:r w:rsidR="00B80E48">
        <w:t>Cipralex</w:t>
      </w:r>
      <w:proofErr w:type="spellEnd"/>
      <w:r w:rsidR="00B80E48">
        <w:t>.</w:t>
      </w:r>
    </w:p>
    <w:p w:rsidR="001B78A7" w:rsidRDefault="001B78A7" w:rsidP="00D14FBB">
      <w:pPr>
        <w:spacing w:after="0" w:line="240" w:lineRule="auto"/>
        <w:jc w:val="both"/>
      </w:pPr>
      <w:r>
        <w:t>Sono stati forniti dati comparati</w:t>
      </w:r>
      <w:r w:rsidR="007401FA">
        <w:t>v</w:t>
      </w:r>
      <w:r>
        <w:t>i relativi al profilo di dissoluzione e al profilo di impurezze rispetto al medicinale di riferimento. I dati sono soddisfacenti.</w:t>
      </w:r>
    </w:p>
    <w:p w:rsidR="001B78A7" w:rsidRDefault="001B78A7" w:rsidP="00D14FBB">
      <w:pPr>
        <w:spacing w:after="0" w:line="240" w:lineRule="auto"/>
        <w:jc w:val="both"/>
      </w:pPr>
    </w:p>
    <w:p w:rsidR="001B78A7" w:rsidRPr="0062626E" w:rsidRDefault="001B78A7" w:rsidP="00D14FBB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1B78A7" w:rsidRDefault="001B78A7" w:rsidP="00D14FBB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1B78A7" w:rsidRDefault="001B78A7" w:rsidP="00D14FBB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</w:t>
      </w:r>
      <w:r w:rsidR="00B80E48">
        <w:t xml:space="preserve"> per entrambe le formulazioni</w:t>
      </w:r>
      <w:r>
        <w:t>.</w:t>
      </w:r>
    </w:p>
    <w:p w:rsidR="001B78A7" w:rsidRDefault="001B78A7" w:rsidP="00D14FBB">
      <w:pPr>
        <w:spacing w:after="0" w:line="240" w:lineRule="auto"/>
        <w:jc w:val="both"/>
      </w:pPr>
    </w:p>
    <w:p w:rsidR="001B78A7" w:rsidRPr="0062626E" w:rsidRDefault="001B78A7" w:rsidP="00D14FBB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1B78A7" w:rsidRPr="005702AF" w:rsidRDefault="00B80E48" w:rsidP="00D14FBB">
      <w:pPr>
        <w:spacing w:after="0" w:line="240" w:lineRule="auto"/>
        <w:jc w:val="both"/>
      </w:pPr>
      <w:r>
        <w:t>Per entrambe le formulazioni s</w:t>
      </w:r>
      <w:r w:rsidR="001B78A7">
        <w:t xml:space="preserve">ono state fornite adeguate specifiche di controllo per il prodotto finito al rilascio e alla fine della validità. I metodi analitici sono stati descritti e adeguatamente convalidati. Sono stati forniti, inoltre, </w:t>
      </w:r>
      <w:r w:rsidR="000F0ABC">
        <w:t xml:space="preserve">sono stati forniti </w:t>
      </w:r>
      <w:r w:rsidR="001B78A7">
        <w:t xml:space="preserve">dati analitici </w:t>
      </w:r>
      <w:r w:rsidR="001B78A7" w:rsidRPr="005702AF">
        <w:t xml:space="preserve">per tutti i dosaggi del prodotto finito: questi dati </w:t>
      </w:r>
      <w:r w:rsidR="001B78A7" w:rsidRPr="005702AF">
        <w:lastRenderedPageBreak/>
        <w:t>dimostrano che i lotti prodotti sono in accordo alle spe</w:t>
      </w:r>
      <w:r w:rsidR="001B78A7">
        <w:t xml:space="preserve">cifiche </w:t>
      </w:r>
      <w:r w:rsidR="001B78A7" w:rsidRPr="005702AF">
        <w:t>proposte. Sono stati forniti, infine, certificati analitici per gli standard di riferimento utilizzati.</w:t>
      </w:r>
    </w:p>
    <w:p w:rsidR="001B78A7" w:rsidRDefault="001B78A7" w:rsidP="00D14FBB">
      <w:pPr>
        <w:spacing w:after="0" w:line="240" w:lineRule="auto"/>
        <w:jc w:val="both"/>
        <w:rPr>
          <w:b/>
        </w:rPr>
      </w:pPr>
    </w:p>
    <w:p w:rsidR="001B78A7" w:rsidRPr="001A5421" w:rsidRDefault="001B78A7" w:rsidP="00D14FBB">
      <w:pPr>
        <w:spacing w:after="0" w:line="240" w:lineRule="auto"/>
        <w:jc w:val="both"/>
        <w:rPr>
          <w:b/>
        </w:rPr>
      </w:pPr>
      <w:r w:rsidRPr="001A5421">
        <w:rPr>
          <w:b/>
        </w:rPr>
        <w:t>Contenitore</w:t>
      </w:r>
    </w:p>
    <w:p w:rsidR="001B78A7" w:rsidRDefault="000F0ABC" w:rsidP="00D14FBB">
      <w:pPr>
        <w:spacing w:after="0" w:line="240" w:lineRule="auto"/>
        <w:jc w:val="both"/>
      </w:pPr>
      <w:r>
        <w:t xml:space="preserve">Le </w:t>
      </w:r>
      <w:r w:rsidR="001A5421" w:rsidRPr="001A5421">
        <w:t xml:space="preserve">compresse </w:t>
      </w:r>
      <w:r>
        <w:t>sono</w:t>
      </w:r>
      <w:r w:rsidR="001B78A7" w:rsidRPr="001A5421">
        <w:t xml:space="preserve"> confezionat</w:t>
      </w:r>
      <w:r>
        <w:t>e</w:t>
      </w:r>
      <w:r w:rsidR="001B78A7" w:rsidRPr="001A5421">
        <w:t xml:space="preserve"> in blister </w:t>
      </w:r>
      <w:r w:rsidR="001A5421" w:rsidRPr="001A5421">
        <w:t xml:space="preserve">bianchi </w:t>
      </w:r>
      <w:r w:rsidR="007401FA">
        <w:t>in PVC/PE/PVDC/Alluminio</w:t>
      </w:r>
      <w:r>
        <w:t>; le gocce orali</w:t>
      </w:r>
      <w:r w:rsidR="001A5421">
        <w:t xml:space="preserve"> sono contenute in un f</w:t>
      </w:r>
      <w:r w:rsidR="001A5421" w:rsidRPr="001A5421">
        <w:t>lacone</w:t>
      </w:r>
      <w:r w:rsidRPr="000F0ABC">
        <w:t xml:space="preserve"> </w:t>
      </w:r>
      <w:r>
        <w:t>di</w:t>
      </w:r>
      <w:r w:rsidRPr="001A5421">
        <w:t xml:space="preserve"> vetro scuro (tipo III</w:t>
      </w:r>
      <w:r>
        <w:t>)</w:t>
      </w:r>
      <w:r w:rsidR="00ED1CA8">
        <w:t xml:space="preserve"> con </w:t>
      </w:r>
      <w:r w:rsidR="001A5421" w:rsidRPr="001A5421">
        <w:t xml:space="preserve">contagocce </w:t>
      </w:r>
      <w:r>
        <w:t>in polietilene e</w:t>
      </w:r>
      <w:r w:rsidR="001A5421" w:rsidRPr="001A5421">
        <w:t xml:space="preserve"> con chiusura a </w:t>
      </w:r>
      <w:r w:rsidR="007401FA">
        <w:t>prova di bambino</w:t>
      </w:r>
      <w:r>
        <w:t>.</w:t>
      </w:r>
      <w:r w:rsidR="001A5421">
        <w:t xml:space="preserve"> </w:t>
      </w:r>
      <w:r w:rsidR="001B78A7" w:rsidRPr="001A5421">
        <w:t>Sono state fornite specifiche e certificati analitici per tutti i componenti del confezionamento primario, che è adeguato per il medicinale.</w:t>
      </w:r>
    </w:p>
    <w:p w:rsidR="000F0ABC" w:rsidRPr="001A5421" w:rsidRDefault="000F0ABC" w:rsidP="00D14FBB">
      <w:pPr>
        <w:spacing w:after="0" w:line="240" w:lineRule="auto"/>
        <w:jc w:val="both"/>
      </w:pPr>
    </w:p>
    <w:p w:rsidR="001B78A7" w:rsidRPr="001A5421" w:rsidRDefault="001B78A7" w:rsidP="00D14FBB">
      <w:pPr>
        <w:spacing w:after="0" w:line="240" w:lineRule="auto"/>
        <w:jc w:val="both"/>
        <w:rPr>
          <w:b/>
        </w:rPr>
      </w:pPr>
      <w:r w:rsidRPr="001A5421">
        <w:rPr>
          <w:b/>
        </w:rPr>
        <w:t>Stabilità</w:t>
      </w:r>
    </w:p>
    <w:p w:rsidR="001A5421" w:rsidRPr="001A5421" w:rsidRDefault="001B78A7" w:rsidP="00D14FBB">
      <w:pPr>
        <w:spacing w:after="0" w:line="240" w:lineRule="auto"/>
        <w:jc w:val="both"/>
      </w:pPr>
      <w:r w:rsidRPr="001A5421">
        <w:t xml:space="preserve">Studi di stabilità sul prodotto finito sono stati condotti in accordo alle correnti linee guida e i risultati sono entro i limiti delle specifiche autorizzate. Sulla base di questi risultati, è stato autorizzato </w:t>
      </w:r>
      <w:r w:rsidR="001A5421" w:rsidRPr="001A5421">
        <w:t xml:space="preserve">per le compresse </w:t>
      </w:r>
      <w:r w:rsidRPr="001A5421">
        <w:t xml:space="preserve">un periodo di validità di </w:t>
      </w:r>
      <w:r w:rsidR="001A5421" w:rsidRPr="001A5421">
        <w:t>3 anni</w:t>
      </w:r>
      <w:r w:rsidR="007401FA">
        <w:t xml:space="preserve"> s</w:t>
      </w:r>
      <w:r w:rsidRPr="001A5421">
        <w:t>enza nessuna condizione particolare di conservazione</w:t>
      </w:r>
      <w:r w:rsidR="000F0ABC">
        <w:t>; p</w:t>
      </w:r>
      <w:r w:rsidR="001A5421" w:rsidRPr="001A5421">
        <w:t xml:space="preserve">er le gocce un periodo di </w:t>
      </w:r>
      <w:r w:rsidR="000F0ABC">
        <w:t>validità</w:t>
      </w:r>
      <w:r w:rsidR="007401FA">
        <w:t xml:space="preserve"> di 2 anni; </w:t>
      </w:r>
      <w:r w:rsidR="001A5421" w:rsidRPr="001A5421">
        <w:t>una volta apert</w:t>
      </w:r>
      <w:r w:rsidR="000F0ABC">
        <w:t>o il flacone, il medicinale</w:t>
      </w:r>
      <w:r w:rsidR="001A5421" w:rsidRPr="001A5421">
        <w:t xml:space="preserve"> deve essere utilizzat</w:t>
      </w:r>
      <w:r w:rsidR="000F0ABC">
        <w:t>o</w:t>
      </w:r>
      <w:r w:rsidR="001A5421" w:rsidRPr="001A5421">
        <w:t xml:space="preserve"> entro 8 settimane</w:t>
      </w:r>
    </w:p>
    <w:p w:rsidR="001B78A7" w:rsidRPr="001A5421" w:rsidRDefault="001B78A7" w:rsidP="00D14FBB">
      <w:pPr>
        <w:spacing w:after="0" w:line="240" w:lineRule="auto"/>
        <w:jc w:val="both"/>
      </w:pPr>
    </w:p>
    <w:p w:rsidR="001B78A7" w:rsidRPr="001A5421" w:rsidRDefault="001B78A7" w:rsidP="00D14FBB">
      <w:pPr>
        <w:spacing w:after="0" w:line="240" w:lineRule="auto"/>
        <w:jc w:val="both"/>
        <w:rPr>
          <w:b/>
        </w:rPr>
      </w:pPr>
      <w:r w:rsidRPr="001A5421">
        <w:rPr>
          <w:b/>
        </w:rPr>
        <w:t>II.3 Discussione sugli aspetti di qualità</w:t>
      </w:r>
    </w:p>
    <w:p w:rsidR="001B78A7" w:rsidRDefault="001B78A7" w:rsidP="00D14FBB">
      <w:pPr>
        <w:spacing w:after="0" w:line="240" w:lineRule="auto"/>
        <w:jc w:val="both"/>
      </w:pPr>
      <w:r w:rsidRPr="001A5421">
        <w:t xml:space="preserve">Tutte le criticità evidenziate nel corso della valutazione sono state risolte e la qualità di </w:t>
      </w:r>
      <w:proofErr w:type="spellStart"/>
      <w:r w:rsidR="000F0ABC">
        <w:t>Prameffex</w:t>
      </w:r>
      <w:proofErr w:type="spellEnd"/>
      <w:r w:rsidRPr="001A5421">
        <w:t xml:space="preserve"> è considerata adeguata. Non ci sono obiezioni per l’approvazione di </w:t>
      </w:r>
      <w:proofErr w:type="spellStart"/>
      <w:r w:rsidR="000F0ABC">
        <w:t>Prameffex</w:t>
      </w:r>
      <w:proofErr w:type="spellEnd"/>
      <w:r w:rsidR="000F0ABC">
        <w:t xml:space="preserve"> </w:t>
      </w:r>
      <w:r w:rsidRPr="001A5421">
        <w:t>dal punto di vista chimico-farmaceutico.</w:t>
      </w: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B80E48" w:rsidRDefault="00B80E48" w:rsidP="00D14FBB">
      <w:pPr>
        <w:spacing w:after="0" w:line="240" w:lineRule="auto"/>
        <w:jc w:val="both"/>
      </w:pPr>
      <w:r>
        <w:t>Non sono stati condotti specifici studi no</w:t>
      </w:r>
      <w:r w:rsidR="007401FA">
        <w:t xml:space="preserve">n clinici, in quanto </w:t>
      </w:r>
      <w:proofErr w:type="spellStart"/>
      <w:r w:rsidR="000F0ABC">
        <w:t>Prameffex</w:t>
      </w:r>
      <w:proofErr w:type="spellEnd"/>
      <w:r w:rsidR="007401FA">
        <w:t xml:space="preserve"> </w:t>
      </w:r>
      <w:r>
        <w:t xml:space="preserve">contiene un principio attivo </w:t>
      </w:r>
      <w:r w:rsidR="007401FA">
        <w:t>già noto. Q</w:t>
      </w:r>
      <w:r>
        <w:t>uesto approccio è accettabile poiché il medicinale di riferimento Cipralex è autorizzato in Italia da oltre 10 anni.</w:t>
      </w:r>
    </w:p>
    <w:p w:rsidR="00B80E48" w:rsidRDefault="00B80E48" w:rsidP="00D14FBB">
      <w:pPr>
        <w:spacing w:after="0" w:line="240" w:lineRule="auto"/>
        <w:jc w:val="both"/>
      </w:pPr>
      <w:r>
        <w:t>Non ci sono obiezioni per l’approvazione dal punto di vista non clinico.</w:t>
      </w:r>
    </w:p>
    <w:p w:rsidR="00B80E48" w:rsidRDefault="00B80E48" w:rsidP="00D14FBB">
      <w:pPr>
        <w:spacing w:after="0" w:line="240" w:lineRule="auto"/>
        <w:jc w:val="both"/>
      </w:pPr>
    </w:p>
    <w:p w:rsidR="007D026E" w:rsidRPr="002E06A2" w:rsidRDefault="007D026E" w:rsidP="00D14FBB">
      <w:pPr>
        <w:spacing w:after="0" w:line="240" w:lineRule="auto"/>
        <w:jc w:val="both"/>
      </w:pPr>
    </w:p>
    <w:p w:rsidR="007D026E" w:rsidRPr="002E06A2" w:rsidRDefault="007D026E" w:rsidP="00D14FB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0F0ABC" w:rsidRDefault="000F0ABC" w:rsidP="000F0AB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color w:val="000000"/>
          <w:lang w:eastAsia="it-IT"/>
        </w:rPr>
        <w:t xml:space="preserve"> </w:t>
      </w:r>
      <w:r w:rsidR="007D026E" w:rsidRPr="004F299F">
        <w:rPr>
          <w:rFonts w:eastAsia="Calibri" w:cs="Calibri"/>
          <w:color w:val="000000"/>
        </w:rPr>
        <w:t xml:space="preserve">è utilizzato </w:t>
      </w:r>
      <w:r w:rsidR="00B46C4B">
        <w:t>negli adulti per il</w:t>
      </w:r>
      <w:r>
        <w:t xml:space="preserve"> trattamento di episodi depressivi maggiori, del disturbo da attacchi di panico con o senza agorafobia, del disturbo d’ansia sociale (fobia sociale), del disturbo d’ansia generalizzato.</w:t>
      </w:r>
    </w:p>
    <w:p w:rsidR="007D026E" w:rsidRDefault="007D026E" w:rsidP="000F0ABC">
      <w:pPr>
        <w:widowControl w:val="0"/>
        <w:spacing w:after="0" w:line="240" w:lineRule="auto"/>
        <w:jc w:val="both"/>
      </w:pPr>
      <w:r w:rsidRPr="004F299F">
        <w:rPr>
          <w:highlight w:val="yellow"/>
        </w:rPr>
        <w:t xml:space="preserve"> </w:t>
      </w:r>
    </w:p>
    <w:p w:rsidR="007D026E" w:rsidRPr="005C72A9" w:rsidRDefault="007D026E" w:rsidP="00D14FBB">
      <w:pPr>
        <w:spacing w:after="0" w:line="240" w:lineRule="auto"/>
        <w:ind w:right="6"/>
        <w:jc w:val="both"/>
        <w:rPr>
          <w:b/>
        </w:rPr>
      </w:pPr>
      <w:r w:rsidRPr="005C72A9">
        <w:rPr>
          <w:b/>
        </w:rPr>
        <w:t>Posologia e modalità di somministrazione</w:t>
      </w:r>
    </w:p>
    <w:p w:rsidR="007D026E" w:rsidRPr="005C72A9" w:rsidRDefault="007D026E" w:rsidP="00D14FBB">
      <w:pPr>
        <w:spacing w:after="0" w:line="240" w:lineRule="auto"/>
        <w:ind w:right="6"/>
        <w:jc w:val="both"/>
        <w:rPr>
          <w:rFonts w:eastAsia="Calibri" w:cs="Calibri"/>
        </w:rPr>
      </w:pPr>
      <w:r w:rsidRPr="005C72A9">
        <w:t>Le informazioni sulla posologia e sulle modalità di somministrazione sono riportate nel Riassunto delle Caratteristiche del Prodotto pubblicato sul sito dell’Agenz</w:t>
      </w:r>
      <w:r>
        <w:t xml:space="preserve">ia Italiana del Farmaco - AIFA </w:t>
      </w:r>
      <w:r w:rsidRPr="005C72A9">
        <w:rPr>
          <w:rFonts w:eastAsia="Calibri" w:cs="Calibri"/>
        </w:rPr>
        <w:t>(</w:t>
      </w:r>
      <w:hyperlink r:id="rId10" w:history="1">
        <w:r w:rsidRPr="005C72A9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5C72A9">
        <w:rPr>
          <w:rFonts w:eastAsia="Calibri" w:cs="Calibri"/>
        </w:rPr>
        <w:t>).</w:t>
      </w:r>
    </w:p>
    <w:p w:rsidR="007D026E" w:rsidRDefault="007D026E" w:rsidP="00D14FBB">
      <w:pPr>
        <w:spacing w:after="0" w:line="240" w:lineRule="auto"/>
        <w:ind w:right="6"/>
        <w:jc w:val="both"/>
        <w:rPr>
          <w:rFonts w:eastAsia="Calibri" w:cs="Calibri"/>
        </w:rPr>
      </w:pPr>
    </w:p>
    <w:p w:rsidR="007D026E" w:rsidRPr="002B6D26" w:rsidRDefault="007D026E" w:rsidP="00D14FBB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2B6D26">
        <w:rPr>
          <w:rFonts w:eastAsia="Calibri" w:cs="Calibri"/>
          <w:b/>
        </w:rPr>
        <w:t>Tossicologia</w:t>
      </w:r>
    </w:p>
    <w:p w:rsidR="007D026E" w:rsidRDefault="007D026E" w:rsidP="00D14FBB">
      <w:pPr>
        <w:spacing w:after="0" w:line="240" w:lineRule="auto"/>
        <w:ind w:right="6"/>
        <w:jc w:val="both"/>
        <w:rPr>
          <w:rFonts w:eastAsia="Calibri" w:cs="Calibri"/>
        </w:rPr>
      </w:pPr>
      <w:r>
        <w:rPr>
          <w:rFonts w:eastAsia="Calibri" w:cs="Calibri"/>
        </w:rPr>
        <w:t xml:space="preserve">La tossicologia </w:t>
      </w:r>
      <w:r w:rsidRPr="004F299F">
        <w:rPr>
          <w:rFonts w:eastAsia="Calibri" w:cs="Calibri"/>
        </w:rPr>
        <w:t>del</w:t>
      </w:r>
      <w:r w:rsidR="00B80E48">
        <w:rPr>
          <w:rFonts w:eastAsia="Calibri" w:cs="Calibri"/>
        </w:rPr>
        <w:t>l’</w:t>
      </w:r>
      <w:proofErr w:type="spellStart"/>
      <w:r w:rsidR="00B80E48">
        <w:rPr>
          <w:rFonts w:eastAsia="Calibri" w:cs="Calibri"/>
        </w:rPr>
        <w:t>escitalopram</w:t>
      </w:r>
      <w:proofErr w:type="spellEnd"/>
      <w:r w:rsidR="00B80E48">
        <w:rPr>
          <w:rFonts w:eastAsia="Calibri" w:cs="Calibri"/>
        </w:rPr>
        <w:t xml:space="preserve"> </w:t>
      </w:r>
      <w:r w:rsidRPr="004F299F">
        <w:rPr>
          <w:rFonts w:eastAsia="Calibri" w:cs="Calibri"/>
        </w:rPr>
        <w:t>è</w:t>
      </w:r>
      <w:r>
        <w:rPr>
          <w:rFonts w:eastAsia="Calibri" w:cs="Calibri"/>
        </w:rPr>
        <w:t xml:space="preserve"> ben conosciuta; non è stato necessario presentare ulteriori dati.</w:t>
      </w:r>
    </w:p>
    <w:p w:rsidR="007D026E" w:rsidRDefault="007D026E" w:rsidP="00D14FBB">
      <w:pPr>
        <w:spacing w:after="0" w:line="240" w:lineRule="auto"/>
        <w:ind w:right="6"/>
        <w:jc w:val="both"/>
        <w:rPr>
          <w:rFonts w:eastAsia="Calibri" w:cs="Calibri"/>
        </w:rPr>
      </w:pPr>
    </w:p>
    <w:p w:rsidR="007D026E" w:rsidRPr="006556D6" w:rsidRDefault="007D026E" w:rsidP="00D14FB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7D026E" w:rsidRPr="005C72A9" w:rsidRDefault="007D026E" w:rsidP="00D14FBB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</w:t>
      </w:r>
      <w:r w:rsidRPr="004F299F">
        <w:rPr>
          <w:rFonts w:eastAsia="Calibri" w:cs="Calibri"/>
        </w:rPr>
        <w:t>dell</w:t>
      </w:r>
      <w:r w:rsidR="00B80E48">
        <w:rPr>
          <w:rFonts w:eastAsia="Calibri" w:cs="Calibri"/>
        </w:rPr>
        <w:t>’e</w:t>
      </w:r>
      <w:r w:rsidR="007401FA">
        <w:rPr>
          <w:rFonts w:eastAsia="Calibri" w:cs="Calibri"/>
        </w:rPr>
        <w:t>s</w:t>
      </w:r>
      <w:r w:rsidR="00B80E48">
        <w:rPr>
          <w:rFonts w:eastAsia="Calibri" w:cs="Calibri"/>
        </w:rPr>
        <w:t xml:space="preserve">citalopram </w:t>
      </w:r>
      <w:r>
        <w:rPr>
          <w:rFonts w:eastAsia="Calibri" w:cs="Calibri"/>
        </w:rPr>
        <w:t xml:space="preserve">è ben conosciuta. </w:t>
      </w:r>
      <w:r w:rsidR="00B80E48">
        <w:t>Con l’eccezione dello studio di bioequivalenza, n</w:t>
      </w:r>
      <w:r w:rsidR="00B80E48" w:rsidRPr="00A34141">
        <w:t xml:space="preserve">on sono stati condotti </w:t>
      </w:r>
      <w:r w:rsidR="00B80E48">
        <w:t>nuovi</w:t>
      </w:r>
      <w:r w:rsidR="00B80E48" w:rsidRPr="00A34141">
        <w:t xml:space="preserve"> studi clinici</w:t>
      </w:r>
      <w:r w:rsidR="00B80E48">
        <w:t xml:space="preserve"> di farmacodinamica e farmacocinetica</w:t>
      </w:r>
      <w:r w:rsidRPr="00B80E48">
        <w:t>, in quanto</w:t>
      </w:r>
      <w:r w:rsidRPr="00B80E48">
        <w:rPr>
          <w:rFonts w:eastAsia="Calibri" w:cs="Calibri"/>
          <w:color w:val="000000"/>
        </w:rPr>
        <w:t xml:space="preserve"> </w:t>
      </w:r>
      <w:proofErr w:type="spellStart"/>
      <w:r w:rsidR="00B46C4B">
        <w:rPr>
          <w:rFonts w:eastAsia="Calibri" w:cs="Calibri"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color w:val="000000"/>
          <w:lang w:eastAsia="it-IT"/>
        </w:rPr>
        <w:t xml:space="preserve"> </w:t>
      </w:r>
      <w:r w:rsidRPr="00B80E48">
        <w:t xml:space="preserve">contiene un principio attivo noto e presente nel medicinale di riferimento </w:t>
      </w:r>
      <w:r w:rsidR="00B80E48">
        <w:t>Cipralex</w:t>
      </w:r>
      <w:r w:rsidRPr="00B80E48">
        <w:t xml:space="preserve"> autorizzato in Italia da più di 10 anni.</w:t>
      </w:r>
    </w:p>
    <w:p w:rsidR="007D026E" w:rsidRDefault="007D026E" w:rsidP="00D14FBB">
      <w:pPr>
        <w:spacing w:after="0" w:line="240" w:lineRule="auto"/>
        <w:jc w:val="both"/>
        <w:rPr>
          <w:b/>
        </w:rPr>
      </w:pPr>
    </w:p>
    <w:p w:rsidR="00B80E48" w:rsidRPr="007418C6" w:rsidRDefault="007D026E" w:rsidP="00D14FBB">
      <w:pPr>
        <w:spacing w:after="0" w:line="240" w:lineRule="auto"/>
        <w:jc w:val="both"/>
        <w:rPr>
          <w:rFonts w:eastAsia="Times New Roman" w:cs="Times New Roman"/>
          <w:b/>
        </w:rPr>
      </w:pPr>
      <w:r w:rsidRPr="007418C6">
        <w:rPr>
          <w:rFonts w:eastAsia="Times New Roman" w:cs="Times New Roman"/>
          <w:b/>
        </w:rPr>
        <w:t>Studio di bioequivalenza</w:t>
      </w:r>
    </w:p>
    <w:p w:rsidR="00B80E48" w:rsidRDefault="00B80E48" w:rsidP="00D14FBB">
      <w:pPr>
        <w:spacing w:after="0" w:line="240" w:lineRule="auto"/>
        <w:jc w:val="both"/>
      </w:pPr>
      <w:r w:rsidRPr="007418C6">
        <w:t xml:space="preserve">La richiesta di AIC è supportata da uno studio di bioequivalenza </w:t>
      </w:r>
      <w:r w:rsidR="00227EC4" w:rsidRPr="005E7D6D">
        <w:t xml:space="preserve">che ha confrontato i profili farmacocinetici di </w:t>
      </w:r>
      <w:proofErr w:type="spellStart"/>
      <w:r w:rsidR="00B46C4B">
        <w:rPr>
          <w:rFonts w:eastAsia="Calibri" w:cs="Calibri"/>
          <w:color w:val="000000"/>
          <w:lang w:eastAsia="it-IT"/>
        </w:rPr>
        <w:t>Prameffex</w:t>
      </w:r>
      <w:proofErr w:type="spellEnd"/>
      <w:r w:rsidR="00313154">
        <w:rPr>
          <w:rFonts w:eastAsia="Calibri" w:cs="Calibri"/>
          <w:color w:val="000000"/>
          <w:lang w:eastAsia="it-IT"/>
        </w:rPr>
        <w:t xml:space="preserve"> </w:t>
      </w:r>
      <w:r w:rsidR="00227EC4" w:rsidRPr="005E7D6D">
        <w:t xml:space="preserve">e quelli del medicinale di riferimento </w:t>
      </w:r>
      <w:r w:rsidR="00313154">
        <w:t>Cipralex</w:t>
      </w:r>
      <w:r w:rsidR="00227EC4" w:rsidRPr="005E7D6D">
        <w:t>.</w:t>
      </w:r>
    </w:p>
    <w:p w:rsidR="00313154" w:rsidRPr="005E7D6D" w:rsidRDefault="00313154" w:rsidP="00D14FBB">
      <w:pPr>
        <w:pStyle w:val="Paragrafoelenco"/>
        <w:spacing w:after="0" w:line="240" w:lineRule="auto"/>
        <w:ind w:left="0"/>
        <w:jc w:val="both"/>
      </w:pPr>
      <w:r w:rsidRPr="005E7D6D">
        <w:t>Lo studio era caratterizzato da un appropriato disegno ed è stato condotto in accordo ai principi GCP. Sono stati forniti certificati analitici per medicinale test e medicinale di riferimento.</w:t>
      </w:r>
    </w:p>
    <w:p w:rsidR="00313154" w:rsidRPr="005E7D6D" w:rsidRDefault="00313154" w:rsidP="00D14FBB">
      <w:pPr>
        <w:spacing w:after="0" w:line="240" w:lineRule="auto"/>
        <w:jc w:val="both"/>
        <w:rPr>
          <w:rFonts w:ascii="Calibri" w:hAnsi="Calibri"/>
        </w:rPr>
      </w:pPr>
      <w:r w:rsidRPr="005E7D6D">
        <w:rPr>
          <w:rFonts w:ascii="Calibri" w:hAnsi="Calibri"/>
        </w:rPr>
        <w:lastRenderedPageBreak/>
        <w:t xml:space="preserve">L’utilizzo del solo dosaggio </w:t>
      </w:r>
      <w:r w:rsidRPr="005E7D6D">
        <w:t xml:space="preserve">maggiore </w:t>
      </w:r>
      <w:r>
        <w:t>2</w:t>
      </w:r>
      <w:r w:rsidRPr="005E7D6D">
        <w:t xml:space="preserve">0 mg per lo studio di bioequivalenza è stato opportunamente giustificato. </w:t>
      </w:r>
    </w:p>
    <w:p w:rsidR="00756F7D" w:rsidRPr="00CC5517" w:rsidRDefault="00756F7D" w:rsidP="00D14FBB">
      <w:pPr>
        <w:spacing w:after="0" w:line="240" w:lineRule="auto"/>
        <w:jc w:val="both"/>
        <w:rPr>
          <w:rFonts w:ascii="Calibri" w:hAnsi="Calibri" w:cs="Arial"/>
          <w:highlight w:val="lightGray"/>
        </w:rPr>
      </w:pPr>
      <w:r w:rsidRPr="005E7D6D">
        <w:rPr>
          <w:rFonts w:ascii="Calibri" w:hAnsi="Calibri"/>
        </w:rPr>
        <w:t>Lo studio di bioequivalenza è uno studio comparativo, controllato</w:t>
      </w:r>
      <w:r>
        <w:rPr>
          <w:rFonts w:ascii="Calibri" w:hAnsi="Calibri"/>
        </w:rPr>
        <w:t>,</w:t>
      </w:r>
      <w:r w:rsidRPr="005E7D6D">
        <w:rPr>
          <w:rFonts w:ascii="Calibri" w:hAnsi="Calibri"/>
        </w:rPr>
        <w:t xml:space="preserve"> randomizzato, a dose singola, 2-periodi, crossover condotto in 2</w:t>
      </w:r>
      <w:r>
        <w:rPr>
          <w:rFonts w:ascii="Calibri" w:hAnsi="Calibri"/>
        </w:rPr>
        <w:t>6</w:t>
      </w:r>
      <w:r w:rsidRPr="005E7D6D">
        <w:rPr>
          <w:rFonts w:ascii="Calibri" w:hAnsi="Calibri"/>
        </w:rPr>
        <w:t xml:space="preserve"> volontari sani di entrambi i sessi con somministrazione a digiuno. </w:t>
      </w:r>
      <w:r w:rsidRPr="005E7D6D">
        <w:rPr>
          <w:rFonts w:ascii="Calibri" w:hAnsi="Calibri" w:cs="Arial"/>
        </w:rPr>
        <w:t xml:space="preserve">Dopo una notte di digiuno, il medicinale è stato somministrato con acqua. </w:t>
      </w:r>
      <w:r w:rsidRPr="005E7D6D">
        <w:rPr>
          <w:rFonts w:ascii="Calibri" w:hAnsi="Calibri"/>
        </w:rPr>
        <w:t xml:space="preserve">Un soddisfacente periodo di wash-out di </w:t>
      </w:r>
      <w:r w:rsidRPr="005E7D6D">
        <w:rPr>
          <w:rFonts w:ascii="Calibri" w:hAnsi="Calibri" w:cs="Arial"/>
        </w:rPr>
        <w:t>14 giorni è stato previsto tra le somministrazioni in ogni gruppo.</w:t>
      </w:r>
    </w:p>
    <w:p w:rsidR="009F1D6D" w:rsidRPr="005E7D6D" w:rsidRDefault="009F1D6D" w:rsidP="00D14FBB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5E7D6D">
        <w:rPr>
          <w:rFonts w:ascii="Calibri" w:hAnsi="Calibri" w:cs="Arial"/>
        </w:rPr>
        <w:t>Campioni di sangue sono stati prelevati al tempo zero (</w:t>
      </w:r>
      <w:proofErr w:type="spellStart"/>
      <w:r w:rsidRPr="005E7D6D">
        <w:rPr>
          <w:rFonts w:ascii="Calibri" w:hAnsi="Calibri" w:cs="Arial"/>
        </w:rPr>
        <w:t>pre-dose</w:t>
      </w:r>
      <w:proofErr w:type="spellEnd"/>
      <w:r w:rsidRPr="005E7D6D">
        <w:rPr>
          <w:rFonts w:ascii="Calibri" w:hAnsi="Calibri" w:cs="Arial"/>
        </w:rPr>
        <w:t>) e a specificati tempi fino a 1</w:t>
      </w:r>
      <w:r w:rsidR="0055122D">
        <w:rPr>
          <w:rFonts w:ascii="Calibri" w:hAnsi="Calibri" w:cs="Arial"/>
        </w:rPr>
        <w:t>20</w:t>
      </w:r>
      <w:r w:rsidRPr="005E7D6D">
        <w:rPr>
          <w:rFonts w:ascii="Calibri" w:hAnsi="Calibri"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55122D" w:rsidRPr="0012738A" w:rsidRDefault="0055122D" w:rsidP="00D14FBB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077739">
        <w:rPr>
          <w:rFonts w:ascii="Calibri" w:hAnsi="Calibri" w:cs="Arial"/>
        </w:rPr>
        <w:t>Le variabili farmacocinetiche definite per i due studi sono state: C</w:t>
      </w:r>
      <w:r w:rsidRPr="00077739">
        <w:rPr>
          <w:rFonts w:ascii="Calibri" w:hAnsi="Calibri" w:cs="Arial"/>
          <w:vertAlign w:val="subscript"/>
        </w:rPr>
        <w:t>max</w:t>
      </w:r>
      <w:r w:rsidRPr="00077739">
        <w:rPr>
          <w:rFonts w:ascii="Calibri" w:hAnsi="Calibri" w:cs="Arial"/>
        </w:rPr>
        <w:t>, AUC</w:t>
      </w:r>
      <w:r w:rsidRPr="00077739">
        <w:rPr>
          <w:rFonts w:ascii="Calibri" w:hAnsi="Calibri" w:cs="Arial"/>
          <w:vertAlign w:val="subscript"/>
        </w:rPr>
        <w:t>0-t</w:t>
      </w:r>
      <w:r w:rsidRPr="00077739">
        <w:rPr>
          <w:rFonts w:ascii="Calibri" w:hAnsi="Calibri" w:cs="Arial"/>
        </w:rPr>
        <w:t>,, AUC</w:t>
      </w:r>
      <w:r w:rsidRPr="00077739">
        <w:rPr>
          <w:rFonts w:ascii="Calibri" w:hAnsi="Calibri" w:cs="Arial"/>
          <w:vertAlign w:val="subscript"/>
        </w:rPr>
        <w:t>0-</w:t>
      </w:r>
      <w:r w:rsidRPr="00077739">
        <w:rPr>
          <w:rFonts w:ascii="Calibri" w:hAnsi="Calibri" w:cs="Arial"/>
          <w:vertAlign w:val="subscript"/>
          <w:lang w:val="en-GB"/>
        </w:rPr>
        <w:sym w:font="Symbol" w:char="00A5"/>
      </w:r>
      <w:r w:rsidRPr="00077739">
        <w:rPr>
          <w:rFonts w:ascii="Calibri" w:hAnsi="Calibri" w:cs="Arial"/>
        </w:rPr>
        <w:t xml:space="preserve">, </w:t>
      </w:r>
      <w:proofErr w:type="spellStart"/>
      <w:r w:rsidRPr="00077739">
        <w:rPr>
          <w:rFonts w:ascii="Calibri" w:hAnsi="Calibri" w:cs="Arial"/>
        </w:rPr>
        <w:t>t</w:t>
      </w:r>
      <w:r w:rsidRPr="00077739">
        <w:rPr>
          <w:rFonts w:ascii="Calibri" w:hAnsi="Calibri" w:cs="Arial"/>
          <w:vertAlign w:val="subscript"/>
        </w:rPr>
        <w:t>max</w:t>
      </w:r>
      <w:proofErr w:type="spellEnd"/>
      <w:r w:rsidRPr="00077739">
        <w:rPr>
          <w:rFonts w:ascii="Calibri" w:hAnsi="Calibri" w:cs="Arial"/>
        </w:rPr>
        <w:t xml:space="preserve">, </w:t>
      </w:r>
      <w:proofErr w:type="spellStart"/>
      <w:r w:rsidRPr="00077739">
        <w:rPr>
          <w:rFonts w:ascii="Calibri" w:hAnsi="Calibri" w:cs="Arial"/>
        </w:rPr>
        <w:t>t½</w:t>
      </w:r>
      <w:proofErr w:type="spellEnd"/>
      <w:r w:rsidRPr="00077739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C</w:t>
      </w:r>
      <w:r w:rsidRPr="00077739">
        <w:rPr>
          <w:rFonts w:ascii="Calibri" w:hAnsi="Calibri" w:cs="Arial"/>
          <w:vertAlign w:val="subscript"/>
        </w:rPr>
        <w:t>max</w:t>
      </w:r>
      <w:r w:rsidRPr="00077739">
        <w:rPr>
          <w:rFonts w:ascii="Calibri" w:hAnsi="Calibri" w:cs="Arial"/>
        </w:rPr>
        <w:t xml:space="preserve"> e AUC</w:t>
      </w:r>
      <w:r w:rsidRPr="00077739">
        <w:rPr>
          <w:rFonts w:ascii="Calibri" w:hAnsi="Calibri" w:cs="Arial"/>
          <w:vertAlign w:val="subscript"/>
        </w:rPr>
        <w:t>0-t</w:t>
      </w:r>
      <w:r w:rsidRPr="00077739">
        <w:rPr>
          <w:rFonts w:ascii="Calibri" w:hAnsi="Calibri" w:cs="Arial"/>
        </w:rPr>
        <w:t xml:space="preserve">, cadono nel </w:t>
      </w:r>
      <w:proofErr w:type="spellStart"/>
      <w:r w:rsidRPr="00077739">
        <w:rPr>
          <w:rFonts w:ascii="Calibri" w:hAnsi="Calibri" w:cs="Arial"/>
        </w:rPr>
        <w:t>range</w:t>
      </w:r>
      <w:proofErr w:type="spellEnd"/>
      <w:r w:rsidRPr="00077739">
        <w:rPr>
          <w:rFonts w:ascii="Calibri" w:hAnsi="Calibri" w:cs="Arial"/>
        </w:rPr>
        <w:t xml:space="preserve"> di accettabilità di 0.80-1.25 (80%-125%).</w:t>
      </w:r>
    </w:p>
    <w:p w:rsidR="00B80E48" w:rsidRPr="00B80E48" w:rsidRDefault="00B80E48" w:rsidP="00D14FBB">
      <w:pPr>
        <w:spacing w:after="0" w:line="240" w:lineRule="auto"/>
        <w:jc w:val="both"/>
        <w:rPr>
          <w:color w:val="FF0000"/>
        </w:rPr>
      </w:pPr>
    </w:p>
    <w:p w:rsidR="00B80E48" w:rsidRPr="0055122D" w:rsidRDefault="00B80E48" w:rsidP="00D14FBB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55122D">
        <w:rPr>
          <w:u w:val="single"/>
        </w:rPr>
        <w:t>Risultati</w:t>
      </w:r>
    </w:p>
    <w:p w:rsidR="0055122D" w:rsidRPr="00077739" w:rsidRDefault="0055122D" w:rsidP="00D14FBB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077739">
        <w:rPr>
          <w:rFonts w:ascii="Calibri" w:hAnsi="Calibri" w:cs="Arial"/>
        </w:rPr>
        <w:t>2</w:t>
      </w:r>
      <w:r>
        <w:rPr>
          <w:rFonts w:ascii="Calibri" w:hAnsi="Calibri" w:cs="Arial"/>
        </w:rPr>
        <w:t>6</w:t>
      </w:r>
      <w:r w:rsidRPr="00077739">
        <w:rPr>
          <w:rFonts w:ascii="Calibri" w:hAnsi="Calibri" w:cs="Arial"/>
        </w:rPr>
        <w:t xml:space="preserve"> volontari sani sono stati arruolati negli studi. Tutti i soggetti sono stati inclusi nell’analisi farmacocinetica.</w:t>
      </w:r>
    </w:p>
    <w:p w:rsidR="0055122D" w:rsidRDefault="0055122D" w:rsidP="00D14FBB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color w:val="FF0000"/>
          <w:sz w:val="22"/>
          <w:szCs w:val="22"/>
          <w:lang w:val="it-IT"/>
        </w:rPr>
      </w:pPr>
    </w:p>
    <w:p w:rsidR="00B80E48" w:rsidRPr="00623A26" w:rsidRDefault="00B80E48" w:rsidP="00D14FBB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623A26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623A26" w:rsidRPr="00077739" w:rsidRDefault="00623A26" w:rsidP="00D14FBB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077739">
        <w:rPr>
          <w:rFonts w:ascii="Calibri" w:hAnsi="Calibri" w:cs="Arial"/>
          <w:b w:val="0"/>
          <w:sz w:val="22"/>
          <w:szCs w:val="22"/>
          <w:lang w:val="it-IT"/>
        </w:rPr>
        <w:t xml:space="preserve">Nel corso dello studio, </w:t>
      </w:r>
      <w:r>
        <w:rPr>
          <w:rFonts w:ascii="Calibri" w:hAnsi="Calibri" w:cs="Arial"/>
          <w:b w:val="0"/>
          <w:sz w:val="22"/>
          <w:szCs w:val="22"/>
          <w:lang w:val="it-IT"/>
        </w:rPr>
        <w:t>6</w:t>
      </w:r>
      <w:r w:rsidRPr="00077739">
        <w:rPr>
          <w:rFonts w:ascii="Calibri" w:hAnsi="Calibri" w:cs="Arial"/>
          <w:b w:val="0"/>
          <w:sz w:val="22"/>
          <w:szCs w:val="22"/>
          <w:lang w:val="it-IT"/>
        </w:rPr>
        <w:t xml:space="preserve"> eventi avversi </w:t>
      </w:r>
      <w:r>
        <w:rPr>
          <w:rFonts w:ascii="Calibri" w:hAnsi="Calibri" w:cs="Arial"/>
          <w:b w:val="0"/>
          <w:sz w:val="22"/>
          <w:szCs w:val="22"/>
          <w:lang w:val="it-IT"/>
        </w:rPr>
        <w:t>(</w:t>
      </w:r>
      <w:r w:rsidRPr="00077739">
        <w:rPr>
          <w:rFonts w:ascii="Calibri" w:hAnsi="Calibri" w:cs="Arial"/>
          <w:b w:val="0"/>
          <w:sz w:val="22"/>
          <w:szCs w:val="22"/>
          <w:lang w:val="it-IT"/>
        </w:rPr>
        <w:t>mal di testa, nausea</w:t>
      </w:r>
      <w:r>
        <w:rPr>
          <w:rFonts w:ascii="Calibri" w:hAnsi="Calibri" w:cs="Arial"/>
          <w:b w:val="0"/>
          <w:sz w:val="22"/>
          <w:szCs w:val="22"/>
          <w:lang w:val="it-IT"/>
        </w:rPr>
        <w:t>, diarrea</w:t>
      </w:r>
      <w:r w:rsidRPr="00077739">
        <w:rPr>
          <w:rFonts w:ascii="Calibri" w:hAnsi="Calibri" w:cs="Arial"/>
          <w:b w:val="0"/>
          <w:sz w:val="22"/>
          <w:szCs w:val="22"/>
          <w:lang w:val="it-IT"/>
        </w:rPr>
        <w:t>) sono stati riportati come possibilmente correlati al trattamento. Non sono stati rilevati eventi avversi gravi.</w:t>
      </w:r>
    </w:p>
    <w:p w:rsidR="00623A26" w:rsidRPr="00077739" w:rsidRDefault="00623A26" w:rsidP="00D14FBB">
      <w:pPr>
        <w:spacing w:after="0" w:line="240" w:lineRule="auto"/>
        <w:jc w:val="both"/>
      </w:pPr>
      <w:r w:rsidRPr="00077739">
        <w:t xml:space="preserve">Gli eventi avversi sono stati simili tra medicinale test e medicinali di riferimento. </w:t>
      </w:r>
    </w:p>
    <w:p w:rsidR="00B80E48" w:rsidRPr="00B80E48" w:rsidRDefault="00B80E48" w:rsidP="00D14FBB">
      <w:pPr>
        <w:spacing w:after="0" w:line="240" w:lineRule="auto"/>
        <w:rPr>
          <w:color w:val="FF0000"/>
          <w:highlight w:val="yellow"/>
        </w:rPr>
      </w:pPr>
    </w:p>
    <w:p w:rsidR="00B80E48" w:rsidRPr="00623A26" w:rsidRDefault="00B80E48" w:rsidP="00D14FBB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623A26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623A26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623A26" w:rsidRPr="00077739" w:rsidRDefault="00623A26" w:rsidP="00D14FBB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077739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623A26" w:rsidRPr="00077739" w:rsidRDefault="00623A26" w:rsidP="00D14FBB">
      <w:pPr>
        <w:pStyle w:val="Paragrafoelenco"/>
        <w:spacing w:after="0" w:line="240" w:lineRule="auto"/>
        <w:ind w:left="0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391"/>
        <w:gridCol w:w="1418"/>
        <w:gridCol w:w="1842"/>
        <w:gridCol w:w="1475"/>
        <w:gridCol w:w="2353"/>
      </w:tblGrid>
      <w:tr w:rsidR="00623A26" w:rsidRPr="00077739" w:rsidTr="00B46C4B">
        <w:trPr>
          <w:trHeight w:val="247"/>
          <w:jc w:val="center"/>
        </w:trPr>
        <w:tc>
          <w:tcPr>
            <w:tcW w:w="8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C4B" w:rsidRPr="00077739" w:rsidRDefault="00623A26" w:rsidP="00B46C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Escitalopram</w:t>
            </w:r>
            <w:proofErr w:type="spellEnd"/>
          </w:p>
        </w:tc>
      </w:tr>
      <w:tr w:rsidR="00623A26" w:rsidRPr="00077739" w:rsidTr="00B46C4B">
        <w:trPr>
          <w:trHeight w:val="237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077739" w:rsidRDefault="00623A26" w:rsidP="00B46C4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77739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077739" w:rsidRDefault="00623A26" w:rsidP="00B46C4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77739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077739" w:rsidRDefault="00623A26" w:rsidP="00B46C4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77739">
              <w:rPr>
                <w:rFonts w:cs="Arial"/>
                <w:b/>
                <w:sz w:val="20"/>
                <w:szCs w:val="20"/>
              </w:rPr>
              <w:t>Reference [LSM]]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077739" w:rsidRDefault="00623A26" w:rsidP="00B46C4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77739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077739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077739" w:rsidRDefault="00623A26" w:rsidP="00B46C4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77739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623A26" w:rsidRPr="00077739" w:rsidTr="00B46C4B">
        <w:trPr>
          <w:trHeight w:val="265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077739" w:rsidRDefault="00623A26" w:rsidP="00D14F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77739">
              <w:rPr>
                <w:b/>
                <w:sz w:val="20"/>
                <w:szCs w:val="20"/>
              </w:rPr>
              <w:t>AUC</w:t>
            </w:r>
            <w:r w:rsidRPr="00077739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 xml:space="preserve">25.937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 xml:space="preserve">25.903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>1.00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>89</w:t>
            </w:r>
            <w:r>
              <w:rPr>
                <w:rFonts w:ascii="Calibri" w:hAnsi="Calibri" w:cs="Arial"/>
                <w:sz w:val="20"/>
                <w:szCs w:val="20"/>
                <w:lang w:eastAsia="it-IT"/>
              </w:rPr>
              <w:t xml:space="preserve"> – 1</w:t>
            </w: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>12</w:t>
            </w:r>
          </w:p>
        </w:tc>
      </w:tr>
      <w:tr w:rsidR="00623A26" w:rsidRPr="00077739" w:rsidTr="00B46C4B">
        <w:trPr>
          <w:trHeight w:val="305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077739" w:rsidRDefault="00623A26" w:rsidP="00D14F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77739">
              <w:rPr>
                <w:b/>
                <w:sz w:val="20"/>
                <w:szCs w:val="20"/>
              </w:rPr>
              <w:t>AUC</w:t>
            </w:r>
            <w:r w:rsidRPr="00077739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 xml:space="preserve">766.2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 xml:space="preserve">812.3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>87</w:t>
            </w:r>
            <w:r>
              <w:rPr>
                <w:rFonts w:ascii="Calibri" w:hAnsi="Calibri" w:cs="Arial"/>
                <w:sz w:val="20"/>
                <w:szCs w:val="20"/>
                <w:lang w:eastAsia="it-IT"/>
              </w:rPr>
              <w:t xml:space="preserve"> – 1</w:t>
            </w: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 xml:space="preserve">02 </w:t>
            </w:r>
          </w:p>
        </w:tc>
      </w:tr>
      <w:tr w:rsidR="00623A26" w:rsidRPr="00077739" w:rsidTr="00B46C4B">
        <w:trPr>
          <w:trHeight w:val="305"/>
          <w:jc w:val="center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077739" w:rsidRDefault="00623A26" w:rsidP="00D14FB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77739">
              <w:rPr>
                <w:b/>
                <w:sz w:val="20"/>
                <w:szCs w:val="20"/>
              </w:rPr>
              <w:t>C</w:t>
            </w:r>
            <w:r w:rsidRPr="00077739">
              <w:rPr>
                <w:b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057E92" w:rsidRDefault="00623A26" w:rsidP="00D14FBB">
            <w:pPr>
              <w:spacing w:after="0" w:line="240" w:lineRule="auto"/>
              <w:jc w:val="center"/>
              <w:rPr>
                <w:sz w:val="20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>838.4</w:t>
            </w:r>
            <w:r w:rsidRPr="00057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 xml:space="preserve">886.1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>0.94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3A26" w:rsidRPr="00623A26" w:rsidRDefault="00623A26" w:rsidP="00D14FBB">
            <w:pPr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lang w:eastAsia="it-IT"/>
              </w:rPr>
            </w:pP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>87</w:t>
            </w:r>
            <w:r>
              <w:rPr>
                <w:rFonts w:ascii="Calibri" w:hAnsi="Calibri" w:cs="Arial"/>
                <w:sz w:val="20"/>
                <w:szCs w:val="20"/>
                <w:lang w:eastAsia="it-IT"/>
              </w:rPr>
              <w:t xml:space="preserve"> – 1</w:t>
            </w:r>
            <w:r w:rsidRPr="00623A26">
              <w:rPr>
                <w:rFonts w:ascii="Calibri" w:hAnsi="Calibri" w:cs="Arial"/>
                <w:sz w:val="20"/>
                <w:szCs w:val="20"/>
                <w:lang w:eastAsia="it-IT"/>
              </w:rPr>
              <w:t>02</w:t>
            </w:r>
          </w:p>
        </w:tc>
      </w:tr>
    </w:tbl>
    <w:p w:rsidR="00623A26" w:rsidRPr="00623A26" w:rsidRDefault="00623A26" w:rsidP="00D14FBB">
      <w:pPr>
        <w:spacing w:after="0" w:line="240" w:lineRule="auto"/>
        <w:rPr>
          <w:rFonts w:cs="Arial"/>
          <w:sz w:val="20"/>
          <w:szCs w:val="20"/>
          <w:highlight w:val="lightGray"/>
        </w:rPr>
      </w:pPr>
    </w:p>
    <w:p w:rsidR="00623A26" w:rsidRPr="00077739" w:rsidRDefault="00623A26" w:rsidP="00D14FBB">
      <w:pPr>
        <w:spacing w:after="0" w:line="240" w:lineRule="auto"/>
        <w:rPr>
          <w:rFonts w:cs="Arial"/>
        </w:rPr>
      </w:pPr>
      <w:r w:rsidRPr="00077739">
        <w:rPr>
          <w:rFonts w:cs="Arial"/>
          <w:i/>
        </w:rPr>
        <w:t>Conclusioni sulla bioequivalenza</w:t>
      </w:r>
      <w:r w:rsidRPr="00077739">
        <w:rPr>
          <w:rFonts w:cs="Arial"/>
        </w:rPr>
        <w:t>.</w:t>
      </w:r>
    </w:p>
    <w:p w:rsidR="00623A26" w:rsidRPr="00D1324F" w:rsidRDefault="00623A26" w:rsidP="00D14FBB">
      <w:pPr>
        <w:spacing w:after="0" w:line="240" w:lineRule="auto"/>
        <w:jc w:val="both"/>
        <w:rPr>
          <w:rFonts w:cs="Arial"/>
        </w:rPr>
      </w:pPr>
      <w:r w:rsidRPr="00077739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077739">
        <w:rPr>
          <w:rFonts w:cs="Arial"/>
        </w:rPr>
        <w:t>range</w:t>
      </w:r>
      <w:proofErr w:type="spellEnd"/>
      <w:r w:rsidRPr="00077739">
        <w:rPr>
          <w:rFonts w:cs="Arial"/>
        </w:rPr>
        <w:t xml:space="preserve"> di accettabilità di 80-125%, in accordo con le linee guida correnti.</w:t>
      </w:r>
    </w:p>
    <w:p w:rsidR="00B80E48" w:rsidRPr="00B80E48" w:rsidRDefault="00B80E48" w:rsidP="00D14FBB">
      <w:pPr>
        <w:spacing w:after="0" w:line="240" w:lineRule="auto"/>
        <w:jc w:val="both"/>
        <w:rPr>
          <w:rFonts w:cs="Arial"/>
          <w:color w:val="FF0000"/>
        </w:rPr>
      </w:pP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  <w:rPr>
          <w:b/>
        </w:rPr>
      </w:pPr>
      <w:r w:rsidRPr="002E06A2">
        <w:rPr>
          <w:b/>
        </w:rPr>
        <w:t>Piano di Valutazione del Rischio (</w:t>
      </w:r>
      <w:proofErr w:type="spellStart"/>
      <w:r w:rsidRPr="002E06A2">
        <w:rPr>
          <w:b/>
          <w:i/>
        </w:rPr>
        <w:t>Risk</w:t>
      </w:r>
      <w:proofErr w:type="spellEnd"/>
      <w:r w:rsidRPr="002E06A2">
        <w:rPr>
          <w:b/>
          <w:i/>
        </w:rPr>
        <w:t xml:space="preserve"> Management </w:t>
      </w:r>
      <w:proofErr w:type="spellStart"/>
      <w:r w:rsidRPr="002E06A2">
        <w:rPr>
          <w:b/>
          <w:i/>
        </w:rPr>
        <w:t>Plan</w:t>
      </w:r>
      <w:proofErr w:type="spellEnd"/>
      <w:r w:rsidRPr="002E06A2">
        <w:rPr>
          <w:b/>
        </w:rPr>
        <w:t xml:space="preserve"> - RMP)</w:t>
      </w: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</w:pPr>
      <w:r w:rsidRPr="002E06A2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>
        <w:t xml:space="preserve"> </w:t>
      </w:r>
      <w:proofErr w:type="spellStart"/>
      <w:r w:rsidR="000C5BC9">
        <w:rPr>
          <w:rFonts w:eastAsia="Calibri" w:cs="Calibri"/>
          <w:color w:val="000000"/>
          <w:lang w:eastAsia="it-IT"/>
        </w:rPr>
        <w:t>Prameffex</w:t>
      </w:r>
      <w:proofErr w:type="spellEnd"/>
      <w:r w:rsidR="000C5BC9">
        <w:rPr>
          <w:rFonts w:eastAsia="Calibri" w:cs="Calibri"/>
          <w:color w:val="000000"/>
          <w:lang w:eastAsia="it-IT"/>
        </w:rPr>
        <w:t>.</w:t>
      </w:r>
    </w:p>
    <w:p w:rsidR="007D026E" w:rsidRDefault="007D026E" w:rsidP="00D14FBB">
      <w:pPr>
        <w:pStyle w:val="Paragrafoelenco"/>
        <w:spacing w:after="0" w:line="240" w:lineRule="auto"/>
        <w:ind w:left="0"/>
        <w:jc w:val="both"/>
      </w:pPr>
      <w:r w:rsidRPr="002E06A2">
        <w:t xml:space="preserve">Il riassunto delle problematiche di sicurezza è riportato </w:t>
      </w:r>
      <w:r w:rsidRPr="00E962D4">
        <w:t>nella tabella seguente.</w:t>
      </w:r>
    </w:p>
    <w:p w:rsidR="007D026E" w:rsidRDefault="007D026E" w:rsidP="00D14FBB">
      <w:pPr>
        <w:pStyle w:val="Paragrafoelenco"/>
        <w:spacing w:after="0" w:line="240" w:lineRule="auto"/>
        <w:ind w:left="0"/>
        <w:jc w:val="both"/>
        <w:rPr>
          <w:b/>
          <w:color w:val="FF0000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2519"/>
        <w:gridCol w:w="6391"/>
      </w:tblGrid>
      <w:tr w:rsidR="007D026E" w:rsidRPr="00D2145F" w:rsidTr="00B46C4B">
        <w:trPr>
          <w:trHeight w:val="708"/>
          <w:jc w:val="center"/>
        </w:trPr>
        <w:tc>
          <w:tcPr>
            <w:tcW w:w="2519" w:type="dxa"/>
          </w:tcPr>
          <w:p w:rsidR="007D026E" w:rsidRPr="00D2145F" w:rsidRDefault="007D026E" w:rsidP="00B46C4B">
            <w:pPr>
              <w:pStyle w:val="Paragrafoelenco"/>
              <w:ind w:left="0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Rischi Importanti identificati</w:t>
            </w:r>
          </w:p>
        </w:tc>
        <w:tc>
          <w:tcPr>
            <w:tcW w:w="6391" w:type="dxa"/>
          </w:tcPr>
          <w:p w:rsidR="00B80E48" w:rsidRPr="00D2145F" w:rsidRDefault="007C21DA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Ipersensibilità al principio attivo o ad uno degli eccipienti</w:t>
            </w:r>
          </w:p>
          <w:p w:rsidR="00B80E48" w:rsidRPr="00D2145F" w:rsidRDefault="007C21DA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 xml:space="preserve">Allungamento </w:t>
            </w:r>
            <w:r w:rsidR="00246F74" w:rsidRPr="00D2145F">
              <w:rPr>
                <w:sz w:val="20"/>
                <w:szCs w:val="20"/>
              </w:rPr>
              <w:t xml:space="preserve">dell’intervallo </w:t>
            </w:r>
            <w:r w:rsidRPr="00D2145F">
              <w:rPr>
                <w:sz w:val="20"/>
                <w:szCs w:val="20"/>
              </w:rPr>
              <w:t>QT</w:t>
            </w:r>
          </w:p>
          <w:p w:rsidR="00B80E48" w:rsidRPr="00D2145F" w:rsidRDefault="007C21DA" w:rsidP="00B46C4B">
            <w:pPr>
              <w:tabs>
                <w:tab w:val="left" w:pos="426"/>
              </w:tabs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Uso contemporaneo con le IMAO</w:t>
            </w:r>
          </w:p>
          <w:p w:rsidR="007C21DA" w:rsidRPr="00D2145F" w:rsidRDefault="007C21DA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 xml:space="preserve"> Uso in bambini ed adolescent</w:t>
            </w:r>
            <w:r w:rsidR="00246F74" w:rsidRPr="00D2145F">
              <w:rPr>
                <w:sz w:val="20"/>
                <w:szCs w:val="20"/>
              </w:rPr>
              <w:t xml:space="preserve">i </w:t>
            </w:r>
            <w:r w:rsidRPr="00D2145F">
              <w:rPr>
                <w:sz w:val="20"/>
                <w:szCs w:val="20"/>
              </w:rPr>
              <w:t>di età inferior</w:t>
            </w:r>
            <w:r w:rsidR="00246F74" w:rsidRPr="00D2145F">
              <w:rPr>
                <w:sz w:val="20"/>
                <w:szCs w:val="20"/>
              </w:rPr>
              <w:t>e</w:t>
            </w:r>
            <w:r w:rsidRPr="00D2145F">
              <w:rPr>
                <w:sz w:val="20"/>
                <w:szCs w:val="20"/>
              </w:rPr>
              <w:t xml:space="preserve"> ai 18 anni</w:t>
            </w:r>
          </w:p>
          <w:p w:rsidR="007C21DA" w:rsidRPr="00D2145F" w:rsidRDefault="007C21DA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 xml:space="preserve">Suicidio o manie suicide o peggioramento dello stato clinic </w:t>
            </w:r>
            <w:r w:rsidR="00246F74" w:rsidRPr="00D2145F">
              <w:rPr>
                <w:sz w:val="20"/>
                <w:szCs w:val="20"/>
              </w:rPr>
              <w:t>quando</w:t>
            </w:r>
            <w:r w:rsidRPr="00D2145F">
              <w:rPr>
                <w:sz w:val="20"/>
                <w:szCs w:val="20"/>
              </w:rPr>
              <w:t xml:space="preserve"> preso in contemporanea con </w:t>
            </w:r>
            <w:proofErr w:type="spellStart"/>
            <w:r w:rsidRPr="00D2145F">
              <w:rPr>
                <w:sz w:val="20"/>
                <w:szCs w:val="20"/>
              </w:rPr>
              <w:t>linezolid</w:t>
            </w:r>
            <w:proofErr w:type="spellEnd"/>
          </w:p>
          <w:p w:rsidR="00B80E48" w:rsidRPr="00D2145F" w:rsidRDefault="00246F74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Convulsioni</w:t>
            </w:r>
          </w:p>
          <w:p w:rsidR="00B80E48" w:rsidRPr="00D2145F" w:rsidRDefault="00B80E48" w:rsidP="00B46C4B">
            <w:pPr>
              <w:ind w:right="-283"/>
              <w:rPr>
                <w:sz w:val="20"/>
                <w:szCs w:val="20"/>
              </w:rPr>
            </w:pPr>
            <w:proofErr w:type="spellStart"/>
            <w:r w:rsidRPr="00D2145F">
              <w:rPr>
                <w:sz w:val="20"/>
                <w:szCs w:val="20"/>
              </w:rPr>
              <w:t>A</w:t>
            </w:r>
            <w:r w:rsidR="007C21DA" w:rsidRPr="00D2145F">
              <w:rPr>
                <w:sz w:val="20"/>
                <w:szCs w:val="20"/>
              </w:rPr>
              <w:t>catisia</w:t>
            </w:r>
            <w:proofErr w:type="spellEnd"/>
            <w:r w:rsidR="007C21DA" w:rsidRPr="00D2145F">
              <w:rPr>
                <w:sz w:val="20"/>
                <w:szCs w:val="20"/>
              </w:rPr>
              <w:t xml:space="preserve"> o </w:t>
            </w:r>
            <w:r w:rsidRPr="00D2145F">
              <w:rPr>
                <w:sz w:val="20"/>
                <w:szCs w:val="20"/>
              </w:rPr>
              <w:t xml:space="preserve"> </w:t>
            </w:r>
            <w:r w:rsidR="00246F74" w:rsidRPr="00D2145F">
              <w:rPr>
                <w:sz w:val="20"/>
                <w:szCs w:val="20"/>
              </w:rPr>
              <w:t>irrequietezza</w:t>
            </w:r>
            <w:r w:rsidR="007C21DA" w:rsidRPr="00D2145F">
              <w:rPr>
                <w:sz w:val="20"/>
                <w:szCs w:val="20"/>
              </w:rPr>
              <w:t xml:space="preserve"> psicomotoria</w:t>
            </w:r>
          </w:p>
          <w:p w:rsidR="00B80E48" w:rsidRPr="00D2145F" w:rsidRDefault="007C21DA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Mania o ipomani</w:t>
            </w:r>
            <w:r w:rsidR="00ED1CA8">
              <w:rPr>
                <w:sz w:val="20"/>
                <w:szCs w:val="20"/>
              </w:rPr>
              <w:t>a</w:t>
            </w:r>
            <w:r w:rsidRPr="00D2145F">
              <w:rPr>
                <w:sz w:val="20"/>
                <w:szCs w:val="20"/>
              </w:rPr>
              <w:t xml:space="preserve"> </w:t>
            </w:r>
          </w:p>
          <w:p w:rsidR="00B80E48" w:rsidRPr="00D2145F" w:rsidRDefault="007C21DA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 xml:space="preserve">Sintomi dovuti alla sospensione del trattamento </w:t>
            </w:r>
            <w:r w:rsidR="00B80E48" w:rsidRPr="00D2145F">
              <w:rPr>
                <w:sz w:val="20"/>
                <w:szCs w:val="20"/>
              </w:rPr>
              <w:t xml:space="preserve"> </w:t>
            </w:r>
          </w:p>
          <w:p w:rsidR="00B80E48" w:rsidRPr="00B46C4B" w:rsidRDefault="007C21DA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 xml:space="preserve"> Uso </w:t>
            </w:r>
            <w:r w:rsidR="0095684F" w:rsidRPr="00D2145F">
              <w:rPr>
                <w:sz w:val="20"/>
                <w:szCs w:val="20"/>
              </w:rPr>
              <w:t xml:space="preserve">contemporaneo </w:t>
            </w:r>
            <w:r w:rsidRPr="00D2145F">
              <w:rPr>
                <w:sz w:val="20"/>
                <w:szCs w:val="20"/>
              </w:rPr>
              <w:t xml:space="preserve">con medicinali </w:t>
            </w:r>
            <w:r w:rsidR="0095684F" w:rsidRPr="00D2145F">
              <w:rPr>
                <w:sz w:val="20"/>
                <w:szCs w:val="20"/>
              </w:rPr>
              <w:t xml:space="preserve"> metabolizzati dall’enzima </w:t>
            </w:r>
            <w:r w:rsidR="00B80E48" w:rsidRPr="00B46C4B">
              <w:rPr>
                <w:sz w:val="20"/>
                <w:szCs w:val="20"/>
              </w:rPr>
              <w:t xml:space="preserve">CYP2D6 </w:t>
            </w:r>
          </w:p>
          <w:p w:rsidR="00B80E48" w:rsidRPr="000C5BC9" w:rsidRDefault="00EC26A9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lastRenderedPageBreak/>
              <w:t>Ansietà</w:t>
            </w:r>
            <w:r w:rsidR="0095684F" w:rsidRPr="00D2145F">
              <w:rPr>
                <w:sz w:val="20"/>
                <w:szCs w:val="20"/>
              </w:rPr>
              <w:t xml:space="preserve"> </w:t>
            </w:r>
            <w:proofErr w:type="spellStart"/>
            <w:r w:rsidR="0095684F" w:rsidRPr="00D2145F">
              <w:rPr>
                <w:sz w:val="20"/>
                <w:szCs w:val="20"/>
              </w:rPr>
              <w:t>paradossa</w:t>
            </w:r>
            <w:proofErr w:type="spellEnd"/>
          </w:p>
          <w:p w:rsidR="00B80E48" w:rsidRPr="00D2145F" w:rsidRDefault="0095684F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Emorragia</w:t>
            </w:r>
          </w:p>
          <w:p w:rsidR="007D026E" w:rsidRPr="00B46C4B" w:rsidRDefault="00B46C4B" w:rsidP="00B46C4B">
            <w:pPr>
              <w:ind w:right="-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in g</w:t>
            </w:r>
            <w:r w:rsidR="0095684F" w:rsidRPr="00D2145F">
              <w:rPr>
                <w:sz w:val="20"/>
                <w:szCs w:val="20"/>
              </w:rPr>
              <w:t>ravidanza ed allattamento</w:t>
            </w:r>
          </w:p>
        </w:tc>
      </w:tr>
      <w:tr w:rsidR="007D026E" w:rsidRPr="00D2145F" w:rsidTr="00B46C4B">
        <w:trPr>
          <w:trHeight w:val="627"/>
          <w:jc w:val="center"/>
        </w:trPr>
        <w:tc>
          <w:tcPr>
            <w:tcW w:w="2519" w:type="dxa"/>
          </w:tcPr>
          <w:p w:rsidR="007D026E" w:rsidRPr="00D2145F" w:rsidRDefault="007D026E" w:rsidP="00B46C4B">
            <w:pPr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lastRenderedPageBreak/>
              <w:t>Rischi Importanti potenziali</w:t>
            </w:r>
          </w:p>
        </w:tc>
        <w:tc>
          <w:tcPr>
            <w:tcW w:w="6391" w:type="dxa"/>
          </w:tcPr>
          <w:p w:rsidR="00B80E48" w:rsidRPr="00D2145F" w:rsidRDefault="0095684F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Diabete mellito</w:t>
            </w:r>
          </w:p>
          <w:p w:rsidR="00B80E48" w:rsidRPr="00D2145F" w:rsidRDefault="0095684F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Glaucoma ad Angolo Chiuso</w:t>
            </w:r>
          </w:p>
          <w:p w:rsidR="00B80E48" w:rsidRPr="00D2145F" w:rsidRDefault="0095684F" w:rsidP="00B46C4B">
            <w:pPr>
              <w:ind w:right="-283"/>
              <w:rPr>
                <w:sz w:val="20"/>
                <w:szCs w:val="20"/>
              </w:rPr>
            </w:pPr>
            <w:proofErr w:type="spellStart"/>
            <w:r w:rsidRPr="00D2145F">
              <w:rPr>
                <w:sz w:val="20"/>
                <w:szCs w:val="20"/>
              </w:rPr>
              <w:t>Iponatriemia</w:t>
            </w:r>
            <w:proofErr w:type="spellEnd"/>
          </w:p>
          <w:p w:rsidR="0095684F" w:rsidRPr="00D2145F" w:rsidRDefault="0095684F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Uso contemporaneo con medicinali a base di erba di san Giovanni ( iperico)</w:t>
            </w:r>
          </w:p>
          <w:p w:rsidR="0095684F" w:rsidRPr="00D2145F" w:rsidRDefault="0095684F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 xml:space="preserve">Sindrome </w:t>
            </w:r>
            <w:proofErr w:type="spellStart"/>
            <w:r w:rsidRPr="00D2145F">
              <w:rPr>
                <w:sz w:val="20"/>
                <w:szCs w:val="20"/>
              </w:rPr>
              <w:t>serotoninergica</w:t>
            </w:r>
            <w:proofErr w:type="spellEnd"/>
            <w:r w:rsidRPr="00D2145F">
              <w:rPr>
                <w:sz w:val="20"/>
                <w:szCs w:val="20"/>
              </w:rPr>
              <w:t xml:space="preserve"> quando associato all’impiego di inib</w:t>
            </w:r>
            <w:r w:rsidR="00165A23">
              <w:rPr>
                <w:sz w:val="20"/>
                <w:szCs w:val="20"/>
              </w:rPr>
              <w:t>itori reversibili della MAO-A (</w:t>
            </w:r>
            <w:r w:rsidRPr="00D2145F">
              <w:rPr>
                <w:sz w:val="20"/>
                <w:szCs w:val="20"/>
              </w:rPr>
              <w:t xml:space="preserve">es. </w:t>
            </w:r>
            <w:proofErr w:type="spellStart"/>
            <w:r w:rsidRPr="00D2145F">
              <w:rPr>
                <w:sz w:val="20"/>
                <w:szCs w:val="20"/>
              </w:rPr>
              <w:t>moclobedamina</w:t>
            </w:r>
            <w:proofErr w:type="spellEnd"/>
            <w:r w:rsidRPr="00D2145F">
              <w:rPr>
                <w:sz w:val="20"/>
                <w:szCs w:val="20"/>
              </w:rPr>
              <w:t>)</w:t>
            </w:r>
          </w:p>
          <w:p w:rsidR="00B80E48" w:rsidRPr="00D2145F" w:rsidRDefault="0095684F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A</w:t>
            </w:r>
            <w:r w:rsidR="00B80E48" w:rsidRPr="00D2145F">
              <w:rPr>
                <w:sz w:val="20"/>
                <w:szCs w:val="20"/>
              </w:rPr>
              <w:t xml:space="preserve">umento dell’effetto del SSRI in associazione </w:t>
            </w:r>
            <w:r w:rsidR="005B4DEF" w:rsidRPr="00D2145F">
              <w:rPr>
                <w:sz w:val="20"/>
                <w:szCs w:val="20"/>
              </w:rPr>
              <w:t>con</w:t>
            </w:r>
            <w:r w:rsidR="00B80E48" w:rsidRPr="00D2145F">
              <w:rPr>
                <w:sz w:val="20"/>
                <w:szCs w:val="20"/>
              </w:rPr>
              <w:t xml:space="preserve"> </w:t>
            </w:r>
            <w:r w:rsidRPr="00D2145F">
              <w:rPr>
                <w:sz w:val="20"/>
                <w:szCs w:val="20"/>
              </w:rPr>
              <w:t xml:space="preserve"> litio e </w:t>
            </w:r>
            <w:proofErr w:type="spellStart"/>
            <w:r w:rsidRPr="00D2145F">
              <w:rPr>
                <w:sz w:val="20"/>
                <w:szCs w:val="20"/>
              </w:rPr>
              <w:t>triptofano</w:t>
            </w:r>
            <w:proofErr w:type="spellEnd"/>
            <w:r w:rsidRPr="00D2145F">
              <w:rPr>
                <w:sz w:val="20"/>
                <w:szCs w:val="20"/>
              </w:rPr>
              <w:t xml:space="preserve"> </w:t>
            </w:r>
          </w:p>
          <w:p w:rsidR="007D026E" w:rsidRPr="00B46C4B" w:rsidRDefault="0095684F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 xml:space="preserve">Uso contemporaneo con la </w:t>
            </w:r>
            <w:proofErr w:type="spellStart"/>
            <w:r w:rsidRPr="00D2145F">
              <w:rPr>
                <w:sz w:val="20"/>
                <w:szCs w:val="20"/>
              </w:rPr>
              <w:t>selegilina</w:t>
            </w:r>
            <w:proofErr w:type="spellEnd"/>
          </w:p>
        </w:tc>
      </w:tr>
      <w:tr w:rsidR="007D026E" w:rsidRPr="00EF7374" w:rsidTr="00B46C4B">
        <w:trPr>
          <w:jc w:val="center"/>
        </w:trPr>
        <w:tc>
          <w:tcPr>
            <w:tcW w:w="2519" w:type="dxa"/>
          </w:tcPr>
          <w:p w:rsidR="007D026E" w:rsidRPr="00D2145F" w:rsidRDefault="007D026E" w:rsidP="00B46C4B">
            <w:pPr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Informazioni mancanti</w:t>
            </w:r>
          </w:p>
        </w:tc>
        <w:tc>
          <w:tcPr>
            <w:tcW w:w="6391" w:type="dxa"/>
          </w:tcPr>
          <w:p w:rsidR="00B80E48" w:rsidRPr="00D2145F" w:rsidRDefault="0095684F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 xml:space="preserve"> Uso o</w:t>
            </w:r>
            <w:r w:rsidR="00B80E48" w:rsidRPr="00D2145F">
              <w:rPr>
                <w:sz w:val="20"/>
                <w:szCs w:val="20"/>
              </w:rPr>
              <w:t xml:space="preserve">ff- </w:t>
            </w:r>
            <w:proofErr w:type="spellStart"/>
            <w:r w:rsidR="00B80E48" w:rsidRPr="00D2145F">
              <w:rPr>
                <w:sz w:val="20"/>
                <w:szCs w:val="20"/>
              </w:rPr>
              <w:t>label</w:t>
            </w:r>
            <w:proofErr w:type="spellEnd"/>
          </w:p>
          <w:p w:rsidR="00ED1CA8" w:rsidRDefault="0095684F" w:rsidP="00B46C4B">
            <w:pPr>
              <w:ind w:right="-283"/>
              <w:rPr>
                <w:sz w:val="20"/>
                <w:szCs w:val="20"/>
              </w:rPr>
            </w:pPr>
            <w:r w:rsidRPr="00D2145F">
              <w:rPr>
                <w:sz w:val="20"/>
                <w:szCs w:val="20"/>
              </w:rPr>
              <w:t>Uso contemporaneo con ECT ( terapia elettroconvulsiva</w:t>
            </w:r>
            <w:r w:rsidR="00ED1CA8">
              <w:rPr>
                <w:sz w:val="20"/>
                <w:szCs w:val="20"/>
              </w:rPr>
              <w:t>)</w:t>
            </w:r>
          </w:p>
          <w:p w:rsidR="007D026E" w:rsidRPr="00B46C4B" w:rsidRDefault="00ED1CA8" w:rsidP="00B46C4B">
            <w:pPr>
              <w:ind w:right="-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</w:t>
            </w:r>
            <w:r w:rsidR="0095684F" w:rsidRPr="00D2145F">
              <w:rPr>
                <w:sz w:val="20"/>
                <w:szCs w:val="20"/>
              </w:rPr>
              <w:t xml:space="preserve"> in pazienti che hanno subito un infarto coronarico</w:t>
            </w:r>
            <w:r w:rsidR="00B80E48" w:rsidRPr="00D2145F">
              <w:rPr>
                <w:sz w:val="20"/>
                <w:szCs w:val="20"/>
              </w:rPr>
              <w:t xml:space="preserve"> </w:t>
            </w:r>
          </w:p>
        </w:tc>
      </w:tr>
    </w:tbl>
    <w:p w:rsidR="007D026E" w:rsidRPr="007401FA" w:rsidRDefault="007D026E" w:rsidP="00D14FBB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</w:pPr>
      <w:r w:rsidRPr="002E06A2">
        <w:t xml:space="preserve">Azioni </w:t>
      </w:r>
      <w:proofErr w:type="spellStart"/>
      <w:r w:rsidRPr="002E06A2">
        <w:t>routinarie</w:t>
      </w:r>
      <w:proofErr w:type="spellEnd"/>
      <w:r w:rsidRPr="002E06A2">
        <w:t xml:space="preserve"> di farmacovigilanza e di minimizzazione del rischio sono proposte per tutte le problematiche di sicurezza.</w:t>
      </w: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</w:pPr>
      <w:r w:rsidRPr="002E06A2">
        <w:t>Oltre le misure previste nel Riassunto delle caratteristiche del prodotto non sono previste attività addizionali di minimizzazione del rischio</w:t>
      </w: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  <w:rPr>
          <w:b/>
        </w:rPr>
      </w:pPr>
      <w:r w:rsidRPr="002E06A2">
        <w:rPr>
          <w:b/>
        </w:rPr>
        <w:t>Conclusioni</w:t>
      </w: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</w:pPr>
      <w:r w:rsidRPr="002E06A2">
        <w:t xml:space="preserve">Il rapporto beneficio/rischio di </w:t>
      </w:r>
      <w:r>
        <w:t xml:space="preserve"> </w:t>
      </w:r>
      <w:proofErr w:type="spellStart"/>
      <w:r w:rsidR="00B46C4B">
        <w:rPr>
          <w:rFonts w:eastAsia="Calibri" w:cs="Calibri"/>
          <w:color w:val="000000"/>
          <w:lang w:eastAsia="it-IT"/>
        </w:rPr>
        <w:t>Prameffex</w:t>
      </w:r>
      <w:proofErr w:type="spellEnd"/>
      <w:r w:rsidR="00BC06C8">
        <w:rPr>
          <w:rFonts w:eastAsia="Calibri" w:cs="Calibri"/>
          <w:color w:val="000000"/>
          <w:lang w:eastAsia="it-IT"/>
        </w:rPr>
        <w:t xml:space="preserve"> </w:t>
      </w:r>
      <w:r w:rsidRPr="002E06A2">
        <w:t>è considerato favorevole dal punto di vista clinico.</w:t>
      </w: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D14FB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7D026E" w:rsidRPr="002E06A2" w:rsidRDefault="007D026E" w:rsidP="00D14FBB">
      <w:pPr>
        <w:spacing w:after="0" w:line="240" w:lineRule="auto"/>
        <w:jc w:val="both"/>
      </w:pPr>
      <w:r w:rsidRPr="002E06A2">
        <w:t xml:space="preserve">Il foglio illustrativo è stato sottoposto al test di leggibilità in accordo ai requisiti dell’art. 59(3) e 61(1) della direttiva 2001/83/EU s.m.i. </w:t>
      </w:r>
      <w:r w:rsidR="00B46C4B">
        <w:t>I</w:t>
      </w:r>
      <w:r w:rsidRPr="002E06A2"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7D026E" w:rsidRPr="002E06A2" w:rsidRDefault="007D026E" w:rsidP="00D14FBB">
      <w:pPr>
        <w:pStyle w:val="Paragrafoelenco"/>
        <w:spacing w:after="0" w:line="240" w:lineRule="auto"/>
        <w:ind w:left="0"/>
        <w:jc w:val="both"/>
      </w:pPr>
    </w:p>
    <w:p w:rsidR="007D026E" w:rsidRPr="002E06A2" w:rsidRDefault="007D026E" w:rsidP="00D14FBB">
      <w:pPr>
        <w:spacing w:after="0" w:line="240" w:lineRule="auto"/>
        <w:jc w:val="both"/>
        <w:rPr>
          <w:highlight w:val="yellow"/>
        </w:rPr>
      </w:pPr>
    </w:p>
    <w:p w:rsidR="007D026E" w:rsidRPr="002E06A2" w:rsidRDefault="007D026E" w:rsidP="00D14FBB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0C5BC9" w:rsidRDefault="000C5BC9" w:rsidP="00D14FBB">
      <w:pPr>
        <w:spacing w:after="0" w:line="240" w:lineRule="auto"/>
        <w:jc w:val="both"/>
        <w:rPr>
          <w:highlight w:val="yellow"/>
        </w:rPr>
      </w:pPr>
    </w:p>
    <w:p w:rsidR="000C5BC9" w:rsidRPr="00582F34" w:rsidRDefault="000C5BC9" w:rsidP="000C5BC9">
      <w:pPr>
        <w:spacing w:after="0" w:line="240" w:lineRule="auto"/>
        <w:jc w:val="both"/>
      </w:pPr>
      <w:r w:rsidRPr="00582F34">
        <w:t xml:space="preserve">La qualità di </w:t>
      </w:r>
      <w:proofErr w:type="spellStart"/>
      <w:r>
        <w:t>Prameffex</w:t>
      </w:r>
      <w:proofErr w:type="spellEnd"/>
      <w:r w:rsidRPr="00582F34">
        <w:rPr>
          <w:rFonts w:eastAsia="Calibri" w:cs="Calibri"/>
          <w:color w:val="000000"/>
          <w:lang w:eastAsia="it-IT"/>
        </w:rPr>
        <w:t xml:space="preserve"> </w:t>
      </w:r>
      <w:r w:rsidRPr="00582F34">
        <w:t>è accettabile e non sono state rilevate criticità da un punto di vista di qualità, non clinico e clinico.</w:t>
      </w:r>
    </w:p>
    <w:p w:rsidR="000C5BC9" w:rsidRPr="00DC6DE0" w:rsidRDefault="000C5BC9" w:rsidP="000C5BC9">
      <w:pPr>
        <w:spacing w:after="0" w:line="240" w:lineRule="auto"/>
        <w:jc w:val="both"/>
        <w:rPr>
          <w:rFonts w:ascii="Calibri" w:hAnsi="Calibri"/>
        </w:rPr>
      </w:pPr>
      <w:r w:rsidRPr="00DC6DE0">
        <w:rPr>
          <w:rFonts w:ascii="Calibri" w:hAnsi="Calibri"/>
        </w:rPr>
        <w:t xml:space="preserve">Lo studio di bioequivalenza e le sue conclusioni confermano che </w:t>
      </w:r>
      <w:proofErr w:type="spellStart"/>
      <w:r>
        <w:t>Prameffex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DC6DE0">
        <w:rPr>
          <w:rFonts w:ascii="Calibri" w:hAnsi="Calibri"/>
        </w:rPr>
        <w:t xml:space="preserve">e il medicinale di riferimento </w:t>
      </w:r>
      <w:proofErr w:type="spellStart"/>
      <w:r>
        <w:t>Cipralex</w:t>
      </w:r>
      <w:proofErr w:type="spellEnd"/>
      <w:r w:rsidRPr="00DC6DE0">
        <w:rPr>
          <w:rFonts w:ascii="Calibri" w:hAnsi="Calibri"/>
        </w:rPr>
        <w:t xml:space="preserve"> sono </w:t>
      </w:r>
      <w:proofErr w:type="spellStart"/>
      <w:r w:rsidRPr="00DC6DE0">
        <w:rPr>
          <w:rFonts w:ascii="Calibri" w:hAnsi="Calibri"/>
        </w:rPr>
        <w:t>bioequivalenti</w:t>
      </w:r>
      <w:proofErr w:type="spellEnd"/>
      <w:r w:rsidRPr="00DC6DE0">
        <w:rPr>
          <w:rFonts w:ascii="Calibri" w:hAnsi="Calibri"/>
        </w:rPr>
        <w:t>.</w:t>
      </w:r>
    </w:p>
    <w:p w:rsidR="000C5BC9" w:rsidRPr="00DC6DE0" w:rsidRDefault="000C5BC9" w:rsidP="000C5BC9">
      <w:pPr>
        <w:spacing w:after="0" w:line="240" w:lineRule="auto"/>
        <w:jc w:val="both"/>
        <w:rPr>
          <w:rFonts w:ascii="Calibri" w:hAnsi="Calibri"/>
        </w:rPr>
      </w:pPr>
      <w:r w:rsidRPr="00DC6DE0">
        <w:rPr>
          <w:rFonts w:ascii="Calibri" w:hAnsi="Calibri"/>
        </w:rPr>
        <w:t>Il rapporto beneficio/rischio è considerato positivo.</w:t>
      </w:r>
    </w:p>
    <w:p w:rsidR="007D026E" w:rsidRPr="002E06A2" w:rsidRDefault="007D026E" w:rsidP="00D14FBB">
      <w:pPr>
        <w:spacing w:after="0" w:line="240" w:lineRule="auto"/>
        <w:jc w:val="both"/>
      </w:pPr>
      <w:r w:rsidRPr="002E06A2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E06A2">
        <w:rPr>
          <w:rFonts w:eastAsia="Calibri" w:cs="Calibri"/>
        </w:rPr>
        <w:t>(</w:t>
      </w:r>
      <w:hyperlink r:id="rId11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</w:rPr>
        <w:t>).</w:t>
      </w:r>
    </w:p>
    <w:p w:rsidR="007D026E" w:rsidRDefault="007D026E" w:rsidP="00D14FBB">
      <w:pPr>
        <w:autoSpaceDE w:val="0"/>
        <w:autoSpaceDN w:val="0"/>
        <w:adjustRightInd w:val="0"/>
        <w:spacing w:after="0" w:line="240" w:lineRule="auto"/>
        <w:jc w:val="both"/>
      </w:pPr>
    </w:p>
    <w:sectPr w:rsidR="007D026E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09F8"/>
    <w:multiLevelType w:val="hybridMultilevel"/>
    <w:tmpl w:val="318E82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E1032"/>
    <w:multiLevelType w:val="hybridMultilevel"/>
    <w:tmpl w:val="05EEB3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D5B4F"/>
    <w:multiLevelType w:val="hybridMultilevel"/>
    <w:tmpl w:val="204C532E"/>
    <w:lvl w:ilvl="0" w:tplc="611A8B80">
      <w:start w:val="8"/>
      <w:numFmt w:val="bullet"/>
      <w:lvlText w:val="-"/>
      <w:lvlJc w:val="left"/>
      <w:pPr>
        <w:tabs>
          <w:tab w:val="num" w:pos="394"/>
        </w:tabs>
        <w:ind w:left="394" w:hanging="360"/>
      </w:pPr>
      <w:rPr>
        <w:rFonts w:ascii="Calibri" w:eastAsia="Times New Roman" w:hAnsi="Calibri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EF4"/>
    <w:rsid w:val="00062636"/>
    <w:rsid w:val="00066E81"/>
    <w:rsid w:val="00077016"/>
    <w:rsid w:val="00084FCA"/>
    <w:rsid w:val="00085A97"/>
    <w:rsid w:val="000B1AA0"/>
    <w:rsid w:val="000C5BC9"/>
    <w:rsid w:val="000D7F04"/>
    <w:rsid w:val="000E0632"/>
    <w:rsid w:val="000F0ABC"/>
    <w:rsid w:val="000F2D4F"/>
    <w:rsid w:val="00100B28"/>
    <w:rsid w:val="00111E9E"/>
    <w:rsid w:val="0011250C"/>
    <w:rsid w:val="00165A23"/>
    <w:rsid w:val="00174C87"/>
    <w:rsid w:val="0017631B"/>
    <w:rsid w:val="00180C71"/>
    <w:rsid w:val="001844AF"/>
    <w:rsid w:val="001A5421"/>
    <w:rsid w:val="001B78A7"/>
    <w:rsid w:val="001E0192"/>
    <w:rsid w:val="001F0F65"/>
    <w:rsid w:val="002064C0"/>
    <w:rsid w:val="0020799C"/>
    <w:rsid w:val="00224F2E"/>
    <w:rsid w:val="00227EC4"/>
    <w:rsid w:val="00246D26"/>
    <w:rsid w:val="00246F74"/>
    <w:rsid w:val="00284133"/>
    <w:rsid w:val="002842A7"/>
    <w:rsid w:val="002B18F9"/>
    <w:rsid w:val="002C6546"/>
    <w:rsid w:val="002C7780"/>
    <w:rsid w:val="002F223F"/>
    <w:rsid w:val="002F242E"/>
    <w:rsid w:val="00313154"/>
    <w:rsid w:val="00350ECC"/>
    <w:rsid w:val="00387132"/>
    <w:rsid w:val="003B3BD7"/>
    <w:rsid w:val="003E0283"/>
    <w:rsid w:val="004064E4"/>
    <w:rsid w:val="004110E3"/>
    <w:rsid w:val="004241AC"/>
    <w:rsid w:val="00437700"/>
    <w:rsid w:val="00452364"/>
    <w:rsid w:val="004843D8"/>
    <w:rsid w:val="004A1685"/>
    <w:rsid w:val="004B1E51"/>
    <w:rsid w:val="004B20A8"/>
    <w:rsid w:val="004C0BB7"/>
    <w:rsid w:val="004E4927"/>
    <w:rsid w:val="005148EB"/>
    <w:rsid w:val="0051618F"/>
    <w:rsid w:val="00522DF4"/>
    <w:rsid w:val="005300A7"/>
    <w:rsid w:val="00541249"/>
    <w:rsid w:val="0055122D"/>
    <w:rsid w:val="005658C4"/>
    <w:rsid w:val="005750F3"/>
    <w:rsid w:val="005842A1"/>
    <w:rsid w:val="005B4DEF"/>
    <w:rsid w:val="005B5DF0"/>
    <w:rsid w:val="005E11E9"/>
    <w:rsid w:val="00601567"/>
    <w:rsid w:val="00623A26"/>
    <w:rsid w:val="00636D58"/>
    <w:rsid w:val="00682D4C"/>
    <w:rsid w:val="006937DF"/>
    <w:rsid w:val="006C2DB6"/>
    <w:rsid w:val="006C6F14"/>
    <w:rsid w:val="006F0AA5"/>
    <w:rsid w:val="006F3638"/>
    <w:rsid w:val="006F7E26"/>
    <w:rsid w:val="007222FC"/>
    <w:rsid w:val="007401FA"/>
    <w:rsid w:val="007418C6"/>
    <w:rsid w:val="007552D9"/>
    <w:rsid w:val="007558C8"/>
    <w:rsid w:val="00756F7D"/>
    <w:rsid w:val="00774C4E"/>
    <w:rsid w:val="00785B6C"/>
    <w:rsid w:val="007A4597"/>
    <w:rsid w:val="007B0755"/>
    <w:rsid w:val="007C21DA"/>
    <w:rsid w:val="007D026E"/>
    <w:rsid w:val="007D2B66"/>
    <w:rsid w:val="00802772"/>
    <w:rsid w:val="008314DE"/>
    <w:rsid w:val="00862A0F"/>
    <w:rsid w:val="00874733"/>
    <w:rsid w:val="00891C5D"/>
    <w:rsid w:val="008E4602"/>
    <w:rsid w:val="008F7809"/>
    <w:rsid w:val="00921B17"/>
    <w:rsid w:val="0095684F"/>
    <w:rsid w:val="0098057B"/>
    <w:rsid w:val="009A260F"/>
    <w:rsid w:val="009A4251"/>
    <w:rsid w:val="009B03DB"/>
    <w:rsid w:val="009E2F2F"/>
    <w:rsid w:val="009F1D6D"/>
    <w:rsid w:val="00A05212"/>
    <w:rsid w:val="00A1005E"/>
    <w:rsid w:val="00A2622D"/>
    <w:rsid w:val="00A40FF3"/>
    <w:rsid w:val="00A42307"/>
    <w:rsid w:val="00A61E34"/>
    <w:rsid w:val="00A87BEF"/>
    <w:rsid w:val="00AA57FB"/>
    <w:rsid w:val="00AB74E9"/>
    <w:rsid w:val="00AD1A27"/>
    <w:rsid w:val="00AD2BC6"/>
    <w:rsid w:val="00B01103"/>
    <w:rsid w:val="00B338CC"/>
    <w:rsid w:val="00B46C4B"/>
    <w:rsid w:val="00B64DB7"/>
    <w:rsid w:val="00B72FCC"/>
    <w:rsid w:val="00B774C3"/>
    <w:rsid w:val="00B80E48"/>
    <w:rsid w:val="00B83289"/>
    <w:rsid w:val="00BA7D67"/>
    <w:rsid w:val="00BB0DBA"/>
    <w:rsid w:val="00BC06C8"/>
    <w:rsid w:val="00BC74C2"/>
    <w:rsid w:val="00BD3508"/>
    <w:rsid w:val="00BE7E72"/>
    <w:rsid w:val="00BF1041"/>
    <w:rsid w:val="00BF4465"/>
    <w:rsid w:val="00C34217"/>
    <w:rsid w:val="00C47EB7"/>
    <w:rsid w:val="00CB3303"/>
    <w:rsid w:val="00CC7AFF"/>
    <w:rsid w:val="00D02E20"/>
    <w:rsid w:val="00D14FBB"/>
    <w:rsid w:val="00D20170"/>
    <w:rsid w:val="00D2145F"/>
    <w:rsid w:val="00D47723"/>
    <w:rsid w:val="00D52F0A"/>
    <w:rsid w:val="00D60909"/>
    <w:rsid w:val="00D919DB"/>
    <w:rsid w:val="00DB10B2"/>
    <w:rsid w:val="00E001CB"/>
    <w:rsid w:val="00E00A8C"/>
    <w:rsid w:val="00E10D2E"/>
    <w:rsid w:val="00E22BEC"/>
    <w:rsid w:val="00E268F3"/>
    <w:rsid w:val="00E3186C"/>
    <w:rsid w:val="00E31DCF"/>
    <w:rsid w:val="00E42085"/>
    <w:rsid w:val="00E43089"/>
    <w:rsid w:val="00E44B75"/>
    <w:rsid w:val="00E5633F"/>
    <w:rsid w:val="00E6595F"/>
    <w:rsid w:val="00E83F8D"/>
    <w:rsid w:val="00EC26A9"/>
    <w:rsid w:val="00ED1CA8"/>
    <w:rsid w:val="00ED2986"/>
    <w:rsid w:val="00EF062E"/>
    <w:rsid w:val="00EF7374"/>
    <w:rsid w:val="00F210CD"/>
    <w:rsid w:val="00F44084"/>
    <w:rsid w:val="00F66767"/>
    <w:rsid w:val="00FA2702"/>
    <w:rsid w:val="00FB053D"/>
    <w:rsid w:val="00FB3235"/>
    <w:rsid w:val="00FB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D02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B78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DBA"/>
    <w:rPr>
      <w:color w:val="0000FF" w:themeColor="hyperlink"/>
      <w:u w:val="single"/>
    </w:rPr>
  </w:style>
  <w:style w:type="paragraph" w:styleId="Corpodeltesto2">
    <w:name w:val="Body Text 2"/>
    <w:basedOn w:val="Normale"/>
    <w:link w:val="Corpodeltesto2Carattere"/>
    <w:rsid w:val="001E0192"/>
    <w:pPr>
      <w:spacing w:after="120" w:line="480" w:lineRule="auto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1E0192"/>
    <w:rPr>
      <w:rFonts w:ascii="Courier" w:eastAsia="Times New Roman" w:hAnsi="Courier" w:cs="Times New Roman"/>
      <w:sz w:val="24"/>
      <w:szCs w:val="20"/>
      <w:lang w:eastAsia="it-IT"/>
    </w:rPr>
  </w:style>
  <w:style w:type="paragraph" w:customStyle="1" w:styleId="SPCnormal">
    <w:name w:val="SPC_normal"/>
    <w:rsid w:val="00891C5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sv-S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D026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7D0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e"/>
    <w:rsid w:val="007D026E"/>
    <w:pPr>
      <w:ind w:left="708"/>
    </w:pPr>
    <w:rPr>
      <w:rFonts w:ascii="Calibri" w:eastAsia="Times New Roman" w:hAnsi="Calibri" w:cs="Times New Roman"/>
      <w:lang w:eastAsia="it-IT"/>
    </w:rPr>
  </w:style>
  <w:style w:type="character" w:customStyle="1" w:styleId="s1">
    <w:name w:val="s1"/>
    <w:basedOn w:val="Carpredefinitoparagrafo"/>
    <w:rsid w:val="00AB74E9"/>
    <w:rPr>
      <w:rFonts w:ascii="Arial" w:hAnsi="Arial" w:cs="Arial" w:hint="default"/>
    </w:rPr>
  </w:style>
  <w:style w:type="paragraph" w:customStyle="1" w:styleId="knZulassung02">
    <w:name w:val="knZulassung02"/>
    <w:rsid w:val="001B78A7"/>
    <w:pPr>
      <w:autoSpaceDE w:val="0"/>
      <w:autoSpaceDN w:val="0"/>
      <w:spacing w:after="0" w:line="240" w:lineRule="auto"/>
      <w:ind w:left="1843" w:right="284"/>
    </w:pPr>
    <w:rPr>
      <w:rFonts w:ascii="Courier" w:eastAsia="Times New Roman" w:hAnsi="Courier" w:cs="Courier"/>
      <w:sz w:val="24"/>
      <w:szCs w:val="24"/>
      <w:lang w:val="de-DE" w:eastAsia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B78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Didascalia">
    <w:name w:val="caption"/>
    <w:basedOn w:val="Normale"/>
    <w:next w:val="Normale"/>
    <w:qFormat/>
    <w:rsid w:val="00B80E48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A542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A5421"/>
    <w:rPr>
      <w:rFonts w:ascii="Consolas" w:hAnsi="Consolas" w:cs="Consolas"/>
      <w:sz w:val="21"/>
      <w:szCs w:val="21"/>
    </w:rPr>
  </w:style>
  <w:style w:type="paragraph" w:customStyle="1" w:styleId="Default">
    <w:name w:val="Default"/>
    <w:rsid w:val="00623A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4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2916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5</cp:revision>
  <dcterms:created xsi:type="dcterms:W3CDTF">2016-09-13T17:16:00Z</dcterms:created>
  <dcterms:modified xsi:type="dcterms:W3CDTF">2017-06-21T13:02:00Z</dcterms:modified>
</cp:coreProperties>
</file>