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0B06" w:rsidRDefault="00A20B0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0B06" w:rsidRDefault="00A20B0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5F2D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PROMAZINA EG</w:t>
      </w:r>
      <w:r w:rsidR="00211AE5">
        <w:rPr>
          <w:b/>
          <w:sz w:val="32"/>
        </w:rPr>
        <w:t xml:space="preserve"> </w:t>
      </w:r>
    </w:p>
    <w:p w:rsidR="00A20B06" w:rsidRDefault="00A20B06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A20B06" w:rsidRDefault="00A20B06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211AE5">
        <w:rPr>
          <w:snapToGrid w:val="0"/>
        </w:rPr>
        <w:t>Promazina</w:t>
      </w:r>
      <w:proofErr w:type="spellEnd"/>
      <w:r w:rsidR="00211AE5">
        <w:rPr>
          <w:snapToGrid w:val="0"/>
        </w:rPr>
        <w:t xml:space="preserve"> cloridrato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5F2D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Eg</w:t>
      </w:r>
      <w:proofErr w:type="spellEnd"/>
      <w:r>
        <w:rPr>
          <w:b/>
        </w:rPr>
        <w:t xml:space="preserve"> </w:t>
      </w:r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Pr="00062636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867537">
        <w:rPr>
          <w:rFonts w:cs="Helvetica"/>
          <w:b/>
        </w:rPr>
        <w:t>4</w:t>
      </w:r>
      <w:r w:rsidR="001172F0">
        <w:rPr>
          <w:rFonts w:cs="Helvetica"/>
          <w:b/>
        </w:rPr>
        <w:t>108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F2D64">
        <w:rPr>
          <w:rFonts w:eastAsia="Calibri" w:cs="Calibri"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color w:val="000000"/>
          <w:lang w:eastAsia="it-IT"/>
        </w:rPr>
        <w:t>Eg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F2D64">
        <w:rPr>
          <w:rFonts w:eastAsia="Calibri" w:cs="Calibri"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F2D64">
        <w:rPr>
          <w:rFonts w:eastAsia="Calibri" w:cs="Calibri"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color w:val="000000"/>
          <w:lang w:eastAsia="it-IT"/>
        </w:rPr>
        <w:t>Eg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F2D64">
        <w:rPr>
          <w:rFonts w:eastAsia="Calibri" w:cs="Calibri"/>
          <w:b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b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b/>
          <w:color w:val="000000"/>
          <w:lang w:eastAsia="it-IT"/>
        </w:rPr>
        <w:t xml:space="preserve"> 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5928E6" w:rsidRDefault="005F2D64" w:rsidP="0068596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53DE6">
        <w:rPr>
          <w:rFonts w:eastAsia="Calibri" w:cs="Calibri"/>
          <w:color w:val="000000"/>
          <w:lang w:eastAsia="it-IT"/>
        </w:rPr>
        <w:t>promazina</w:t>
      </w:r>
      <w:proofErr w:type="spellEnd"/>
      <w:r w:rsidR="00853DE6">
        <w:rPr>
          <w:rFonts w:eastAsia="Calibri" w:cs="Calibri"/>
          <w:color w:val="000000"/>
          <w:lang w:eastAsia="it-IT"/>
        </w:rPr>
        <w:t xml:space="preserve"> cloridrato</w:t>
      </w:r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853DE6">
        <w:rPr>
          <w:rFonts w:eastAsia="Calibri" w:cs="Calibri"/>
          <w:color w:val="000000"/>
          <w:lang w:eastAsia="it-IT"/>
        </w:rPr>
        <w:t>gocce orali, soluzione</w:t>
      </w:r>
      <w:r w:rsidR="00A20B06">
        <w:rPr>
          <w:rFonts w:eastAsia="Calibri" w:cs="Calibri"/>
          <w:color w:val="000000"/>
          <w:lang w:eastAsia="it-IT"/>
        </w:rPr>
        <w:t xml:space="preserve"> contenente il principio attivo alla concentrazione del 4%</w:t>
      </w:r>
      <w:r w:rsidR="004241AC" w:rsidRPr="005928E6">
        <w:t>.</w:t>
      </w:r>
    </w:p>
    <w:p w:rsidR="00013020" w:rsidRPr="005928E6" w:rsidRDefault="005F2D64" w:rsidP="0068596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013020" w:rsidRPr="005928E6">
        <w:rPr>
          <w:rFonts w:eastAsia="Calibri" w:cs="Calibri"/>
          <w:color w:val="000000"/>
          <w:lang w:eastAsia="it-IT"/>
        </w:rPr>
        <w:t xml:space="preserve">è un “medicinale generico”, cioè è </w:t>
      </w:r>
      <w:r w:rsidR="00DF7D2A">
        <w:rPr>
          <w:rFonts w:eastAsia="Calibri" w:cs="Calibri"/>
          <w:color w:val="000000"/>
          <w:lang w:eastAsia="it-IT"/>
        </w:rPr>
        <w:t>equivalente</w:t>
      </w:r>
      <w:r w:rsidR="00013020" w:rsidRPr="005928E6">
        <w:rPr>
          <w:rFonts w:eastAsia="Calibri" w:cs="Calibri"/>
          <w:color w:val="000000"/>
          <w:lang w:eastAsia="it-IT"/>
        </w:rPr>
        <w:t xml:space="preserve"> ad un “medicinale di riferimento”</w:t>
      </w:r>
      <w:r w:rsidR="00990D3E">
        <w:rPr>
          <w:rFonts w:eastAsia="Calibri" w:cs="Calibri"/>
          <w:color w:val="000000"/>
          <w:lang w:eastAsia="it-IT"/>
        </w:rPr>
        <w:t>,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7B58">
        <w:rPr>
          <w:rFonts w:eastAsia="Calibri" w:cs="Calibri"/>
          <w:color w:val="000000"/>
          <w:lang w:eastAsia="it-IT"/>
        </w:rPr>
        <w:t>Talofen</w:t>
      </w:r>
      <w:proofErr w:type="spellEnd"/>
      <w:r w:rsidR="00990D3E">
        <w:rPr>
          <w:rFonts w:eastAsia="Calibri" w:cs="Calibri"/>
          <w:color w:val="000000"/>
          <w:lang w:eastAsia="it-IT"/>
        </w:rPr>
        <w:t>,</w:t>
      </w:r>
      <w:r w:rsidR="00013020" w:rsidRPr="005928E6">
        <w:rPr>
          <w:rFonts w:eastAsia="Calibri" w:cs="Calibri"/>
          <w:color w:val="000000"/>
          <w:lang w:eastAsia="it-IT"/>
        </w:rPr>
        <w:t xml:space="preserve"> autorizzato in </w:t>
      </w:r>
      <w:r w:rsidR="00E83F8D" w:rsidRPr="005928E6">
        <w:rPr>
          <w:rFonts w:eastAsia="Calibri" w:cs="Calibri"/>
          <w:color w:val="000000"/>
          <w:lang w:eastAsia="it-IT"/>
        </w:rPr>
        <w:t>Italia</w:t>
      </w:r>
      <w:r w:rsidR="00A61113">
        <w:rPr>
          <w:rFonts w:eastAsia="Calibri" w:cs="Calibri"/>
          <w:color w:val="000000"/>
          <w:lang w:eastAsia="it-IT"/>
        </w:rPr>
        <w:t xml:space="preserve"> con procedura </w:t>
      </w:r>
      <w:r w:rsidR="00EA7B58">
        <w:rPr>
          <w:rFonts w:eastAsia="Calibri" w:cs="Calibri"/>
          <w:color w:val="000000"/>
          <w:lang w:eastAsia="it-IT"/>
        </w:rPr>
        <w:t>nazionale</w:t>
      </w:r>
      <w:r w:rsidR="00013020" w:rsidRPr="005928E6">
        <w:rPr>
          <w:rFonts w:eastAsia="Calibri" w:cs="Calibri"/>
          <w:color w:val="000000"/>
          <w:lang w:eastAsia="it-IT"/>
        </w:rPr>
        <w:t>.</w:t>
      </w:r>
      <w:r w:rsidR="00A61113">
        <w:rPr>
          <w:rFonts w:eastAsia="Calibri" w:cs="Calibri"/>
          <w:color w:val="000000"/>
          <w:lang w:eastAsia="it-IT"/>
        </w:rPr>
        <w:t xml:space="preserve"> </w:t>
      </w:r>
    </w:p>
    <w:p w:rsidR="0068596F" w:rsidRPr="006678EF" w:rsidRDefault="005F2D64" w:rsidP="0068596F">
      <w:pPr>
        <w:spacing w:after="0" w:line="240" w:lineRule="auto"/>
        <w:ind w:right="-2"/>
        <w:jc w:val="both"/>
        <w:rPr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452364" w:rsidRPr="005928E6">
        <w:rPr>
          <w:rFonts w:eastAsia="Calibri" w:cs="Calibri"/>
          <w:color w:val="000000"/>
          <w:lang w:eastAsia="it-IT"/>
        </w:rPr>
        <w:t>si usa</w:t>
      </w:r>
      <w:r w:rsidR="00A61113">
        <w:rPr>
          <w:rFonts w:eastAsia="Calibri" w:cs="Calibri"/>
          <w:color w:val="000000"/>
          <w:lang w:eastAsia="it-IT"/>
        </w:rPr>
        <w:t xml:space="preserve"> negli adulti </w:t>
      </w:r>
      <w:r w:rsidR="00693944">
        <w:rPr>
          <w:rFonts w:eastAsia="Calibri" w:cs="Calibri"/>
          <w:color w:val="000000"/>
          <w:lang w:eastAsia="it-IT"/>
        </w:rPr>
        <w:t xml:space="preserve">e nei bambini a partire dai 12 anni di età </w:t>
      </w:r>
      <w:r w:rsidR="0068596F" w:rsidRPr="006678EF">
        <w:rPr>
          <w:lang w:eastAsia="it-IT"/>
        </w:rPr>
        <w:t>per tratta</w:t>
      </w:r>
      <w:r w:rsidR="0068596F">
        <w:rPr>
          <w:lang w:eastAsia="it-IT"/>
        </w:rPr>
        <w:t>re</w:t>
      </w:r>
      <w:r w:rsidR="0068596F" w:rsidRPr="006678EF">
        <w:rPr>
          <w:lang w:eastAsia="it-IT"/>
        </w:rPr>
        <w:t>:</w:t>
      </w:r>
    </w:p>
    <w:p w:rsidR="00693944" w:rsidRPr="00693944" w:rsidRDefault="00693944" w:rsidP="00693944">
      <w:pPr>
        <w:pStyle w:val="Paragrafoelenco"/>
        <w:numPr>
          <w:ilvl w:val="0"/>
          <w:numId w:val="10"/>
        </w:numPr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</w:t>
      </w:r>
      <w:r w:rsidRPr="00693944">
        <w:rPr>
          <w:rFonts w:eastAsia="Calibri" w:cs="Calibri"/>
          <w:color w:val="000000"/>
          <w:lang w:eastAsia="it-IT"/>
        </w:rPr>
        <w:t>gitazione psicomotoria o comportamento aggressivo.</w:t>
      </w:r>
    </w:p>
    <w:p w:rsidR="004241AC" w:rsidRPr="00693944" w:rsidRDefault="00693944" w:rsidP="00693944">
      <w:pPr>
        <w:pStyle w:val="Paragrafoelenco"/>
        <w:numPr>
          <w:ilvl w:val="0"/>
          <w:numId w:val="10"/>
        </w:numPr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</w:t>
      </w:r>
      <w:r w:rsidRPr="00693944">
        <w:rPr>
          <w:rFonts w:eastAsia="Calibri" w:cs="Calibri"/>
          <w:color w:val="000000"/>
          <w:lang w:eastAsia="it-IT"/>
        </w:rPr>
        <w:t>chizofrenia ed altri disturbi psicotici.</w:t>
      </w:r>
    </w:p>
    <w:p w:rsidR="002937E3" w:rsidRPr="005928E6" w:rsidRDefault="002937E3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928E6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Eg</w:t>
      </w:r>
      <w:proofErr w:type="spellEnd"/>
      <w:r w:rsidRPr="005928E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937E3" w:rsidRDefault="005F2D64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può essere ottenuto solo dietro prescrizione da parte del medico (ricetta </w:t>
      </w:r>
      <w:r w:rsidR="004241AC" w:rsidRPr="002937E3">
        <w:rPr>
          <w:rFonts w:eastAsia="Calibri" w:cs="Calibri"/>
          <w:color w:val="000000"/>
          <w:lang w:eastAsia="it-IT"/>
        </w:rPr>
        <w:t>ripetibile).</w:t>
      </w:r>
    </w:p>
    <w:p w:rsidR="004241AC" w:rsidRPr="002937E3" w:rsidRDefault="00874733" w:rsidP="0068596F">
      <w:pPr>
        <w:tabs>
          <w:tab w:val="left" w:pos="0"/>
        </w:tabs>
        <w:spacing w:after="0" w:line="240" w:lineRule="auto"/>
        <w:jc w:val="both"/>
      </w:pPr>
      <w:r w:rsidRPr="002937E3">
        <w:t>Generalmente, l</w:t>
      </w:r>
      <w:r w:rsidR="004241AC" w:rsidRPr="002937E3">
        <w:t xml:space="preserve">a dose </w:t>
      </w:r>
      <w:r w:rsidRPr="002937E3">
        <w:t xml:space="preserve">raccomandata </w:t>
      </w:r>
      <w:r w:rsidR="0091611B">
        <w:t>negli adulti</w:t>
      </w:r>
      <w:r w:rsidR="0091611B">
        <w:rPr>
          <w:rFonts w:eastAsia="Calibri" w:cs="Calibri"/>
          <w:color w:val="000000"/>
          <w:lang w:eastAsia="it-IT"/>
        </w:rPr>
        <w:t xml:space="preserve"> è pari a </w:t>
      </w:r>
      <w:r w:rsidR="0091611B" w:rsidRPr="0091611B">
        <w:rPr>
          <w:rFonts w:eastAsia="Calibri" w:cs="Calibri"/>
          <w:color w:val="000000"/>
          <w:lang w:eastAsia="it-IT"/>
        </w:rPr>
        <w:t>15 gocce 4 volte al giorno (120 mg/</w:t>
      </w:r>
      <w:proofErr w:type="spellStart"/>
      <w:r w:rsidR="0091611B" w:rsidRPr="0091611B">
        <w:rPr>
          <w:rFonts w:eastAsia="Calibri" w:cs="Calibri"/>
          <w:color w:val="000000"/>
          <w:lang w:eastAsia="it-IT"/>
        </w:rPr>
        <w:t>die</w:t>
      </w:r>
      <w:proofErr w:type="spellEnd"/>
      <w:r w:rsidR="0091611B" w:rsidRPr="0091611B">
        <w:rPr>
          <w:rFonts w:eastAsia="Calibri" w:cs="Calibri"/>
          <w:color w:val="000000"/>
          <w:lang w:eastAsia="it-IT"/>
        </w:rPr>
        <w:t>)</w:t>
      </w:r>
      <w:r w:rsidR="0091611B">
        <w:rPr>
          <w:rFonts w:eastAsia="Calibri" w:cs="Calibri"/>
          <w:color w:val="000000"/>
          <w:lang w:eastAsia="it-IT"/>
        </w:rPr>
        <w:t>; n</w:t>
      </w:r>
      <w:r w:rsidR="0091611B" w:rsidRPr="0091611B">
        <w:rPr>
          <w:rFonts w:eastAsia="Calibri" w:cs="Calibri"/>
          <w:color w:val="000000"/>
          <w:lang w:eastAsia="it-IT"/>
        </w:rPr>
        <w:t>ei bambini sopra i 12 anni e negli adolescenti la dose orale raccomandata è di 5-15 gocce al giorno (10-30 mg/</w:t>
      </w:r>
      <w:proofErr w:type="spellStart"/>
      <w:r w:rsidR="0091611B" w:rsidRPr="0091611B">
        <w:rPr>
          <w:rFonts w:eastAsia="Calibri" w:cs="Calibri"/>
          <w:color w:val="000000"/>
          <w:lang w:eastAsia="it-IT"/>
        </w:rPr>
        <w:t>die</w:t>
      </w:r>
      <w:proofErr w:type="spellEnd"/>
      <w:r w:rsidR="0091611B" w:rsidRPr="0091611B">
        <w:rPr>
          <w:rFonts w:eastAsia="Calibri" w:cs="Calibri"/>
          <w:color w:val="000000"/>
          <w:lang w:eastAsia="it-IT"/>
        </w:rPr>
        <w:t>)</w:t>
      </w:r>
      <w:r w:rsidR="00F6357B">
        <w:t>. Il medico può valutare di aumentare queste dosi nei pazienti che non rispondono al trattamento.</w:t>
      </w:r>
    </w:p>
    <w:p w:rsidR="006C7E98" w:rsidRDefault="0091611B" w:rsidP="0068596F">
      <w:pPr>
        <w:tabs>
          <w:tab w:val="left" w:pos="0"/>
        </w:tabs>
        <w:spacing w:after="0" w:line="240" w:lineRule="auto"/>
        <w:jc w:val="both"/>
      </w:pPr>
      <w:r w:rsidRPr="0091611B">
        <w:t>I pazienti con insufficienza epatica devono iniziare con un dosaggio basso ed essere attentamente monitorati.</w:t>
      </w:r>
    </w:p>
    <w:p w:rsidR="00F6357B" w:rsidRPr="00A20B06" w:rsidRDefault="005F2D64" w:rsidP="00F6357B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lastRenderedPageBreak/>
        <w:t>Promazina</w:t>
      </w:r>
      <w:proofErr w:type="spellEnd"/>
      <w:r>
        <w:t xml:space="preserve"> </w:t>
      </w:r>
      <w:proofErr w:type="spellStart"/>
      <w:r>
        <w:t>Eg</w:t>
      </w:r>
      <w:proofErr w:type="spellEnd"/>
      <w:r w:rsidR="00F6357B">
        <w:rPr>
          <w:rFonts w:eastAsia="Calibri" w:cs="Calibri"/>
          <w:color w:val="000000"/>
          <w:lang w:eastAsia="it-IT"/>
        </w:rPr>
        <w:t xml:space="preserve"> </w:t>
      </w:r>
      <w:r w:rsidR="00F6357B">
        <w:t>non deve essere impiegato nei bambini di età inferiore ai 1</w:t>
      </w:r>
      <w:r w:rsidR="0091611B">
        <w:t>2</w:t>
      </w:r>
      <w:r w:rsidR="00F6357B">
        <w:t xml:space="preserve"> anni</w:t>
      </w:r>
      <w:r w:rsidR="0091611B">
        <w:t xml:space="preserve"> </w:t>
      </w:r>
      <w:r w:rsidR="0091611B" w:rsidRPr="0091611B">
        <w:t xml:space="preserve">a causa della mancanza di dati </w:t>
      </w:r>
      <w:r w:rsidR="0091611B" w:rsidRPr="00A20B06">
        <w:t>su efficacia e sicurezza.</w:t>
      </w:r>
    </w:p>
    <w:p w:rsidR="00F6357B" w:rsidRPr="00A20B06" w:rsidRDefault="00F6357B" w:rsidP="00F6357B">
      <w:pPr>
        <w:tabs>
          <w:tab w:val="left" w:pos="0"/>
        </w:tabs>
        <w:spacing w:after="0" w:line="240" w:lineRule="auto"/>
        <w:jc w:val="both"/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20B0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F2D64" w:rsidRPr="00A20B06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5F2D64" w:rsidRPr="00A20B0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F2D64" w:rsidRPr="00A20B06">
        <w:rPr>
          <w:rFonts w:eastAsia="Calibri" w:cs="Calibri"/>
          <w:b/>
          <w:bCs/>
          <w:color w:val="000000"/>
          <w:lang w:eastAsia="it-IT"/>
        </w:rPr>
        <w:t>Eg</w:t>
      </w:r>
      <w:proofErr w:type="spellEnd"/>
      <w:r w:rsidRPr="00A20B0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A7D67" w:rsidRDefault="005F2D64" w:rsidP="00A20B06">
      <w:p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cs="Helvetica"/>
          <w:b w:val="0"/>
          <w:color w:val="27242F"/>
          <w:shd w:val="clear" w:color="auto" w:fill="FFFFFF"/>
        </w:rPr>
      </w:pPr>
      <w:proofErr w:type="spellStart"/>
      <w:r w:rsidRPr="00A20B06">
        <w:rPr>
          <w:rFonts w:eastAsia="Calibri" w:cs="Calibri"/>
          <w:bCs/>
          <w:color w:val="000000"/>
          <w:lang w:eastAsia="it-IT"/>
        </w:rPr>
        <w:t>Promazina</w:t>
      </w:r>
      <w:proofErr w:type="spellEnd"/>
      <w:r w:rsidRPr="00A20B0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A20B06">
        <w:rPr>
          <w:rFonts w:eastAsia="Calibri" w:cs="Calibri"/>
          <w:bCs/>
          <w:color w:val="000000"/>
          <w:lang w:eastAsia="it-IT"/>
        </w:rPr>
        <w:t>Eg</w:t>
      </w:r>
      <w:proofErr w:type="spellEnd"/>
      <w:r w:rsidR="00B27F42" w:rsidRPr="00A20B06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91611B" w:rsidRPr="00A20B06">
        <w:t>N05AA03</w:t>
      </w:r>
      <w:r w:rsidR="00B27F42" w:rsidRPr="00A20B06">
        <w:rPr>
          <w:lang w:eastAsia="it-IT"/>
        </w:rPr>
        <w:t>,</w:t>
      </w:r>
      <w:r w:rsidR="00E43089" w:rsidRPr="00A20B06">
        <w:rPr>
          <w:rFonts w:eastAsia="DejaVuSans" w:cs="DejaVuSans"/>
        </w:rPr>
        <w:t xml:space="preserve"> </w:t>
      </w:r>
      <w:r w:rsidR="004241AC" w:rsidRPr="00A20B06">
        <w:rPr>
          <w:rFonts w:eastAsia="Calibri" w:cs="Calibri"/>
          <w:color w:val="000000"/>
          <w:lang w:eastAsia="it-IT"/>
        </w:rPr>
        <w:t>contiene i</w:t>
      </w:r>
      <w:r w:rsidR="00EF062E" w:rsidRPr="00A20B06">
        <w:rPr>
          <w:rFonts w:eastAsia="Calibri" w:cs="Calibri"/>
          <w:color w:val="000000"/>
          <w:lang w:eastAsia="it-IT"/>
        </w:rPr>
        <w:t>l</w:t>
      </w:r>
      <w:r w:rsidR="004241AC" w:rsidRPr="00A20B06">
        <w:rPr>
          <w:rFonts w:eastAsia="Calibri" w:cs="Calibri"/>
          <w:color w:val="000000"/>
          <w:lang w:eastAsia="it-IT"/>
        </w:rPr>
        <w:t xml:space="preserve"> principi</w:t>
      </w:r>
      <w:r w:rsidR="00EF062E" w:rsidRPr="00A20B06">
        <w:rPr>
          <w:rFonts w:eastAsia="Calibri" w:cs="Calibri"/>
          <w:color w:val="000000"/>
          <w:lang w:eastAsia="it-IT"/>
        </w:rPr>
        <w:t>o</w:t>
      </w:r>
      <w:r w:rsidR="004241AC" w:rsidRPr="00A20B06">
        <w:rPr>
          <w:rFonts w:eastAsia="Calibri" w:cs="Calibri"/>
          <w:color w:val="000000"/>
          <w:lang w:eastAsia="it-IT"/>
        </w:rPr>
        <w:t xml:space="preserve"> attiv</w:t>
      </w:r>
      <w:r w:rsidR="00EF062E" w:rsidRPr="00A20B06">
        <w:rPr>
          <w:rFonts w:eastAsia="Calibri" w:cs="Calibri"/>
          <w:color w:val="000000"/>
          <w:lang w:eastAsia="it-IT"/>
        </w:rPr>
        <w:t>o</w:t>
      </w:r>
      <w:r w:rsidR="004241AC" w:rsidRPr="00A20B0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1611B" w:rsidRPr="00A20B06">
        <w:rPr>
          <w:rFonts w:eastAsia="Calibri" w:cs="Calibri"/>
          <w:color w:val="000000"/>
          <w:lang w:eastAsia="it-IT"/>
        </w:rPr>
        <w:t>promazina</w:t>
      </w:r>
      <w:proofErr w:type="spellEnd"/>
      <w:r w:rsidR="0091611B" w:rsidRPr="00A20B06">
        <w:rPr>
          <w:rFonts w:eastAsia="Calibri" w:cs="Calibri"/>
          <w:color w:val="000000"/>
          <w:lang w:eastAsia="it-IT"/>
        </w:rPr>
        <w:t xml:space="preserve"> cloridrato</w:t>
      </w:r>
      <w:r w:rsidR="00B27F42" w:rsidRPr="00A20B06">
        <w:rPr>
          <w:rFonts w:eastAsia="Calibri" w:cs="Calibri"/>
          <w:color w:val="000000"/>
          <w:lang w:eastAsia="it-IT"/>
        </w:rPr>
        <w:t xml:space="preserve"> che</w:t>
      </w:r>
      <w:r w:rsidR="00A20B06" w:rsidRPr="00A20B06">
        <w:rPr>
          <w:rFonts w:eastAsia="Calibri" w:cs="Calibri"/>
          <w:color w:val="000000"/>
          <w:lang w:eastAsia="it-IT"/>
        </w:rPr>
        <w:t xml:space="preserve"> appartiene al gruppo delle </w:t>
      </w:r>
      <w:proofErr w:type="spellStart"/>
      <w:r w:rsidR="00A20B06" w:rsidRPr="00A20B06">
        <w:rPr>
          <w:rFonts w:eastAsia="Calibri" w:cs="Calibri"/>
          <w:color w:val="000000"/>
          <w:lang w:eastAsia="it-IT"/>
        </w:rPr>
        <w:t>fenotiazine</w:t>
      </w:r>
      <w:proofErr w:type="spellEnd"/>
      <w:r w:rsidR="00A20B06" w:rsidRPr="00A20B06">
        <w:rPr>
          <w:rFonts w:eastAsia="Calibri" w:cs="Calibri"/>
          <w:color w:val="000000"/>
          <w:lang w:eastAsia="it-IT"/>
        </w:rPr>
        <w:t xml:space="preserve"> ed</w:t>
      </w:r>
      <w:r w:rsidR="00B27F42" w:rsidRPr="00A20B06">
        <w:rPr>
          <w:rFonts w:eastAsia="Calibri" w:cs="Calibri"/>
          <w:color w:val="000000"/>
          <w:lang w:eastAsia="it-IT"/>
        </w:rPr>
        <w:t xml:space="preserve"> </w:t>
      </w:r>
      <w:r w:rsidR="005A73EC" w:rsidRPr="00A20B06">
        <w:rPr>
          <w:rFonts w:eastAsia="Calibri" w:cs="Calibri"/>
          <w:color w:val="000000"/>
          <w:lang w:eastAsia="it-IT"/>
        </w:rPr>
        <w:t xml:space="preserve">ha un’azione sedativa per </w:t>
      </w:r>
      <w:r w:rsidR="00A20B06" w:rsidRPr="00A20B06">
        <w:rPr>
          <w:rFonts w:eastAsia="Calibri" w:cs="Calibri"/>
          <w:color w:val="000000"/>
          <w:lang w:eastAsia="it-IT"/>
        </w:rPr>
        <w:t xml:space="preserve">la sua </w:t>
      </w:r>
      <w:r w:rsidR="005A73EC" w:rsidRPr="00A20B06">
        <w:rPr>
          <w:rFonts w:eastAsia="Calibri" w:cs="Calibri"/>
          <w:color w:val="000000"/>
          <w:lang w:eastAsia="it-IT"/>
        </w:rPr>
        <w:t>azione blocc</w:t>
      </w:r>
      <w:r w:rsidR="00A20B06" w:rsidRPr="00A20B06">
        <w:rPr>
          <w:rFonts w:eastAsia="Calibri" w:cs="Calibri"/>
          <w:color w:val="000000"/>
          <w:lang w:eastAsia="it-IT"/>
        </w:rPr>
        <w:t>ante</w:t>
      </w:r>
      <w:r w:rsidR="005A73EC" w:rsidRPr="00A20B06">
        <w:rPr>
          <w:rFonts w:eastAsia="Calibri" w:cs="Calibri"/>
          <w:color w:val="000000"/>
          <w:lang w:eastAsia="it-IT"/>
        </w:rPr>
        <w:t xml:space="preserve"> </w:t>
      </w:r>
      <w:r w:rsidR="00A20B06" w:rsidRPr="00A20B06">
        <w:rPr>
          <w:rFonts w:eastAsia="Calibri" w:cs="Calibri"/>
          <w:color w:val="000000"/>
          <w:lang w:eastAsia="it-IT"/>
        </w:rPr>
        <w:t>de</w:t>
      </w:r>
      <w:r w:rsidR="005A73EC" w:rsidRPr="00A20B06">
        <w:rPr>
          <w:rFonts w:eastAsia="Calibri" w:cs="Calibri"/>
          <w:color w:val="000000"/>
          <w:lang w:eastAsia="it-IT"/>
        </w:rPr>
        <w:t>i recettori dell’istamina ed antipsicotica</w:t>
      </w:r>
      <w:r w:rsidR="005A73EC" w:rsidRPr="00A20B06">
        <w:rPr>
          <w:color w:val="000000"/>
        </w:rPr>
        <w:t xml:space="preserve"> </w:t>
      </w:r>
      <w:r w:rsidR="00A20B06" w:rsidRPr="00A20B06">
        <w:rPr>
          <w:rFonts w:eastAsia="Calibri" w:cs="Calibri"/>
          <w:color w:val="000000"/>
          <w:lang w:eastAsia="it-IT"/>
        </w:rPr>
        <w:t xml:space="preserve">perché </w:t>
      </w:r>
      <w:proofErr w:type="spellStart"/>
      <w:r w:rsidR="00A20B06" w:rsidRPr="00A20B06">
        <w:rPr>
          <w:rFonts w:eastAsia="Calibri" w:cs="Calibri"/>
          <w:color w:val="000000"/>
          <w:lang w:eastAsia="it-IT"/>
        </w:rPr>
        <w:t>antagonizza</w:t>
      </w:r>
      <w:proofErr w:type="spellEnd"/>
      <w:r w:rsidR="005A73EC" w:rsidRPr="00A20B06">
        <w:rPr>
          <w:rFonts w:eastAsia="Calibri" w:cs="Calibri"/>
          <w:color w:val="000000"/>
          <w:lang w:eastAsia="it-IT"/>
        </w:rPr>
        <w:t xml:space="preserve">  dopamina  e serotonina</w:t>
      </w:r>
      <w:r w:rsidR="00A20B06" w:rsidRPr="00A20B06">
        <w:rPr>
          <w:rFonts w:eastAsia="Calibri" w:cs="Calibri"/>
          <w:color w:val="000000"/>
          <w:lang w:eastAsia="it-IT"/>
        </w:rPr>
        <w:t xml:space="preserve"> che sono due neurotrasmettitori la cui alterazione ed eccessiva produzione provoca</w:t>
      </w:r>
      <w:r w:rsidR="00A20B06">
        <w:rPr>
          <w:rFonts w:eastAsia="Calibri" w:cs="Calibri"/>
          <w:color w:val="000000"/>
          <w:lang w:eastAsia="it-IT"/>
        </w:rPr>
        <w:t xml:space="preserve"> 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>reazioni</w:t>
      </w:r>
      <w:r w:rsidR="00A20B06" w:rsidRPr="00A20B06">
        <w:rPr>
          <w:rFonts w:cs="Helvetica"/>
          <w:color w:val="27242F"/>
          <w:shd w:val="clear" w:color="auto" w:fill="FFFFFF"/>
        </w:rPr>
        <w:t> esagerate e scomposte (a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 xml:space="preserve">gitazione psicomotoria, </w:t>
      </w:r>
      <w:r w:rsidR="00A20B06" w:rsidRPr="00A20B06">
        <w:rPr>
          <w:rFonts w:cs="Helvetica"/>
          <w:color w:val="27242F"/>
          <w:shd w:val="clear" w:color="auto" w:fill="FFFFFF"/>
        </w:rPr>
        <w:t>comportamento 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>aggressivo, ecc.).</w:t>
      </w:r>
    </w:p>
    <w:p w:rsidR="00A20B06" w:rsidRPr="00A20B06" w:rsidRDefault="00A20B06" w:rsidP="00A20B0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E35185" w:rsidRPr="00A20B06" w:rsidRDefault="00E35185" w:rsidP="00F635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0B0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F2D64" w:rsidRPr="00A20B06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5F2D64" w:rsidRPr="00A20B0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F2D64" w:rsidRPr="00A20B06">
        <w:rPr>
          <w:rFonts w:eastAsia="Calibri" w:cs="Calibri"/>
          <w:b/>
          <w:bCs/>
          <w:color w:val="000000"/>
          <w:lang w:eastAsia="it-IT"/>
        </w:rPr>
        <w:t>Eg</w:t>
      </w:r>
      <w:proofErr w:type="spellEnd"/>
      <w:r w:rsidRPr="00A20B06">
        <w:rPr>
          <w:rFonts w:eastAsia="Calibri" w:cs="Calibri"/>
          <w:b/>
          <w:bCs/>
          <w:lang w:eastAsia="it-IT"/>
        </w:rPr>
        <w:t xml:space="preserve">? </w:t>
      </w:r>
    </w:p>
    <w:p w:rsidR="004241AC" w:rsidRPr="00A20B06" w:rsidRDefault="005A73EC" w:rsidP="00F6357B">
      <w:pPr>
        <w:spacing w:after="0" w:line="240" w:lineRule="auto"/>
        <w:jc w:val="both"/>
        <w:rPr>
          <w:rFonts w:cs="Arial"/>
        </w:rPr>
      </w:pPr>
      <w:r w:rsidRPr="00A20B06">
        <w:rPr>
          <w:rFonts w:cs="Arial"/>
        </w:rPr>
        <w:t xml:space="preserve">Poiché </w:t>
      </w:r>
      <w:proofErr w:type="spellStart"/>
      <w:r w:rsidR="005F2D64" w:rsidRPr="00A20B06">
        <w:rPr>
          <w:rFonts w:cs="Arial"/>
        </w:rPr>
        <w:t>Promazina</w:t>
      </w:r>
      <w:proofErr w:type="spellEnd"/>
      <w:r w:rsidR="005F2D64" w:rsidRPr="00A20B06">
        <w:rPr>
          <w:rFonts w:cs="Arial"/>
        </w:rPr>
        <w:t xml:space="preserve"> </w:t>
      </w:r>
      <w:proofErr w:type="spellStart"/>
      <w:r w:rsidR="005F2D64" w:rsidRPr="00A20B06">
        <w:rPr>
          <w:rFonts w:cs="Arial"/>
        </w:rPr>
        <w:t>Eg</w:t>
      </w:r>
      <w:proofErr w:type="spellEnd"/>
      <w:r w:rsidRPr="00A20B06">
        <w:rPr>
          <w:rFonts w:cs="Arial"/>
        </w:rPr>
        <w:t xml:space="preserve"> è un medicinale generico ed è somministrato come gocce orali, soluzione con stessa composizione in principio attivo e una composizione comparabile in eccipienti del medicinale di riferimento, non è stato necessario effettuare ulteriori studi clinici.</w:t>
      </w: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0B0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0B0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0B06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F2D64" w:rsidRPr="00A20B06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5F2D64" w:rsidRPr="00A20B0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F2D64" w:rsidRPr="00A20B06">
        <w:rPr>
          <w:rFonts w:eastAsia="Calibri" w:cs="Calibri"/>
          <w:b/>
          <w:bCs/>
          <w:color w:val="000000"/>
          <w:lang w:eastAsia="it-IT"/>
        </w:rPr>
        <w:t>Eg</w:t>
      </w:r>
      <w:proofErr w:type="spellEnd"/>
      <w:r w:rsidRPr="00A20B06">
        <w:rPr>
          <w:rFonts w:eastAsia="Calibri" w:cs="Calibri"/>
          <w:b/>
          <w:lang w:eastAsia="it-IT"/>
        </w:rPr>
        <w:t>?</w:t>
      </w:r>
      <w:r w:rsidRPr="00A20B06">
        <w:rPr>
          <w:rFonts w:eastAsia="Calibri" w:cs="Calibri"/>
          <w:lang w:eastAsia="it-IT"/>
        </w:rPr>
        <w:t xml:space="preserve"> </w:t>
      </w:r>
    </w:p>
    <w:p w:rsidR="004241AC" w:rsidRPr="002A3F14" w:rsidRDefault="005F2D6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A20B06">
        <w:rPr>
          <w:rFonts w:eastAsia="Calibri" w:cs="Calibri"/>
          <w:bCs/>
          <w:color w:val="000000"/>
          <w:lang w:eastAsia="it-IT"/>
        </w:rPr>
        <w:t>Promazina</w:t>
      </w:r>
      <w:proofErr w:type="spellEnd"/>
      <w:r w:rsidRPr="00A20B0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A20B06">
        <w:rPr>
          <w:rFonts w:eastAsia="Calibri" w:cs="Calibri"/>
          <w:bCs/>
          <w:color w:val="000000"/>
          <w:lang w:eastAsia="it-IT"/>
        </w:rPr>
        <w:t>Eg</w:t>
      </w:r>
      <w:proofErr w:type="spellEnd"/>
      <w:r w:rsidR="00A61113" w:rsidRPr="00A20B0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20B06">
        <w:rPr>
          <w:rFonts w:eastAsia="Calibri" w:cs="Calibri"/>
          <w:lang w:eastAsia="it-IT"/>
        </w:rPr>
        <w:t xml:space="preserve">è un medicinale </w:t>
      </w:r>
      <w:r w:rsidR="00013020" w:rsidRPr="00A20B06">
        <w:rPr>
          <w:rFonts w:eastAsia="Calibri" w:cs="Calibri"/>
          <w:lang w:eastAsia="it-IT"/>
        </w:rPr>
        <w:t xml:space="preserve">generico ed è </w:t>
      </w:r>
      <w:proofErr w:type="spellStart"/>
      <w:r w:rsidR="005A73EC" w:rsidRPr="00A20B06">
        <w:rPr>
          <w:rFonts w:eastAsia="Calibri" w:cs="Calibri"/>
          <w:lang w:eastAsia="it-IT"/>
        </w:rPr>
        <w:t>terapeuticamente</w:t>
      </w:r>
      <w:proofErr w:type="spellEnd"/>
      <w:r w:rsidR="005A73EC" w:rsidRPr="00A20B06">
        <w:rPr>
          <w:rFonts w:eastAsia="Calibri" w:cs="Calibri"/>
          <w:lang w:eastAsia="it-IT"/>
        </w:rPr>
        <w:t xml:space="preserve"> equivalente</w:t>
      </w:r>
      <w:r w:rsidR="00013020" w:rsidRPr="00A20B06">
        <w:rPr>
          <w:rFonts w:eastAsia="Calibri" w:cs="Calibri"/>
          <w:lang w:eastAsia="it-IT"/>
        </w:rPr>
        <w:t xml:space="preserve"> al medicinale di riferimento</w:t>
      </w:r>
      <w:r w:rsidR="00BA7D67" w:rsidRPr="00A20B06">
        <w:rPr>
          <w:rFonts w:eastAsia="Calibri" w:cs="Calibri"/>
          <w:lang w:eastAsia="it-IT"/>
        </w:rPr>
        <w:t>;</w:t>
      </w:r>
      <w:r w:rsidR="00BA7D67">
        <w:rPr>
          <w:rFonts w:eastAsia="Calibri" w:cs="Calibri"/>
          <w:lang w:eastAsia="it-IT"/>
        </w:rPr>
        <w:t xml:space="preserve">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156BA7">
        <w:rPr>
          <w:rFonts w:eastAsia="Calibri" w:cs="Calibri"/>
          <w:lang w:eastAsia="it-IT"/>
        </w:rPr>
        <w:t>1</w:t>
      </w:r>
      <w:r w:rsidR="00944D6C">
        <w:rPr>
          <w:rFonts w:eastAsia="Calibri" w:cs="Calibri"/>
          <w:lang w:eastAsia="it-IT"/>
        </w:rPr>
        <w:t>0,11,12</w:t>
      </w:r>
      <w:r w:rsidR="00156BA7">
        <w:rPr>
          <w:rFonts w:eastAsia="Calibri" w:cs="Calibri"/>
          <w:lang w:eastAsia="it-IT"/>
        </w:rPr>
        <w:t xml:space="preserve"> </w:t>
      </w:r>
      <w:r w:rsidR="002D3257">
        <w:rPr>
          <w:rFonts w:eastAsia="Calibri" w:cs="Calibri"/>
          <w:lang w:eastAsia="it-IT"/>
        </w:rPr>
        <w:t>aprile</w:t>
      </w:r>
      <w:r w:rsidR="002937E3">
        <w:rPr>
          <w:rFonts w:eastAsia="Calibri" w:cs="Calibri"/>
          <w:lang w:eastAsia="it-IT"/>
        </w:rPr>
        <w:t xml:space="preserve"> 201</w:t>
      </w:r>
      <w:r w:rsidR="00944D6C">
        <w:rPr>
          <w:rFonts w:eastAsia="Calibri" w:cs="Calibri"/>
          <w:lang w:eastAsia="it-IT"/>
        </w:rPr>
        <w:t>7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2D3257">
        <w:rPr>
          <w:rFonts w:eastAsia="Calibri" w:cs="Calibri"/>
          <w:lang w:eastAsia="it-IT"/>
        </w:rPr>
        <w:t>Talofen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5F2D64">
        <w:rPr>
          <w:rFonts w:eastAsia="Calibri" w:cs="Calibri"/>
          <w:lang w:eastAsia="it-IT"/>
        </w:rPr>
        <w:t>Promazina</w:t>
      </w:r>
      <w:proofErr w:type="spellEnd"/>
      <w:r w:rsidR="005F2D64">
        <w:rPr>
          <w:rFonts w:eastAsia="Calibri" w:cs="Calibri"/>
          <w:lang w:eastAsia="it-IT"/>
        </w:rPr>
        <w:t xml:space="preserve"> </w:t>
      </w:r>
      <w:proofErr w:type="spellStart"/>
      <w:r w:rsidR="005F2D64">
        <w:rPr>
          <w:rFonts w:eastAsia="Calibri" w:cs="Calibri"/>
          <w:lang w:eastAsia="it-IT"/>
        </w:rPr>
        <w:t>Eg</w:t>
      </w:r>
      <w:proofErr w:type="spellEnd"/>
      <w:r w:rsidR="00A61113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BB4CC4">
        <w:rPr>
          <w:rFonts w:eastAsia="Calibri" w:cs="Calibri"/>
          <w:lang w:eastAsia="it-IT"/>
        </w:rPr>
        <w:t xml:space="preserve">i </w:t>
      </w:r>
      <w:r w:rsidR="00BB4CC4" w:rsidRPr="00B62578">
        <w:rPr>
          <w:rFonts w:eastAsia="Calibri" w:cs="Calibri"/>
          <w:lang w:eastAsia="it-IT"/>
        </w:rPr>
        <w:t xml:space="preserve">prescrizione di cui al punto </w:t>
      </w:r>
      <w:r w:rsidRPr="00B62578">
        <w:rPr>
          <w:rFonts w:eastAsia="Calibri" w:cs="Calibri"/>
          <w:lang w:eastAsia="it-IT"/>
        </w:rPr>
        <w:t>2) di questo Riassunto e la classe di rimborsabilità del medicinale</w:t>
      </w:r>
      <w:r w:rsidR="00D20170" w:rsidRPr="00B62578">
        <w:rPr>
          <w:rFonts w:eastAsia="Calibri" w:cs="Calibri"/>
          <w:lang w:eastAsia="it-IT"/>
        </w:rPr>
        <w:t xml:space="preserve"> </w:t>
      </w:r>
      <w:r w:rsidRPr="00B62578">
        <w:rPr>
          <w:rFonts w:eastAsia="Calibri" w:cs="Calibri"/>
          <w:lang w:eastAsia="it-IT"/>
        </w:rPr>
        <w:t>(</w:t>
      </w:r>
      <w:r w:rsidR="00B62578" w:rsidRPr="00B62578">
        <w:rPr>
          <w:rFonts w:eastAsia="Calibri" w:cs="Calibri"/>
          <w:lang w:eastAsia="it-IT"/>
        </w:rPr>
        <w:t xml:space="preserve">classificazione </w:t>
      </w:r>
      <w:r w:rsidR="00A20B06">
        <w:rPr>
          <w:rFonts w:eastAsia="Calibri" w:cs="Calibri"/>
          <w:lang w:eastAsia="it-IT"/>
        </w:rPr>
        <w:t xml:space="preserve">provvisoria </w:t>
      </w:r>
      <w:r w:rsidR="002D3257">
        <w:rPr>
          <w:rFonts w:eastAsia="Calibri" w:cs="Calibri"/>
          <w:lang w:eastAsia="it-IT"/>
        </w:rPr>
        <w:t>Cnn</w:t>
      </w:r>
      <w:r w:rsidRPr="00B62578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Eg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F2D64">
        <w:rPr>
          <w:rFonts w:eastAsia="Calibri" w:cs="Calibri"/>
          <w:lang w:eastAsia="it-IT"/>
        </w:rPr>
        <w:t>Promazina</w:t>
      </w:r>
      <w:proofErr w:type="spellEnd"/>
      <w:r w:rsidR="005F2D64">
        <w:rPr>
          <w:rFonts w:eastAsia="Calibri" w:cs="Calibri"/>
          <w:lang w:eastAsia="it-IT"/>
        </w:rPr>
        <w:t xml:space="preserve"> </w:t>
      </w:r>
      <w:proofErr w:type="spellStart"/>
      <w:r w:rsidR="005F2D64">
        <w:rPr>
          <w:rFonts w:eastAsia="Calibri" w:cs="Calibri"/>
          <w:lang w:eastAsia="it-IT"/>
        </w:rPr>
        <w:t>Eg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b/>
          <w:bCs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CA3A1E" w:rsidRDefault="00F6551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luglio 2017</w:t>
      </w:r>
      <w:r w:rsidR="004241AC" w:rsidRPr="00B6257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F2D64">
        <w:rPr>
          <w:rFonts w:eastAsia="Calibri" w:cs="Calibri"/>
          <w:bCs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bCs/>
          <w:color w:val="000000"/>
          <w:lang w:eastAsia="it-IT"/>
        </w:rPr>
        <w:t>Eg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F2D64">
        <w:rPr>
          <w:rFonts w:eastAsia="Calibri" w:cs="Calibri"/>
          <w:bCs/>
          <w:color w:val="000000"/>
          <w:lang w:eastAsia="it-IT"/>
        </w:rPr>
        <w:t>Promazina</w:t>
      </w:r>
      <w:proofErr w:type="spellEnd"/>
      <w:r w:rsidR="005F2D6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F2D64">
        <w:rPr>
          <w:rFonts w:eastAsia="Calibri" w:cs="Calibri"/>
          <w:bCs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6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D3257">
        <w:rPr>
          <w:rFonts w:eastAsia="Calibri" w:cs="Calibri"/>
          <w:lang w:eastAsia="it-IT"/>
        </w:rPr>
        <w:t>28</w:t>
      </w:r>
      <w:r w:rsidR="0074715D">
        <w:rPr>
          <w:rFonts w:eastAsia="Calibri" w:cs="Calibri"/>
          <w:lang w:eastAsia="it-IT"/>
        </w:rPr>
        <w:t>.</w:t>
      </w:r>
      <w:r w:rsidR="002D3257">
        <w:rPr>
          <w:rFonts w:eastAsia="Calibri" w:cs="Calibri"/>
          <w:lang w:eastAsia="it-IT"/>
        </w:rPr>
        <w:t>11</w:t>
      </w:r>
      <w:r w:rsidR="0074715D">
        <w:rPr>
          <w:rFonts w:eastAsia="Calibri" w:cs="Calibri"/>
          <w:lang w:eastAsia="it-IT"/>
        </w:rPr>
        <w:t>.201</w:t>
      </w:r>
      <w:r w:rsidR="00944D6C">
        <w:rPr>
          <w:rFonts w:eastAsia="Calibri" w:cs="Calibri"/>
          <w:lang w:eastAsia="it-IT"/>
        </w:rPr>
        <w:t>7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D3257" w:rsidRDefault="002D325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D3257" w:rsidRDefault="002D325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E35185" w:rsidRDefault="00E35185" w:rsidP="00AB54C2">
      <w:pPr>
        <w:spacing w:after="0" w:line="240" w:lineRule="auto"/>
        <w:jc w:val="center"/>
        <w:rPr>
          <w:b/>
          <w:sz w:val="28"/>
        </w:rPr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944D6C" w:rsidRDefault="00944D6C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5F2D64">
        <w:t>Eg</w:t>
      </w:r>
      <w:proofErr w:type="spellEnd"/>
      <w:r w:rsidR="005F2D64">
        <w:t xml:space="preserve"> </w:t>
      </w:r>
      <w:r>
        <w:t xml:space="preserve">l’autorizzazione all’immissione in commercio (AIC) per il </w:t>
      </w:r>
      <w:r w:rsidRPr="006B2CC3">
        <w:t xml:space="preserve">medicinale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 w:rsidR="00F6551B">
        <w:rPr>
          <w:rFonts w:eastAsia="Calibri" w:cs="Calibri"/>
          <w:bCs/>
          <w:iCs/>
          <w:lang w:eastAsia="it-IT"/>
        </w:rPr>
        <w:t>l’11 luglio 2017.</w:t>
      </w:r>
      <w:r>
        <w:t xml:space="preserve">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5F2D64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5F2D64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615D1C">
        <w:rPr>
          <w:rFonts w:eastAsia="Calibri" w:cs="Calibri"/>
          <w:color w:val="000000"/>
          <w:lang w:eastAsia="it-IT"/>
        </w:rPr>
        <w:t>promazina</w:t>
      </w:r>
      <w:proofErr w:type="spellEnd"/>
      <w:r w:rsidR="00615D1C">
        <w:rPr>
          <w:rFonts w:eastAsia="Calibri" w:cs="Calibri"/>
          <w:color w:val="000000"/>
          <w:lang w:eastAsia="it-IT"/>
        </w:rPr>
        <w:t xml:space="preserve"> cloridrato</w:t>
      </w:r>
      <w:r w:rsidR="00AB54C2"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615D1C">
        <w:rPr>
          <w:rFonts w:eastAsia="Calibri" w:cs="Calibri"/>
          <w:color w:val="000000"/>
          <w:lang w:eastAsia="it-IT"/>
        </w:rPr>
        <w:t>Talofen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BA08FD" w:rsidRDefault="005F2D64" w:rsidP="00BA08FD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Eg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615D1C" w:rsidRPr="00615D1C">
        <w:t>N05AA03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615D1C">
        <w:rPr>
          <w:rFonts w:eastAsia="Calibri" w:cs="Calibri"/>
          <w:color w:val="000000"/>
          <w:lang w:eastAsia="it-IT"/>
        </w:rPr>
        <w:t>promazina</w:t>
      </w:r>
      <w:proofErr w:type="spellEnd"/>
      <w:r w:rsidR="00615D1C">
        <w:rPr>
          <w:rFonts w:eastAsia="Calibri" w:cs="Calibri"/>
          <w:color w:val="000000"/>
          <w:lang w:eastAsia="it-IT"/>
        </w:rPr>
        <w:t xml:space="preserve"> cloridrato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che </w:t>
      </w:r>
      <w:r w:rsidR="00161584">
        <w:rPr>
          <w:rFonts w:eastAsia="Calibri" w:cs="Calibri"/>
          <w:color w:val="000000"/>
          <w:lang w:eastAsia="it-IT"/>
        </w:rPr>
        <w:t xml:space="preserve">è </w:t>
      </w:r>
      <w:r w:rsidR="00BA08FD">
        <w:t xml:space="preserve">un </w:t>
      </w:r>
      <w:r w:rsidR="00615D1C">
        <w:t>antagonista dei recettori H1 dell’istamina e dei recettori della dopamina e della serotonina</w:t>
      </w:r>
      <w:r w:rsidR="00BA08FD">
        <w:t xml:space="preserve">. </w:t>
      </w:r>
      <w:r w:rsidR="00615D1C">
        <w:t xml:space="preserve">Questo meccanismo d’azione è alla base dell’effetto sedativo ed antipsicotico della </w:t>
      </w:r>
      <w:proofErr w:type="spellStart"/>
      <w:r w:rsidR="00615D1C">
        <w:t>promazina</w:t>
      </w:r>
      <w:proofErr w:type="spellEnd"/>
      <w:r w:rsidR="00E35185">
        <w:t>.</w:t>
      </w:r>
    </w:p>
    <w:p w:rsidR="00BA08FD" w:rsidRDefault="005F2D64" w:rsidP="00BA08FD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  <w:r w:rsidR="00BA08FD" w:rsidRPr="00BA08FD">
        <w:rPr>
          <w:rFonts w:eastAsia="Calibri" w:cs="Calibri"/>
          <w:color w:val="000000"/>
          <w:lang w:eastAsia="it-IT"/>
        </w:rPr>
        <w:t xml:space="preserve"> </w:t>
      </w:r>
      <w:r w:rsidR="00BA08FD">
        <w:rPr>
          <w:rFonts w:eastAsia="Calibri" w:cs="Calibri"/>
          <w:color w:val="000000"/>
          <w:lang w:eastAsia="it-IT"/>
        </w:rPr>
        <w:t>negli adulti</w:t>
      </w:r>
      <w:r w:rsidR="00615D1C">
        <w:rPr>
          <w:rFonts w:eastAsia="Calibri" w:cs="Calibri"/>
          <w:color w:val="000000"/>
          <w:lang w:eastAsia="it-IT"/>
        </w:rPr>
        <w:t xml:space="preserve"> e nei bambini a partire dai 12 anni di età</w:t>
      </w:r>
      <w:r w:rsidR="00BA08FD">
        <w:rPr>
          <w:rFonts w:eastAsia="Calibri" w:cs="Calibri"/>
          <w:color w:val="000000"/>
          <w:lang w:eastAsia="it-IT"/>
        </w:rPr>
        <w:t xml:space="preserve"> per il </w:t>
      </w:r>
      <w:r w:rsidR="00615D1C">
        <w:rPr>
          <w:rFonts w:eastAsia="Calibri" w:cs="Calibri"/>
          <w:color w:val="000000"/>
          <w:lang w:eastAsia="it-IT"/>
        </w:rPr>
        <w:t xml:space="preserve">trattamento </w:t>
      </w:r>
      <w:r w:rsidR="00615D1C">
        <w:t>dell’</w:t>
      </w:r>
      <w:r w:rsidR="00615D1C">
        <w:rPr>
          <w:rFonts w:eastAsia="Calibri" w:cs="Calibri"/>
          <w:color w:val="000000"/>
          <w:lang w:eastAsia="it-IT"/>
        </w:rPr>
        <w:t>a</w:t>
      </w:r>
      <w:r w:rsidR="00615D1C" w:rsidRPr="00693944">
        <w:rPr>
          <w:rFonts w:eastAsia="Calibri" w:cs="Calibri"/>
          <w:color w:val="000000"/>
          <w:lang w:eastAsia="it-IT"/>
        </w:rPr>
        <w:t xml:space="preserve">gitazione psicomotoria o </w:t>
      </w:r>
      <w:r w:rsidR="00615D1C">
        <w:rPr>
          <w:rFonts w:eastAsia="Calibri" w:cs="Calibri"/>
          <w:color w:val="000000"/>
          <w:lang w:eastAsia="it-IT"/>
        </w:rPr>
        <w:t xml:space="preserve">del </w:t>
      </w:r>
      <w:r w:rsidR="00615D1C" w:rsidRPr="00693944">
        <w:rPr>
          <w:rFonts w:eastAsia="Calibri" w:cs="Calibri"/>
          <w:color w:val="000000"/>
          <w:lang w:eastAsia="it-IT"/>
        </w:rPr>
        <w:t>comportamento aggressivo</w:t>
      </w:r>
      <w:r w:rsidR="00615D1C">
        <w:t xml:space="preserve"> e</w:t>
      </w:r>
      <w:r w:rsidR="0068596F">
        <w:t xml:space="preserve"> per</w:t>
      </w:r>
      <w:r w:rsidR="00BA08FD">
        <w:t xml:space="preserve"> il trattamento </w:t>
      </w:r>
      <w:r w:rsidR="00615D1C">
        <w:t>della schizofrenia ed altri disturbi psicotici</w:t>
      </w:r>
      <w:r w:rsidR="00BA08FD">
        <w:t>.</w:t>
      </w:r>
    </w:p>
    <w:p w:rsidR="00BA08FD" w:rsidRDefault="00BA08FD" w:rsidP="00BA08FD">
      <w:pPr>
        <w:spacing w:after="0" w:line="240" w:lineRule="auto"/>
        <w:jc w:val="both"/>
      </w:pPr>
    </w:p>
    <w:p w:rsidR="00AB54C2" w:rsidRPr="00AB54C2" w:rsidRDefault="00AB54C2" w:rsidP="00BA08FD">
      <w:pPr>
        <w:spacing w:after="0" w:line="240" w:lineRule="auto"/>
        <w:jc w:val="both"/>
      </w:pPr>
      <w:r w:rsidRPr="00AB54C2">
        <w:t xml:space="preserve">Poiché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 w:rsidRPr="00AB54C2">
        <w:t xml:space="preserve">contiene un principio attivo noto non sono stati forniti nuovi dati non clinici e clinici: questo approccio è accettabile poiché il medicinale di riferimento </w:t>
      </w:r>
      <w:proofErr w:type="spellStart"/>
      <w:r w:rsidR="00615D1C">
        <w:t>Talofen</w:t>
      </w:r>
      <w:proofErr w:type="spellEnd"/>
      <w:r w:rsidRPr="00AB54C2">
        <w:t xml:space="preserve"> è autorizzato in Italia da oltre 10 anni</w:t>
      </w:r>
      <w:r w:rsidR="00F6551B">
        <w:t xml:space="preserve">; inoltre, </w:t>
      </w:r>
      <w:r w:rsidR="00EA2BC4" w:rsidRPr="00502AB1">
        <w:t xml:space="preserve">poiché </w:t>
      </w:r>
      <w:proofErr w:type="spellStart"/>
      <w:r w:rsidR="00EA2BC4">
        <w:t>Promazina</w:t>
      </w:r>
      <w:proofErr w:type="spellEnd"/>
      <w:r w:rsidR="00EA2BC4">
        <w:t xml:space="preserve"> </w:t>
      </w:r>
      <w:proofErr w:type="spellStart"/>
      <w:r w:rsidR="00EA2BC4">
        <w:t>Eg</w:t>
      </w:r>
      <w:proofErr w:type="spellEnd"/>
      <w:r w:rsidR="00EA2BC4" w:rsidRPr="00502AB1">
        <w:t xml:space="preserve"> </w:t>
      </w:r>
      <w:r w:rsidR="00EA2BC4" w:rsidRPr="00502AB1">
        <w:rPr>
          <w:rFonts w:cs="Arial"/>
        </w:rPr>
        <w:t xml:space="preserve">è somministrato </w:t>
      </w:r>
      <w:r w:rsidR="00EA2BC4" w:rsidRPr="00032587">
        <w:rPr>
          <w:rFonts w:cs="Arial"/>
        </w:rPr>
        <w:t>come gocce orali soluzione, è stata concessa</w:t>
      </w:r>
      <w:r w:rsidR="00EA2BC4" w:rsidRPr="00502AB1">
        <w:rPr>
          <w:rFonts w:cs="Arial"/>
        </w:rPr>
        <w:t xml:space="preserve"> l’esenzione dalla conduzione di studi clinici di confronto con il medicinale di riferimento.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</w:t>
      </w:r>
      <w:r w:rsidR="00474888">
        <w:t>mancata</w:t>
      </w:r>
      <w:r w:rsidRPr="00900C91">
        <w:t xml:space="preserve"> presentazione della Valutazione del Rischio ambientale; questo approccio è accettabile in quanto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BA08FD" w:rsidRDefault="00AB54C2" w:rsidP="00AB54C2">
      <w:pPr>
        <w:spacing w:after="0" w:line="240" w:lineRule="auto"/>
        <w:jc w:val="both"/>
      </w:pPr>
    </w:p>
    <w:p w:rsidR="00AB54C2" w:rsidRPr="00BA08FD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A08FD">
        <w:rPr>
          <w:b/>
        </w:rPr>
        <w:t xml:space="preserve">ASPETTI </w:t>
      </w:r>
      <w:proofErr w:type="spellStart"/>
      <w:r w:rsidRPr="00BA08FD">
        <w:rPr>
          <w:b/>
        </w:rPr>
        <w:t>DI</w:t>
      </w:r>
      <w:proofErr w:type="spellEnd"/>
      <w:r w:rsidRPr="00BA08FD">
        <w:rPr>
          <w:b/>
        </w:rPr>
        <w:t xml:space="preserve"> QUALITA’</w:t>
      </w:r>
    </w:p>
    <w:p w:rsidR="00AB54C2" w:rsidRPr="00BA08FD" w:rsidRDefault="00AB54C2" w:rsidP="00AB54C2">
      <w:pPr>
        <w:spacing w:after="0" w:line="240" w:lineRule="auto"/>
        <w:jc w:val="both"/>
      </w:pPr>
      <w:r w:rsidRPr="00BA08FD">
        <w:rPr>
          <w:b/>
        </w:rPr>
        <w:t xml:space="preserve">II.1 PRINCIPIO ATTIVO </w:t>
      </w:r>
      <w:r w:rsidR="00181317">
        <w:rPr>
          <w:b/>
        </w:rPr>
        <w:t>PROMAZINA</w:t>
      </w:r>
      <w:r w:rsidR="00BA08FD" w:rsidRPr="00BA08FD">
        <w:rPr>
          <w:b/>
        </w:rPr>
        <w:t xml:space="preserve"> CLORIDRATO</w:t>
      </w:r>
    </w:p>
    <w:p w:rsidR="00AB54C2" w:rsidRPr="00474888" w:rsidRDefault="00AB54C2" w:rsidP="00AB54C2">
      <w:pPr>
        <w:autoSpaceDE w:val="0"/>
        <w:autoSpaceDN w:val="0"/>
        <w:adjustRightInd w:val="0"/>
        <w:spacing w:after="0" w:line="240" w:lineRule="auto"/>
      </w:pPr>
      <w:r w:rsidRPr="00474888">
        <w:rPr>
          <w:u w:val="single"/>
        </w:rPr>
        <w:t>Nome chimico</w:t>
      </w:r>
      <w:r w:rsidRPr="00474888">
        <w:t xml:space="preserve">: </w:t>
      </w:r>
      <w:r w:rsidR="00474888" w:rsidRPr="00474888">
        <w:rPr>
          <w:rFonts w:cs="Arial"/>
        </w:rPr>
        <w:t xml:space="preserve">3-(10H-phenothiazin-10-yl)-N,N-dimethylpropan-1-amine </w:t>
      </w:r>
      <w:proofErr w:type="spellStart"/>
      <w:r w:rsidR="00474888" w:rsidRPr="00474888">
        <w:rPr>
          <w:rFonts w:cs="Arial"/>
        </w:rPr>
        <w:t>hydrochloride</w:t>
      </w:r>
      <w:proofErr w:type="spellEnd"/>
    </w:p>
    <w:p w:rsidR="00AB54C2" w:rsidRPr="00BA08FD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BA08FD">
        <w:rPr>
          <w:u w:val="single"/>
        </w:rPr>
        <w:t>Struttura</w:t>
      </w:r>
      <w:r w:rsidRPr="00BA08FD">
        <w:t>:</w:t>
      </w:r>
    </w:p>
    <w:p w:rsidR="00AB54C2" w:rsidRPr="00BA08FD" w:rsidRDefault="00D547D4" w:rsidP="00AB54C2">
      <w:pPr>
        <w:spacing w:after="0" w:line="240" w:lineRule="auto"/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799816" cy="876510"/>
            <wp:effectExtent l="19050" t="0" r="284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33" cy="87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BA08FD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BA08FD">
        <w:rPr>
          <w:u w:val="single"/>
        </w:rPr>
        <w:t>Formula molecolare</w:t>
      </w:r>
      <w:r w:rsidRPr="00BA08FD">
        <w:t>:</w:t>
      </w:r>
      <w:r w:rsidRPr="00BA08FD">
        <w:rPr>
          <w:rStyle w:val="s1"/>
          <w:rFonts w:asciiTheme="minorHAnsi" w:hAnsiTheme="minorHAnsi"/>
        </w:rPr>
        <w:t xml:space="preserve"> </w:t>
      </w:r>
      <w:r w:rsidR="00BA08FD" w:rsidRPr="00D547D4">
        <w:rPr>
          <w:rStyle w:val="s1"/>
          <w:rFonts w:asciiTheme="minorHAnsi" w:hAnsiTheme="minorHAnsi"/>
        </w:rPr>
        <w:t>C</w:t>
      </w:r>
      <w:r w:rsidR="00BA08FD" w:rsidRPr="00D547D4">
        <w:rPr>
          <w:rStyle w:val="s1"/>
          <w:rFonts w:asciiTheme="minorHAnsi" w:hAnsiTheme="minorHAnsi"/>
          <w:vertAlign w:val="subscript"/>
        </w:rPr>
        <w:t>1</w:t>
      </w:r>
      <w:r w:rsidR="00D547D4" w:rsidRPr="00D547D4">
        <w:rPr>
          <w:rStyle w:val="s1"/>
          <w:rFonts w:asciiTheme="minorHAnsi" w:hAnsiTheme="minorHAnsi"/>
          <w:vertAlign w:val="subscript"/>
        </w:rPr>
        <w:t>7</w:t>
      </w:r>
      <w:r w:rsidR="00BA08FD" w:rsidRPr="00D547D4">
        <w:rPr>
          <w:rStyle w:val="s1"/>
          <w:rFonts w:asciiTheme="minorHAnsi" w:hAnsiTheme="minorHAnsi"/>
        </w:rPr>
        <w:t>H</w:t>
      </w:r>
      <w:r w:rsidR="00BA08FD" w:rsidRPr="00D547D4">
        <w:rPr>
          <w:rStyle w:val="s1"/>
          <w:rFonts w:asciiTheme="minorHAnsi" w:hAnsiTheme="minorHAnsi"/>
          <w:vertAlign w:val="subscript"/>
        </w:rPr>
        <w:t>2</w:t>
      </w:r>
      <w:r w:rsidR="00D547D4" w:rsidRPr="00D547D4">
        <w:rPr>
          <w:rStyle w:val="s1"/>
          <w:rFonts w:asciiTheme="minorHAnsi" w:hAnsiTheme="minorHAnsi"/>
          <w:vertAlign w:val="subscript"/>
        </w:rPr>
        <w:t>1</w:t>
      </w:r>
      <w:r w:rsidR="00BA08FD" w:rsidRPr="00D547D4">
        <w:rPr>
          <w:rStyle w:val="s1"/>
          <w:rFonts w:asciiTheme="minorHAnsi" w:hAnsiTheme="minorHAnsi"/>
        </w:rPr>
        <w:t>ClN</w:t>
      </w:r>
      <w:r w:rsidR="00D547D4">
        <w:rPr>
          <w:rStyle w:val="s1"/>
          <w:rFonts w:asciiTheme="minorHAnsi" w:hAnsiTheme="minorHAnsi"/>
          <w:vertAlign w:val="subscript"/>
        </w:rPr>
        <w:t>2</w:t>
      </w:r>
      <w:r w:rsidR="00BA08FD" w:rsidRPr="00D547D4">
        <w:rPr>
          <w:rStyle w:val="s1"/>
          <w:rFonts w:asciiTheme="minorHAnsi" w:hAnsiTheme="minorHAnsi"/>
        </w:rPr>
        <w:t>S</w:t>
      </w:r>
    </w:p>
    <w:p w:rsidR="00AB54C2" w:rsidRPr="00BA08FD" w:rsidRDefault="00AB54C2" w:rsidP="00EE29EF">
      <w:pPr>
        <w:spacing w:after="0" w:line="240" w:lineRule="auto"/>
        <w:jc w:val="both"/>
      </w:pPr>
      <w:r w:rsidRPr="00BA08FD">
        <w:rPr>
          <w:u w:val="single"/>
        </w:rPr>
        <w:t>Peso molecolare</w:t>
      </w:r>
      <w:r w:rsidRPr="00BA08FD">
        <w:t>:</w:t>
      </w:r>
      <w:r w:rsidRPr="00BA08FD">
        <w:rPr>
          <w:rFonts w:cs="Arial"/>
          <w:color w:val="252525"/>
          <w:shd w:val="clear" w:color="auto" w:fill="F9F9F9"/>
        </w:rPr>
        <w:t xml:space="preserve"> </w:t>
      </w:r>
      <w:r w:rsidR="00BA08FD" w:rsidRPr="00BA08FD">
        <w:rPr>
          <w:rStyle w:val="s1"/>
          <w:rFonts w:asciiTheme="minorHAnsi" w:hAnsiTheme="minorHAnsi"/>
        </w:rPr>
        <w:t>3</w:t>
      </w:r>
      <w:r w:rsidR="00D547D4">
        <w:rPr>
          <w:rStyle w:val="s1"/>
          <w:rFonts w:asciiTheme="minorHAnsi" w:hAnsiTheme="minorHAnsi"/>
        </w:rPr>
        <w:t>20</w:t>
      </w:r>
      <w:r w:rsidR="00BA08FD" w:rsidRPr="00BA08FD">
        <w:rPr>
          <w:rStyle w:val="s1"/>
          <w:rFonts w:asciiTheme="minorHAnsi" w:hAnsiTheme="minorHAnsi"/>
        </w:rPr>
        <w:t xml:space="preserve">.9 </w:t>
      </w:r>
      <w:r w:rsidRPr="00BA08FD">
        <w:rPr>
          <w:rStyle w:val="s1"/>
          <w:rFonts w:asciiTheme="minorHAnsi" w:hAnsiTheme="minorHAnsi"/>
        </w:rPr>
        <w:t>g/mol</w:t>
      </w:r>
    </w:p>
    <w:p w:rsidR="00AB54C2" w:rsidRPr="00BA08FD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BA08FD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BA08FD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BA08FD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D547D4">
        <w:rPr>
          <w:rStyle w:val="s1"/>
          <w:rFonts w:asciiTheme="minorHAnsi" w:hAnsiTheme="minorHAnsi"/>
          <w:b w:val="0"/>
          <w:sz w:val="22"/>
          <w:szCs w:val="22"/>
        </w:rPr>
        <w:t>53-60-1</w:t>
      </w:r>
      <w:r w:rsidR="00EE29EF" w:rsidRPr="00BA08FD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B54C2" w:rsidRPr="00BA08FD" w:rsidRDefault="00AB54C2" w:rsidP="00EE29EF">
      <w:pPr>
        <w:spacing w:after="0" w:line="240" w:lineRule="auto"/>
        <w:jc w:val="both"/>
      </w:pPr>
      <w:r w:rsidRPr="00BA08FD">
        <w:rPr>
          <w:u w:val="single"/>
        </w:rPr>
        <w:t>Aspetto</w:t>
      </w:r>
      <w:r w:rsidRPr="00BA08FD">
        <w:t xml:space="preserve">: </w:t>
      </w:r>
      <w:r w:rsidR="00D547D4" w:rsidRPr="00D547D4">
        <w:t>polvere cristallina, leggermente igroscopica, di colore da bianco a quasi bianco</w:t>
      </w:r>
      <w:r w:rsidR="00BA08FD" w:rsidRPr="00BA08FD">
        <w:t>.</w:t>
      </w:r>
    </w:p>
    <w:p w:rsidR="00AB54C2" w:rsidRPr="00BA08FD" w:rsidRDefault="00AB54C2" w:rsidP="00BA08FD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BA08FD">
        <w:rPr>
          <w:u w:val="single"/>
        </w:rPr>
        <w:t>Solubilità</w:t>
      </w:r>
      <w:r w:rsidRPr="00BA08FD">
        <w:t xml:space="preserve">: </w:t>
      </w:r>
      <w:r w:rsidR="00D547D4" w:rsidRPr="00D547D4">
        <w:rPr>
          <w:lang w:val="pt-BR"/>
        </w:rPr>
        <w:t>Molto solubile in acqua; generosamente solubile in etanolo e diclorometano</w:t>
      </w:r>
      <w:r w:rsidR="00BA08FD" w:rsidRPr="00BA08FD">
        <w:rPr>
          <w:rStyle w:val="s1"/>
          <w:rFonts w:asciiTheme="minorHAnsi" w:hAnsiTheme="minorHAnsi"/>
        </w:rPr>
        <w:t>.</w:t>
      </w:r>
    </w:p>
    <w:p w:rsidR="00E35185" w:rsidRDefault="00E35185" w:rsidP="001F2324">
      <w:pPr>
        <w:spacing w:after="0" w:line="240" w:lineRule="auto"/>
        <w:jc w:val="both"/>
      </w:pPr>
    </w:p>
    <w:p w:rsidR="001F2324" w:rsidRPr="006F3370" w:rsidRDefault="009F16FA" w:rsidP="001F2324">
      <w:pPr>
        <w:spacing w:after="0" w:line="240" w:lineRule="auto"/>
        <w:jc w:val="both"/>
      </w:pPr>
      <w:r w:rsidRPr="00BA08FD">
        <w:t xml:space="preserve">Il principio attivo </w:t>
      </w:r>
      <w:proofErr w:type="spellStart"/>
      <w:r w:rsidR="005E2CF0">
        <w:t>promazina</w:t>
      </w:r>
      <w:proofErr w:type="spellEnd"/>
      <w:r w:rsidR="005E2CF0">
        <w:t xml:space="preserve"> clor</w:t>
      </w:r>
      <w:r w:rsidR="00D547D4">
        <w:t>idrato</w:t>
      </w:r>
      <w:r w:rsidRPr="00BA08FD">
        <w:t xml:space="preserve"> è presente in Farmacopea Europea</w:t>
      </w:r>
      <w:r w:rsidR="00D547D4">
        <w:t>.</w:t>
      </w:r>
      <w:r w:rsidRPr="00BA08FD">
        <w:t xml:space="preserve"> </w:t>
      </w:r>
      <w:r w:rsidR="001F2324">
        <w:t xml:space="preserve">Il produttore </w:t>
      </w:r>
      <w:r w:rsidR="001F2324" w:rsidRPr="006F3370">
        <w:t xml:space="preserve">ha presentato un ASMF. 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lastRenderedPageBreak/>
        <w:t>La sintesi del principio attivo è stata adeguatamente descritta a partire da  idonei materiali di partenza; sono utilizzati appropriati controlli di processo e degli intermedi di sintesi.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>I materiali e i reagenti utilizzati nella sintesi sono di qualità adeguata.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>Le specifiche del principio attiv</w:t>
      </w:r>
      <w:r w:rsidR="005E2CF0">
        <w:t>o sono appropriate e controllate</w:t>
      </w:r>
      <w:r w:rsidRPr="006F3370">
        <w:t xml:space="preserve"> con metodi analitici adeguatamente convalidati. Sono stati forniti certificati analitici che confermano la qualità del principio attivo.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 xml:space="preserve">Il principio attivo è confezionato in un adeguato contenitore, per il quale sono stati forniti specifiche e certificati analitici. Il confezionamento è </w:t>
      </w:r>
      <w:r>
        <w:t xml:space="preserve">costituito da </w:t>
      </w:r>
      <w:r w:rsidRPr="006F3370">
        <w:t>una</w:t>
      </w:r>
      <w:r>
        <w:t xml:space="preserve"> </w:t>
      </w:r>
      <w:r w:rsidRPr="001F2324">
        <w:t xml:space="preserve">doppia busta di polietilene </w:t>
      </w:r>
      <w:r>
        <w:t>posizionata</w:t>
      </w:r>
      <w:r w:rsidRPr="001F2324">
        <w:t xml:space="preserve"> in un’ulteriore busta di polietilene nero; il tutto è inserito in barattoli di cartone.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6F3370">
        <w:t>retest</w:t>
      </w:r>
      <w:proofErr w:type="spellEnd"/>
      <w:r w:rsidRPr="006F3370">
        <w:t xml:space="preserve"> di </w:t>
      </w:r>
      <w:r>
        <w:t>5</w:t>
      </w:r>
      <w:r w:rsidRPr="006F3370">
        <w:t xml:space="preserve"> anni</w:t>
      </w:r>
      <w:r>
        <w:t xml:space="preserve">. </w:t>
      </w:r>
      <w:r w:rsidRPr="006F3370">
        <w:t xml:space="preserve"> </w:t>
      </w:r>
    </w:p>
    <w:p w:rsidR="00AB54C2" w:rsidRPr="00C97A20" w:rsidRDefault="00AB54C2" w:rsidP="001F2324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A9506F" w:rsidRDefault="005F2D64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AB54C2" w:rsidRPr="00EF5475">
        <w:rPr>
          <w:rFonts w:eastAsia="Calibri" w:cs="Calibri"/>
          <w:color w:val="000000"/>
          <w:lang w:eastAsia="it-IT"/>
        </w:rPr>
        <w:t xml:space="preserve">è disponibile in </w:t>
      </w:r>
      <w:r w:rsidR="001F2324">
        <w:rPr>
          <w:rFonts w:eastAsia="Calibri" w:cs="Calibri"/>
          <w:color w:val="000000"/>
          <w:lang w:eastAsia="it-IT"/>
        </w:rPr>
        <w:t xml:space="preserve">gocce orali, soluzione contenente </w:t>
      </w:r>
      <w:r w:rsidR="00EA2BC4">
        <w:rPr>
          <w:rFonts w:eastAsia="Calibri" w:cs="Calibri"/>
          <w:color w:val="000000"/>
          <w:lang w:eastAsia="it-IT"/>
        </w:rPr>
        <w:t>il principio attivo alla concentrazione del 4%.</w:t>
      </w:r>
    </w:p>
    <w:p w:rsidR="001115FB" w:rsidRPr="001115FB" w:rsidRDefault="009F16FA" w:rsidP="001115FB">
      <w:pPr>
        <w:spacing w:after="0" w:line="240" w:lineRule="auto"/>
        <w:jc w:val="both"/>
      </w:pPr>
      <w:r w:rsidRPr="00A9506F">
        <w:t>Gli eccipienti sono i seguenti:</w:t>
      </w:r>
      <w:r w:rsidR="00A20B06">
        <w:t xml:space="preserve"> s</w:t>
      </w:r>
      <w:r w:rsidR="001115FB" w:rsidRPr="001115FB">
        <w:t xml:space="preserve">orbitolo liquido non cristallizabile, sodio solfito anidro, potassio metabisolfito, sodio metile </w:t>
      </w:r>
      <w:proofErr w:type="spellStart"/>
      <w:r w:rsidR="001115FB" w:rsidRPr="001115FB">
        <w:t>p-idrossibenzoato</w:t>
      </w:r>
      <w:proofErr w:type="spellEnd"/>
      <w:r w:rsidR="001115FB" w:rsidRPr="001115FB">
        <w:t xml:space="preserve">, sodio propile </w:t>
      </w:r>
      <w:proofErr w:type="spellStart"/>
      <w:r w:rsidR="001115FB" w:rsidRPr="001115FB">
        <w:t>p-idrossibenzoato</w:t>
      </w:r>
      <w:proofErr w:type="spellEnd"/>
      <w:r w:rsidR="001115FB" w:rsidRPr="001115FB">
        <w:t>, etanolo 96%, acqua depurata.</w:t>
      </w:r>
    </w:p>
    <w:p w:rsidR="009F16FA" w:rsidRPr="00A9506F" w:rsidRDefault="009F16FA" w:rsidP="00A9506F">
      <w:pPr>
        <w:spacing w:after="0" w:line="240" w:lineRule="auto"/>
        <w:jc w:val="both"/>
      </w:pPr>
      <w:r w:rsidRPr="00A9506F">
        <w:t>Tutti gli eccipienti sono conformi alla relativa monografia di Farmacopea Europea.</w:t>
      </w:r>
    </w:p>
    <w:p w:rsidR="00AB54C2" w:rsidRPr="00A9506F" w:rsidRDefault="00AB54C2" w:rsidP="00A9506F">
      <w:pPr>
        <w:spacing w:after="0" w:line="240" w:lineRule="auto"/>
        <w:jc w:val="both"/>
      </w:pPr>
      <w:r w:rsidRPr="00A9506F">
        <w:t>Nessun eccipiente è ottenuto da organismi geneticamente modificati; non sono presenti eccipienti mai utilizzati nell’uomo.</w:t>
      </w:r>
    </w:p>
    <w:p w:rsidR="00AB54C2" w:rsidRPr="00EF5475" w:rsidRDefault="00AB54C2" w:rsidP="00A9506F">
      <w:pPr>
        <w:spacing w:after="0" w:line="240" w:lineRule="auto"/>
        <w:jc w:val="both"/>
      </w:pPr>
    </w:p>
    <w:p w:rsidR="00AB54C2" w:rsidRPr="00EF5475" w:rsidRDefault="00AB54C2" w:rsidP="00A9506F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9506F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9506F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="001115FB">
        <w:t>bioequivalente</w:t>
      </w:r>
      <w:proofErr w:type="spellEnd"/>
      <w:r w:rsidRPr="00097D78">
        <w:t xml:space="preserve"> al medicinale di riferimento </w:t>
      </w:r>
      <w:proofErr w:type="spellStart"/>
      <w:r w:rsidR="001115FB">
        <w:t>Talofen</w:t>
      </w:r>
      <w:proofErr w:type="spellEnd"/>
      <w:r w:rsidRPr="00097D78">
        <w:t>.</w:t>
      </w:r>
    </w:p>
    <w:p w:rsidR="001115FB" w:rsidRPr="00AB54C2" w:rsidRDefault="001115FB" w:rsidP="001115FB">
      <w:pPr>
        <w:spacing w:after="0" w:line="240" w:lineRule="auto"/>
        <w:jc w:val="both"/>
      </w:pPr>
      <w:r>
        <w:t>Gli eccipienti</w:t>
      </w:r>
      <w:r w:rsidRPr="001115FB">
        <w:rPr>
          <w:rFonts w:cs="Arial"/>
        </w:rPr>
        <w:t xml:space="preserve"> </w:t>
      </w:r>
      <w:r>
        <w:rPr>
          <w:rFonts w:cs="Arial"/>
        </w:rPr>
        <w:t>hanno la</w:t>
      </w:r>
      <w:r w:rsidRPr="005A73EC">
        <w:rPr>
          <w:rFonts w:cs="Arial"/>
        </w:rPr>
        <w:t xml:space="preserve"> stessa composizione in principi</w:t>
      </w:r>
      <w:r>
        <w:rPr>
          <w:rFonts w:cs="Arial"/>
        </w:rPr>
        <w:t>o</w:t>
      </w:r>
      <w:r w:rsidRPr="005A73EC">
        <w:rPr>
          <w:rFonts w:cs="Arial"/>
        </w:rPr>
        <w:t xml:space="preserve"> attiv</w:t>
      </w:r>
      <w:r>
        <w:rPr>
          <w:rFonts w:cs="Arial"/>
        </w:rPr>
        <w:t xml:space="preserve">o </w:t>
      </w:r>
      <w:r w:rsidRPr="005A73EC">
        <w:rPr>
          <w:rFonts w:cs="Arial"/>
        </w:rPr>
        <w:t xml:space="preserve">e una composizione comparabile in eccipienti </w:t>
      </w:r>
      <w:r>
        <w:rPr>
          <w:rFonts w:cs="Arial"/>
        </w:rPr>
        <w:t>rispetto a</w:t>
      </w:r>
      <w:r w:rsidRPr="005A73EC">
        <w:rPr>
          <w:rFonts w:cs="Arial"/>
        </w:rPr>
        <w:t>l medicinale di riferimento</w:t>
      </w:r>
      <w:r w:rsidRPr="00AB54C2">
        <w:t>.</w:t>
      </w:r>
    </w:p>
    <w:p w:rsidR="00097D78" w:rsidRPr="00C97A20" w:rsidRDefault="00097D78" w:rsidP="00A9506F">
      <w:pPr>
        <w:spacing w:after="0" w:line="240" w:lineRule="auto"/>
        <w:jc w:val="both"/>
      </w:pPr>
    </w:p>
    <w:p w:rsidR="00AB54C2" w:rsidRPr="00C97A20" w:rsidRDefault="00AB54C2" w:rsidP="00A9506F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EA2BC4">
        <w:t>i</w:t>
      </w:r>
      <w:r w:rsidRPr="00C97A20">
        <w:t>l prodotto finito: questi dati dimostrano che i lotti prodotti sono in accordo alle specifiche proposte. Sono stati forniti, infine, certificati analitici per gli standard di riferimento utilizzati.</w:t>
      </w:r>
    </w:p>
    <w:p w:rsidR="00AB54C2" w:rsidRDefault="00AB54C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5F2D64" w:rsidP="00AB54C2">
      <w:pPr>
        <w:spacing w:after="0" w:line="240" w:lineRule="auto"/>
        <w:jc w:val="both"/>
      </w:pPr>
      <w:proofErr w:type="spellStart"/>
      <w:r>
        <w:t>Promazina</w:t>
      </w:r>
      <w:proofErr w:type="spellEnd"/>
      <w:r>
        <w:t xml:space="preserve"> </w:t>
      </w:r>
      <w:proofErr w:type="spellStart"/>
      <w:r>
        <w:t>Eg</w:t>
      </w:r>
      <w:proofErr w:type="spellEnd"/>
      <w:r w:rsidR="00A61113">
        <w:t xml:space="preserve"> </w:t>
      </w:r>
      <w:r w:rsidR="00AB54C2" w:rsidRPr="00C97A20">
        <w:t xml:space="preserve">è confezionato </w:t>
      </w:r>
      <w:r w:rsidR="001115FB">
        <w:t>in un f</w:t>
      </w:r>
      <w:r w:rsidR="001115FB" w:rsidRPr="001115FB">
        <w:t xml:space="preserve">lacone in vetro ambrato di tipo III con contagocce in PE e con capsula di chiusura in PP a prova di bambino. </w:t>
      </w:r>
      <w:r w:rsidR="00AB54C2" w:rsidRPr="00C97A20">
        <w:t>Sono state fornite specifiche e certificati analitici per tutti i componen</w:t>
      </w:r>
      <w:r w:rsidR="00EA2BC4">
        <w:t>ti del confezionamento primario</w:t>
      </w:r>
      <w:r w:rsidR="00AB54C2" w:rsidRPr="00C97A20">
        <w:t xml:space="preserve"> che è adeguato per il medicinale.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340A91" w:rsidRDefault="00AB54C2" w:rsidP="001115FB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2236C">
        <w:t>2</w:t>
      </w:r>
      <w:r>
        <w:t xml:space="preserve"> anni</w:t>
      </w:r>
      <w:r w:rsidR="00340A91">
        <w:t xml:space="preserve">. </w:t>
      </w:r>
      <w:r w:rsidR="001115FB">
        <w:t>Il medicinale deve essere conservato</w:t>
      </w:r>
      <w:r w:rsidR="00340A91">
        <w:t xml:space="preserve"> a temperatura </w:t>
      </w:r>
      <w:r w:rsidR="001115FB">
        <w:t>inferiore a 25°</w:t>
      </w:r>
      <w:r w:rsidR="001115FB" w:rsidRPr="001115FB">
        <w:t>C.</w:t>
      </w:r>
      <w:r w:rsidR="001115FB">
        <w:t xml:space="preserve"> </w:t>
      </w:r>
    </w:p>
    <w:p w:rsidR="00AB54C2" w:rsidRDefault="00AB54C2" w:rsidP="00AB54C2">
      <w:pPr>
        <w:spacing w:after="0" w:line="240" w:lineRule="auto"/>
        <w:jc w:val="both"/>
      </w:pPr>
    </w:p>
    <w:p w:rsidR="00EA2BC4" w:rsidRDefault="00EA2BC4" w:rsidP="00AB54C2">
      <w:pPr>
        <w:spacing w:after="0" w:line="240" w:lineRule="auto"/>
        <w:jc w:val="both"/>
      </w:pPr>
    </w:p>
    <w:p w:rsidR="00EA2BC4" w:rsidRDefault="00EA2BC4" w:rsidP="00AB54C2">
      <w:pPr>
        <w:spacing w:after="0" w:line="240" w:lineRule="auto"/>
        <w:jc w:val="both"/>
      </w:pPr>
    </w:p>
    <w:p w:rsidR="00EA2BC4" w:rsidRPr="00C97A20" w:rsidRDefault="00EA2BC4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lastRenderedPageBreak/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>
        <w:t xml:space="preserve">è considerata adeguata. Non ci sono obiezioni per l’approvazione di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1115FB">
        <w:t>Talofen</w:t>
      </w:r>
      <w:proofErr w:type="spellEnd"/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E2236C" w:rsidRDefault="005F2D64" w:rsidP="00E2236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Eg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  <w:r w:rsidR="00E2236C" w:rsidRPr="00E2236C">
        <w:rPr>
          <w:rFonts w:eastAsia="Calibri" w:cs="Calibri"/>
          <w:color w:val="000000"/>
          <w:lang w:eastAsia="it-IT"/>
        </w:rPr>
        <w:t xml:space="preserve"> </w:t>
      </w:r>
      <w:r w:rsidR="00E2236C">
        <w:rPr>
          <w:rFonts w:eastAsia="Calibri" w:cs="Calibri"/>
          <w:color w:val="000000"/>
          <w:lang w:eastAsia="it-IT"/>
        </w:rPr>
        <w:t xml:space="preserve">negli adulti </w:t>
      </w:r>
      <w:r w:rsidR="001115FB">
        <w:rPr>
          <w:rFonts w:eastAsia="Calibri" w:cs="Calibri"/>
          <w:color w:val="000000"/>
          <w:lang w:eastAsia="it-IT"/>
        </w:rPr>
        <w:t xml:space="preserve">e nei bambini a partire dai 12 anni di età </w:t>
      </w:r>
      <w:r w:rsidR="00E2236C">
        <w:rPr>
          <w:rFonts w:eastAsia="Calibri" w:cs="Calibri"/>
          <w:color w:val="000000"/>
          <w:lang w:eastAsia="it-IT"/>
        </w:rPr>
        <w:t>per</w:t>
      </w:r>
      <w:r w:rsidR="001115FB">
        <w:rPr>
          <w:rFonts w:eastAsia="Calibri" w:cs="Calibri"/>
          <w:color w:val="000000"/>
          <w:lang w:eastAsia="it-IT"/>
        </w:rPr>
        <w:t xml:space="preserve"> il trattamento </w:t>
      </w:r>
      <w:r w:rsidR="001115FB">
        <w:t>dell’</w:t>
      </w:r>
      <w:r w:rsidR="001115FB">
        <w:rPr>
          <w:rFonts w:eastAsia="Calibri" w:cs="Calibri"/>
          <w:color w:val="000000"/>
          <w:lang w:eastAsia="it-IT"/>
        </w:rPr>
        <w:t>a</w:t>
      </w:r>
      <w:r w:rsidR="001115FB" w:rsidRPr="00693944">
        <w:rPr>
          <w:rFonts w:eastAsia="Calibri" w:cs="Calibri"/>
          <w:color w:val="000000"/>
          <w:lang w:eastAsia="it-IT"/>
        </w:rPr>
        <w:t xml:space="preserve">gitazione psicomotoria o </w:t>
      </w:r>
      <w:r w:rsidR="001115FB">
        <w:rPr>
          <w:rFonts w:eastAsia="Calibri" w:cs="Calibri"/>
          <w:color w:val="000000"/>
          <w:lang w:eastAsia="it-IT"/>
        </w:rPr>
        <w:t xml:space="preserve">del </w:t>
      </w:r>
      <w:r w:rsidR="001115FB" w:rsidRPr="00693944">
        <w:rPr>
          <w:rFonts w:eastAsia="Calibri" w:cs="Calibri"/>
          <w:color w:val="000000"/>
          <w:lang w:eastAsia="it-IT"/>
        </w:rPr>
        <w:t>comportamento aggressivo</w:t>
      </w:r>
      <w:r w:rsidR="001115FB">
        <w:t xml:space="preserve"> e per il trattamento della schizofrenia ed altri disturbi psicotici.</w:t>
      </w:r>
      <w:r w:rsidR="00E2236C">
        <w:t>.</w:t>
      </w:r>
    </w:p>
    <w:p w:rsidR="00AB54C2" w:rsidRPr="0002468C" w:rsidRDefault="00AB54C2" w:rsidP="00E2236C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1115FB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della </w:t>
      </w:r>
      <w:proofErr w:type="spellStart"/>
      <w:r>
        <w:rPr>
          <w:rFonts w:eastAsia="Calibri" w:cs="Calibri"/>
          <w:lang w:eastAsia="it-IT"/>
        </w:rPr>
        <w:t>promazina</w:t>
      </w:r>
      <w:proofErr w:type="spellEnd"/>
      <w:r>
        <w:rPr>
          <w:rFonts w:eastAsia="Calibri" w:cs="Calibri"/>
          <w:lang w:eastAsia="it-IT"/>
        </w:rPr>
        <w:t xml:space="preserve"> cloridrato </w:t>
      </w:r>
      <w:r w:rsidR="00AB54C2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1115FB" w:rsidRPr="00AB54C2" w:rsidRDefault="00AB54C2" w:rsidP="001115FB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1115FB">
        <w:t>promazina</w:t>
      </w:r>
      <w:proofErr w:type="spellEnd"/>
      <w:r w:rsidR="001115FB">
        <w:t xml:space="preserve"> cloridrato</w:t>
      </w:r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 w:rsidR="001115FB"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1115FB">
        <w:t>Talofen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  <w:r w:rsidR="001115FB">
        <w:t xml:space="preserve">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5F2D64">
        <w:rPr>
          <w:rFonts w:cs="Arial"/>
        </w:rPr>
        <w:t>Promazina</w:t>
      </w:r>
      <w:proofErr w:type="spellEnd"/>
      <w:r w:rsidR="005F2D64">
        <w:rPr>
          <w:rFonts w:cs="Arial"/>
        </w:rPr>
        <w:t xml:space="preserve"> </w:t>
      </w:r>
      <w:proofErr w:type="spellStart"/>
      <w:r w:rsidR="005F2D64">
        <w:rPr>
          <w:rFonts w:cs="Arial"/>
        </w:rPr>
        <w:t>Eg</w:t>
      </w:r>
      <w:proofErr w:type="spellEnd"/>
      <w:r w:rsidR="00A61113">
        <w:rPr>
          <w:rFonts w:cs="Arial"/>
        </w:rPr>
        <w:t xml:space="preserve"> </w:t>
      </w:r>
      <w:r>
        <w:rPr>
          <w:rFonts w:cs="Arial"/>
        </w:rPr>
        <w:t>è ben conosciuto</w:t>
      </w:r>
      <w:r w:rsidR="00EA2BC4">
        <w:rPr>
          <w:rFonts w:cs="Arial"/>
        </w:rPr>
        <w:t xml:space="preserve"> ; inoltre, è stato possibile concedere l’esenzione dalla conduzione di studi clinici di confronto con il medicinale di riferimento in quanto </w:t>
      </w:r>
      <w:proofErr w:type="spellStart"/>
      <w:r w:rsidR="00EA2BC4">
        <w:rPr>
          <w:rFonts w:cs="Arial"/>
        </w:rPr>
        <w:t>Promazina</w:t>
      </w:r>
      <w:proofErr w:type="spellEnd"/>
      <w:r w:rsidR="00EA2BC4">
        <w:rPr>
          <w:rFonts w:cs="Arial"/>
        </w:rPr>
        <w:t xml:space="preserve"> </w:t>
      </w:r>
      <w:proofErr w:type="spellStart"/>
      <w:r w:rsidR="00EA2BC4">
        <w:rPr>
          <w:rFonts w:cs="Arial"/>
        </w:rPr>
        <w:t>Eg</w:t>
      </w:r>
      <w:proofErr w:type="spellEnd"/>
      <w:r w:rsidR="00EA2BC4">
        <w:rPr>
          <w:rFonts w:cs="Arial"/>
        </w:rPr>
        <w:t xml:space="preserve"> è somministrato come gocce orali, soluzione</w:t>
      </w:r>
      <w:r>
        <w:rPr>
          <w:rFonts w:cs="Arial"/>
        </w:rPr>
        <w:t xml:space="preserve"> </w:t>
      </w:r>
      <w:r w:rsidR="00EA2BC4">
        <w:rPr>
          <w:rFonts w:cs="Arial"/>
        </w:rPr>
        <w:t>con una composizione in eccipienti comparabile con quella del medicinale di riferimento.</w:t>
      </w:r>
    </w:p>
    <w:p w:rsidR="00EA2BC4" w:rsidRDefault="00EA2BC4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69B6" w:rsidRDefault="009469B6" w:rsidP="002453A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RPr="00DF53A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F3" w:rsidRDefault="001115FB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Ipersensibilità</w:t>
            </w:r>
          </w:p>
          <w:p w:rsidR="001115FB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Patologie del sistema ne</w:t>
            </w:r>
            <w:r w:rsidR="001115FB">
              <w:rPr>
                <w:sz w:val="20"/>
                <w:szCs w:val="20"/>
              </w:rPr>
              <w:t>rvoso</w:t>
            </w:r>
            <w:r>
              <w:rPr>
                <w:sz w:val="20"/>
                <w:szCs w:val="20"/>
              </w:rPr>
              <w:t xml:space="preserve"> (Sindrome </w:t>
            </w:r>
            <w:proofErr w:type="spellStart"/>
            <w:r>
              <w:rPr>
                <w:sz w:val="20"/>
                <w:szCs w:val="20"/>
              </w:rPr>
              <w:t>Neurolettica</w:t>
            </w:r>
            <w:proofErr w:type="spellEnd"/>
            <w:r>
              <w:rPr>
                <w:sz w:val="20"/>
                <w:szCs w:val="20"/>
              </w:rPr>
              <w:t xml:space="preserve"> Maligna, depressione)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Tromboembolismo venoso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Patologie cardiache (inversione dell’onda T, aritmie cardiaca, arresto cardiaco, morte improvvisa)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Patologie epatiche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Ipotensione ortostatica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Sintomi extrapiramidali e sintomi da astinenza in neonati esposti durante il terzo mese di gravidanza.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Depressione midollare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Sindrome da astinenza (nausea, vomito, vertigini, tremore</w:t>
            </w:r>
            <w:r w:rsidR="007F6904">
              <w:rPr>
                <w:sz w:val="20"/>
                <w:szCs w:val="20"/>
              </w:rPr>
              <w:t>, agitazione)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Discinesia tardiva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Convulsioni/ Soglia convulsiva abbassata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Manifestazioni di fotosensibilità</w:t>
            </w:r>
          </w:p>
          <w:p w:rsidR="007F6904" w:rsidRPr="00211AE5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concomitante di farmaci che inducono il prolungamento dell’intervallo QT con rischio di aritmia cardiaca</w:t>
            </w:r>
          </w:p>
        </w:tc>
      </w:tr>
      <w:tr w:rsidR="00BA0A19" w:rsidRPr="00BB12F3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lastRenderedPageBreak/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3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Tentativi di suicidio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in pazienti anziani con demenza (incremento della mortalità e degli eventi cerebrovascolari)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Agranulocitosi e </w:t>
            </w:r>
            <w:proofErr w:type="spellStart"/>
            <w:r>
              <w:rPr>
                <w:sz w:val="20"/>
                <w:szCs w:val="20"/>
              </w:rPr>
              <w:t>leucopenia</w:t>
            </w:r>
            <w:proofErr w:type="spellEnd"/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Encefalopatie, danno cerebrale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Depressione respiratoria</w:t>
            </w:r>
          </w:p>
          <w:p w:rsidR="007F6904" w:rsidRPr="005D2E7E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Sonnolenza e </w:t>
            </w:r>
            <w:proofErr w:type="spellStart"/>
            <w:r>
              <w:rPr>
                <w:sz w:val="20"/>
                <w:szCs w:val="20"/>
              </w:rPr>
              <w:t>sedazione</w:t>
            </w:r>
            <w:proofErr w:type="spellEnd"/>
            <w:r>
              <w:rPr>
                <w:sz w:val="20"/>
                <w:szCs w:val="20"/>
              </w:rPr>
              <w:t xml:space="preserve"> durante la guida e l’uso di macchinari</w:t>
            </w:r>
          </w:p>
        </w:tc>
      </w:tr>
      <w:tr w:rsidR="00BA0A19" w:rsidRPr="005D2E7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04" w:rsidRDefault="007F6904" w:rsidP="0020273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nei bambini di età inferiore ai 12 anni</w:t>
            </w:r>
          </w:p>
          <w:p w:rsidR="007F6904" w:rsidRDefault="007F6904" w:rsidP="0020273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Allattamento</w:t>
            </w:r>
          </w:p>
          <w:p w:rsidR="00440B34" w:rsidRPr="005D2E7E" w:rsidRDefault="007F6904" w:rsidP="0020273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in gravidanza</w:t>
            </w:r>
            <w:r w:rsidR="005D2E7E" w:rsidRPr="005D2E7E">
              <w:rPr>
                <w:sz w:val="20"/>
                <w:szCs w:val="20"/>
              </w:rPr>
              <w:t xml:space="preserve"> </w:t>
            </w:r>
          </w:p>
        </w:tc>
      </w:tr>
    </w:tbl>
    <w:p w:rsidR="00BA0A19" w:rsidRPr="005D2E7E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5F2D64">
        <w:t>Promazina</w:t>
      </w:r>
      <w:proofErr w:type="spellEnd"/>
      <w:r w:rsidR="005F2D64">
        <w:t xml:space="preserve"> </w:t>
      </w:r>
      <w:proofErr w:type="spellStart"/>
      <w:r w:rsidR="005F2D64">
        <w:t>Eg</w:t>
      </w:r>
      <w:proofErr w:type="spellEnd"/>
      <w:r w:rsidR="00A61113">
        <w:t xml:space="preserve"> </w:t>
      </w:r>
      <w:r>
        <w:t>è accettabile e non sono state rilevate criticità da un punto di vista non clinico e clinico.</w:t>
      </w:r>
    </w:p>
    <w:p w:rsidR="00AB54C2" w:rsidRDefault="005F2D64" w:rsidP="009469B6">
      <w:pPr>
        <w:spacing w:after="0" w:line="240" w:lineRule="auto"/>
        <w:jc w:val="both"/>
      </w:pPr>
      <w:proofErr w:type="spellStart"/>
      <w:r>
        <w:t>Promazina</w:t>
      </w:r>
      <w:proofErr w:type="spellEnd"/>
      <w:r>
        <w:t xml:space="preserve"> </w:t>
      </w:r>
      <w:proofErr w:type="spellStart"/>
      <w:r>
        <w:t>Eg</w:t>
      </w:r>
      <w:proofErr w:type="spellEnd"/>
      <w:r w:rsidR="00A61113">
        <w:t xml:space="preserve"> </w:t>
      </w:r>
      <w:r w:rsidR="00AB54C2">
        <w:t xml:space="preserve">e il medicinale di riferimento </w:t>
      </w:r>
      <w:proofErr w:type="spellStart"/>
      <w:r w:rsidR="00F24A56">
        <w:t>Talofen</w:t>
      </w:r>
      <w:proofErr w:type="spellEnd"/>
      <w:r w:rsidR="00AB54C2">
        <w:t xml:space="preserve"> sono </w:t>
      </w:r>
      <w:proofErr w:type="spellStart"/>
      <w:r w:rsidR="00AB54C2">
        <w:t>bioequivalenti</w:t>
      </w:r>
      <w:proofErr w:type="spellEnd"/>
      <w:r w:rsidR="00AB54C2"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9A260F" w:rsidRDefault="009A260F"/>
    <w:sectPr w:rsidR="009A260F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275C"/>
    <w:multiLevelType w:val="hybridMultilevel"/>
    <w:tmpl w:val="0980B7D8"/>
    <w:lvl w:ilvl="0" w:tplc="5882F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7016"/>
    <w:rsid w:val="000933A9"/>
    <w:rsid w:val="00097D78"/>
    <w:rsid w:val="000A0403"/>
    <w:rsid w:val="000B1DCF"/>
    <w:rsid w:val="000B6481"/>
    <w:rsid w:val="000C563E"/>
    <w:rsid w:val="000D2313"/>
    <w:rsid w:val="000E1A3B"/>
    <w:rsid w:val="001115FB"/>
    <w:rsid w:val="00111E9E"/>
    <w:rsid w:val="0011250C"/>
    <w:rsid w:val="00113BFF"/>
    <w:rsid w:val="001172F0"/>
    <w:rsid w:val="00151237"/>
    <w:rsid w:val="00156BA7"/>
    <w:rsid w:val="00161584"/>
    <w:rsid w:val="00180C71"/>
    <w:rsid w:val="00181317"/>
    <w:rsid w:val="001C1A8E"/>
    <w:rsid w:val="001D08F6"/>
    <w:rsid w:val="001E7E47"/>
    <w:rsid w:val="001F2324"/>
    <w:rsid w:val="0020273F"/>
    <w:rsid w:val="00211AE5"/>
    <w:rsid w:val="00237B87"/>
    <w:rsid w:val="002453A6"/>
    <w:rsid w:val="00246D26"/>
    <w:rsid w:val="002748E4"/>
    <w:rsid w:val="002937E3"/>
    <w:rsid w:val="00294895"/>
    <w:rsid w:val="002A10B9"/>
    <w:rsid w:val="002B0F72"/>
    <w:rsid w:val="002D3257"/>
    <w:rsid w:val="00306DD8"/>
    <w:rsid w:val="00340A91"/>
    <w:rsid w:val="003440B2"/>
    <w:rsid w:val="00344E47"/>
    <w:rsid w:val="003762D3"/>
    <w:rsid w:val="003827CA"/>
    <w:rsid w:val="003A2FCF"/>
    <w:rsid w:val="003D479A"/>
    <w:rsid w:val="00406421"/>
    <w:rsid w:val="004241AC"/>
    <w:rsid w:val="00440B34"/>
    <w:rsid w:val="00452364"/>
    <w:rsid w:val="0045627E"/>
    <w:rsid w:val="00467593"/>
    <w:rsid w:val="00474888"/>
    <w:rsid w:val="004A1685"/>
    <w:rsid w:val="004B20A8"/>
    <w:rsid w:val="004B7E5B"/>
    <w:rsid w:val="004C32A6"/>
    <w:rsid w:val="00507E9B"/>
    <w:rsid w:val="00566B07"/>
    <w:rsid w:val="00571F56"/>
    <w:rsid w:val="00572A3E"/>
    <w:rsid w:val="005928E6"/>
    <w:rsid w:val="005A64F7"/>
    <w:rsid w:val="005A73EC"/>
    <w:rsid w:val="005B50AD"/>
    <w:rsid w:val="005D2E7E"/>
    <w:rsid w:val="005E18C6"/>
    <w:rsid w:val="005E2CF0"/>
    <w:rsid w:val="005F2D64"/>
    <w:rsid w:val="00615D1C"/>
    <w:rsid w:val="0068596F"/>
    <w:rsid w:val="00693944"/>
    <w:rsid w:val="006C7E98"/>
    <w:rsid w:val="006F378C"/>
    <w:rsid w:val="0070652E"/>
    <w:rsid w:val="00730C29"/>
    <w:rsid w:val="0074715D"/>
    <w:rsid w:val="007568FF"/>
    <w:rsid w:val="007B6C6B"/>
    <w:rsid w:val="007D0622"/>
    <w:rsid w:val="007E5302"/>
    <w:rsid w:val="007E6F4B"/>
    <w:rsid w:val="007F6904"/>
    <w:rsid w:val="008173FB"/>
    <w:rsid w:val="00826C22"/>
    <w:rsid w:val="00852FDD"/>
    <w:rsid w:val="00853DE6"/>
    <w:rsid w:val="00862596"/>
    <w:rsid w:val="00867537"/>
    <w:rsid w:val="00874733"/>
    <w:rsid w:val="00891C8C"/>
    <w:rsid w:val="008A69E3"/>
    <w:rsid w:val="008D1348"/>
    <w:rsid w:val="00901E3F"/>
    <w:rsid w:val="0091611B"/>
    <w:rsid w:val="00923643"/>
    <w:rsid w:val="00944D6C"/>
    <w:rsid w:val="009469B6"/>
    <w:rsid w:val="009635D4"/>
    <w:rsid w:val="009713AA"/>
    <w:rsid w:val="009837F5"/>
    <w:rsid w:val="00990D3E"/>
    <w:rsid w:val="00991D00"/>
    <w:rsid w:val="009A2010"/>
    <w:rsid w:val="009A260F"/>
    <w:rsid w:val="009B03DB"/>
    <w:rsid w:val="009C253D"/>
    <w:rsid w:val="009F16FA"/>
    <w:rsid w:val="00A05212"/>
    <w:rsid w:val="00A1005E"/>
    <w:rsid w:val="00A20B06"/>
    <w:rsid w:val="00A35957"/>
    <w:rsid w:val="00A40FF3"/>
    <w:rsid w:val="00A43C2B"/>
    <w:rsid w:val="00A61113"/>
    <w:rsid w:val="00A715C0"/>
    <w:rsid w:val="00A9506F"/>
    <w:rsid w:val="00AB54C2"/>
    <w:rsid w:val="00B12D3D"/>
    <w:rsid w:val="00B27F42"/>
    <w:rsid w:val="00B44898"/>
    <w:rsid w:val="00B4779E"/>
    <w:rsid w:val="00B5563A"/>
    <w:rsid w:val="00B62578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5517B"/>
    <w:rsid w:val="00C72386"/>
    <w:rsid w:val="00CA7C91"/>
    <w:rsid w:val="00CC7AFF"/>
    <w:rsid w:val="00D05DEB"/>
    <w:rsid w:val="00D13838"/>
    <w:rsid w:val="00D20170"/>
    <w:rsid w:val="00D547D4"/>
    <w:rsid w:val="00D85C3C"/>
    <w:rsid w:val="00DA660C"/>
    <w:rsid w:val="00DB1FD9"/>
    <w:rsid w:val="00DD27A5"/>
    <w:rsid w:val="00DD5759"/>
    <w:rsid w:val="00DF53AE"/>
    <w:rsid w:val="00DF7D2A"/>
    <w:rsid w:val="00E2236C"/>
    <w:rsid w:val="00E35185"/>
    <w:rsid w:val="00E43089"/>
    <w:rsid w:val="00E83F8D"/>
    <w:rsid w:val="00EA2BC4"/>
    <w:rsid w:val="00EA7B58"/>
    <w:rsid w:val="00ED3C61"/>
    <w:rsid w:val="00EE29EF"/>
    <w:rsid w:val="00EF062E"/>
    <w:rsid w:val="00EF5475"/>
    <w:rsid w:val="00F22C10"/>
    <w:rsid w:val="00F24A56"/>
    <w:rsid w:val="00F37E3E"/>
    <w:rsid w:val="00F46E91"/>
    <w:rsid w:val="00F6357B"/>
    <w:rsid w:val="00F6551B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Rimandocommento">
    <w:name w:val="annotation reference"/>
    <w:basedOn w:val="Carpredefinitoparagrafo"/>
    <w:uiPriority w:val="99"/>
    <w:semiHidden/>
    <w:unhideWhenUsed/>
    <w:rsid w:val="000C56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563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56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56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563E"/>
    <w:rPr>
      <w:b/>
      <w:bCs/>
    </w:rPr>
  </w:style>
  <w:style w:type="character" w:styleId="Enfasigrassetto">
    <w:name w:val="Strong"/>
    <w:basedOn w:val="Carpredefinitoparagrafo"/>
    <w:uiPriority w:val="22"/>
    <w:qFormat/>
    <w:rsid w:val="00A20B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2438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dcterms:created xsi:type="dcterms:W3CDTF">2017-12-05T08:42:00Z</dcterms:created>
  <dcterms:modified xsi:type="dcterms:W3CDTF">2017-12-05T08:54:00Z</dcterms:modified>
</cp:coreProperties>
</file>