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D5343F" w:rsidRDefault="003A6EF3" w:rsidP="004241AC">
      <w:pPr>
        <w:spacing w:after="0" w:line="240" w:lineRule="auto"/>
        <w:jc w:val="center"/>
        <w:rPr>
          <w:lang w:val="it-IT"/>
        </w:rPr>
      </w:pPr>
      <w:r w:rsidRPr="00D5343F">
        <w:rPr>
          <w:lang w:val="it-IT"/>
        </w:rPr>
        <w:t xml:space="preserve"> </w:t>
      </w:r>
      <w:r w:rsidR="004241AC" w:rsidRPr="002A3F14">
        <w:rPr>
          <w:noProof/>
          <w:lang w:val="it-IT"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0F2801" w:rsidRDefault="004241AC" w:rsidP="004241AC">
      <w:pPr>
        <w:spacing w:after="0" w:line="240" w:lineRule="auto"/>
        <w:jc w:val="center"/>
        <w:rPr>
          <w:b/>
          <w:lang w:val="it-IT"/>
        </w:rPr>
      </w:pPr>
    </w:p>
    <w:p w:rsidR="00A31145" w:rsidRDefault="00A31145" w:rsidP="00B32D81">
      <w:pPr>
        <w:spacing w:after="0" w:line="240" w:lineRule="auto"/>
        <w:jc w:val="center"/>
        <w:rPr>
          <w:b/>
          <w:sz w:val="32"/>
          <w:lang w:val="it-IT"/>
        </w:rPr>
      </w:pPr>
    </w:p>
    <w:p w:rsidR="004241AC" w:rsidRPr="000F2801" w:rsidRDefault="00F31307" w:rsidP="00B32D81">
      <w:pPr>
        <w:spacing w:after="0" w:line="240" w:lineRule="auto"/>
        <w:jc w:val="center"/>
        <w:rPr>
          <w:b/>
          <w:sz w:val="32"/>
          <w:lang w:val="it-IT"/>
        </w:rPr>
      </w:pPr>
      <w:r w:rsidRPr="00F31307">
        <w:rPr>
          <w:b/>
          <w:sz w:val="32"/>
          <w:lang w:val="it-IT"/>
        </w:rPr>
        <w:t>Relazione di Valutazione</w:t>
      </w:r>
    </w:p>
    <w:p w:rsidR="00B32D81" w:rsidRPr="000F2801" w:rsidRDefault="00B32D81" w:rsidP="00B32D81">
      <w:pPr>
        <w:spacing w:after="0" w:line="240" w:lineRule="auto"/>
        <w:jc w:val="center"/>
        <w:rPr>
          <w:b/>
          <w:lang w:val="it-IT"/>
        </w:rPr>
      </w:pP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  <w:bookmarkStart w:id="0" w:name="Text15"/>
    </w:p>
    <w:p w:rsidR="001A31E9" w:rsidRPr="000F2801" w:rsidRDefault="001A31E9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1A31E9" w:rsidRPr="000F2801" w:rsidRDefault="001A31E9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DA1945" w:rsidRPr="000F2801" w:rsidRDefault="00F31307" w:rsidP="00B32D81">
      <w:pPr>
        <w:widowControl w:val="0"/>
        <w:spacing w:after="0" w:line="240" w:lineRule="auto"/>
        <w:jc w:val="center"/>
        <w:rPr>
          <w:b/>
          <w:sz w:val="32"/>
          <w:lang w:val="it-IT"/>
        </w:rPr>
      </w:pPr>
      <w:r w:rsidRPr="00F31307">
        <w:rPr>
          <w:b/>
          <w:sz w:val="32"/>
          <w:lang w:val="it-IT"/>
        </w:rPr>
        <w:t>TIOCONAZOLO IPSO PHARMA</w:t>
      </w:r>
    </w:p>
    <w:p w:rsidR="00502AB1" w:rsidRPr="000F2801" w:rsidRDefault="00502AB1" w:rsidP="00B32D81">
      <w:pPr>
        <w:widowControl w:val="0"/>
        <w:spacing w:after="0" w:line="240" w:lineRule="auto"/>
        <w:jc w:val="center"/>
        <w:rPr>
          <w:snapToGrid w:val="0"/>
          <w:lang w:val="it-IT"/>
        </w:rPr>
      </w:pPr>
    </w:p>
    <w:p w:rsidR="004241AC" w:rsidRPr="000F2801" w:rsidRDefault="00F31307" w:rsidP="00B32D81">
      <w:pPr>
        <w:widowControl w:val="0"/>
        <w:spacing w:after="0" w:line="240" w:lineRule="auto"/>
        <w:jc w:val="center"/>
        <w:rPr>
          <w:snapToGrid w:val="0"/>
          <w:lang w:val="it-IT"/>
        </w:rPr>
      </w:pPr>
      <w:r w:rsidRPr="00F31307">
        <w:rPr>
          <w:snapToGrid w:val="0"/>
          <w:lang w:val="it-IT"/>
        </w:rPr>
        <w:t>(</w:t>
      </w:r>
      <w:proofErr w:type="spellStart"/>
      <w:r w:rsidRPr="00F31307">
        <w:rPr>
          <w:snapToGrid w:val="0"/>
          <w:lang w:val="it-IT"/>
        </w:rPr>
        <w:t>Tioconazolo</w:t>
      </w:r>
      <w:proofErr w:type="spellEnd"/>
      <w:r w:rsidRPr="00F31307">
        <w:rPr>
          <w:snapToGrid w:val="0"/>
          <w:lang w:val="it-IT"/>
        </w:rPr>
        <w:t>)</w:t>
      </w: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5773A6" w:rsidRPr="000F2801" w:rsidRDefault="005773A6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5773A6" w:rsidRPr="000F2801" w:rsidRDefault="005773A6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B75EA4" w:rsidRPr="000F2801" w:rsidRDefault="00F3130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  <w:r w:rsidRPr="00F31307">
        <w:rPr>
          <w:b/>
          <w:lang w:val="it-IT"/>
        </w:rPr>
        <w:t>Ipso Pharma</w:t>
      </w:r>
    </w:p>
    <w:p w:rsidR="00F01FB3" w:rsidRPr="000F2801" w:rsidRDefault="00F01FB3" w:rsidP="00B32D81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F01FB3" w:rsidRPr="000F2801" w:rsidRDefault="00F01FB3" w:rsidP="00B32D81">
      <w:pPr>
        <w:spacing w:after="0" w:line="240" w:lineRule="auto"/>
        <w:jc w:val="center"/>
        <w:rPr>
          <w:b/>
          <w:lang w:val="it-IT"/>
        </w:rPr>
      </w:pPr>
    </w:p>
    <w:p w:rsidR="004241AC" w:rsidRPr="000F2801" w:rsidRDefault="00F31307" w:rsidP="00B32D81">
      <w:pPr>
        <w:spacing w:after="0" w:line="240" w:lineRule="auto"/>
        <w:jc w:val="center"/>
        <w:rPr>
          <w:b/>
          <w:lang w:val="it-IT"/>
        </w:rPr>
      </w:pPr>
      <w:r w:rsidRPr="00F31307">
        <w:rPr>
          <w:b/>
          <w:lang w:val="it-IT"/>
        </w:rPr>
        <w:t xml:space="preserve">Numero di AIC: </w:t>
      </w:r>
      <w:r w:rsidRPr="00F31307">
        <w:rPr>
          <w:rFonts w:ascii="Calibri" w:hAnsi="Calibri" w:cs="Arial"/>
          <w:b/>
          <w:lang w:val="it-IT"/>
        </w:rPr>
        <w:t>044851</w:t>
      </w:r>
    </w:p>
    <w:bookmarkEnd w:id="0"/>
    <w:p w:rsidR="004241AC" w:rsidRPr="000F2801" w:rsidRDefault="004241AC" w:rsidP="00B32D81">
      <w:pPr>
        <w:spacing w:after="0" w:line="240" w:lineRule="auto"/>
        <w:jc w:val="center"/>
        <w:rPr>
          <w:b/>
          <w:lang w:val="it-IT"/>
        </w:rPr>
      </w:pPr>
    </w:p>
    <w:p w:rsidR="00B32D81" w:rsidRPr="000F2801" w:rsidRDefault="00B32D81" w:rsidP="00B32D81">
      <w:pPr>
        <w:spacing w:after="0" w:line="240" w:lineRule="auto"/>
        <w:jc w:val="center"/>
        <w:rPr>
          <w:b/>
          <w:lang w:val="it-IT"/>
        </w:rPr>
      </w:pPr>
    </w:p>
    <w:p w:rsidR="005773A6" w:rsidRPr="000F2801" w:rsidRDefault="005773A6" w:rsidP="00B32D81">
      <w:pPr>
        <w:spacing w:after="0" w:line="240" w:lineRule="auto"/>
        <w:jc w:val="center"/>
        <w:rPr>
          <w:b/>
          <w:lang w:val="it-IT"/>
        </w:rPr>
      </w:pPr>
    </w:p>
    <w:p w:rsidR="00B32D81" w:rsidRPr="000F2801" w:rsidRDefault="00F31307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val="it-IT" w:eastAsia="it-IT"/>
        </w:rPr>
      </w:pPr>
      <w:r w:rsidRPr="00F31307">
        <w:rPr>
          <w:rFonts w:eastAsia="Calibri" w:cs="Calibri"/>
          <w:b/>
          <w:color w:val="000000"/>
          <w:lang w:val="it-IT" w:eastAsia="it-IT"/>
        </w:rPr>
        <w:t>RIASSUNTO DELLA RELAZIONE PUBBLICA DI VALUTAZIONE</w:t>
      </w: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0F2801" w:rsidRDefault="00F31307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  <w:lang w:val="it-IT"/>
        </w:rPr>
      </w:pPr>
      <w:r w:rsidRPr="00F31307">
        <w:rPr>
          <w:rFonts w:eastAsia="Calibri" w:cs="Calibri"/>
          <w:color w:val="000000"/>
          <w:lang w:val="it-IT" w:eastAsia="it-IT"/>
        </w:rPr>
        <w:t xml:space="preserve">Questa è la sintesi del </w:t>
      </w:r>
      <w:r w:rsidRPr="00F31307">
        <w:rPr>
          <w:rFonts w:eastAsia="Calibri" w:cs="Calibri"/>
          <w:i/>
          <w:color w:val="000000"/>
          <w:lang w:val="it-IT" w:eastAsia="it-IT"/>
        </w:rPr>
        <w:t xml:space="preserve">Public </w:t>
      </w:r>
      <w:proofErr w:type="spellStart"/>
      <w:r w:rsidRPr="00F31307">
        <w:rPr>
          <w:rFonts w:eastAsia="Calibri" w:cs="Calibri"/>
          <w:i/>
          <w:color w:val="000000"/>
          <w:lang w:val="it-IT" w:eastAsia="it-IT"/>
        </w:rPr>
        <w:t>Assessment</w:t>
      </w:r>
      <w:proofErr w:type="spellEnd"/>
      <w:r w:rsidRPr="00F31307">
        <w:rPr>
          <w:rFonts w:eastAsia="Calibri" w:cs="Calibri"/>
          <w:i/>
          <w:color w:val="000000"/>
          <w:lang w:val="it-IT" w:eastAsia="it-IT"/>
        </w:rPr>
        <w:t xml:space="preserve"> Report</w:t>
      </w:r>
      <w:r w:rsidRPr="00F31307">
        <w:rPr>
          <w:rFonts w:eastAsia="Calibri" w:cs="Calibri"/>
          <w:color w:val="000000"/>
          <w:lang w:val="it-IT" w:eastAsia="it-IT"/>
        </w:rPr>
        <w:t xml:space="preserve"> (PAR) per </w:t>
      </w:r>
      <w:proofErr w:type="spellStart"/>
      <w:r w:rsidRPr="00F31307">
        <w:rPr>
          <w:rFonts w:cs="Times New Roman"/>
          <w:bCs/>
          <w:color w:val="000000"/>
          <w:lang w:val="it-IT"/>
        </w:rPr>
        <w:t>Tioconazolo</w:t>
      </w:r>
      <w:proofErr w:type="spellEnd"/>
      <w:r w:rsidRPr="00F31307">
        <w:rPr>
          <w:rFonts w:cs="Times New Roman"/>
          <w:bCs/>
          <w:color w:val="000000"/>
          <w:lang w:val="it-IT"/>
        </w:rPr>
        <w:t xml:space="preserve"> Ipso Pharma</w:t>
      </w:r>
      <w:r w:rsidRPr="00F31307">
        <w:rPr>
          <w:rFonts w:eastAsia="Calibri" w:cs="Calibri"/>
          <w:color w:val="000000"/>
          <w:lang w:val="it-IT" w:eastAsia="it-IT"/>
        </w:rPr>
        <w:t>.</w:t>
      </w:r>
      <w:r w:rsidRPr="00F31307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F31307">
        <w:rPr>
          <w:rFonts w:eastAsia="Calibri" w:cs="Calibri"/>
          <w:color w:val="000000"/>
          <w:lang w:val="it-IT" w:eastAsia="it-IT"/>
        </w:rPr>
        <w:t xml:space="preserve">Esso spiega come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è stato valutato dalla Commissione Tecnico-Scientifica (CTS) e le </w:t>
      </w:r>
      <w:r w:rsidR="0075360D" w:rsidRPr="0075360D">
        <w:rPr>
          <w:rFonts w:eastAsia="Calibri" w:cs="Calibri"/>
          <w:color w:val="000000"/>
          <w:lang w:val="it-IT" w:eastAsia="it-IT"/>
        </w:rPr>
        <w:t xml:space="preserve">sue </w:t>
      </w:r>
      <w:r w:rsidRPr="00F31307">
        <w:rPr>
          <w:rFonts w:eastAsia="Calibri" w:cs="Calibri"/>
          <w:color w:val="000000"/>
          <w:lang w:val="it-IT" w:eastAsia="it-IT"/>
        </w:rPr>
        <w:t xml:space="preserve">condizioni di impiego. Non intende fornire consigli pratici su come utilizzare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Cs/>
          <w:color w:val="000000"/>
          <w:lang w:val="it-IT" w:eastAsia="it-IT"/>
        </w:rPr>
        <w:t>.</w:t>
      </w: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F31307">
        <w:rPr>
          <w:rFonts w:eastAsia="Calibri" w:cs="Calibri"/>
          <w:color w:val="000000"/>
          <w:lang w:val="it-IT" w:eastAsia="it-IT"/>
        </w:rPr>
        <w:t>Per informazioni pratiche sull'utilizzo di</w:t>
      </w:r>
      <w:r w:rsidRPr="00F31307">
        <w:rPr>
          <w:rFonts w:eastAsia="Calibri" w:cs="Calibri"/>
          <w:bCs/>
          <w:color w:val="000000"/>
          <w:lang w:val="it-IT" w:eastAsia="it-IT"/>
        </w:rPr>
        <w:t xml:space="preserve">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i pazienti devono consultare il foglio illustrativo o contattare il loro medico o il farmacista. </w:t>
      </w: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1) CHE COS’È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color w:val="000000"/>
          <w:lang w:val="it-IT" w:eastAsia="it-IT"/>
        </w:rPr>
        <w:t xml:space="preserve"> </w:t>
      </w: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E A COSA SERVE? </w:t>
      </w:r>
    </w:p>
    <w:p w:rsidR="004241AC" w:rsidRPr="000F2801" w:rsidRDefault="00F31307" w:rsidP="00B32D81">
      <w:pPr>
        <w:widowControl w:val="0"/>
        <w:spacing w:after="0" w:line="240" w:lineRule="auto"/>
        <w:jc w:val="both"/>
        <w:rPr>
          <w:lang w:val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è un medicinale contenente il principio attivo </w:t>
      </w:r>
      <w:proofErr w:type="spellStart"/>
      <w:r w:rsidRPr="00F31307">
        <w:rPr>
          <w:snapToGrid w:val="0"/>
          <w:lang w:val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ed è disponibile come smalto medicato per unghie contenente </w:t>
      </w:r>
      <w:r w:rsidRPr="00F31307">
        <w:rPr>
          <w:rFonts w:cs="Arial"/>
          <w:lang w:val="it-IT"/>
        </w:rPr>
        <w:t>il</w:t>
      </w:r>
      <w:r w:rsidRPr="00F31307">
        <w:rPr>
          <w:rFonts w:eastAsia="Calibri" w:cs="Calibri"/>
          <w:color w:val="000000"/>
          <w:lang w:val="it-IT" w:eastAsia="it-IT"/>
        </w:rPr>
        <w:t xml:space="preserve"> principio attivo alla concentrazione del 28%</w:t>
      </w:r>
      <w:r w:rsidRPr="00F31307">
        <w:rPr>
          <w:lang w:val="it-IT"/>
        </w:rPr>
        <w:t>.</w:t>
      </w:r>
    </w:p>
    <w:p w:rsidR="00B32D81" w:rsidRPr="000F2801" w:rsidRDefault="00F31307" w:rsidP="006959E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val="it-IT" w:eastAsia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è un “medicinale generico”, cioè è analogo ad un “medicinale di riferimento”, già autorizzato in Italia,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Trosyd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>.</w:t>
      </w:r>
    </w:p>
    <w:p w:rsidR="005773A6" w:rsidRPr="000F2801" w:rsidRDefault="00F31307" w:rsidP="005773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si usa </w:t>
      </w:r>
      <w:r w:rsidRPr="00F31307">
        <w:rPr>
          <w:lang w:val="it-IT"/>
        </w:rPr>
        <w:t>per il trattamento delle infezioni delle unghie causate dai funghi come le onicomicosi causate da dermatofiti e lieviti e le infezioni delle unghie miste per la concomitante attività antibatterica (contro i batteri).</w:t>
      </w:r>
    </w:p>
    <w:p w:rsidR="004241AC" w:rsidRPr="000F2801" w:rsidRDefault="004241AC" w:rsidP="006959E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2) COME E’ PRESCRITTO/USATO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/>
          <w:bCs/>
          <w:color w:val="000000"/>
          <w:lang w:val="it-IT" w:eastAsia="it-IT"/>
        </w:rPr>
        <w:t>?</w:t>
      </w:r>
    </w:p>
    <w:p w:rsidR="007935FE" w:rsidRPr="000F2801" w:rsidRDefault="00F31307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</w:t>
      </w:r>
      <w:r w:rsidRPr="00F31307">
        <w:rPr>
          <w:rFonts w:cs="Arial"/>
          <w:lang w:val="it-IT"/>
        </w:rPr>
        <w:t>è un medicinale di automedicazione (OTC) e non necessita di prescrizione del medico.</w:t>
      </w:r>
    </w:p>
    <w:p w:rsidR="005773A6" w:rsidRPr="000F2801" w:rsidRDefault="00F31307" w:rsidP="005773A6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F31307">
        <w:rPr>
          <w:rFonts w:cs="Times New Roman"/>
          <w:lang w:val="it-IT"/>
        </w:rPr>
        <w:lastRenderedPageBreak/>
        <w:t>Il medicinale va applicato sull</w:t>
      </w:r>
      <w:r w:rsidR="004424A4">
        <w:rPr>
          <w:rFonts w:cs="Times New Roman"/>
          <w:lang w:val="it-IT"/>
        </w:rPr>
        <w:t>’</w:t>
      </w:r>
      <w:r w:rsidRPr="00F31307">
        <w:rPr>
          <w:rFonts w:cs="Times New Roman"/>
          <w:lang w:val="it-IT"/>
        </w:rPr>
        <w:t xml:space="preserve"> unghi</w:t>
      </w:r>
      <w:r w:rsidR="004424A4">
        <w:rPr>
          <w:rFonts w:cs="Times New Roman"/>
          <w:lang w:val="it-IT"/>
        </w:rPr>
        <w:t>a</w:t>
      </w:r>
      <w:r w:rsidRPr="00F31307">
        <w:rPr>
          <w:rFonts w:cs="Times New Roman"/>
          <w:lang w:val="it-IT"/>
        </w:rPr>
        <w:t xml:space="preserve"> </w:t>
      </w:r>
      <w:r w:rsidR="004424A4" w:rsidRPr="004424A4">
        <w:rPr>
          <w:rFonts w:cs="Times New Roman"/>
          <w:lang w:val="it-IT"/>
        </w:rPr>
        <w:t>infetta e nella regione periungueale</w:t>
      </w:r>
      <w:r w:rsidRPr="00F31307">
        <w:rPr>
          <w:rFonts w:cs="Times New Roman"/>
          <w:lang w:val="it-IT"/>
        </w:rPr>
        <w:t xml:space="preserve"> due volte al giorno</w:t>
      </w:r>
      <w:r w:rsidR="004424A4" w:rsidRPr="004424A4">
        <w:rPr>
          <w:rFonts w:cs="Times New Roman"/>
          <w:lang w:val="it-IT"/>
        </w:rPr>
        <w:t xml:space="preserve"> </w:t>
      </w:r>
      <w:r w:rsidR="004424A4" w:rsidRPr="00352BB9">
        <w:rPr>
          <w:rFonts w:cs="Times New Roman"/>
          <w:lang w:val="it-IT"/>
        </w:rPr>
        <w:t>mattina e sera</w:t>
      </w:r>
      <w:r w:rsidRPr="00F31307">
        <w:rPr>
          <w:lang w:val="it-IT"/>
        </w:rPr>
        <w:t xml:space="preserve">. </w:t>
      </w:r>
    </w:p>
    <w:p w:rsidR="004424A4" w:rsidRPr="00D161EB" w:rsidRDefault="004424A4" w:rsidP="004424A4">
      <w:pPr>
        <w:autoSpaceDE w:val="0"/>
        <w:autoSpaceDN w:val="0"/>
        <w:adjustRightInd w:val="0"/>
        <w:spacing w:after="0" w:line="240" w:lineRule="auto"/>
        <w:rPr>
          <w:rFonts w:cs="TimesNewRomanPSMT"/>
          <w:szCs w:val="24"/>
          <w:lang w:val="it-IT"/>
        </w:rPr>
      </w:pPr>
      <w:r w:rsidRPr="00D161EB">
        <w:rPr>
          <w:rFonts w:cs="Times New Roman"/>
          <w:szCs w:val="24"/>
          <w:lang w:val="it-IT"/>
        </w:rPr>
        <w:t xml:space="preserve">Non vi sono dati relativi alla sicurezza e all’efficacia di </w:t>
      </w:r>
      <w:proofErr w:type="spellStart"/>
      <w:r w:rsidRPr="004424A4">
        <w:rPr>
          <w:rFonts w:cs="Times New Roman"/>
          <w:szCs w:val="24"/>
          <w:lang w:val="it-IT"/>
        </w:rPr>
        <w:t>Tioconazolo</w:t>
      </w:r>
      <w:proofErr w:type="spellEnd"/>
      <w:r w:rsidRPr="004424A4">
        <w:rPr>
          <w:rFonts w:cs="Times New Roman"/>
          <w:szCs w:val="24"/>
          <w:lang w:val="it-IT"/>
        </w:rPr>
        <w:t xml:space="preserve"> Ipso Pharma </w:t>
      </w:r>
      <w:r w:rsidRPr="00D161EB">
        <w:rPr>
          <w:rFonts w:cs="Times New Roman"/>
          <w:szCs w:val="24"/>
          <w:lang w:val="it-IT"/>
        </w:rPr>
        <w:t>in bambini e adolescenti</w:t>
      </w:r>
      <w:r w:rsidRPr="00D161EB">
        <w:rPr>
          <w:rFonts w:cs="TimesNewRomanPSMT"/>
          <w:szCs w:val="24"/>
          <w:lang w:val="it-IT"/>
        </w:rPr>
        <w:t>.</w:t>
      </w:r>
    </w:p>
    <w:p w:rsidR="00B32D81" w:rsidRPr="000F280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val="it-IT" w:eastAsia="it-IT"/>
        </w:rPr>
      </w:pPr>
    </w:p>
    <w:p w:rsidR="00F01FB3" w:rsidRPr="000F280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val="it-IT" w:eastAsia="it-IT"/>
        </w:rPr>
      </w:pP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3) COME FUNZIONA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? </w:t>
      </w: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lang w:val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</w:t>
      </w:r>
      <w:r w:rsidRPr="00F31307">
        <w:rPr>
          <w:snapToGrid w:val="0"/>
          <w:lang w:val="it-IT"/>
        </w:rPr>
        <w:t xml:space="preserve">, il cui codice ATC è </w:t>
      </w:r>
      <w:r w:rsidRPr="00F31307">
        <w:rPr>
          <w:lang w:val="it-IT"/>
        </w:rPr>
        <w:t>D01AC07,</w:t>
      </w:r>
      <w:r w:rsidRPr="00F31307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F31307">
        <w:rPr>
          <w:rFonts w:eastAsia="Calibri" w:cs="Calibri"/>
          <w:color w:val="000000"/>
          <w:lang w:val="it-IT" w:eastAsia="it-IT"/>
        </w:rPr>
        <w:t xml:space="preserve">contiene il principio attivo </w:t>
      </w:r>
      <w:proofErr w:type="spellStart"/>
      <w:r w:rsidRPr="00F31307">
        <w:rPr>
          <w:snapToGrid w:val="0"/>
          <w:lang w:val="it-IT"/>
        </w:rPr>
        <w:t>tioconazolo</w:t>
      </w:r>
      <w:proofErr w:type="spellEnd"/>
      <w:r w:rsidRPr="00F31307">
        <w:rPr>
          <w:lang w:val="it-IT"/>
        </w:rPr>
        <w:t xml:space="preserve"> che è un potente antimicotico imidazolico, ad ampio spettro, che ha dimostrato </w:t>
      </w:r>
      <w:r w:rsidR="004424A4" w:rsidRPr="004424A4">
        <w:rPr>
          <w:lang w:val="it-IT"/>
        </w:rPr>
        <w:t xml:space="preserve">in vitro </w:t>
      </w:r>
      <w:r w:rsidRPr="00F31307">
        <w:rPr>
          <w:lang w:val="it-IT"/>
        </w:rPr>
        <w:t xml:space="preserve">un'attività fungicida nei confronti di lieviti, dermatofiti </w:t>
      </w:r>
      <w:r w:rsidR="004424A4" w:rsidRPr="004424A4">
        <w:rPr>
          <w:lang w:val="it-IT"/>
        </w:rPr>
        <w:t>patogeni ed altri</w:t>
      </w:r>
      <w:r w:rsidRPr="00F31307">
        <w:rPr>
          <w:lang w:val="it-IT"/>
        </w:rPr>
        <w:t xml:space="preserve"> miceti e un’attività antibatterica contro alcuni germi Gram-positivi.</w:t>
      </w:r>
    </w:p>
    <w:p w:rsidR="004241AC" w:rsidRPr="000F2801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lang w:val="it-IT"/>
        </w:rPr>
      </w:pPr>
    </w:p>
    <w:p w:rsidR="00F01FB3" w:rsidRPr="000F280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lang w:val="it-IT"/>
        </w:rPr>
      </w:pP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b/>
          <w:bCs/>
          <w:lang w:val="it-IT" w:eastAsia="it-IT"/>
        </w:rPr>
        <w:t xml:space="preserve">4) COME È STATO STUDIATO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? </w:t>
      </w:r>
      <w:r w:rsidRPr="00F31307">
        <w:rPr>
          <w:rFonts w:eastAsia="Calibri" w:cs="Calibri"/>
          <w:b/>
          <w:bCs/>
          <w:lang w:val="it-IT" w:eastAsia="it-IT"/>
        </w:rPr>
        <w:t xml:space="preserve"> </w:t>
      </w:r>
    </w:p>
    <w:p w:rsidR="00F01FB3" w:rsidRPr="000F2801" w:rsidRDefault="00F31307" w:rsidP="00F01FB3">
      <w:pPr>
        <w:spacing w:after="0" w:line="240" w:lineRule="auto"/>
        <w:jc w:val="both"/>
        <w:rPr>
          <w:rFonts w:cs="Arial"/>
          <w:lang w:val="it-IT"/>
        </w:rPr>
      </w:pPr>
      <w:r w:rsidRPr="00F31307">
        <w:rPr>
          <w:rFonts w:cs="Arial"/>
          <w:lang w:val="it-IT"/>
        </w:rPr>
        <w:t xml:space="preserve">Poiché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F31307">
        <w:rPr>
          <w:rFonts w:cs="Arial"/>
          <w:lang w:val="it-IT"/>
        </w:rPr>
        <w:t>è un medicinale generico ed è somministrato come smalto medicato per unghie, non è stato necessario effettuare ulteriori studi clinici.</w:t>
      </w: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5A2741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  <w:r w:rsidRPr="00F31307">
        <w:rPr>
          <w:rFonts w:eastAsia="Calibri" w:cs="Calibri"/>
          <w:b/>
          <w:bCs/>
          <w:lang w:val="it-IT" w:eastAsia="it-IT"/>
        </w:rPr>
        <w:t xml:space="preserve">5) QUAL È IL RAPPORTO BENEFICIO/RISCHIO di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? </w:t>
      </w: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</w:t>
      </w:r>
      <w:r w:rsidRPr="00F31307">
        <w:rPr>
          <w:rFonts w:eastAsia="Calibri" w:cs="Calibri"/>
          <w:lang w:val="it-IT" w:eastAsia="it-IT"/>
        </w:rPr>
        <w:t xml:space="preserve">è un medicinale </w:t>
      </w:r>
      <w:r w:rsidR="009D61AA" w:rsidRPr="00C53128">
        <w:rPr>
          <w:rFonts w:eastAsia="Calibri" w:cs="Calibri"/>
          <w:lang w:val="it-IT" w:eastAsia="it-IT"/>
        </w:rPr>
        <w:t>generico</w:t>
      </w:r>
      <w:r w:rsidR="00C53128" w:rsidRPr="00C53128">
        <w:rPr>
          <w:rFonts w:eastAsia="Calibri" w:cs="Calibri"/>
          <w:lang w:val="it-IT" w:eastAsia="it-IT"/>
        </w:rPr>
        <w:t>;</w:t>
      </w:r>
      <w:r w:rsidRPr="00C53128">
        <w:rPr>
          <w:rFonts w:eastAsia="Calibri" w:cs="Calibri"/>
          <w:lang w:val="it-IT" w:eastAsia="it-IT"/>
        </w:rPr>
        <w:t xml:space="preserve"> pertanto</w:t>
      </w:r>
      <w:r w:rsidRPr="00F31307">
        <w:rPr>
          <w:rFonts w:eastAsia="Calibri" w:cs="Calibri"/>
          <w:lang w:val="it-IT" w:eastAsia="it-IT"/>
        </w:rPr>
        <w:t xml:space="preserve">, i suoi benefici e rischi sono sovrapponibili a quelli del medicinale di riferimento. </w:t>
      </w: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b/>
          <w:bCs/>
          <w:lang w:val="it-IT" w:eastAsia="it-IT"/>
        </w:rPr>
        <w:t xml:space="preserve">6) PERCHE’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/>
          <w:bCs/>
          <w:color w:val="000000"/>
          <w:lang w:val="it-IT" w:eastAsia="it-IT"/>
        </w:rPr>
        <w:t xml:space="preserve"> </w:t>
      </w:r>
      <w:r w:rsidRPr="00F31307">
        <w:rPr>
          <w:rFonts w:eastAsia="Calibri" w:cs="Calibri"/>
          <w:b/>
          <w:bCs/>
          <w:lang w:val="it-IT" w:eastAsia="it-IT"/>
        </w:rPr>
        <w:t xml:space="preserve">E’ STATO APPROVATO? </w:t>
      </w: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lang w:val="it-IT" w:eastAsia="it-IT"/>
        </w:rPr>
        <w:t>La Commissione Tecnico Scientifica (CTS), nella seduta del 14-</w:t>
      </w:r>
      <w:r w:rsidR="004424A4">
        <w:rPr>
          <w:rFonts w:eastAsia="Calibri" w:cs="Calibri"/>
          <w:lang w:val="it-IT" w:eastAsia="it-IT"/>
        </w:rPr>
        <w:t>15-</w:t>
      </w:r>
      <w:r w:rsidRPr="00F31307">
        <w:rPr>
          <w:rFonts w:eastAsia="Calibri" w:cs="Calibri"/>
          <w:lang w:val="it-IT" w:eastAsia="it-IT"/>
        </w:rPr>
        <w:t xml:space="preserve">16 giugno 2017 ha concluso che, conformemente ai requisiti della normativa vigente, come nel caso del medicinale di riferimento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Trosyd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>,</w:t>
      </w:r>
      <w:r w:rsidRPr="00F31307">
        <w:rPr>
          <w:rFonts w:eastAsia="Calibri" w:cs="Calibri"/>
          <w:lang w:val="it-IT" w:eastAsia="it-IT"/>
        </w:rPr>
        <w:t xml:space="preserve"> i benefici di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</w:t>
      </w:r>
      <w:r w:rsidRPr="00F31307">
        <w:rPr>
          <w:rFonts w:eastAsia="Calibri" w:cs="Calibri"/>
          <w:lang w:val="it-IT" w:eastAsia="it-IT"/>
        </w:rPr>
        <w:t>siano superiori ai rischi individuati. La CTS ha, inoltre, definito le modalità di prescrizione di cui al punto 2) di questo Riassunto e la classe di rimborsabilità del medicinale (</w:t>
      </w:r>
      <w:proofErr w:type="spellStart"/>
      <w:r w:rsidRPr="00F31307">
        <w:rPr>
          <w:rFonts w:eastAsia="Calibri" w:cs="Calibri"/>
          <w:lang w:val="it-IT" w:eastAsia="it-IT"/>
        </w:rPr>
        <w:t>Cbis</w:t>
      </w:r>
      <w:proofErr w:type="spellEnd"/>
      <w:r w:rsidRPr="00F31307">
        <w:rPr>
          <w:rFonts w:eastAsia="Calibri" w:cs="Calibri"/>
          <w:lang w:val="it-IT" w:eastAsia="it-IT"/>
        </w:rPr>
        <w:t xml:space="preserve">). </w:t>
      </w: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b/>
          <w:bCs/>
          <w:lang w:val="it-IT" w:eastAsia="it-IT"/>
        </w:rPr>
        <w:t xml:space="preserve">7) QUALI MISURE SONO STATE PRESE PER ASSICURARE LA SICUREZZA E L’EFFICACIA NELL’USO </w:t>
      </w:r>
      <w:proofErr w:type="spellStart"/>
      <w:r w:rsidRPr="00F31307">
        <w:rPr>
          <w:rFonts w:eastAsia="Calibri" w:cs="Calibri"/>
          <w:b/>
          <w:bCs/>
          <w:lang w:val="it-IT" w:eastAsia="it-IT"/>
        </w:rPr>
        <w:t>DI</w:t>
      </w:r>
      <w:proofErr w:type="spellEnd"/>
      <w:r w:rsidRPr="00F31307">
        <w:rPr>
          <w:rFonts w:eastAsia="Calibri" w:cs="Calibri"/>
          <w:b/>
          <w:bCs/>
          <w:lang w:val="it-IT" w:eastAsia="it-IT"/>
        </w:rPr>
        <w:t xml:space="preserve">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/>
          <w:bCs/>
          <w:color w:val="000000"/>
          <w:lang w:val="it-IT" w:eastAsia="it-IT"/>
        </w:rPr>
        <w:t>?</w:t>
      </w: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lang w:val="it-IT"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lang w:val="it-IT" w:eastAsia="it-IT"/>
        </w:rPr>
        <w:t>.</w:t>
      </w: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0F280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5A2741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  <w:r w:rsidRPr="00F31307">
        <w:rPr>
          <w:rFonts w:eastAsia="Calibri" w:cs="Calibri"/>
          <w:b/>
          <w:bCs/>
          <w:lang w:val="it-IT" w:eastAsia="it-IT"/>
        </w:rPr>
        <w:t xml:space="preserve">8) ALTRE INFORMAZIONI RELATIVE A </w:t>
      </w:r>
      <w:proofErr w:type="spellStart"/>
      <w:r w:rsidRPr="00F31307">
        <w:rPr>
          <w:rFonts w:eastAsia="Calibri" w:cs="Calibri"/>
          <w:b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/>
          <w:color w:val="000000"/>
          <w:lang w:val="it-IT" w:eastAsia="it-IT"/>
        </w:rPr>
        <w:t xml:space="preserve"> Ipso Pharma</w:t>
      </w: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val="it-IT" w:eastAsia="it-IT"/>
        </w:rPr>
      </w:pPr>
      <w:r w:rsidRPr="00F31307">
        <w:rPr>
          <w:rFonts w:eastAsia="Calibri" w:cs="Calibri"/>
          <w:bCs/>
          <w:iCs/>
          <w:lang w:val="it-IT" w:eastAsia="it-IT"/>
        </w:rPr>
        <w:t xml:space="preserve">Il </w:t>
      </w:r>
      <w:r w:rsidR="009D61AA">
        <w:rPr>
          <w:rFonts w:eastAsia="Calibri" w:cs="Calibri"/>
          <w:bCs/>
          <w:iCs/>
          <w:lang w:val="it-IT" w:eastAsia="it-IT"/>
        </w:rPr>
        <w:t>18</w:t>
      </w:r>
      <w:r w:rsidR="00A31145">
        <w:rPr>
          <w:rFonts w:eastAsia="Calibri" w:cs="Calibri"/>
          <w:bCs/>
          <w:iCs/>
          <w:lang w:val="it-IT" w:eastAsia="it-IT"/>
        </w:rPr>
        <w:t>.</w:t>
      </w:r>
      <w:r w:rsidR="009D61AA">
        <w:rPr>
          <w:rFonts w:eastAsia="Calibri" w:cs="Calibri"/>
          <w:bCs/>
          <w:iCs/>
          <w:lang w:val="it-IT" w:eastAsia="it-IT"/>
        </w:rPr>
        <w:t>10</w:t>
      </w:r>
      <w:r w:rsidR="00A31145">
        <w:rPr>
          <w:rFonts w:eastAsia="Calibri" w:cs="Calibri"/>
          <w:bCs/>
          <w:iCs/>
          <w:lang w:val="it-IT" w:eastAsia="it-IT"/>
        </w:rPr>
        <w:t>.</w:t>
      </w:r>
      <w:r w:rsidR="009D61AA">
        <w:rPr>
          <w:rFonts w:eastAsia="Calibri" w:cs="Calibri"/>
          <w:bCs/>
          <w:iCs/>
          <w:lang w:val="it-IT" w:eastAsia="it-IT"/>
        </w:rPr>
        <w:t>2017</w:t>
      </w:r>
      <w:r w:rsidRPr="00F31307">
        <w:rPr>
          <w:rFonts w:eastAsia="Calibri" w:cs="Calibri"/>
          <w:bCs/>
          <w:iCs/>
          <w:lang w:val="it-IT" w:eastAsia="it-IT"/>
        </w:rPr>
        <w:t xml:space="preserve"> l’AIFA ha rilasciato l’autorizzazione all’immissione in commercio di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Cs/>
          <w:lang w:val="it-IT" w:eastAsia="it-IT"/>
        </w:rPr>
        <w:t xml:space="preserve">. </w:t>
      </w:r>
    </w:p>
    <w:p w:rsidR="007935FE" w:rsidRPr="000F280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7935FE" w:rsidRPr="000F2801" w:rsidRDefault="00F31307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lang w:val="it-IT" w:eastAsia="it-IT"/>
        </w:rPr>
        <w:t xml:space="preserve">La Relazione Pubblica di Valutazione completa segue questo Riassunto. </w:t>
      </w:r>
    </w:p>
    <w:p w:rsidR="004241AC" w:rsidRPr="000F2801" w:rsidRDefault="00F31307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lang w:val="it-IT" w:eastAsia="it-IT"/>
        </w:rPr>
        <w:t xml:space="preserve">Per maggiori informazioni riguardo il trattamento con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</w:t>
      </w:r>
      <w:r w:rsidRPr="00F31307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F31307">
        <w:rPr>
          <w:rFonts w:eastAsia="Calibri" w:cs="Calibri"/>
          <w:lang w:val="it-IT" w:eastAsia="it-IT"/>
        </w:rPr>
        <w:t>si può leggere il foglio illustrativo (</w:t>
      </w:r>
      <w:hyperlink r:id="rId6" w:history="1">
        <w:r w:rsidRPr="00F31307">
          <w:rPr>
            <w:rStyle w:val="Collegamentoipertestuale"/>
            <w:rFonts w:eastAsia="Calibri" w:cs="Calibri"/>
            <w:lang w:val="it-IT" w:eastAsia="it-IT"/>
          </w:rPr>
          <w:t>https://farmaci.agenziafarmaco.gov.it/bancadatifarmaci</w:t>
        </w:r>
      </w:hyperlink>
      <w:r w:rsidRPr="00F31307">
        <w:rPr>
          <w:rFonts w:eastAsia="Calibri" w:cs="Calibri"/>
          <w:lang w:val="it-IT" w:eastAsia="it-IT"/>
        </w:rPr>
        <w:t xml:space="preserve">) o contattare il medico o il farmacista. </w:t>
      </w:r>
    </w:p>
    <w:p w:rsidR="004241AC" w:rsidRPr="000F2801" w:rsidRDefault="004241AC" w:rsidP="00B32D81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0F2801" w:rsidRDefault="004241AC" w:rsidP="00B32D81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9D61AA" w:rsidRPr="00334730" w:rsidRDefault="00F31307" w:rsidP="009D61AA">
      <w:pPr>
        <w:spacing w:after="0" w:line="240" w:lineRule="auto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lang w:val="it-IT" w:eastAsia="it-IT"/>
        </w:rPr>
        <w:t xml:space="preserve">Questo riassunto è stato redatto in data </w:t>
      </w:r>
      <w:r w:rsidR="009D61AA">
        <w:rPr>
          <w:rFonts w:eastAsia="Calibri" w:cs="Calibri"/>
          <w:lang w:val="it-IT" w:eastAsia="it-IT"/>
        </w:rPr>
        <w:t>29</w:t>
      </w:r>
      <w:r w:rsidR="009D61AA" w:rsidRPr="001708B0">
        <w:rPr>
          <w:rFonts w:eastAsia="Calibri" w:cs="Calibri"/>
          <w:lang w:val="it-IT" w:eastAsia="it-IT"/>
        </w:rPr>
        <w:t>.09.2017</w:t>
      </w:r>
    </w:p>
    <w:p w:rsidR="004241AC" w:rsidRPr="000F2801" w:rsidRDefault="004241AC" w:rsidP="00B32D81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0F2801" w:rsidRDefault="004241AC" w:rsidP="00B32D81">
      <w:pPr>
        <w:spacing w:after="0" w:line="240" w:lineRule="auto"/>
        <w:jc w:val="both"/>
        <w:rPr>
          <w:lang w:val="it-IT"/>
        </w:rPr>
      </w:pPr>
    </w:p>
    <w:p w:rsidR="004241AC" w:rsidRPr="000F2801" w:rsidRDefault="004241AC" w:rsidP="00B32D81">
      <w:pPr>
        <w:spacing w:after="0" w:line="240" w:lineRule="auto"/>
        <w:jc w:val="both"/>
        <w:rPr>
          <w:lang w:val="it-IT"/>
        </w:rPr>
      </w:pPr>
    </w:p>
    <w:p w:rsidR="009A260F" w:rsidRPr="000F2801" w:rsidRDefault="009A260F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5773A6" w:rsidRPr="000F2801" w:rsidRDefault="005773A6" w:rsidP="00B32D81">
      <w:pPr>
        <w:spacing w:after="0" w:line="240" w:lineRule="auto"/>
        <w:jc w:val="center"/>
        <w:rPr>
          <w:b/>
          <w:sz w:val="28"/>
          <w:lang w:val="it-IT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0F2801" w:rsidRDefault="00F31307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lang w:val="it-IT"/>
        </w:rPr>
      </w:pPr>
      <w:r w:rsidRPr="00F31307">
        <w:rPr>
          <w:b/>
          <w:lang w:val="it-IT"/>
        </w:rPr>
        <w:t>CONCLUSIONI, VALUTAZIONE DEL RAPPORTO BENEFICIO/RISCHIO E RACCOMANDAZIONI</w:t>
      </w: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935FE" w:rsidRDefault="007935FE" w:rsidP="00B32D81">
      <w:pPr>
        <w:spacing w:after="0" w:line="240" w:lineRule="auto"/>
        <w:rPr>
          <w:lang w:val="it-IT"/>
        </w:rPr>
      </w:pPr>
    </w:p>
    <w:p w:rsidR="00A31145" w:rsidRPr="000F2801" w:rsidRDefault="00A31145" w:rsidP="00B32D81">
      <w:pPr>
        <w:spacing w:after="0" w:line="240" w:lineRule="auto"/>
        <w:rPr>
          <w:lang w:val="it-IT"/>
        </w:rPr>
      </w:pPr>
    </w:p>
    <w:p w:rsidR="007935FE" w:rsidRPr="000F2801" w:rsidRDefault="007935FE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0F2801" w:rsidRDefault="00F31307" w:rsidP="00502AB1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Sulla base dei dati di qualità, sicurezza ed efficacia, l’AIFA ha rilasciato a Ipso Pharma l’autorizzazione all’immissione in commercio (AIC) per il medicinale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</w:t>
      </w:r>
      <w:r w:rsidRPr="00F31307">
        <w:rPr>
          <w:rFonts w:eastAsia="Calibri" w:cs="Calibri"/>
          <w:bCs/>
          <w:iCs/>
          <w:lang w:val="it-IT" w:eastAsia="it-IT"/>
        </w:rPr>
        <w:t xml:space="preserve">il </w:t>
      </w:r>
      <w:r w:rsidR="009D61AA">
        <w:rPr>
          <w:rFonts w:eastAsia="Calibri" w:cs="Calibri"/>
          <w:bCs/>
          <w:iCs/>
          <w:lang w:val="it-IT" w:eastAsia="it-IT"/>
        </w:rPr>
        <w:t>18</w:t>
      </w:r>
      <w:r w:rsidR="00A31145">
        <w:rPr>
          <w:rFonts w:eastAsia="Calibri" w:cs="Calibri"/>
          <w:bCs/>
          <w:iCs/>
          <w:lang w:val="it-IT" w:eastAsia="it-IT"/>
        </w:rPr>
        <w:t>.</w:t>
      </w:r>
      <w:r w:rsidR="009D61AA">
        <w:rPr>
          <w:rFonts w:eastAsia="Calibri" w:cs="Calibri"/>
          <w:bCs/>
          <w:iCs/>
          <w:lang w:val="it-IT" w:eastAsia="it-IT"/>
        </w:rPr>
        <w:t>10</w:t>
      </w:r>
      <w:r w:rsidR="00A31145">
        <w:rPr>
          <w:rFonts w:eastAsia="Calibri" w:cs="Calibri"/>
          <w:bCs/>
          <w:iCs/>
          <w:lang w:val="it-IT" w:eastAsia="it-IT"/>
        </w:rPr>
        <w:t>.</w:t>
      </w:r>
      <w:r w:rsidR="009D61AA">
        <w:rPr>
          <w:rFonts w:eastAsia="Calibri" w:cs="Calibri"/>
          <w:bCs/>
          <w:iCs/>
          <w:lang w:val="it-IT" w:eastAsia="it-IT"/>
        </w:rPr>
        <w:t>2017</w:t>
      </w:r>
      <w:r w:rsidRPr="00F31307">
        <w:rPr>
          <w:lang w:val="it-IT"/>
        </w:rPr>
        <w:t xml:space="preserve">  </w:t>
      </w:r>
    </w:p>
    <w:p w:rsidR="007C68D2" w:rsidRPr="000F2801" w:rsidRDefault="007C68D2" w:rsidP="00502AB1">
      <w:pPr>
        <w:spacing w:after="0" w:line="240" w:lineRule="auto"/>
        <w:jc w:val="both"/>
        <w:rPr>
          <w:lang w:val="it-IT"/>
        </w:rPr>
      </w:pPr>
    </w:p>
    <w:p w:rsidR="007C68D2" w:rsidRPr="000F2801" w:rsidRDefault="00F31307" w:rsidP="00502AB1">
      <w:pPr>
        <w:spacing w:after="0" w:line="240" w:lineRule="auto"/>
        <w:jc w:val="both"/>
        <w:rPr>
          <w:rFonts w:cs="Arial"/>
          <w:lang w:val="it-IT"/>
        </w:rPr>
      </w:pPr>
      <w:proofErr w:type="spellStart"/>
      <w:r w:rsidRPr="00F31307">
        <w:rPr>
          <w:rFonts w:cs="Arial"/>
          <w:lang w:val="it-IT"/>
        </w:rPr>
        <w:t>Tioconazolo</w:t>
      </w:r>
      <w:proofErr w:type="spellEnd"/>
      <w:r w:rsidRPr="00F31307">
        <w:rPr>
          <w:rFonts w:cs="Arial"/>
          <w:lang w:val="it-IT"/>
        </w:rPr>
        <w:t xml:space="preserve"> Ipso Pharma è un medicinale di automedicazione (OTC) e non necessita di prescrizione del medico.</w:t>
      </w:r>
    </w:p>
    <w:p w:rsidR="001A31E9" w:rsidRPr="000F2801" w:rsidRDefault="001A31E9" w:rsidP="00502AB1">
      <w:pPr>
        <w:spacing w:after="0" w:line="240" w:lineRule="auto"/>
        <w:jc w:val="both"/>
        <w:rPr>
          <w:lang w:val="it-IT"/>
        </w:rPr>
      </w:pPr>
    </w:p>
    <w:p w:rsidR="007C68D2" w:rsidRPr="000F2801" w:rsidRDefault="00F31307" w:rsidP="00502AB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Questa procedura è stata presentata ai sensi dell’art. 10(3) della Direttiva 2001/83/EU </w:t>
      </w:r>
      <w:proofErr w:type="spellStart"/>
      <w:r w:rsidRPr="00F31307">
        <w:rPr>
          <w:lang w:val="it-IT"/>
        </w:rPr>
        <w:t>s.m.i.</w:t>
      </w:r>
      <w:proofErr w:type="spellEnd"/>
    </w:p>
    <w:p w:rsidR="007C68D2" w:rsidRPr="000F280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val="it-IT" w:eastAsia="it-IT"/>
        </w:rPr>
      </w:pPr>
    </w:p>
    <w:p w:rsidR="007C68D2" w:rsidRPr="000F2801" w:rsidRDefault="00F31307" w:rsidP="00502AB1">
      <w:pPr>
        <w:widowControl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proofErr w:type="spellStart"/>
      <w:r w:rsidRPr="00F31307">
        <w:rPr>
          <w:rFonts w:eastAsia="Calibri" w:cs="Calibri"/>
          <w:bCs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bCs/>
          <w:color w:val="000000"/>
          <w:lang w:val="it-IT" w:eastAsia="it-IT"/>
        </w:rPr>
        <w:t xml:space="preserve"> Ipso Pharma </w:t>
      </w:r>
      <w:r w:rsidRPr="00F31307">
        <w:rPr>
          <w:rFonts w:eastAsia="Calibri" w:cs="Calibri"/>
          <w:color w:val="000000"/>
          <w:lang w:val="it-IT" w:eastAsia="it-IT"/>
        </w:rPr>
        <w:t xml:space="preserve">è un medicinale generico contenente il principio attivo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presente nel medicinale di riferimento </w:t>
      </w:r>
      <w:proofErr w:type="spellStart"/>
      <w:r w:rsidRPr="00F31307">
        <w:rPr>
          <w:rFonts w:eastAsia="Calibri" w:cs="Calibri"/>
          <w:color w:val="000000"/>
          <w:lang w:val="it-IT" w:eastAsia="it-IT"/>
        </w:rPr>
        <w:t>Trosyd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>, autorizzato in Italia da più di 10 anni.</w:t>
      </w:r>
    </w:p>
    <w:p w:rsidR="007C68D2" w:rsidRPr="000F2801" w:rsidRDefault="007C68D2" w:rsidP="00502AB1">
      <w:pPr>
        <w:spacing w:after="0" w:line="240" w:lineRule="auto"/>
        <w:jc w:val="both"/>
        <w:rPr>
          <w:highlight w:val="yellow"/>
          <w:lang w:val="it-IT"/>
        </w:rPr>
      </w:pPr>
    </w:p>
    <w:p w:rsidR="007935FE" w:rsidRPr="000F2801" w:rsidRDefault="00F31307" w:rsidP="005773A6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</w:t>
      </w:r>
      <w:r w:rsidRPr="00F31307">
        <w:rPr>
          <w:snapToGrid w:val="0"/>
          <w:lang w:val="it-IT"/>
        </w:rPr>
        <w:t xml:space="preserve">, il cui codice ATC è </w:t>
      </w:r>
      <w:r w:rsidRPr="00F31307">
        <w:rPr>
          <w:lang w:val="it-IT"/>
        </w:rPr>
        <w:t>D01AC07,</w:t>
      </w:r>
      <w:r w:rsidRPr="00F31307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F31307">
        <w:rPr>
          <w:rFonts w:eastAsia="Calibri" w:cs="Calibri"/>
          <w:color w:val="000000"/>
          <w:lang w:val="it-IT" w:eastAsia="it-IT"/>
        </w:rPr>
        <w:t xml:space="preserve">contiene il principio attivo </w:t>
      </w:r>
      <w:proofErr w:type="spellStart"/>
      <w:r w:rsidRPr="00F31307">
        <w:rPr>
          <w:snapToGrid w:val="0"/>
          <w:lang w:val="it-IT"/>
        </w:rPr>
        <w:t>tioconazolo</w:t>
      </w:r>
      <w:proofErr w:type="spellEnd"/>
      <w:r w:rsidRPr="00F31307">
        <w:rPr>
          <w:lang w:val="it-IT"/>
        </w:rPr>
        <w:t xml:space="preserve"> </w:t>
      </w:r>
      <w:r w:rsidR="004424A4" w:rsidRPr="004424A4">
        <w:rPr>
          <w:iCs/>
          <w:lang w:val="it-IT"/>
        </w:rPr>
        <w:t>che ha dimostrato in vitro un'</w:t>
      </w:r>
      <w:r w:rsidRPr="00F31307">
        <w:rPr>
          <w:iCs/>
          <w:lang w:val="it-IT"/>
        </w:rPr>
        <w:t xml:space="preserve"> </w:t>
      </w:r>
      <w:r w:rsidRPr="00F31307">
        <w:rPr>
          <w:lang w:val="it-IT"/>
        </w:rPr>
        <w:t xml:space="preserve">attività fungicida nei confronti di lieviti quali </w:t>
      </w:r>
      <w:r w:rsidRPr="00F31307">
        <w:rPr>
          <w:i/>
          <w:lang w:val="it-IT"/>
        </w:rPr>
        <w:t xml:space="preserve">Candida </w:t>
      </w:r>
      <w:proofErr w:type="spellStart"/>
      <w:r w:rsidRPr="00F31307">
        <w:rPr>
          <w:i/>
          <w:lang w:val="it-IT"/>
        </w:rPr>
        <w:t>albicans</w:t>
      </w:r>
      <w:proofErr w:type="spellEnd"/>
      <w:r w:rsidRPr="00F31307">
        <w:rPr>
          <w:lang w:val="it-IT"/>
        </w:rPr>
        <w:t xml:space="preserve"> ed altre specie di Candida, di dermatofiti patogeni ed altri miceti, altresì dotato di attività antibatterica contro alcuni germi Gram-positivi, di attività </w:t>
      </w:r>
      <w:proofErr w:type="spellStart"/>
      <w:r w:rsidRPr="00F31307">
        <w:rPr>
          <w:lang w:val="it-IT"/>
        </w:rPr>
        <w:t>anti-</w:t>
      </w:r>
      <w:r w:rsidRPr="00F31307">
        <w:rPr>
          <w:i/>
          <w:lang w:val="it-IT"/>
        </w:rPr>
        <w:t>Trichomonas</w:t>
      </w:r>
      <w:proofErr w:type="spellEnd"/>
      <w:r w:rsidRPr="00F31307">
        <w:rPr>
          <w:lang w:val="it-IT"/>
        </w:rPr>
        <w:t xml:space="preserve"> e </w:t>
      </w:r>
      <w:proofErr w:type="spellStart"/>
      <w:r w:rsidRPr="00F31307">
        <w:rPr>
          <w:lang w:val="it-IT"/>
        </w:rPr>
        <w:t>anti-</w:t>
      </w:r>
      <w:r w:rsidRPr="00F31307">
        <w:rPr>
          <w:i/>
          <w:lang w:val="it-IT"/>
        </w:rPr>
        <w:t>Gardnerella</w:t>
      </w:r>
      <w:proofErr w:type="spellEnd"/>
      <w:r w:rsidRPr="00F31307">
        <w:rPr>
          <w:i/>
          <w:lang w:val="it-IT"/>
        </w:rPr>
        <w:t xml:space="preserve"> </w:t>
      </w:r>
      <w:proofErr w:type="spellStart"/>
      <w:r w:rsidRPr="00F31307">
        <w:rPr>
          <w:i/>
          <w:lang w:val="it-IT"/>
        </w:rPr>
        <w:t>vaginalis</w:t>
      </w:r>
      <w:proofErr w:type="spellEnd"/>
      <w:r w:rsidRPr="00F31307">
        <w:rPr>
          <w:lang w:val="it-IT"/>
        </w:rPr>
        <w:t>, proprietà utili nella terapia delle infezioni miste da funghi e batteri.</w:t>
      </w:r>
    </w:p>
    <w:p w:rsidR="005773A6" w:rsidRPr="000F2801" w:rsidRDefault="005773A6" w:rsidP="005773A6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  <w:lang w:val="it-IT"/>
        </w:rPr>
      </w:pPr>
    </w:p>
    <w:p w:rsidR="00502AB1" w:rsidRPr="000F2801" w:rsidRDefault="00F31307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è utilizzato per il t</w:t>
      </w:r>
      <w:r w:rsidRPr="00F31307">
        <w:rPr>
          <w:rFonts w:cs="Times New Roman"/>
          <w:lang w:val="it-IT"/>
        </w:rPr>
        <w:t>rattamento di o</w:t>
      </w:r>
      <w:r w:rsidRPr="00F31307">
        <w:rPr>
          <w:lang w:val="it-IT"/>
        </w:rPr>
        <w:t>nicomicosi causate da dermatofiti e lieviti. Per la concomitante attività antibatterica, è particolarmente indicata nelle infezioni miste delle unghie.</w:t>
      </w:r>
    </w:p>
    <w:p w:rsidR="007C68D2" w:rsidRPr="000F2801" w:rsidRDefault="007C68D2" w:rsidP="00502AB1">
      <w:pPr>
        <w:spacing w:after="0" w:line="240" w:lineRule="auto"/>
        <w:jc w:val="both"/>
        <w:rPr>
          <w:lang w:val="it-IT"/>
        </w:rPr>
      </w:pPr>
    </w:p>
    <w:p w:rsidR="007935FE" w:rsidRPr="000F2801" w:rsidRDefault="00F31307" w:rsidP="00502AB1">
      <w:pPr>
        <w:spacing w:after="0" w:line="240" w:lineRule="auto"/>
        <w:jc w:val="both"/>
        <w:rPr>
          <w:rFonts w:cs="Arial"/>
          <w:lang w:val="it-IT"/>
        </w:rPr>
      </w:pPr>
      <w:r w:rsidRPr="00F31307">
        <w:rPr>
          <w:lang w:val="it-IT"/>
        </w:rPr>
        <w:t xml:space="preserve">Poiché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contiene un principio attivo noto, non sono stati forniti nuovi dati non clinici e clinici: questo approccio è accettabile poiché il medicinale di riferimento </w:t>
      </w:r>
      <w:proofErr w:type="spellStart"/>
      <w:r w:rsidRPr="00F31307">
        <w:rPr>
          <w:lang w:val="it-IT"/>
        </w:rPr>
        <w:t>Trosyd</w:t>
      </w:r>
      <w:proofErr w:type="spellEnd"/>
      <w:r w:rsidRPr="00F31307">
        <w:rPr>
          <w:lang w:val="it-IT"/>
        </w:rPr>
        <w:t xml:space="preserve"> è autorizzato in Italia da oltre 10 anni; poiché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</w:t>
      </w:r>
      <w:r w:rsidRPr="00F31307">
        <w:rPr>
          <w:rFonts w:cs="Arial"/>
          <w:lang w:val="it-IT"/>
        </w:rPr>
        <w:t>è somministrato come smalto medicato per unghie, è stata concessa l’esenzione dalla conduzione di studi clinici di confronto con il medicinale di riferimento.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Le officine coinvolte nella produzione sono conformi alle linee guida di Buona Pratica di Fabbricazione (</w:t>
      </w:r>
      <w:proofErr w:type="spellStart"/>
      <w:r w:rsidRPr="00F31307">
        <w:rPr>
          <w:i/>
          <w:lang w:val="it-IT"/>
        </w:rPr>
        <w:t>Good</w:t>
      </w:r>
      <w:proofErr w:type="spellEnd"/>
      <w:r w:rsidRPr="00F31307">
        <w:rPr>
          <w:i/>
          <w:lang w:val="it-IT"/>
        </w:rPr>
        <w:t xml:space="preserve"> Manufacturing </w:t>
      </w:r>
      <w:proofErr w:type="spellStart"/>
      <w:r w:rsidRPr="00F31307">
        <w:rPr>
          <w:i/>
          <w:lang w:val="it-IT"/>
        </w:rPr>
        <w:t>Practice</w:t>
      </w:r>
      <w:proofErr w:type="spellEnd"/>
      <w:r w:rsidRPr="00F31307">
        <w:rPr>
          <w:lang w:val="it-IT"/>
        </w:rPr>
        <w:t xml:space="preserve"> - GMP). Le autorità </w:t>
      </w:r>
      <w:proofErr w:type="spellStart"/>
      <w:r w:rsidRPr="00F31307">
        <w:rPr>
          <w:lang w:val="it-IT"/>
        </w:rPr>
        <w:t>regolatorie</w:t>
      </w:r>
      <w:proofErr w:type="spellEnd"/>
      <w:r w:rsidRPr="00F31307">
        <w:rPr>
          <w:lang w:val="it-IT"/>
        </w:rPr>
        <w:t xml:space="preserve"> competenti hanno rilasciato i certificati GMP per i siti di produzione sul territorio dell’Unione Europea.</w:t>
      </w:r>
    </w:p>
    <w:p w:rsidR="007C68D2" w:rsidRPr="000F2801" w:rsidRDefault="007C68D2" w:rsidP="00B32D81">
      <w:pPr>
        <w:spacing w:after="0" w:line="240" w:lineRule="auto"/>
        <w:jc w:val="both"/>
        <w:rPr>
          <w:highlight w:val="yellow"/>
          <w:lang w:val="it-IT"/>
        </w:rPr>
      </w:pP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31307">
        <w:rPr>
          <w:i/>
          <w:lang w:val="it-IT"/>
        </w:rPr>
        <w:t>Risk</w:t>
      </w:r>
      <w:proofErr w:type="spellEnd"/>
      <w:r w:rsidRPr="00F31307">
        <w:rPr>
          <w:i/>
          <w:lang w:val="it-IT"/>
        </w:rPr>
        <w:t xml:space="preserve"> Management </w:t>
      </w:r>
      <w:proofErr w:type="spellStart"/>
      <w:r w:rsidRPr="00F31307">
        <w:rPr>
          <w:i/>
          <w:lang w:val="it-IT"/>
        </w:rPr>
        <w:t>Plan</w:t>
      </w:r>
      <w:proofErr w:type="spellEnd"/>
      <w:r w:rsidRPr="00F31307">
        <w:rPr>
          <w:lang w:val="it-IT"/>
        </w:rPr>
        <w:t xml:space="preserve"> – RMP) accettabile.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1A31E9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A31E9">
        <w:rPr>
          <w:b/>
        </w:rPr>
        <w:t>ASPETTI DI QUALITA’</w:t>
      </w:r>
    </w:p>
    <w:p w:rsidR="007C68D2" w:rsidRPr="001A31E9" w:rsidRDefault="007C68D2" w:rsidP="00B32D81">
      <w:pPr>
        <w:spacing w:after="0" w:line="240" w:lineRule="auto"/>
        <w:jc w:val="both"/>
        <w:rPr>
          <w:b/>
        </w:rPr>
      </w:pPr>
      <w:r w:rsidRPr="001A31E9">
        <w:rPr>
          <w:b/>
        </w:rPr>
        <w:t xml:space="preserve">II.1 PRINCIPIO ATTIVO </w:t>
      </w:r>
      <w:r w:rsidR="005773A6" w:rsidRPr="001A31E9">
        <w:rPr>
          <w:b/>
        </w:rPr>
        <w:t>TIOCONAZOLO</w:t>
      </w:r>
      <w:r w:rsidR="00E14380" w:rsidRPr="001A31E9">
        <w:rPr>
          <w:b/>
        </w:rPr>
        <w:t xml:space="preserve"> </w:t>
      </w:r>
    </w:p>
    <w:p w:rsidR="001A31E9" w:rsidRPr="001A31E9" w:rsidRDefault="007C68D2" w:rsidP="001A31E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1A31E9">
        <w:rPr>
          <w:u w:val="single"/>
        </w:rPr>
        <w:t xml:space="preserve">Nome </w:t>
      </w:r>
      <w:proofErr w:type="spellStart"/>
      <w:r w:rsidRPr="001A31E9">
        <w:rPr>
          <w:u w:val="single"/>
        </w:rPr>
        <w:t>chimico</w:t>
      </w:r>
      <w:proofErr w:type="spellEnd"/>
      <w:r w:rsidRPr="001A31E9">
        <w:t xml:space="preserve">: </w:t>
      </w:r>
      <w:r w:rsidR="001A31E9" w:rsidRPr="001A31E9">
        <w:rPr>
          <w:rStyle w:val="s1"/>
          <w:rFonts w:asciiTheme="minorHAnsi" w:hAnsiTheme="minorHAnsi"/>
        </w:rPr>
        <w:t>1-[(2</w:t>
      </w:r>
      <w:r w:rsidR="001A31E9" w:rsidRPr="001A31E9">
        <w:rPr>
          <w:rStyle w:val="s1"/>
          <w:rFonts w:asciiTheme="minorHAnsi" w:hAnsiTheme="minorHAnsi"/>
          <w:i/>
          <w:iCs/>
        </w:rPr>
        <w:t>RS</w:t>
      </w:r>
      <w:r w:rsidR="001A31E9" w:rsidRPr="001A31E9">
        <w:rPr>
          <w:rStyle w:val="s1"/>
          <w:rFonts w:asciiTheme="minorHAnsi" w:hAnsiTheme="minorHAnsi"/>
        </w:rPr>
        <w:t>)-2-[(2-</w:t>
      </w:r>
      <w:r w:rsidR="004424A4" w:rsidRPr="001A31E9">
        <w:rPr>
          <w:rStyle w:val="s1"/>
          <w:rFonts w:asciiTheme="minorHAnsi" w:hAnsiTheme="minorHAnsi"/>
        </w:rPr>
        <w:t>C</w:t>
      </w:r>
      <w:r w:rsidR="004424A4">
        <w:rPr>
          <w:rStyle w:val="s1"/>
          <w:rFonts w:asciiTheme="minorHAnsi" w:hAnsiTheme="minorHAnsi"/>
        </w:rPr>
        <w:t>h</w:t>
      </w:r>
      <w:r w:rsidR="004424A4" w:rsidRPr="001A31E9">
        <w:rPr>
          <w:rStyle w:val="s1"/>
          <w:rFonts w:asciiTheme="minorHAnsi" w:hAnsiTheme="minorHAnsi"/>
        </w:rPr>
        <w:t>lorot</w:t>
      </w:r>
      <w:r w:rsidR="004424A4">
        <w:rPr>
          <w:rStyle w:val="s1"/>
          <w:rFonts w:asciiTheme="minorHAnsi" w:hAnsiTheme="minorHAnsi"/>
        </w:rPr>
        <w:t>h</w:t>
      </w:r>
      <w:r w:rsidR="004424A4" w:rsidRPr="001A31E9">
        <w:rPr>
          <w:rStyle w:val="s1"/>
          <w:rFonts w:asciiTheme="minorHAnsi" w:hAnsiTheme="minorHAnsi"/>
        </w:rPr>
        <w:t>io</w:t>
      </w:r>
      <w:r w:rsidR="004424A4">
        <w:rPr>
          <w:rStyle w:val="s1"/>
          <w:rFonts w:asciiTheme="minorHAnsi" w:hAnsiTheme="minorHAnsi"/>
        </w:rPr>
        <w:t>ph</w:t>
      </w:r>
      <w:r w:rsidR="004424A4" w:rsidRPr="001A31E9">
        <w:rPr>
          <w:rStyle w:val="s1"/>
          <w:rFonts w:asciiTheme="minorHAnsi" w:hAnsiTheme="minorHAnsi"/>
        </w:rPr>
        <w:t>en</w:t>
      </w:r>
      <w:r w:rsidR="001A31E9" w:rsidRPr="001A31E9">
        <w:rPr>
          <w:rStyle w:val="s1"/>
          <w:rFonts w:asciiTheme="minorHAnsi" w:hAnsiTheme="minorHAnsi"/>
        </w:rPr>
        <w:t>-3-yl)</w:t>
      </w:r>
      <w:r w:rsidR="004424A4" w:rsidRPr="001A31E9">
        <w:rPr>
          <w:rStyle w:val="s1"/>
          <w:rFonts w:asciiTheme="minorHAnsi" w:hAnsiTheme="minorHAnsi"/>
        </w:rPr>
        <w:t>met</w:t>
      </w:r>
      <w:r w:rsidR="004424A4">
        <w:rPr>
          <w:rStyle w:val="s1"/>
          <w:rFonts w:asciiTheme="minorHAnsi" w:hAnsiTheme="minorHAnsi"/>
        </w:rPr>
        <w:t>h</w:t>
      </w:r>
      <w:r w:rsidR="004424A4" w:rsidRPr="001A31E9">
        <w:rPr>
          <w:rStyle w:val="s1"/>
          <w:rFonts w:asciiTheme="minorHAnsi" w:hAnsiTheme="minorHAnsi"/>
        </w:rPr>
        <w:t>o</w:t>
      </w:r>
      <w:r w:rsidR="004424A4">
        <w:rPr>
          <w:rStyle w:val="s1"/>
          <w:rFonts w:asciiTheme="minorHAnsi" w:hAnsiTheme="minorHAnsi"/>
        </w:rPr>
        <w:t>x</w:t>
      </w:r>
      <w:r w:rsidR="004424A4" w:rsidRPr="001A31E9">
        <w:rPr>
          <w:rStyle w:val="s1"/>
          <w:rFonts w:asciiTheme="minorHAnsi" w:hAnsiTheme="minorHAnsi"/>
        </w:rPr>
        <w:t>y</w:t>
      </w:r>
      <w:r w:rsidR="001A31E9" w:rsidRPr="001A31E9">
        <w:rPr>
          <w:rStyle w:val="s1"/>
          <w:rFonts w:asciiTheme="minorHAnsi" w:hAnsiTheme="minorHAnsi"/>
        </w:rPr>
        <w:t>]-2-(2,4-</w:t>
      </w:r>
      <w:r w:rsidR="004424A4" w:rsidRPr="001A31E9">
        <w:rPr>
          <w:rStyle w:val="s1"/>
          <w:rFonts w:asciiTheme="minorHAnsi" w:hAnsiTheme="minorHAnsi"/>
        </w:rPr>
        <w:t>dic</w:t>
      </w:r>
      <w:r w:rsidR="004424A4">
        <w:rPr>
          <w:rStyle w:val="s1"/>
          <w:rFonts w:asciiTheme="minorHAnsi" w:hAnsiTheme="minorHAnsi"/>
        </w:rPr>
        <w:t>h</w:t>
      </w:r>
      <w:r w:rsidR="004424A4" w:rsidRPr="001A31E9">
        <w:rPr>
          <w:rStyle w:val="s1"/>
          <w:rFonts w:asciiTheme="minorHAnsi" w:hAnsiTheme="minorHAnsi"/>
        </w:rPr>
        <w:t>loro</w:t>
      </w:r>
      <w:r w:rsidR="004424A4">
        <w:rPr>
          <w:rStyle w:val="s1"/>
          <w:rFonts w:asciiTheme="minorHAnsi" w:hAnsiTheme="minorHAnsi"/>
        </w:rPr>
        <w:t>ph</w:t>
      </w:r>
      <w:r w:rsidR="004424A4" w:rsidRPr="001A31E9">
        <w:rPr>
          <w:rStyle w:val="s1"/>
          <w:rFonts w:asciiTheme="minorHAnsi" w:hAnsiTheme="minorHAnsi"/>
        </w:rPr>
        <w:t>enyl</w:t>
      </w:r>
      <w:r w:rsidR="001A31E9" w:rsidRPr="001A31E9">
        <w:rPr>
          <w:rStyle w:val="s1"/>
          <w:rFonts w:asciiTheme="minorHAnsi" w:hAnsiTheme="minorHAnsi"/>
        </w:rPr>
        <w:t>)et</w:t>
      </w:r>
      <w:r w:rsidR="004424A4">
        <w:rPr>
          <w:rStyle w:val="s1"/>
          <w:rFonts w:asciiTheme="minorHAnsi" w:hAnsiTheme="minorHAnsi"/>
        </w:rPr>
        <w:t>hy</w:t>
      </w:r>
      <w:r w:rsidR="001A31E9" w:rsidRPr="001A31E9">
        <w:rPr>
          <w:rStyle w:val="s1"/>
          <w:rFonts w:asciiTheme="minorHAnsi" w:hAnsiTheme="minorHAnsi"/>
        </w:rPr>
        <w:t>l]-1</w:t>
      </w:r>
      <w:r w:rsidR="001A31E9" w:rsidRPr="001A31E9">
        <w:rPr>
          <w:rStyle w:val="s1"/>
          <w:rFonts w:asciiTheme="minorHAnsi" w:hAnsiTheme="minorHAnsi"/>
          <w:i/>
          <w:iCs/>
        </w:rPr>
        <w:t>H</w:t>
      </w:r>
      <w:r w:rsidR="001A31E9" w:rsidRPr="001A31E9">
        <w:rPr>
          <w:rStyle w:val="s1"/>
          <w:rFonts w:asciiTheme="minorHAnsi" w:hAnsiTheme="minorHAnsi"/>
        </w:rPr>
        <w:t>-imidazol</w:t>
      </w:r>
      <w:r w:rsidR="004424A4">
        <w:rPr>
          <w:rStyle w:val="s1"/>
          <w:rFonts w:asciiTheme="minorHAnsi" w:hAnsiTheme="minorHAnsi"/>
        </w:rPr>
        <w:t>e</w:t>
      </w:r>
    </w:p>
    <w:p w:rsidR="007C68D2" w:rsidRPr="001A31E9" w:rsidRDefault="007C68D2" w:rsidP="001A31E9">
      <w:pPr>
        <w:autoSpaceDE w:val="0"/>
        <w:autoSpaceDN w:val="0"/>
        <w:adjustRightInd w:val="0"/>
        <w:spacing w:after="0" w:line="240" w:lineRule="auto"/>
        <w:rPr>
          <w:noProof/>
          <w:lang w:eastAsia="it-IT"/>
        </w:rPr>
      </w:pPr>
      <w:proofErr w:type="spellStart"/>
      <w:r w:rsidRPr="001A31E9">
        <w:rPr>
          <w:u w:val="single"/>
        </w:rPr>
        <w:t>Struttura</w:t>
      </w:r>
      <w:proofErr w:type="spellEnd"/>
      <w:r w:rsidRPr="001A31E9">
        <w:t>:</w:t>
      </w:r>
    </w:p>
    <w:p w:rsidR="00E14380" w:rsidRPr="001A31E9" w:rsidRDefault="001A31E9" w:rsidP="00E14380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 w:rsidRPr="001A31E9">
        <w:rPr>
          <w:rFonts w:asciiTheme="minorHAnsi" w:hAnsiTheme="minorHAnsi" w:cs="Arial"/>
          <w:b w:val="0"/>
          <w:noProof/>
          <w:sz w:val="22"/>
          <w:szCs w:val="22"/>
          <w:lang w:val="it-IT"/>
        </w:rPr>
        <w:drawing>
          <wp:inline distT="0" distB="0" distL="0" distR="0">
            <wp:extent cx="1414758" cy="899886"/>
            <wp:effectExtent l="19050" t="0" r="0" b="0"/>
            <wp:docPr id="3" name="Immagine 1" descr="P:\_dp\903\XML-IN\Images\cf2074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2074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088" cy="89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0F2801" w:rsidRDefault="00F31307" w:rsidP="00E14380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  <w:lang w:val="it-IT"/>
        </w:rPr>
      </w:pPr>
      <w:r w:rsidRPr="00F31307">
        <w:rPr>
          <w:rFonts w:asciiTheme="minorHAnsi" w:hAnsiTheme="minorHAnsi"/>
          <w:b w:val="0"/>
          <w:sz w:val="22"/>
          <w:szCs w:val="22"/>
          <w:u w:val="single"/>
          <w:lang w:val="it-IT"/>
        </w:rPr>
        <w:t>Formula molecolare</w:t>
      </w:r>
      <w:r w:rsidRPr="00F31307">
        <w:rPr>
          <w:rFonts w:asciiTheme="minorHAnsi" w:hAnsiTheme="minorHAnsi"/>
          <w:b w:val="0"/>
          <w:sz w:val="22"/>
          <w:szCs w:val="22"/>
          <w:lang w:val="it-IT"/>
        </w:rPr>
        <w:t>:</w:t>
      </w:r>
      <w:r w:rsidRPr="00F31307">
        <w:rPr>
          <w:rStyle w:val="s1"/>
          <w:rFonts w:asciiTheme="minorHAnsi" w:hAnsiTheme="minorHAnsi"/>
          <w:b w:val="0"/>
          <w:sz w:val="22"/>
          <w:szCs w:val="22"/>
          <w:lang w:val="it-IT"/>
        </w:rPr>
        <w:t xml:space="preserve"> C</w:t>
      </w:r>
      <w:r w:rsidRPr="00F31307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16</w:t>
      </w:r>
      <w:r w:rsidRPr="00F31307">
        <w:rPr>
          <w:rStyle w:val="s1"/>
          <w:rFonts w:asciiTheme="minorHAnsi" w:hAnsiTheme="minorHAnsi"/>
          <w:b w:val="0"/>
          <w:sz w:val="22"/>
          <w:szCs w:val="22"/>
          <w:lang w:val="it-IT"/>
        </w:rPr>
        <w:t>H</w:t>
      </w:r>
      <w:r w:rsidRPr="00F31307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13</w:t>
      </w:r>
      <w:r w:rsidRPr="00F31307">
        <w:rPr>
          <w:rStyle w:val="s1"/>
          <w:rFonts w:asciiTheme="minorHAnsi" w:hAnsiTheme="minorHAnsi"/>
          <w:b w:val="0"/>
          <w:sz w:val="22"/>
          <w:szCs w:val="22"/>
          <w:lang w:val="it-IT"/>
        </w:rPr>
        <w:t>Cl</w:t>
      </w:r>
      <w:r w:rsidRPr="00F31307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3</w:t>
      </w:r>
      <w:r w:rsidRPr="00F31307">
        <w:rPr>
          <w:rStyle w:val="s1"/>
          <w:rFonts w:asciiTheme="minorHAnsi" w:hAnsiTheme="minorHAnsi"/>
          <w:b w:val="0"/>
          <w:sz w:val="22"/>
          <w:szCs w:val="22"/>
          <w:lang w:val="it-IT"/>
        </w:rPr>
        <w:t>N</w:t>
      </w:r>
      <w:r w:rsidRPr="00F31307">
        <w:rPr>
          <w:rStyle w:val="s1"/>
          <w:rFonts w:asciiTheme="minorHAnsi" w:hAnsiTheme="minorHAnsi"/>
          <w:b w:val="0"/>
          <w:sz w:val="22"/>
          <w:szCs w:val="22"/>
          <w:vertAlign w:val="subscript"/>
          <w:lang w:val="it-IT"/>
        </w:rPr>
        <w:t>2</w:t>
      </w:r>
      <w:r w:rsidRPr="00F31307">
        <w:rPr>
          <w:rStyle w:val="s1"/>
          <w:rFonts w:asciiTheme="minorHAnsi" w:hAnsiTheme="minorHAnsi"/>
          <w:b w:val="0"/>
          <w:sz w:val="22"/>
          <w:szCs w:val="22"/>
          <w:lang w:val="it-IT"/>
        </w:rPr>
        <w:t>OS</w:t>
      </w:r>
    </w:p>
    <w:p w:rsidR="00E14380" w:rsidRPr="000F2801" w:rsidRDefault="00F31307" w:rsidP="00E14380">
      <w:pPr>
        <w:spacing w:after="0" w:line="240" w:lineRule="auto"/>
        <w:jc w:val="both"/>
        <w:rPr>
          <w:lang w:val="it-IT"/>
        </w:rPr>
      </w:pPr>
      <w:r w:rsidRPr="00F31307">
        <w:rPr>
          <w:u w:val="single"/>
          <w:lang w:val="it-IT"/>
        </w:rPr>
        <w:t>Peso molecolare</w:t>
      </w:r>
      <w:r w:rsidRPr="00F31307">
        <w:rPr>
          <w:lang w:val="it-IT"/>
        </w:rPr>
        <w:t>:</w:t>
      </w:r>
      <w:r w:rsidRPr="00F31307">
        <w:rPr>
          <w:rFonts w:cs="Arial"/>
          <w:color w:val="252525"/>
          <w:shd w:val="clear" w:color="auto" w:fill="F9F9F9"/>
          <w:lang w:val="it-IT"/>
        </w:rPr>
        <w:t xml:space="preserve"> </w:t>
      </w:r>
      <w:r w:rsidRPr="00F31307">
        <w:rPr>
          <w:rStyle w:val="s1"/>
          <w:rFonts w:asciiTheme="minorHAnsi" w:hAnsiTheme="minorHAnsi"/>
          <w:lang w:val="it-IT"/>
        </w:rPr>
        <w:t>387.7</w:t>
      </w:r>
      <w:r w:rsidRPr="00F31307">
        <w:rPr>
          <w:rFonts w:cs="Times New Roman"/>
          <w:lang w:val="it-IT"/>
        </w:rPr>
        <w:t xml:space="preserve"> g/mol </w:t>
      </w:r>
    </w:p>
    <w:p w:rsidR="007C68D2" w:rsidRPr="000F2801" w:rsidRDefault="00F31307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lang w:val="it-IT"/>
        </w:rPr>
      </w:pPr>
      <w:r w:rsidRPr="00F31307">
        <w:rPr>
          <w:rFonts w:asciiTheme="minorHAnsi" w:hAnsiTheme="minorHAnsi"/>
          <w:b w:val="0"/>
          <w:sz w:val="22"/>
          <w:szCs w:val="22"/>
          <w:u w:val="single"/>
          <w:lang w:val="it-IT"/>
        </w:rPr>
        <w:t>CAS</w:t>
      </w:r>
      <w:r w:rsidRPr="00F31307">
        <w:rPr>
          <w:rFonts w:asciiTheme="minorHAnsi" w:hAnsiTheme="minorHAnsi"/>
          <w:b w:val="0"/>
          <w:sz w:val="22"/>
          <w:szCs w:val="22"/>
          <w:lang w:val="it-IT"/>
        </w:rPr>
        <w:t xml:space="preserve">: </w:t>
      </w:r>
      <w:r w:rsidRPr="00F31307">
        <w:rPr>
          <w:rStyle w:val="s1"/>
          <w:rFonts w:asciiTheme="minorHAnsi" w:hAnsiTheme="minorHAnsi"/>
          <w:b w:val="0"/>
          <w:sz w:val="22"/>
          <w:szCs w:val="22"/>
          <w:lang w:val="it-IT"/>
        </w:rPr>
        <w:t>[65899-73-2]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u w:val="single"/>
          <w:lang w:val="it-IT"/>
        </w:rPr>
        <w:lastRenderedPageBreak/>
        <w:t>Aspetto</w:t>
      </w:r>
      <w:r w:rsidRPr="00F31307">
        <w:rPr>
          <w:lang w:val="it-IT"/>
        </w:rPr>
        <w:t>: polvere cristallina bianca o quasi bianca</w:t>
      </w:r>
    </w:p>
    <w:p w:rsidR="001A31E9" w:rsidRPr="000F2801" w:rsidRDefault="00F31307" w:rsidP="00E14380">
      <w:pPr>
        <w:spacing w:after="0" w:line="240" w:lineRule="auto"/>
        <w:jc w:val="both"/>
        <w:rPr>
          <w:rStyle w:val="s1"/>
          <w:rFonts w:asciiTheme="minorHAnsi" w:hAnsiTheme="minorHAnsi"/>
          <w:lang w:val="it-IT"/>
        </w:rPr>
      </w:pPr>
      <w:r w:rsidRPr="00F31307">
        <w:rPr>
          <w:u w:val="single"/>
          <w:lang w:val="it-IT"/>
        </w:rPr>
        <w:t>Solubilità</w:t>
      </w:r>
      <w:r w:rsidRPr="00F31307">
        <w:rPr>
          <w:lang w:val="it-IT"/>
        </w:rPr>
        <w:t xml:space="preserve">: </w:t>
      </w:r>
      <w:r w:rsidRPr="00F31307">
        <w:rPr>
          <w:rStyle w:val="s1"/>
          <w:rFonts w:asciiTheme="minorHAnsi" w:hAnsiTheme="minorHAnsi"/>
          <w:lang w:val="it-IT"/>
        </w:rPr>
        <w:t>molto poco solubile in acqua, molto solubile in cloruro di metilene, solubile in alcool.</w:t>
      </w:r>
    </w:p>
    <w:p w:rsidR="001A31E9" w:rsidRPr="000F2801" w:rsidRDefault="001A31E9" w:rsidP="00E14380">
      <w:pPr>
        <w:spacing w:after="0" w:line="240" w:lineRule="auto"/>
        <w:jc w:val="both"/>
        <w:rPr>
          <w:rStyle w:val="s1"/>
          <w:rFonts w:asciiTheme="minorHAnsi" w:hAnsiTheme="minorHAnsi"/>
          <w:lang w:val="it-IT"/>
        </w:rPr>
      </w:pPr>
    </w:p>
    <w:p w:rsidR="004C3535" w:rsidRPr="000F2801" w:rsidRDefault="00F31307" w:rsidP="004C3535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Il principio attivo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è presente in Farmacopea Europea. Il produttore di principio attivo ha  presentato un ASMF.</w:t>
      </w:r>
    </w:p>
    <w:p w:rsidR="004C3535" w:rsidRPr="000F2801" w:rsidRDefault="00F31307" w:rsidP="004C3535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La sintesi del principio attivo è stata adeguatamente descritta a partire da idonei materiali di partenza; sono utilizzati appropriati controlli di processo e degli intermedi di sintesi.</w:t>
      </w:r>
    </w:p>
    <w:p w:rsidR="004C3535" w:rsidRPr="000F2801" w:rsidRDefault="00F31307" w:rsidP="004C3535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I materiali e i reagenti utilizzati nella sintesi sono di qualità adeguata.</w:t>
      </w:r>
    </w:p>
    <w:p w:rsidR="004C3535" w:rsidRPr="000F2801" w:rsidRDefault="00F31307" w:rsidP="004C3535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I materiali, gli intermedi, i reagenti utilizzati nella sintesi non sono di origine umana, biologica o geneticamente modificata.</w:t>
      </w:r>
    </w:p>
    <w:p w:rsidR="004C3535" w:rsidRPr="000F2801" w:rsidRDefault="00F31307" w:rsidP="004C3535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Le specifiche del principio attivo sono appropriate e controllat</w:t>
      </w:r>
      <w:r w:rsidR="004424A4">
        <w:rPr>
          <w:lang w:val="it-IT"/>
        </w:rPr>
        <w:t>e</w:t>
      </w:r>
      <w:r w:rsidRPr="00F31307">
        <w:rPr>
          <w:lang w:val="it-IT"/>
        </w:rPr>
        <w:t xml:space="preserve"> con metodi analitici adeguatamente convalidati. Sono stati forniti certificati analitici che confermano la qualità del principio attivo.</w:t>
      </w:r>
    </w:p>
    <w:p w:rsidR="004C3535" w:rsidRPr="000F2801" w:rsidRDefault="00F31307" w:rsidP="004C3535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Il principio attivo è confezionato in un adeguato contenitore, per il quale sono stati forniti specifiche e certificati analitici. </w:t>
      </w:r>
    </w:p>
    <w:p w:rsidR="004C3535" w:rsidRPr="000F2801" w:rsidRDefault="00F31307" w:rsidP="004C3535">
      <w:pPr>
        <w:spacing w:after="0" w:line="240" w:lineRule="auto"/>
        <w:jc w:val="both"/>
        <w:rPr>
          <w:highlight w:val="yellow"/>
          <w:lang w:val="it-IT"/>
        </w:rPr>
      </w:pPr>
      <w:r w:rsidRPr="00F31307">
        <w:rPr>
          <w:lang w:val="it-IT"/>
        </w:rPr>
        <w:t xml:space="preserve">Sono stati forniti adeguati studi di stabilità per il principio attivo conservato nel confezionamento proposto. Sulla base di questi dati, è stato approvato un periodo di </w:t>
      </w:r>
      <w:proofErr w:type="spellStart"/>
      <w:r w:rsidRPr="00F31307">
        <w:rPr>
          <w:lang w:val="it-IT"/>
        </w:rPr>
        <w:t>retest</w:t>
      </w:r>
      <w:proofErr w:type="spellEnd"/>
      <w:r w:rsidRPr="00F31307">
        <w:rPr>
          <w:lang w:val="it-IT"/>
        </w:rPr>
        <w:t xml:space="preserve"> di </w:t>
      </w:r>
      <w:r w:rsidR="004424A4">
        <w:rPr>
          <w:lang w:val="it-IT"/>
        </w:rPr>
        <w:t>72</w:t>
      </w:r>
      <w:r w:rsidRPr="00F31307">
        <w:rPr>
          <w:lang w:val="it-IT"/>
        </w:rPr>
        <w:t xml:space="preserve"> mesi, conservato </w:t>
      </w:r>
      <w:r w:rsidRPr="00F31307">
        <w:rPr>
          <w:rFonts w:ascii="Calibri" w:hAnsi="Calibri" w:cs="Arial"/>
          <w:lang w:val="it-IT"/>
        </w:rPr>
        <w:t>in sacche in  polietilene inserite a loro volta in fusti di cartone.</w:t>
      </w:r>
    </w:p>
    <w:p w:rsidR="00E14380" w:rsidRPr="009D61AA" w:rsidRDefault="00E14380" w:rsidP="00E14380">
      <w:pPr>
        <w:spacing w:after="0" w:line="240" w:lineRule="auto"/>
        <w:jc w:val="both"/>
        <w:rPr>
          <w:highlight w:val="yellow"/>
          <w:lang w:val="it-IT"/>
        </w:rPr>
      </w:pPr>
    </w:p>
    <w:p w:rsidR="004C3535" w:rsidRPr="009D61AA" w:rsidRDefault="004C3535" w:rsidP="00E14380">
      <w:pPr>
        <w:spacing w:after="0" w:line="240" w:lineRule="auto"/>
        <w:jc w:val="both"/>
        <w:rPr>
          <w:highlight w:val="yellow"/>
          <w:lang w:val="it-IT"/>
        </w:rPr>
      </w:pPr>
    </w:p>
    <w:p w:rsidR="007C68D2" w:rsidRPr="00C53128" w:rsidRDefault="00B879F4" w:rsidP="00E14380">
      <w:pPr>
        <w:spacing w:after="0" w:line="240" w:lineRule="auto"/>
        <w:jc w:val="both"/>
        <w:rPr>
          <w:b/>
          <w:lang w:val="it-IT"/>
        </w:rPr>
      </w:pPr>
      <w:r w:rsidRPr="00C53128">
        <w:rPr>
          <w:b/>
          <w:lang w:val="it-IT"/>
        </w:rPr>
        <w:t>II.2 PRODOTTO FINITO</w:t>
      </w:r>
    </w:p>
    <w:p w:rsidR="007C68D2" w:rsidRPr="009D61AA" w:rsidRDefault="00B879F4" w:rsidP="00E14380">
      <w:pPr>
        <w:spacing w:after="0" w:line="240" w:lineRule="auto"/>
        <w:jc w:val="both"/>
        <w:rPr>
          <w:b/>
          <w:lang w:val="it-IT"/>
        </w:rPr>
      </w:pPr>
      <w:r w:rsidRPr="00B879F4">
        <w:rPr>
          <w:b/>
          <w:lang w:val="it-IT"/>
        </w:rPr>
        <w:t>Descrizione e composizione</w:t>
      </w:r>
    </w:p>
    <w:p w:rsidR="007B458A" w:rsidRDefault="00B879F4">
      <w:pPr>
        <w:spacing w:after="0" w:line="240" w:lineRule="auto"/>
        <w:jc w:val="both"/>
        <w:rPr>
          <w:lang w:val="it-IT"/>
        </w:rPr>
      </w:pPr>
      <w:proofErr w:type="spellStart"/>
      <w:r w:rsidRPr="00B879F4">
        <w:rPr>
          <w:lang w:val="it-IT"/>
        </w:rPr>
        <w:t>Tioconazolo</w:t>
      </w:r>
      <w:proofErr w:type="spellEnd"/>
      <w:r w:rsidRPr="00B879F4">
        <w:rPr>
          <w:lang w:val="it-IT"/>
        </w:rPr>
        <w:t xml:space="preserve"> Ipso Pharma è disponibile come smalto medicato per unghie contenente il principio attivo alla concentrazione del 28%.</w:t>
      </w:r>
      <w:bookmarkStart w:id="1" w:name="_GoBack"/>
      <w:bookmarkEnd w:id="1"/>
    </w:p>
    <w:p w:rsidR="007B458A" w:rsidRDefault="00B879F4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Gli eccipienti sono i seguenti: acido undecilenico ed acetato di etile.</w:t>
      </w:r>
    </w:p>
    <w:p w:rsidR="007B458A" w:rsidRDefault="00B879F4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Tutti gli eccipienti sono conformi alla relativa monografia di Farmacopea Europea, ad eccezione dell’acido undecilenico, per il quale il produttore ha fornito adeguate specifiche di controllo.</w:t>
      </w:r>
    </w:p>
    <w:p w:rsidR="007C68D2" w:rsidRPr="009D61AA" w:rsidRDefault="00B879F4" w:rsidP="00E14380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Nessun eccipiente è ottenuto da organismi geneticamente modificati; non sono presenti eccipienti mai utilizzati nell’uomo.</w:t>
      </w:r>
    </w:p>
    <w:p w:rsidR="00F01FB3" w:rsidRPr="009D61AA" w:rsidRDefault="00F01FB3" w:rsidP="00E14380">
      <w:pPr>
        <w:spacing w:after="0" w:line="240" w:lineRule="auto"/>
        <w:jc w:val="both"/>
        <w:rPr>
          <w:lang w:val="it-IT"/>
        </w:rPr>
      </w:pPr>
    </w:p>
    <w:p w:rsidR="007C68D2" w:rsidRPr="009D61AA" w:rsidRDefault="00B879F4" w:rsidP="00E14380">
      <w:pPr>
        <w:spacing w:after="0" w:line="240" w:lineRule="auto"/>
        <w:jc w:val="both"/>
        <w:rPr>
          <w:b/>
          <w:lang w:val="it-IT"/>
        </w:rPr>
      </w:pPr>
      <w:r w:rsidRPr="00B879F4">
        <w:rPr>
          <w:b/>
          <w:lang w:val="it-IT"/>
        </w:rPr>
        <w:t>Sviluppo farmaceutico</w:t>
      </w:r>
    </w:p>
    <w:p w:rsidR="007C68D2" w:rsidRPr="009D61AA" w:rsidRDefault="00B879F4" w:rsidP="00502AB1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Sono stati forniti dettagli dello sviluppo farmaceutico e questi sono stati ritenuti soddisfacenti.</w:t>
      </w:r>
    </w:p>
    <w:p w:rsidR="007C68D2" w:rsidRPr="009D61AA" w:rsidRDefault="00B879F4" w:rsidP="00502AB1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Sono stati forniti dati comparativi relativi alle caratteristiche fisico-chimiche e al profilo di impurezze rispetto al medicinale di riferimento. I dati sono soddisfacenti.</w:t>
      </w:r>
    </w:p>
    <w:p w:rsidR="007C68D2" w:rsidRPr="009D61AA" w:rsidRDefault="007C68D2" w:rsidP="007935FE">
      <w:pPr>
        <w:spacing w:after="0" w:line="240" w:lineRule="auto"/>
        <w:jc w:val="both"/>
        <w:rPr>
          <w:lang w:val="it-IT"/>
        </w:rPr>
      </w:pPr>
    </w:p>
    <w:p w:rsidR="007C68D2" w:rsidRPr="009D61AA" w:rsidRDefault="00B879F4" w:rsidP="007935FE">
      <w:pPr>
        <w:spacing w:after="0" w:line="240" w:lineRule="auto"/>
        <w:jc w:val="both"/>
        <w:rPr>
          <w:b/>
          <w:lang w:val="it-IT"/>
        </w:rPr>
      </w:pPr>
      <w:r w:rsidRPr="00B879F4">
        <w:rPr>
          <w:b/>
          <w:lang w:val="it-IT"/>
        </w:rPr>
        <w:t xml:space="preserve">Produzione </w:t>
      </w:r>
    </w:p>
    <w:p w:rsidR="007C68D2" w:rsidRPr="009D61AA" w:rsidRDefault="00B879F4" w:rsidP="00B32D81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Sono stati forniti una descrizione del metodo di produzione e la relativa flow-chart.</w:t>
      </w:r>
    </w:p>
    <w:p w:rsidR="007C68D2" w:rsidRPr="009D61AA" w:rsidRDefault="00B879F4" w:rsidP="00B32D81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9D61AA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9D61AA" w:rsidRDefault="00B879F4" w:rsidP="00B32D81">
      <w:pPr>
        <w:spacing w:after="0" w:line="240" w:lineRule="auto"/>
        <w:jc w:val="both"/>
        <w:rPr>
          <w:b/>
          <w:lang w:val="it-IT"/>
        </w:rPr>
      </w:pPr>
      <w:r w:rsidRPr="00B879F4">
        <w:rPr>
          <w:b/>
          <w:lang w:val="it-IT"/>
        </w:rPr>
        <w:t>Specifiche del prodotto finito</w:t>
      </w:r>
    </w:p>
    <w:p w:rsidR="007C68D2" w:rsidRPr="009D61AA" w:rsidRDefault="00B879F4" w:rsidP="00B32D81">
      <w:pPr>
        <w:spacing w:after="0" w:line="240" w:lineRule="auto"/>
        <w:jc w:val="both"/>
        <w:rPr>
          <w:lang w:val="it-IT"/>
        </w:rPr>
      </w:pPr>
      <w:r w:rsidRPr="00B879F4">
        <w:rPr>
          <w:lang w:val="it-IT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9D61AA" w:rsidRDefault="00F22BED" w:rsidP="00B32D81">
      <w:pPr>
        <w:spacing w:after="0" w:line="240" w:lineRule="auto"/>
        <w:jc w:val="both"/>
        <w:rPr>
          <w:b/>
          <w:lang w:val="it-IT"/>
        </w:rPr>
      </w:pPr>
    </w:p>
    <w:p w:rsidR="007C68D2" w:rsidRPr="009D61AA" w:rsidRDefault="00B879F4" w:rsidP="00B32D81">
      <w:pPr>
        <w:spacing w:after="0" w:line="240" w:lineRule="auto"/>
        <w:jc w:val="both"/>
        <w:rPr>
          <w:b/>
          <w:lang w:val="it-IT"/>
        </w:rPr>
      </w:pPr>
      <w:r w:rsidRPr="00B879F4">
        <w:rPr>
          <w:b/>
          <w:lang w:val="it-IT"/>
        </w:rPr>
        <w:t>Contenitore</w:t>
      </w:r>
    </w:p>
    <w:p w:rsidR="007C68D2" w:rsidRPr="000F2801" w:rsidRDefault="00B879F4" w:rsidP="00B32D81">
      <w:pPr>
        <w:spacing w:after="0" w:line="240" w:lineRule="auto"/>
        <w:jc w:val="both"/>
        <w:rPr>
          <w:lang w:val="it-IT"/>
        </w:rPr>
      </w:pPr>
      <w:proofErr w:type="spellStart"/>
      <w:r w:rsidRPr="00B879F4">
        <w:rPr>
          <w:lang w:val="it-IT"/>
        </w:rPr>
        <w:t>Tioconazolo</w:t>
      </w:r>
      <w:proofErr w:type="spellEnd"/>
      <w:r w:rsidRPr="00B879F4">
        <w:rPr>
          <w:lang w:val="it-IT"/>
        </w:rPr>
        <w:t xml:space="preserve"> Ipso Pharma è confezionato in </w:t>
      </w:r>
      <w:r w:rsidRPr="00B879F4">
        <w:rPr>
          <w:rFonts w:cs="Arial"/>
          <w:lang w:val="it-IT"/>
        </w:rPr>
        <w:t xml:space="preserve">flacone di </w:t>
      </w:r>
      <w:r w:rsidRPr="00B879F4">
        <w:rPr>
          <w:rFonts w:ascii="Calibri" w:hAnsi="Calibri" w:cs="Arial"/>
          <w:lang w:val="it-IT"/>
        </w:rPr>
        <w:t xml:space="preserve">vetro ambrato di tipo III </w:t>
      </w:r>
      <w:r w:rsidR="00D27CF3" w:rsidRPr="00D27CF3">
        <w:rPr>
          <w:rFonts w:ascii="Calibri" w:hAnsi="Calibri" w:cs="Arial"/>
          <w:lang w:val="it-IT"/>
        </w:rPr>
        <w:t xml:space="preserve">a vite bianca in </w:t>
      </w:r>
      <w:r w:rsidR="007B458A" w:rsidRPr="007B458A">
        <w:rPr>
          <w:rFonts w:ascii="Calibri" w:hAnsi="Calibri" w:cs="Arial"/>
          <w:lang w:val="it-IT"/>
        </w:rPr>
        <w:t xml:space="preserve"> HDPE/LDPE ed un pennello in nylon</w:t>
      </w:r>
      <w:r w:rsidR="007B458A" w:rsidRPr="007B458A">
        <w:rPr>
          <w:lang w:val="it-IT"/>
        </w:rPr>
        <w:t>. Sono state fornite specifiche e certificati analitici per tutti i componenti del confezionamento primario, che è adeguato per il medicinale.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F31307" w:rsidP="00B32D81">
      <w:pPr>
        <w:spacing w:after="0" w:line="240" w:lineRule="auto"/>
        <w:jc w:val="both"/>
        <w:rPr>
          <w:b/>
          <w:lang w:val="it-IT"/>
        </w:rPr>
      </w:pPr>
      <w:r w:rsidRPr="00F31307">
        <w:rPr>
          <w:b/>
          <w:lang w:val="it-IT"/>
        </w:rPr>
        <w:t>Stabilità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</w:t>
      </w:r>
      <w:r w:rsidRPr="00F31307">
        <w:rPr>
          <w:lang w:val="it-IT"/>
        </w:rPr>
        <w:lastRenderedPageBreak/>
        <w:t>validità di 18 mesi; dopo la prima apertura del flacone, il medicinale deve essere utilizzato entro 12 settimane.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F31307" w:rsidP="00B32D81">
      <w:pPr>
        <w:spacing w:after="0" w:line="240" w:lineRule="auto"/>
        <w:jc w:val="both"/>
        <w:rPr>
          <w:b/>
          <w:lang w:val="it-IT"/>
        </w:rPr>
      </w:pPr>
      <w:r w:rsidRPr="00F31307">
        <w:rPr>
          <w:b/>
          <w:lang w:val="it-IT"/>
        </w:rPr>
        <w:t>II.3 Discussione sugli aspetti di qualità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Tutte le criticità evidenziate nel corso della valutazione sono state risolte e la qualità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è considerata adeguata. Non ci sono obiezioni per l’approvazione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dal punto di vista chimico-farmaceutico.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Non sono stati condotti specifici studi non clinici, in quanto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contiene un principio attivo noto: questo approccio è accettabile poiché il medicinale di riferimento </w:t>
      </w:r>
      <w:proofErr w:type="spellStart"/>
      <w:r w:rsidRPr="00F31307">
        <w:rPr>
          <w:lang w:val="it-IT"/>
        </w:rPr>
        <w:t>Trosyd</w:t>
      </w:r>
      <w:proofErr w:type="spellEnd"/>
      <w:r w:rsidRPr="00F31307">
        <w:rPr>
          <w:lang w:val="it-IT"/>
        </w:rPr>
        <w:t xml:space="preserve"> è autorizzato in Italia da oltre 10 anni.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Non ci sono obiezioni per l’approvazione dal punto di vista non clinico.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1D4DA6" w:rsidRPr="000F2801" w:rsidRDefault="00F31307" w:rsidP="001D4DA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it-IT"/>
        </w:rPr>
      </w:pPr>
      <w:proofErr w:type="spellStart"/>
      <w:r w:rsidRPr="00F31307">
        <w:rPr>
          <w:rFonts w:eastAsia="Calibri" w:cs="Calibri"/>
          <w:color w:val="000000"/>
          <w:lang w:val="it-IT" w:eastAsia="it-IT"/>
        </w:rPr>
        <w:t>Tioconazolo</w:t>
      </w:r>
      <w:proofErr w:type="spellEnd"/>
      <w:r w:rsidRPr="00F31307">
        <w:rPr>
          <w:rFonts w:eastAsia="Calibri" w:cs="Calibri"/>
          <w:color w:val="000000"/>
          <w:lang w:val="it-IT" w:eastAsia="it-IT"/>
        </w:rPr>
        <w:t xml:space="preserve"> Ipso Pharma è utilizzato per il t</w:t>
      </w:r>
      <w:r w:rsidRPr="00F31307">
        <w:rPr>
          <w:rFonts w:cs="Times New Roman"/>
          <w:lang w:val="it-IT"/>
        </w:rPr>
        <w:t>rattamento di o</w:t>
      </w:r>
      <w:r w:rsidRPr="00F31307">
        <w:rPr>
          <w:lang w:val="it-IT"/>
        </w:rPr>
        <w:t>nicomicosi causate da dermatofiti e lieviti. Per la concomitante attività antibatterica, è particolarmente indicat</w:t>
      </w:r>
      <w:r w:rsidR="004424A4">
        <w:rPr>
          <w:lang w:val="it-IT"/>
        </w:rPr>
        <w:t>o</w:t>
      </w:r>
      <w:r w:rsidRPr="00F31307">
        <w:rPr>
          <w:lang w:val="it-IT"/>
        </w:rPr>
        <w:t xml:space="preserve"> nelle infezioni miste delle unghie.</w:t>
      </w:r>
    </w:p>
    <w:p w:rsidR="007C68D2" w:rsidRPr="000F2801" w:rsidRDefault="007C68D2" w:rsidP="00B32D81">
      <w:pPr>
        <w:spacing w:after="0" w:line="240" w:lineRule="auto"/>
        <w:jc w:val="both"/>
        <w:rPr>
          <w:rFonts w:eastAsia="Times New Roman"/>
          <w:lang w:val="it-IT" w:eastAsia="it-IT"/>
        </w:rPr>
      </w:pPr>
    </w:p>
    <w:p w:rsidR="007C68D2" w:rsidRPr="000F2801" w:rsidRDefault="00F31307" w:rsidP="00B32D81">
      <w:pPr>
        <w:spacing w:after="0" w:line="240" w:lineRule="auto"/>
        <w:ind w:right="6"/>
        <w:jc w:val="both"/>
        <w:rPr>
          <w:b/>
          <w:lang w:val="it-IT"/>
        </w:rPr>
      </w:pPr>
      <w:r w:rsidRPr="00F31307">
        <w:rPr>
          <w:b/>
          <w:lang w:val="it-IT"/>
        </w:rPr>
        <w:t>Posologia e modalità di somministrazione</w:t>
      </w:r>
    </w:p>
    <w:p w:rsidR="007C68D2" w:rsidRPr="000F2801" w:rsidRDefault="00F31307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  <w:r w:rsidRPr="00F31307">
        <w:rPr>
          <w:lang w:val="it-IT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F31307">
        <w:rPr>
          <w:rFonts w:eastAsia="Calibri" w:cs="Calibri"/>
          <w:lang w:val="it-IT" w:eastAsia="it-IT"/>
        </w:rPr>
        <w:t>(</w:t>
      </w:r>
      <w:hyperlink r:id="rId8" w:history="1">
        <w:r w:rsidRPr="00F31307">
          <w:rPr>
            <w:rStyle w:val="Collegamentoipertestuale"/>
            <w:rFonts w:eastAsia="Calibri" w:cs="Calibri"/>
            <w:lang w:val="it-IT"/>
          </w:rPr>
          <w:t>https://farmaci.agenziafarmaco.gov.it/bancadatifarmaci</w:t>
        </w:r>
      </w:hyperlink>
      <w:r w:rsidRPr="00F31307">
        <w:rPr>
          <w:rFonts w:eastAsia="Calibri" w:cs="Calibri"/>
          <w:lang w:val="it-IT" w:eastAsia="it-IT"/>
        </w:rPr>
        <w:t>).</w:t>
      </w:r>
    </w:p>
    <w:p w:rsidR="007C68D2" w:rsidRPr="000F2801" w:rsidRDefault="007C68D2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</w:p>
    <w:p w:rsidR="007C68D2" w:rsidRPr="000F2801" w:rsidRDefault="00F31307" w:rsidP="00B32D81">
      <w:pPr>
        <w:spacing w:after="0" w:line="240" w:lineRule="auto"/>
        <w:ind w:right="6"/>
        <w:jc w:val="both"/>
        <w:rPr>
          <w:rFonts w:eastAsia="Calibri" w:cs="Calibri"/>
          <w:b/>
          <w:lang w:val="it-IT" w:eastAsia="it-IT"/>
        </w:rPr>
      </w:pPr>
      <w:r w:rsidRPr="00F31307">
        <w:rPr>
          <w:rFonts w:eastAsia="Calibri" w:cs="Calibri"/>
          <w:b/>
          <w:lang w:val="it-IT" w:eastAsia="it-IT"/>
        </w:rPr>
        <w:t>Tossicologia</w:t>
      </w:r>
    </w:p>
    <w:p w:rsidR="007C68D2" w:rsidRPr="000F2801" w:rsidRDefault="00F31307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  <w:r w:rsidRPr="00F31307">
        <w:rPr>
          <w:rFonts w:eastAsia="Calibri" w:cs="Calibri"/>
          <w:lang w:val="it-IT" w:eastAsia="it-IT"/>
        </w:rPr>
        <w:t xml:space="preserve">La tossicologia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</w:t>
      </w:r>
      <w:r w:rsidRPr="00F31307">
        <w:rPr>
          <w:rFonts w:eastAsia="Calibri" w:cs="Calibri"/>
          <w:lang w:val="it-IT" w:eastAsia="it-IT"/>
        </w:rPr>
        <w:t>è ben conosciuta; non è stato necessario presentare ulteriori dati.</w:t>
      </w:r>
    </w:p>
    <w:p w:rsidR="007C68D2" w:rsidRPr="000F2801" w:rsidRDefault="007C68D2" w:rsidP="00B32D81">
      <w:pPr>
        <w:spacing w:after="0" w:line="240" w:lineRule="auto"/>
        <w:ind w:right="6"/>
        <w:jc w:val="both"/>
        <w:rPr>
          <w:rFonts w:eastAsia="Calibri" w:cs="Calibri"/>
          <w:lang w:val="it-IT" w:eastAsia="it-IT"/>
        </w:rPr>
      </w:pPr>
    </w:p>
    <w:p w:rsidR="007C68D2" w:rsidRPr="000F2801" w:rsidRDefault="00F31307" w:rsidP="00B32D81">
      <w:pPr>
        <w:spacing w:after="0" w:line="240" w:lineRule="auto"/>
        <w:ind w:right="6"/>
        <w:jc w:val="both"/>
        <w:rPr>
          <w:rFonts w:eastAsia="Times New Roman" w:cs="Times New Roman"/>
          <w:b/>
          <w:lang w:val="it-IT"/>
        </w:rPr>
      </w:pPr>
      <w:r w:rsidRPr="00F31307">
        <w:rPr>
          <w:rFonts w:eastAsia="Times New Roman" w:cs="Times New Roman"/>
          <w:b/>
          <w:lang w:val="it-IT"/>
        </w:rPr>
        <w:t>Farmacologia clinica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rFonts w:eastAsia="Calibri" w:cs="Calibri"/>
          <w:lang w:val="it-IT" w:eastAsia="it-IT"/>
        </w:rPr>
        <w:t xml:space="preserve">La farmacologia clinica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</w:t>
      </w:r>
      <w:r w:rsidRPr="00F31307">
        <w:rPr>
          <w:rFonts w:eastAsia="Calibri" w:cs="Calibri"/>
          <w:lang w:val="it-IT" w:eastAsia="it-IT"/>
        </w:rPr>
        <w:t xml:space="preserve">è ben conosciuta. </w:t>
      </w:r>
      <w:r w:rsidRPr="00F31307">
        <w:rPr>
          <w:lang w:val="it-IT"/>
        </w:rPr>
        <w:t xml:space="preserve">Non sono stati condotti nuovi studi clinici di farmacodinamica e farmacocinetica, in quanto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contiene un principio attivo noto e presente nel medicinale </w:t>
      </w:r>
      <w:proofErr w:type="spellStart"/>
      <w:r w:rsidRPr="00F31307">
        <w:rPr>
          <w:lang w:val="it-IT"/>
        </w:rPr>
        <w:t>Trosyd</w:t>
      </w:r>
      <w:proofErr w:type="spellEnd"/>
      <w:r w:rsidRPr="00F31307">
        <w:rPr>
          <w:lang w:val="it-IT"/>
        </w:rPr>
        <w:t xml:space="preserve"> autorizzato in Italia da più di 10 anni.</w:t>
      </w:r>
    </w:p>
    <w:p w:rsidR="006106D5" w:rsidRPr="000F2801" w:rsidRDefault="006106D5" w:rsidP="00B32D81">
      <w:pPr>
        <w:spacing w:after="0" w:line="240" w:lineRule="auto"/>
        <w:jc w:val="both"/>
        <w:rPr>
          <w:rFonts w:cs="Arial"/>
          <w:lang w:val="it-IT"/>
        </w:rPr>
      </w:pPr>
    </w:p>
    <w:p w:rsidR="00F22BED" w:rsidRPr="000F2801" w:rsidRDefault="00F31307" w:rsidP="00F22BED">
      <w:pPr>
        <w:spacing w:after="0" w:line="240" w:lineRule="auto"/>
        <w:jc w:val="both"/>
        <w:rPr>
          <w:rFonts w:cs="Arial"/>
          <w:b/>
          <w:lang w:val="it-IT"/>
        </w:rPr>
      </w:pPr>
      <w:r w:rsidRPr="00F31307">
        <w:rPr>
          <w:rFonts w:cs="Arial"/>
          <w:b/>
          <w:lang w:val="it-IT"/>
        </w:rPr>
        <w:t>Efficacia e sicurezza clinica</w:t>
      </w:r>
    </w:p>
    <w:p w:rsidR="00F22BED" w:rsidRPr="000F2801" w:rsidRDefault="00F31307" w:rsidP="00F22BED">
      <w:pPr>
        <w:spacing w:after="0" w:line="240" w:lineRule="auto"/>
        <w:jc w:val="both"/>
        <w:rPr>
          <w:rFonts w:cs="Arial"/>
          <w:lang w:val="it-IT"/>
        </w:rPr>
      </w:pPr>
      <w:r w:rsidRPr="00F31307">
        <w:rPr>
          <w:rFonts w:cs="Arial"/>
          <w:lang w:val="it-IT"/>
        </w:rPr>
        <w:t xml:space="preserve">Non sono stati presentati nuovi dati di efficacia e sicurezza clinica: il profilo di sicurezza e l’efficacia del principio attivo di </w:t>
      </w:r>
      <w:proofErr w:type="spellStart"/>
      <w:r w:rsidRPr="00F31307">
        <w:rPr>
          <w:rFonts w:cs="Arial"/>
          <w:lang w:val="it-IT"/>
        </w:rPr>
        <w:t>Tioconazolo</w:t>
      </w:r>
      <w:proofErr w:type="spellEnd"/>
      <w:r w:rsidRPr="00F31307">
        <w:rPr>
          <w:rFonts w:cs="Arial"/>
          <w:lang w:val="it-IT"/>
        </w:rPr>
        <w:t xml:space="preserve"> Ipso Pharma è ben conosciuto; inoltre, è stato possibile concedere l’esenzione dalla conduzione di studi clinici di confronto con il medicinale di riferimento in quanto </w:t>
      </w:r>
      <w:proofErr w:type="spellStart"/>
      <w:r w:rsidRPr="00F31307">
        <w:rPr>
          <w:rFonts w:cs="Arial"/>
          <w:lang w:val="it-IT"/>
        </w:rPr>
        <w:t>Tioconazolo</w:t>
      </w:r>
      <w:proofErr w:type="spellEnd"/>
      <w:r w:rsidRPr="00F31307">
        <w:rPr>
          <w:rFonts w:cs="Arial"/>
          <w:lang w:val="it-IT"/>
        </w:rPr>
        <w:t xml:space="preserve"> Ipso Pharma è somministrato come smalto medicato per unghie con le stesse caratteristiche chimico-fisiche del medicinale di riferimento.</w:t>
      </w:r>
    </w:p>
    <w:p w:rsidR="007C68D2" w:rsidRPr="000F2801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b/>
          <w:lang w:val="it-IT"/>
        </w:rPr>
      </w:pPr>
      <w:r w:rsidRPr="00F31307">
        <w:rPr>
          <w:b/>
          <w:lang w:val="it-IT"/>
        </w:rPr>
        <w:t>Piano di Valutazione del Rischio (</w:t>
      </w:r>
      <w:proofErr w:type="spellStart"/>
      <w:r w:rsidRPr="00F31307">
        <w:rPr>
          <w:b/>
          <w:i/>
          <w:lang w:val="it-IT"/>
        </w:rPr>
        <w:t>Risk</w:t>
      </w:r>
      <w:proofErr w:type="spellEnd"/>
      <w:r w:rsidRPr="00F31307">
        <w:rPr>
          <w:b/>
          <w:i/>
          <w:lang w:val="it-IT"/>
        </w:rPr>
        <w:t xml:space="preserve"> Management </w:t>
      </w:r>
      <w:proofErr w:type="spellStart"/>
      <w:r w:rsidRPr="00F31307">
        <w:rPr>
          <w:b/>
          <w:i/>
          <w:lang w:val="it-IT"/>
        </w:rPr>
        <w:t>Plan</w:t>
      </w:r>
      <w:proofErr w:type="spellEnd"/>
      <w:r w:rsidRPr="00F31307">
        <w:rPr>
          <w:b/>
          <w:lang w:val="it-IT"/>
        </w:rPr>
        <w:t xml:space="preserve"> - RMP)</w:t>
      </w: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F31307">
        <w:rPr>
          <w:lang w:val="it-IT"/>
        </w:rPr>
        <w:t xml:space="preserve">E’ stato presentato un RMP in accordo a quanto previsto dalla Direttiva 2001/83/EU </w:t>
      </w:r>
      <w:proofErr w:type="spellStart"/>
      <w:r w:rsidRPr="00F31307">
        <w:rPr>
          <w:lang w:val="it-IT"/>
        </w:rPr>
        <w:t>s.m.i.</w:t>
      </w:r>
      <w:proofErr w:type="spellEnd"/>
      <w:r w:rsidRPr="00F31307">
        <w:rPr>
          <w:lang w:val="it-IT"/>
        </w:rPr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Pharma.</w:t>
      </w: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F31307">
        <w:rPr>
          <w:lang w:val="it-IT"/>
        </w:rPr>
        <w:t>Il riassunto delle problematiche di sicurezza sono riportate nella tabella seguente.</w:t>
      </w:r>
    </w:p>
    <w:p w:rsidR="00A31145" w:rsidRPr="00AF2024" w:rsidRDefault="00A31145" w:rsidP="00A31145">
      <w:pPr>
        <w:pStyle w:val="Paragrafoelenco"/>
        <w:spacing w:after="0" w:line="240" w:lineRule="auto"/>
        <w:ind w:left="0"/>
        <w:jc w:val="both"/>
        <w:rPr>
          <w:b/>
          <w:color w:val="FF0000"/>
          <w:lang w:val="it-IT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3217"/>
        <w:gridCol w:w="4673"/>
      </w:tblGrid>
      <w:tr w:rsidR="00A31145" w:rsidRPr="00A763D2" w:rsidTr="000E1045">
        <w:trPr>
          <w:trHeight w:val="287"/>
          <w:jc w:val="center"/>
        </w:trPr>
        <w:tc>
          <w:tcPr>
            <w:tcW w:w="3217" w:type="dxa"/>
          </w:tcPr>
          <w:p w:rsidR="00A31145" w:rsidRPr="006B3093" w:rsidRDefault="00A31145" w:rsidP="000E1045">
            <w:pPr>
              <w:pStyle w:val="Paragrafoelenco"/>
              <w:ind w:left="0"/>
              <w:jc w:val="both"/>
              <w:rPr>
                <w:sz w:val="20"/>
              </w:rPr>
            </w:pPr>
            <w:r w:rsidRPr="006B3093">
              <w:rPr>
                <w:sz w:val="20"/>
              </w:rPr>
              <w:t>Rischi Importanti identificati</w:t>
            </w:r>
          </w:p>
        </w:tc>
        <w:tc>
          <w:tcPr>
            <w:tcW w:w="4673" w:type="dxa"/>
          </w:tcPr>
          <w:p w:rsidR="00A31145" w:rsidRPr="006B3093" w:rsidRDefault="00A31145" w:rsidP="000E1045">
            <w:pPr>
              <w:pStyle w:val="msolistparagraph0"/>
              <w:ind w:left="0"/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Nessuno</w:t>
            </w:r>
          </w:p>
        </w:tc>
      </w:tr>
      <w:tr w:rsidR="00A31145" w:rsidRPr="00E7582F" w:rsidTr="000E1045">
        <w:trPr>
          <w:trHeight w:val="277"/>
          <w:jc w:val="center"/>
        </w:trPr>
        <w:tc>
          <w:tcPr>
            <w:tcW w:w="3217" w:type="dxa"/>
          </w:tcPr>
          <w:p w:rsidR="00A31145" w:rsidRPr="006B3093" w:rsidRDefault="00A31145" w:rsidP="000E1045">
            <w:pPr>
              <w:jc w:val="both"/>
              <w:rPr>
                <w:sz w:val="20"/>
              </w:rPr>
            </w:pPr>
            <w:r w:rsidRPr="006B3093">
              <w:rPr>
                <w:sz w:val="20"/>
              </w:rPr>
              <w:t>Rischi Importanti potenziali</w:t>
            </w:r>
          </w:p>
        </w:tc>
        <w:tc>
          <w:tcPr>
            <w:tcW w:w="4673" w:type="dxa"/>
          </w:tcPr>
          <w:p w:rsidR="00A31145" w:rsidRPr="006B3093" w:rsidRDefault="00A31145" w:rsidP="000E1045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Nessuno </w:t>
            </w:r>
          </w:p>
        </w:tc>
      </w:tr>
      <w:tr w:rsidR="00A31145" w:rsidRPr="00A763D2" w:rsidTr="000E1045">
        <w:trPr>
          <w:jc w:val="center"/>
        </w:trPr>
        <w:tc>
          <w:tcPr>
            <w:tcW w:w="3217" w:type="dxa"/>
          </w:tcPr>
          <w:p w:rsidR="00A31145" w:rsidRPr="006B3093" w:rsidRDefault="00A31145" w:rsidP="000E1045">
            <w:pPr>
              <w:jc w:val="both"/>
              <w:rPr>
                <w:sz w:val="20"/>
              </w:rPr>
            </w:pPr>
            <w:r w:rsidRPr="006B3093">
              <w:rPr>
                <w:sz w:val="20"/>
              </w:rPr>
              <w:t>Informazioni mancanti</w:t>
            </w:r>
          </w:p>
        </w:tc>
        <w:tc>
          <w:tcPr>
            <w:tcW w:w="4673" w:type="dxa"/>
          </w:tcPr>
          <w:p w:rsidR="00A31145" w:rsidRDefault="00A31145" w:rsidP="000E1045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Uso durante la g</w:t>
            </w:r>
            <w:r w:rsidRPr="006B3093">
              <w:rPr>
                <w:rFonts w:cs="Arial"/>
                <w:sz w:val="20"/>
                <w:szCs w:val="20"/>
              </w:rPr>
              <w:t xml:space="preserve">ravidanza </w:t>
            </w:r>
          </w:p>
          <w:p w:rsidR="00A31145" w:rsidRPr="006B3093" w:rsidRDefault="00A31145" w:rsidP="000E1045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Uso durante l’allattamento</w:t>
            </w:r>
            <w:r w:rsidRPr="006B3093">
              <w:rPr>
                <w:rFonts w:cs="Arial"/>
                <w:sz w:val="20"/>
                <w:szCs w:val="20"/>
              </w:rPr>
              <w:t xml:space="preserve"> </w:t>
            </w:r>
          </w:p>
          <w:p w:rsidR="00A31145" w:rsidRPr="006B3093" w:rsidRDefault="00A31145" w:rsidP="000E1045">
            <w:pPr>
              <w:pStyle w:val="msolistparagraph0"/>
              <w:ind w:left="0"/>
              <w:rPr>
                <w:rFonts w:cs="Arial"/>
                <w:sz w:val="20"/>
                <w:szCs w:val="20"/>
              </w:rPr>
            </w:pPr>
            <w:r w:rsidRPr="00A763D2">
              <w:rPr>
                <w:sz w:val="20"/>
              </w:rPr>
              <w:t>Uso nei bambini</w:t>
            </w:r>
            <w:r w:rsidRPr="006B309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A31145" w:rsidRPr="00A763D2" w:rsidRDefault="00A31145" w:rsidP="00A31145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F31307">
        <w:rPr>
          <w:lang w:val="it-IT"/>
        </w:rPr>
        <w:lastRenderedPageBreak/>
        <w:t xml:space="preserve">Azioni </w:t>
      </w:r>
      <w:proofErr w:type="spellStart"/>
      <w:r w:rsidRPr="00F31307">
        <w:rPr>
          <w:lang w:val="it-IT"/>
        </w:rPr>
        <w:t>routinarie</w:t>
      </w:r>
      <w:proofErr w:type="spellEnd"/>
      <w:r w:rsidRPr="00F31307">
        <w:rPr>
          <w:lang w:val="it-IT"/>
        </w:rPr>
        <w:t xml:space="preserve"> di farmacovigilanza e di minimizzazione del rischio sono proposte per tutte le problematiche di sicurezza.</w:t>
      </w: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F31307">
        <w:rPr>
          <w:lang w:val="it-IT"/>
        </w:rPr>
        <w:t>Oltre le misure previste nel Riassunto delle caratteristiche del prodotto non sono previste attività addizionali di minimizzazione del rischio.</w:t>
      </w:r>
    </w:p>
    <w:p w:rsidR="007C68D2" w:rsidRPr="000F2801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b/>
          <w:lang w:val="it-IT"/>
        </w:rPr>
      </w:pPr>
      <w:r w:rsidRPr="00F31307">
        <w:rPr>
          <w:b/>
          <w:lang w:val="it-IT"/>
        </w:rPr>
        <w:t>Conclusioni</w:t>
      </w: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F31307">
        <w:rPr>
          <w:lang w:val="it-IT"/>
        </w:rPr>
        <w:t xml:space="preserve">Per la richiesta di AIC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sono state presentate sufficienti informazioni cliniche.</w:t>
      </w:r>
    </w:p>
    <w:p w:rsidR="007C68D2" w:rsidRPr="000F2801" w:rsidRDefault="00F31307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  <w:r w:rsidRPr="00F31307">
        <w:rPr>
          <w:lang w:val="it-IT"/>
        </w:rPr>
        <w:t xml:space="preserve">Il rapporto beneficio/rischio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è considerato favorevole dal punto di vista clinico.</w:t>
      </w:r>
    </w:p>
    <w:p w:rsidR="007C68D2" w:rsidRPr="000F2801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0F2801" w:rsidRDefault="007C68D2" w:rsidP="00B32D81">
      <w:pPr>
        <w:pStyle w:val="Paragrafoelenco"/>
        <w:spacing w:after="0" w:line="240" w:lineRule="auto"/>
        <w:ind w:left="0"/>
        <w:jc w:val="both"/>
        <w:rPr>
          <w:lang w:val="it-IT"/>
        </w:rPr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F31307">
        <w:rPr>
          <w:lang w:val="it-IT"/>
        </w:rPr>
        <w:t>s.m.i.</w:t>
      </w:r>
      <w:proofErr w:type="spellEnd"/>
      <w:r w:rsidRPr="00F31307">
        <w:rPr>
          <w:lang w:val="it-IT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Pr="000F2801" w:rsidRDefault="007C68D2" w:rsidP="00B32D81">
      <w:pPr>
        <w:spacing w:after="0" w:line="240" w:lineRule="auto"/>
        <w:jc w:val="both"/>
        <w:rPr>
          <w:lang w:val="it-IT"/>
        </w:rPr>
      </w:pPr>
    </w:p>
    <w:p w:rsidR="00F22BED" w:rsidRPr="000F2801" w:rsidRDefault="00F22BED" w:rsidP="00B32D81">
      <w:pPr>
        <w:spacing w:after="0" w:line="240" w:lineRule="auto"/>
        <w:jc w:val="both"/>
        <w:rPr>
          <w:lang w:val="it-IT"/>
        </w:rPr>
      </w:pPr>
    </w:p>
    <w:p w:rsidR="007C68D2" w:rsidRPr="000F2801" w:rsidRDefault="00F31307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lang w:val="it-IT"/>
        </w:rPr>
      </w:pPr>
      <w:r w:rsidRPr="00F31307">
        <w:rPr>
          <w:b/>
          <w:lang w:val="it-IT"/>
        </w:rPr>
        <w:t>CONCLUSIONI, VALUTAZIONE DEL RAPPORTO BENEFICIO/RISCHIO E RACCOMANDAZIONI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La qualità di </w:t>
      </w:r>
      <w:proofErr w:type="spellStart"/>
      <w:r w:rsidRPr="00F31307">
        <w:rPr>
          <w:lang w:val="it-IT"/>
        </w:rPr>
        <w:t>Tioconazolo</w:t>
      </w:r>
      <w:proofErr w:type="spellEnd"/>
      <w:r w:rsidRPr="00F31307">
        <w:rPr>
          <w:lang w:val="it-IT"/>
        </w:rPr>
        <w:t xml:space="preserve"> Ipso Pharma è accettabile e non sono state rilevate criticità da un punto di vista non clinico e clinico.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>Il rapporto beneficio/rischio è considerato positivo.</w:t>
      </w:r>
    </w:p>
    <w:p w:rsidR="007C68D2" w:rsidRPr="000F2801" w:rsidRDefault="00F31307" w:rsidP="00B32D81">
      <w:pPr>
        <w:spacing w:after="0" w:line="240" w:lineRule="auto"/>
        <w:jc w:val="both"/>
        <w:rPr>
          <w:lang w:val="it-IT"/>
        </w:rPr>
      </w:pPr>
      <w:r w:rsidRPr="00F31307">
        <w:rPr>
          <w:lang w:val="it-IT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31307">
        <w:rPr>
          <w:rFonts w:eastAsia="Calibri" w:cs="Calibri"/>
          <w:lang w:val="it-IT" w:eastAsia="it-IT"/>
        </w:rPr>
        <w:t>(</w:t>
      </w:r>
      <w:hyperlink r:id="rId9" w:history="1">
        <w:r w:rsidRPr="00F31307">
          <w:rPr>
            <w:rStyle w:val="Collegamentoipertestuale"/>
            <w:rFonts w:eastAsia="Calibri" w:cs="Calibri"/>
            <w:lang w:val="it-IT"/>
          </w:rPr>
          <w:t>https://farmaci.agenziafarmaco.gov.it/bancadatifarmaci</w:t>
        </w:r>
      </w:hyperlink>
      <w:r w:rsidRPr="00F31307">
        <w:rPr>
          <w:rFonts w:eastAsia="Calibri" w:cs="Calibri"/>
          <w:lang w:val="it-IT" w:eastAsia="it-IT"/>
        </w:rPr>
        <w:t>).</w:t>
      </w:r>
      <w:r w:rsidRPr="00F31307">
        <w:rPr>
          <w:lang w:val="it-IT"/>
        </w:rPr>
        <w:t xml:space="preserve"> </w:t>
      </w: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p w:rsidR="007C68D2" w:rsidRPr="000F2801" w:rsidRDefault="007C68D2" w:rsidP="00B32D81">
      <w:pPr>
        <w:spacing w:after="0" w:line="240" w:lineRule="auto"/>
        <w:rPr>
          <w:lang w:val="it-IT"/>
        </w:rPr>
      </w:pPr>
    </w:p>
    <w:sectPr w:rsidR="007C68D2" w:rsidRPr="000F280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3020"/>
    <w:rsid w:val="00062636"/>
    <w:rsid w:val="000725FF"/>
    <w:rsid w:val="000B6CEA"/>
    <w:rsid w:val="000E01B2"/>
    <w:rsid w:val="000E0C85"/>
    <w:rsid w:val="000F2801"/>
    <w:rsid w:val="00156285"/>
    <w:rsid w:val="001A31E9"/>
    <w:rsid w:val="001D4DA6"/>
    <w:rsid w:val="001D5F84"/>
    <w:rsid w:val="002076F5"/>
    <w:rsid w:val="00240F4C"/>
    <w:rsid w:val="002833EC"/>
    <w:rsid w:val="00283953"/>
    <w:rsid w:val="00283D07"/>
    <w:rsid w:val="002C389F"/>
    <w:rsid w:val="003167B4"/>
    <w:rsid w:val="00322BF5"/>
    <w:rsid w:val="00356C29"/>
    <w:rsid w:val="0036781E"/>
    <w:rsid w:val="003A0AA5"/>
    <w:rsid w:val="003A6EF3"/>
    <w:rsid w:val="003A6FA1"/>
    <w:rsid w:val="004171F6"/>
    <w:rsid w:val="004241AC"/>
    <w:rsid w:val="004349A2"/>
    <w:rsid w:val="00437E43"/>
    <w:rsid w:val="004424A4"/>
    <w:rsid w:val="00443E77"/>
    <w:rsid w:val="0045169D"/>
    <w:rsid w:val="00473C86"/>
    <w:rsid w:val="00494CCF"/>
    <w:rsid w:val="004B20A8"/>
    <w:rsid w:val="004B69C4"/>
    <w:rsid w:val="004C2B07"/>
    <w:rsid w:val="004C3535"/>
    <w:rsid w:val="004D2B3F"/>
    <w:rsid w:val="004E347D"/>
    <w:rsid w:val="00502AB1"/>
    <w:rsid w:val="00520FDC"/>
    <w:rsid w:val="005276B9"/>
    <w:rsid w:val="005368CE"/>
    <w:rsid w:val="00556648"/>
    <w:rsid w:val="00564F57"/>
    <w:rsid w:val="005773A6"/>
    <w:rsid w:val="005820A7"/>
    <w:rsid w:val="005A2741"/>
    <w:rsid w:val="005A2B9B"/>
    <w:rsid w:val="005B446C"/>
    <w:rsid w:val="005D53B9"/>
    <w:rsid w:val="006063E6"/>
    <w:rsid w:val="006106D5"/>
    <w:rsid w:val="00633428"/>
    <w:rsid w:val="00665921"/>
    <w:rsid w:val="006831C7"/>
    <w:rsid w:val="006959E3"/>
    <w:rsid w:val="00716EE9"/>
    <w:rsid w:val="0075360D"/>
    <w:rsid w:val="00762D88"/>
    <w:rsid w:val="007935FE"/>
    <w:rsid w:val="007B458A"/>
    <w:rsid w:val="007C68D2"/>
    <w:rsid w:val="007D68A8"/>
    <w:rsid w:val="007E1F0A"/>
    <w:rsid w:val="007E7EB5"/>
    <w:rsid w:val="008204C6"/>
    <w:rsid w:val="00821EFA"/>
    <w:rsid w:val="0083545D"/>
    <w:rsid w:val="00852838"/>
    <w:rsid w:val="008619D0"/>
    <w:rsid w:val="0087132D"/>
    <w:rsid w:val="00874568"/>
    <w:rsid w:val="008B32DF"/>
    <w:rsid w:val="00900DAA"/>
    <w:rsid w:val="00955F3A"/>
    <w:rsid w:val="009A1E3E"/>
    <w:rsid w:val="009A260F"/>
    <w:rsid w:val="009D61AA"/>
    <w:rsid w:val="00A122CA"/>
    <w:rsid w:val="00A31145"/>
    <w:rsid w:val="00A4557E"/>
    <w:rsid w:val="00A52DC4"/>
    <w:rsid w:val="00A642C7"/>
    <w:rsid w:val="00A73821"/>
    <w:rsid w:val="00A80000"/>
    <w:rsid w:val="00A91A23"/>
    <w:rsid w:val="00AE7A98"/>
    <w:rsid w:val="00B07EF8"/>
    <w:rsid w:val="00B27FD9"/>
    <w:rsid w:val="00B329D4"/>
    <w:rsid w:val="00B32D81"/>
    <w:rsid w:val="00B351E1"/>
    <w:rsid w:val="00B362D7"/>
    <w:rsid w:val="00B75D1D"/>
    <w:rsid w:val="00B75EA4"/>
    <w:rsid w:val="00B879F4"/>
    <w:rsid w:val="00B96D89"/>
    <w:rsid w:val="00BD1173"/>
    <w:rsid w:val="00C00425"/>
    <w:rsid w:val="00C31AF0"/>
    <w:rsid w:val="00C33A16"/>
    <w:rsid w:val="00C53128"/>
    <w:rsid w:val="00C630E2"/>
    <w:rsid w:val="00C8171A"/>
    <w:rsid w:val="00CA29BF"/>
    <w:rsid w:val="00CA63D1"/>
    <w:rsid w:val="00CA78C5"/>
    <w:rsid w:val="00CC7AFF"/>
    <w:rsid w:val="00D07C5C"/>
    <w:rsid w:val="00D103AB"/>
    <w:rsid w:val="00D172B7"/>
    <w:rsid w:val="00D20170"/>
    <w:rsid w:val="00D27CF3"/>
    <w:rsid w:val="00D47411"/>
    <w:rsid w:val="00D5343F"/>
    <w:rsid w:val="00D57567"/>
    <w:rsid w:val="00D707C4"/>
    <w:rsid w:val="00D745C6"/>
    <w:rsid w:val="00D92C93"/>
    <w:rsid w:val="00DA1945"/>
    <w:rsid w:val="00DC0AB6"/>
    <w:rsid w:val="00DC5BE2"/>
    <w:rsid w:val="00E14380"/>
    <w:rsid w:val="00E21095"/>
    <w:rsid w:val="00E22AEF"/>
    <w:rsid w:val="00E3672E"/>
    <w:rsid w:val="00E43089"/>
    <w:rsid w:val="00E7486A"/>
    <w:rsid w:val="00E95CA3"/>
    <w:rsid w:val="00EC4C5B"/>
    <w:rsid w:val="00EE6B0B"/>
    <w:rsid w:val="00F01FB3"/>
    <w:rsid w:val="00F22BED"/>
    <w:rsid w:val="00F25E69"/>
    <w:rsid w:val="00F31307"/>
    <w:rsid w:val="00F4168A"/>
    <w:rsid w:val="00F42E91"/>
    <w:rsid w:val="00F46005"/>
    <w:rsid w:val="00F9209F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1307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C4C5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A31145"/>
    <w:pPr>
      <w:spacing w:after="0" w:line="240" w:lineRule="auto"/>
    </w:pPr>
    <w:rPr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A31145"/>
    <w:pPr>
      <w:ind w:left="708"/>
    </w:pPr>
    <w:rPr>
      <w:rFonts w:ascii="Calibri" w:eastAsia="Times New Roman" w:hAnsi="Calibri" w:cs="Times New Roman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14</cp:revision>
  <dcterms:created xsi:type="dcterms:W3CDTF">2017-10-06T07:12:00Z</dcterms:created>
  <dcterms:modified xsi:type="dcterms:W3CDTF">2017-11-22T14:16:00Z</dcterms:modified>
</cp:coreProperties>
</file>