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132FE7" w:rsidRDefault="004241AC" w:rsidP="004241AC">
      <w:pPr>
        <w:spacing w:after="0" w:line="240" w:lineRule="auto"/>
        <w:jc w:val="center"/>
        <w:rPr>
          <w:lang w:val="en-US"/>
        </w:rPr>
      </w:pPr>
      <w:r w:rsidRPr="00132FE7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132FE7" w:rsidRDefault="004241AC" w:rsidP="004241AC">
      <w:pPr>
        <w:spacing w:after="0" w:line="240" w:lineRule="auto"/>
        <w:jc w:val="center"/>
        <w:rPr>
          <w:b/>
        </w:rPr>
      </w:pPr>
    </w:p>
    <w:p w:rsidR="00791481" w:rsidRPr="00132FE7" w:rsidRDefault="00791481" w:rsidP="005F01C0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132FE7">
        <w:rPr>
          <w:b/>
          <w:sz w:val="28"/>
        </w:rPr>
        <w:t>Relazione Pubblica di Valutazione</w:t>
      </w:r>
    </w:p>
    <w:p w:rsidR="004241AC" w:rsidRPr="00132FE7" w:rsidRDefault="004241AC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1481" w:rsidRDefault="00791481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77B00" w:rsidRPr="00132FE7" w:rsidRDefault="00F77B00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32FE7" w:rsidRDefault="00BF7912" w:rsidP="005F01C0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VIVINDUO FEBBRE E CONGESTIONE NASALE</w:t>
      </w:r>
      <w:r w:rsidR="003B3CB7" w:rsidRPr="00132FE7">
        <w:rPr>
          <w:b/>
          <w:sz w:val="32"/>
        </w:rPr>
        <w:t xml:space="preserve">  </w:t>
      </w:r>
      <w:r w:rsidR="000A4CC5" w:rsidRPr="00132FE7">
        <w:rPr>
          <w:b/>
          <w:sz w:val="32"/>
        </w:rPr>
        <w:t xml:space="preserve">  </w:t>
      </w:r>
    </w:p>
    <w:p w:rsidR="00F77B00" w:rsidRDefault="00F77B00" w:rsidP="005F01C0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132FE7" w:rsidRDefault="004241AC" w:rsidP="005F01C0">
      <w:pPr>
        <w:widowControl w:val="0"/>
        <w:spacing w:after="0" w:line="240" w:lineRule="auto"/>
        <w:jc w:val="center"/>
        <w:rPr>
          <w:snapToGrid w:val="0"/>
        </w:rPr>
      </w:pPr>
      <w:r w:rsidRPr="00132FE7">
        <w:rPr>
          <w:snapToGrid w:val="0"/>
        </w:rPr>
        <w:t>(</w:t>
      </w:r>
      <w:r w:rsidR="005F01C0" w:rsidRPr="00132FE7">
        <w:rPr>
          <w:snapToGrid w:val="0"/>
        </w:rPr>
        <w:t xml:space="preserve">Paracetamolo e </w:t>
      </w:r>
      <w:proofErr w:type="spellStart"/>
      <w:r w:rsidR="005F01C0" w:rsidRPr="00132FE7">
        <w:rPr>
          <w:snapToGrid w:val="0"/>
        </w:rPr>
        <w:t>pseudoefedrina</w:t>
      </w:r>
      <w:proofErr w:type="spellEnd"/>
      <w:r w:rsidRPr="00132FE7">
        <w:rPr>
          <w:snapToGrid w:val="0"/>
        </w:rPr>
        <w:t>)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6725E" w:rsidRPr="00F77B00" w:rsidRDefault="0036725E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159A3" w:rsidRPr="00F77B00" w:rsidRDefault="00E048BF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F77B00" w:rsidDel="00E048BF">
        <w:rPr>
          <w:b/>
        </w:rPr>
        <w:t xml:space="preserve"> </w:t>
      </w:r>
      <w:proofErr w:type="spellStart"/>
      <w:r w:rsidR="00F77B00" w:rsidRPr="00F77B00">
        <w:rPr>
          <w:b/>
        </w:rPr>
        <w:t>E-Pharma</w:t>
      </w:r>
      <w:proofErr w:type="spellEnd"/>
      <w:r w:rsidR="00F77B00" w:rsidRPr="00F77B00">
        <w:rPr>
          <w:b/>
        </w:rPr>
        <w:t xml:space="preserve"> Trento</w:t>
      </w:r>
    </w:p>
    <w:p w:rsidR="00F77B00" w:rsidRDefault="00F77B00" w:rsidP="00F77B00">
      <w:pPr>
        <w:autoSpaceDE w:val="0"/>
        <w:autoSpaceDN w:val="0"/>
        <w:adjustRightInd w:val="0"/>
        <w:spacing w:after="0" w:line="240" w:lineRule="auto"/>
        <w:jc w:val="center"/>
      </w:pPr>
    </w:p>
    <w:p w:rsidR="00F77B00" w:rsidRPr="00F77B00" w:rsidRDefault="00F77B00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F77B00" w:rsidRDefault="004241AC" w:rsidP="00F77B00">
      <w:pPr>
        <w:spacing w:after="0" w:line="240" w:lineRule="auto"/>
        <w:jc w:val="center"/>
        <w:rPr>
          <w:rFonts w:cs="Helvetica"/>
          <w:b/>
        </w:rPr>
      </w:pPr>
      <w:r w:rsidRPr="00F77B00">
        <w:rPr>
          <w:b/>
        </w:rPr>
        <w:t xml:space="preserve">Numero di AIC: </w:t>
      </w:r>
      <w:r w:rsidR="0040748B" w:rsidRPr="00F77B00">
        <w:rPr>
          <w:b/>
        </w:rPr>
        <w:t>044921</w:t>
      </w:r>
    </w:p>
    <w:bookmarkEnd w:id="0"/>
    <w:p w:rsidR="0036725E" w:rsidRPr="00F77B00" w:rsidRDefault="0036725E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36725E" w:rsidRPr="00F77B00" w:rsidRDefault="0036725E" w:rsidP="00F77B0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00C91" w:rsidRPr="00F77B00" w:rsidRDefault="00900C91" w:rsidP="00F77B00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F77B00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77B0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F77B00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F77B00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F77B00">
        <w:rPr>
          <w:rFonts w:eastAsia="Calibri" w:cs="Calibri"/>
          <w:i/>
          <w:color w:val="000000"/>
          <w:lang w:eastAsia="it-IT"/>
        </w:rPr>
        <w:t xml:space="preserve"> Report</w:t>
      </w:r>
      <w:r w:rsidRPr="00F77B00">
        <w:rPr>
          <w:rFonts w:eastAsia="Calibri" w:cs="Calibri"/>
          <w:color w:val="000000"/>
          <w:lang w:eastAsia="it-IT"/>
        </w:rPr>
        <w:t xml:space="preserve"> (PAR) per</w:t>
      </w:r>
      <w:r w:rsidRPr="00F77B00">
        <w:rPr>
          <w:rFonts w:eastAsia="Calibri" w:cs="Calibri"/>
          <w:caps/>
          <w:color w:val="000000"/>
          <w:lang w:eastAsia="it-IT"/>
        </w:rPr>
        <w:t xml:space="preserve">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</w:t>
      </w:r>
      <w:r w:rsidR="0059309B">
        <w:rPr>
          <w:rFonts w:eastAsia="Calibri" w:cs="Calibri"/>
          <w:color w:val="000000"/>
          <w:lang w:eastAsia="it-IT"/>
        </w:rPr>
        <w:t>o</w:t>
      </w:r>
      <w:proofErr w:type="spellEnd"/>
      <w:r w:rsidR="0059309B">
        <w:rPr>
          <w:rFonts w:eastAsia="Calibri" w:cs="Calibri"/>
          <w:color w:val="000000"/>
          <w:lang w:eastAsia="it-IT"/>
        </w:rPr>
        <w:t xml:space="preserve"> febbre e congestione nasale. E</w:t>
      </w:r>
      <w:r w:rsidR="00F77B00" w:rsidRPr="00F77B00">
        <w:rPr>
          <w:rFonts w:eastAsia="Calibri" w:cs="Calibri"/>
          <w:color w:val="000000"/>
          <w:lang w:eastAsia="it-IT"/>
        </w:rPr>
        <w:t xml:space="preserve">sso spiega come </w:t>
      </w:r>
      <w:proofErr w:type="spellStart"/>
      <w:r w:rsidR="0059309B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color w:val="000000"/>
          <w:lang w:eastAsia="it-IT"/>
        </w:rPr>
        <w:t xml:space="preserve"> </w:t>
      </w:r>
      <w:r w:rsidRPr="00F77B00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F77B00">
        <w:rPr>
          <w:rFonts w:eastAsia="Calibri" w:cs="Calibri"/>
          <w:color w:val="000000"/>
          <w:lang w:eastAsia="it-IT"/>
        </w:rPr>
        <w:t>le sue</w:t>
      </w:r>
      <w:r w:rsidRPr="00F77B00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</w:t>
      </w:r>
      <w:r w:rsidR="0059309B">
        <w:rPr>
          <w:rFonts w:eastAsia="Calibri" w:cs="Calibri"/>
          <w:color w:val="000000"/>
          <w:lang w:eastAsia="it-IT"/>
        </w:rPr>
        <w:t>uo</w:t>
      </w:r>
      <w:proofErr w:type="spellEnd"/>
      <w:r w:rsidR="0059309B">
        <w:rPr>
          <w:rFonts w:eastAsia="Calibri" w:cs="Calibri"/>
          <w:color w:val="000000"/>
          <w:lang w:eastAsia="it-IT"/>
        </w:rPr>
        <w:t xml:space="preserve"> febbre e congestione nasale.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7B00">
        <w:rPr>
          <w:rFonts w:eastAsia="Calibri" w:cs="Calibri"/>
          <w:color w:val="000000"/>
          <w:lang w:eastAsia="it-IT"/>
        </w:rPr>
        <w:t>Per informazioni pratiche sull'utilizzo di</w:t>
      </w:r>
      <w:r w:rsidR="000A4CC5" w:rsidRPr="00F77B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color w:val="000000"/>
          <w:lang w:eastAsia="it-IT"/>
        </w:rPr>
        <w:t xml:space="preserve"> </w:t>
      </w:r>
      <w:r w:rsidR="000A4CC5" w:rsidRPr="00F77B00">
        <w:rPr>
          <w:rFonts w:eastAsia="Calibri" w:cs="Calibri"/>
          <w:color w:val="000000"/>
          <w:lang w:eastAsia="it-IT"/>
        </w:rPr>
        <w:t>i</w:t>
      </w:r>
      <w:r w:rsidRPr="00F77B00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 o </w:t>
      </w:r>
      <w:r w:rsidR="00FA55B0" w:rsidRPr="00F77B00">
        <w:rPr>
          <w:rFonts w:eastAsia="Calibri" w:cs="Calibri"/>
          <w:color w:val="000000"/>
          <w:lang w:eastAsia="it-IT"/>
        </w:rPr>
        <w:t xml:space="preserve">il </w:t>
      </w:r>
      <w:r w:rsidRPr="00F77B0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6725E" w:rsidRPr="00F77B00" w:rsidRDefault="0036725E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77B0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b/>
          <w:color w:val="000000"/>
          <w:lang w:eastAsia="it-IT"/>
        </w:rPr>
        <w:t xml:space="preserve"> </w:t>
      </w:r>
      <w:r w:rsidR="005F01C0" w:rsidRPr="00F77B00">
        <w:rPr>
          <w:rFonts w:eastAsia="Calibri" w:cs="Calibri"/>
          <w:b/>
          <w:bCs/>
          <w:color w:val="000000"/>
          <w:lang w:eastAsia="it-IT"/>
        </w:rPr>
        <w:t>E A COSA SERVE</w:t>
      </w:r>
      <w:r w:rsidRPr="00F77B0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F77B00" w:rsidRDefault="00F77B00" w:rsidP="00F77B00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0169C7" w:rsidRPr="00F77B00">
        <w:rPr>
          <w:rFonts w:eastAsia="Calibri" w:cs="Calibri"/>
          <w:color w:val="000000"/>
          <w:lang w:eastAsia="it-IT"/>
        </w:rPr>
        <w:t xml:space="preserve"> </w:t>
      </w:r>
      <w:r w:rsidR="004241AC" w:rsidRPr="00F77B0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F77B00">
        <w:rPr>
          <w:rFonts w:eastAsia="Calibri" w:cs="Calibri"/>
          <w:color w:val="000000"/>
          <w:lang w:eastAsia="it-IT"/>
        </w:rPr>
        <w:t>i</w:t>
      </w:r>
      <w:r w:rsidR="004241AC" w:rsidRPr="00F77B00">
        <w:rPr>
          <w:rFonts w:eastAsia="Calibri" w:cs="Calibri"/>
          <w:color w:val="000000"/>
          <w:lang w:eastAsia="it-IT"/>
        </w:rPr>
        <w:t xml:space="preserve"> principi attiv</w:t>
      </w:r>
      <w:r w:rsidR="000169C7" w:rsidRPr="00F77B00">
        <w:rPr>
          <w:rFonts w:eastAsia="Calibri" w:cs="Calibri"/>
          <w:color w:val="000000"/>
          <w:lang w:eastAsia="it-IT"/>
        </w:rPr>
        <w:t>i</w:t>
      </w:r>
      <w:r w:rsidR="004241AC" w:rsidRPr="00F77B00">
        <w:rPr>
          <w:rFonts w:eastAsia="Calibri" w:cs="Calibri"/>
          <w:color w:val="000000"/>
          <w:lang w:eastAsia="it-IT"/>
        </w:rPr>
        <w:t xml:space="preserve"> </w:t>
      </w:r>
      <w:r w:rsidR="000169C7" w:rsidRPr="00F77B00">
        <w:rPr>
          <w:rFonts w:eastAsia="Calibri" w:cs="Calibri"/>
          <w:color w:val="000000"/>
          <w:lang w:eastAsia="it-IT"/>
        </w:rPr>
        <w:t>paracetamolo e pseudoefedrina</w:t>
      </w:r>
      <w:r w:rsidR="00E159A3" w:rsidRPr="00F77B00">
        <w:rPr>
          <w:rFonts w:eastAsia="Calibri" w:cs="Calibri"/>
          <w:color w:val="000000"/>
          <w:lang w:eastAsia="it-IT"/>
        </w:rPr>
        <w:t xml:space="preserve"> ed </w:t>
      </w:r>
      <w:r w:rsidR="004241AC" w:rsidRPr="00F77B00">
        <w:rPr>
          <w:rFonts w:eastAsia="Calibri" w:cs="Calibri"/>
          <w:color w:val="000000"/>
          <w:lang w:eastAsia="it-IT"/>
        </w:rPr>
        <w:t xml:space="preserve">è disponibile </w:t>
      </w:r>
      <w:r w:rsidR="00157FAA">
        <w:rPr>
          <w:rFonts w:eastAsia="Calibri" w:cs="Calibri"/>
          <w:color w:val="000000"/>
          <w:lang w:eastAsia="it-IT"/>
        </w:rPr>
        <w:t xml:space="preserve">come </w:t>
      </w:r>
      <w:r w:rsidR="000169C7" w:rsidRPr="00F77B00">
        <w:rPr>
          <w:rFonts w:eastAsia="Calibri" w:cs="Calibri"/>
          <w:color w:val="000000"/>
          <w:lang w:eastAsia="it-IT"/>
        </w:rPr>
        <w:t>granulato per soluzione orale</w:t>
      </w:r>
      <w:r>
        <w:rPr>
          <w:rFonts w:eastAsia="Calibri" w:cs="Calibri"/>
          <w:color w:val="000000"/>
          <w:lang w:eastAsia="it-IT"/>
        </w:rPr>
        <w:t xml:space="preserve"> in bustine</w:t>
      </w:r>
      <w:r w:rsidR="00157FAA">
        <w:rPr>
          <w:rFonts w:eastAsia="Calibri" w:cs="Calibri"/>
          <w:color w:val="000000"/>
          <w:lang w:eastAsia="it-IT"/>
        </w:rPr>
        <w:t xml:space="preserve"> </w:t>
      </w:r>
      <w:r w:rsidR="004241AC" w:rsidRPr="00F77B00">
        <w:rPr>
          <w:rFonts w:eastAsia="Calibri" w:cs="Calibri"/>
          <w:color w:val="000000"/>
          <w:lang w:eastAsia="it-IT"/>
        </w:rPr>
        <w:t xml:space="preserve">contenenti </w:t>
      </w:r>
      <w:r w:rsidR="000169C7" w:rsidRPr="00F77B00">
        <w:rPr>
          <w:rFonts w:eastAsia="Calibri" w:cs="Calibri"/>
          <w:color w:val="000000"/>
          <w:lang w:eastAsia="it-IT"/>
        </w:rPr>
        <w:t>500 mg di paracetamolo e 60 mg di pseudoefedrina.</w:t>
      </w:r>
    </w:p>
    <w:p w:rsidR="0036725E" w:rsidRPr="00F77B00" w:rsidRDefault="00F77B00" w:rsidP="00F77B00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color w:val="000000"/>
          <w:lang w:eastAsia="it-IT"/>
        </w:rPr>
        <w:t xml:space="preserve"> </w:t>
      </w:r>
      <w:r w:rsidR="00013020" w:rsidRPr="00F77B00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</w:t>
      </w:r>
      <w:r w:rsidR="00A41EA1" w:rsidRPr="00F77B00">
        <w:rPr>
          <w:rFonts w:eastAsia="Calibri" w:cs="Calibri"/>
          <w:color w:val="000000"/>
          <w:lang w:eastAsia="it-IT"/>
        </w:rPr>
        <w:t xml:space="preserve">già </w:t>
      </w:r>
      <w:r w:rsidR="00013020" w:rsidRPr="00F77B00">
        <w:rPr>
          <w:rFonts w:eastAsia="Calibri" w:cs="Calibri"/>
          <w:color w:val="000000"/>
          <w:lang w:eastAsia="it-IT"/>
        </w:rPr>
        <w:t xml:space="preserve">autorizzato in </w:t>
      </w:r>
      <w:r w:rsidR="00A41EA1" w:rsidRPr="00F77B00">
        <w:rPr>
          <w:rFonts w:eastAsia="Calibri" w:cs="Calibri"/>
          <w:color w:val="000000"/>
          <w:lang w:eastAsia="it-IT"/>
        </w:rPr>
        <w:t>Italia,</w:t>
      </w:r>
      <w:r w:rsidR="00BE6799" w:rsidRPr="00F77B0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52C30" w:rsidRPr="00F77B00">
        <w:rPr>
          <w:rFonts w:eastAsia="Calibri" w:cs="Calibri"/>
          <w:color w:val="000000"/>
          <w:lang w:eastAsia="it-IT"/>
        </w:rPr>
        <w:t>Triaminic</w:t>
      </w:r>
      <w:proofErr w:type="spellEnd"/>
      <w:r w:rsidR="00ED287E" w:rsidRPr="00F77B00">
        <w:rPr>
          <w:rFonts w:eastAsia="Calibri" w:cs="Calibri"/>
          <w:color w:val="000000"/>
          <w:lang w:eastAsia="it-IT"/>
        </w:rPr>
        <w:t xml:space="preserve">. </w:t>
      </w:r>
      <w:r w:rsidR="000A4CC5" w:rsidRPr="00F77B00">
        <w:rPr>
          <w:rFonts w:eastAsia="Calibri" w:cs="Calibri"/>
          <w:color w:val="000000"/>
          <w:lang w:eastAsia="it-IT"/>
        </w:rPr>
        <w:t xml:space="preserve"> </w:t>
      </w:r>
    </w:p>
    <w:p w:rsidR="00E048BF" w:rsidRPr="00F77B00" w:rsidRDefault="00F77B00" w:rsidP="00F77B00">
      <w:pPr>
        <w:spacing w:after="0" w:line="240" w:lineRule="auto"/>
        <w:jc w:val="both"/>
        <w:rPr>
          <w:rFonts w:cs="Arial"/>
        </w:rPr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0A4CC5" w:rsidRPr="00F77B00">
        <w:rPr>
          <w:rFonts w:eastAsia="Calibri" w:cs="Calibri"/>
          <w:color w:val="000000"/>
          <w:lang w:eastAsia="it-IT"/>
        </w:rPr>
        <w:t xml:space="preserve"> </w:t>
      </w:r>
      <w:r w:rsidR="00E048BF" w:rsidRPr="00F77B00">
        <w:rPr>
          <w:rFonts w:eastAsia="Calibri" w:cs="Calibri"/>
          <w:color w:val="000000"/>
          <w:lang w:eastAsia="it-IT"/>
        </w:rPr>
        <w:t xml:space="preserve">è </w:t>
      </w:r>
      <w:r w:rsidR="00C04E2E" w:rsidRPr="00F77B00">
        <w:rPr>
          <w:rFonts w:eastAsia="Calibri" w:cs="Calibri"/>
          <w:color w:val="000000"/>
          <w:lang w:eastAsia="it-IT"/>
        </w:rPr>
        <w:t>i</w:t>
      </w:r>
      <w:r w:rsidR="000169C7" w:rsidRPr="00F77B00">
        <w:rPr>
          <w:rFonts w:cs="Arial"/>
        </w:rPr>
        <w:t>ndicato</w:t>
      </w:r>
      <w:r w:rsidR="007655E5" w:rsidRPr="00F77B00">
        <w:rPr>
          <w:rFonts w:cs="Arial"/>
        </w:rPr>
        <w:t xml:space="preserve"> negli </w:t>
      </w:r>
      <w:r w:rsidR="00FE5407" w:rsidRPr="00F77B00">
        <w:rPr>
          <w:rFonts w:cs="Arial"/>
        </w:rPr>
        <w:t>adulti</w:t>
      </w:r>
      <w:r w:rsidR="007655E5" w:rsidRPr="00F77B00">
        <w:rPr>
          <w:rFonts w:cs="Arial"/>
        </w:rPr>
        <w:t xml:space="preserve"> e negli adolescenti (età compresa tra 12 e 18 anni)</w:t>
      </w:r>
      <w:r w:rsidR="000169C7" w:rsidRPr="00F77B00">
        <w:rPr>
          <w:rFonts w:cs="Arial"/>
        </w:rPr>
        <w:t xml:space="preserve"> nel </w:t>
      </w:r>
      <w:r w:rsidR="000169C7" w:rsidRPr="00F77B00">
        <w:t>trattamento dei sintomi del raffreddore e dell’influenza</w:t>
      </w:r>
      <w:r w:rsidR="001F301F" w:rsidRPr="00F77B00">
        <w:rPr>
          <w:rFonts w:cs="Arial"/>
        </w:rPr>
        <w:t>.</w:t>
      </w:r>
    </w:p>
    <w:p w:rsidR="005F01C0" w:rsidRPr="00F77B00" w:rsidRDefault="005F01C0" w:rsidP="00F77B00">
      <w:pPr>
        <w:spacing w:after="0" w:line="240" w:lineRule="auto"/>
        <w:rPr>
          <w:rFonts w:cs="Arial"/>
        </w:rPr>
      </w:pPr>
    </w:p>
    <w:p w:rsidR="005F01C0" w:rsidRPr="00F77B00" w:rsidRDefault="005F01C0" w:rsidP="00F77B00">
      <w:pPr>
        <w:spacing w:after="0" w:line="240" w:lineRule="auto"/>
        <w:rPr>
          <w:rFonts w:cs="Arial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77B0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Pr="00F77B0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77B00" w:rsidRDefault="00F77B0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>
        <w:rPr>
          <w:rFonts w:eastAsia="Calibri" w:cs="Calibri"/>
          <w:color w:val="000000"/>
          <w:lang w:eastAsia="it-IT"/>
        </w:rPr>
        <w:t xml:space="preserve"> </w:t>
      </w:r>
      <w:r w:rsidR="000169C7" w:rsidRPr="00F77B00">
        <w:rPr>
          <w:rFonts w:eastAsia="Calibri" w:cs="Calibri"/>
          <w:color w:val="000000"/>
          <w:lang w:eastAsia="it-IT"/>
        </w:rPr>
        <w:t>è un medicinale di automedicazione (OTC)</w:t>
      </w:r>
      <w:r w:rsidR="00AD2048" w:rsidRPr="00F77B00">
        <w:rPr>
          <w:rFonts w:eastAsia="Calibri" w:cs="Calibri"/>
          <w:color w:val="000000"/>
          <w:lang w:eastAsia="it-IT"/>
        </w:rPr>
        <w:t xml:space="preserve"> e non necessita di prescrizione del medico</w:t>
      </w:r>
      <w:r w:rsidR="00B06030" w:rsidRPr="00F77B00">
        <w:rPr>
          <w:rFonts w:eastAsia="Calibri" w:cs="Calibri"/>
          <w:color w:val="000000"/>
          <w:lang w:eastAsia="it-IT"/>
        </w:rPr>
        <w:t>.</w:t>
      </w:r>
    </w:p>
    <w:p w:rsidR="009E44F3" w:rsidRPr="00F77B00" w:rsidRDefault="00B0603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77B00">
        <w:rPr>
          <w:rFonts w:eastAsia="Calibri" w:cs="Calibri"/>
          <w:bCs/>
          <w:color w:val="000000"/>
          <w:lang w:eastAsia="it-IT"/>
        </w:rPr>
        <w:t xml:space="preserve">La dose raccomandata </w:t>
      </w:r>
      <w:r w:rsidR="00AD2048" w:rsidRPr="00F77B00">
        <w:rPr>
          <w:rFonts w:eastAsia="Calibri" w:cs="Calibri"/>
          <w:bCs/>
          <w:color w:val="000000"/>
          <w:lang w:eastAsia="it-IT"/>
        </w:rPr>
        <w:t xml:space="preserve">per adulti e </w:t>
      </w:r>
      <w:r w:rsidR="009E44F3" w:rsidRPr="00F77B00">
        <w:rPr>
          <w:rFonts w:eastAsia="Calibri" w:cs="Calibri"/>
          <w:bCs/>
          <w:color w:val="000000"/>
          <w:lang w:eastAsia="it-IT"/>
        </w:rPr>
        <w:t xml:space="preserve">adolescenti (età compresa tra 12 e 18 anni) </w:t>
      </w:r>
      <w:r w:rsidR="004241AC" w:rsidRPr="00F77B00">
        <w:rPr>
          <w:rFonts w:eastAsia="Calibri" w:cs="Calibri"/>
          <w:bCs/>
          <w:color w:val="000000"/>
          <w:lang w:eastAsia="it-IT"/>
        </w:rPr>
        <w:t>è</w:t>
      </w:r>
      <w:r w:rsidR="009E44F3" w:rsidRPr="00F77B00">
        <w:rPr>
          <w:rFonts w:eastAsia="Calibri" w:cs="Calibri"/>
          <w:bCs/>
          <w:color w:val="000000"/>
          <w:lang w:eastAsia="it-IT"/>
        </w:rPr>
        <w:t xml:space="preserve"> di 2-3 bustine </w:t>
      </w:r>
      <w:r w:rsidRPr="00F77B00">
        <w:rPr>
          <w:rFonts w:eastAsia="Calibri" w:cs="Calibri"/>
          <w:bCs/>
          <w:color w:val="000000"/>
          <w:lang w:eastAsia="it-IT"/>
        </w:rPr>
        <w:t xml:space="preserve">fino a 3 volte </w:t>
      </w:r>
      <w:r w:rsidR="009E44F3" w:rsidRPr="00F77B00">
        <w:rPr>
          <w:rFonts w:eastAsia="Calibri" w:cs="Calibri"/>
          <w:bCs/>
          <w:color w:val="000000"/>
          <w:lang w:eastAsia="it-IT"/>
        </w:rPr>
        <w:t>al giorno.</w:t>
      </w:r>
    </w:p>
    <w:p w:rsidR="009E44F3" w:rsidRPr="00F77B00" w:rsidRDefault="009E44F3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77B00">
        <w:rPr>
          <w:rFonts w:eastAsia="Calibri" w:cs="Calibri"/>
          <w:bCs/>
          <w:color w:val="000000"/>
          <w:lang w:eastAsia="it-IT"/>
        </w:rPr>
        <w:t xml:space="preserve">Per i pazienti con problemi al fegato </w:t>
      </w:r>
      <w:r w:rsidR="00C40CB4" w:rsidRPr="00F77B00">
        <w:rPr>
          <w:rFonts w:eastAsia="Calibri" w:cs="Calibri"/>
          <w:bCs/>
          <w:color w:val="000000"/>
          <w:lang w:eastAsia="it-IT"/>
        </w:rPr>
        <w:t xml:space="preserve">o ai reni </w:t>
      </w:r>
      <w:r w:rsidRPr="00F77B00">
        <w:rPr>
          <w:rFonts w:eastAsia="Calibri" w:cs="Calibri"/>
          <w:bCs/>
          <w:color w:val="000000"/>
          <w:lang w:eastAsia="it-IT"/>
        </w:rPr>
        <w:t>le dosi possono essere ridotte.</w:t>
      </w:r>
    </w:p>
    <w:p w:rsidR="002A528F" w:rsidRPr="00F77B00" w:rsidRDefault="009E44F3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77B00">
        <w:rPr>
          <w:rFonts w:eastAsia="Calibri" w:cs="Calibri"/>
          <w:bCs/>
          <w:color w:val="000000"/>
          <w:lang w:eastAsia="it-IT"/>
        </w:rPr>
        <w:t>I bambini di età inferiore a 12 anni e i pazienti con gravi problemi al rene o al fegato non devono assumere questo medicinale.</w:t>
      </w:r>
    </w:p>
    <w:p w:rsidR="009E44F3" w:rsidRPr="00F77B00" w:rsidRDefault="00F77B0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lastRenderedPageBreak/>
        <w:t>I</w:t>
      </w:r>
      <w:r w:rsidR="009E44F3" w:rsidRPr="00F77B00">
        <w:rPr>
          <w:rFonts w:eastAsia="Calibri" w:cs="Calibri"/>
          <w:bCs/>
          <w:color w:val="000000"/>
          <w:lang w:eastAsia="it-IT"/>
        </w:rPr>
        <w:t>l contenuto di una bustina dev</w:t>
      </w:r>
      <w:r w:rsidR="00157FAA">
        <w:rPr>
          <w:rFonts w:eastAsia="Calibri" w:cs="Calibri"/>
          <w:bCs/>
          <w:color w:val="000000"/>
          <w:lang w:eastAsia="it-IT"/>
        </w:rPr>
        <w:t>e</w:t>
      </w:r>
      <w:r w:rsidR="009E44F3" w:rsidRPr="00F77B00">
        <w:rPr>
          <w:rFonts w:eastAsia="Calibri" w:cs="Calibri"/>
          <w:bCs/>
          <w:color w:val="000000"/>
          <w:lang w:eastAsia="it-IT"/>
        </w:rPr>
        <w:t xml:space="preserve"> essere sciolt</w:t>
      </w:r>
      <w:r w:rsidR="00157FAA">
        <w:rPr>
          <w:rFonts w:eastAsia="Calibri" w:cs="Calibri"/>
          <w:bCs/>
          <w:color w:val="000000"/>
          <w:lang w:eastAsia="it-IT"/>
        </w:rPr>
        <w:t>o</w:t>
      </w:r>
      <w:r w:rsidR="009E44F3" w:rsidRPr="00F77B00">
        <w:rPr>
          <w:rFonts w:eastAsia="Calibri" w:cs="Calibri"/>
          <w:bCs/>
          <w:color w:val="000000"/>
          <w:lang w:eastAsia="it-IT"/>
        </w:rPr>
        <w:t xml:space="preserve"> in un bicchiere di acqua (anche calda); la soluzione così ottenuta deve essere assunta immediatamente dopo la preparazione</w:t>
      </w:r>
      <w:r w:rsidRPr="00F77B00">
        <w:rPr>
          <w:rFonts w:eastAsia="Calibri" w:cs="Calibri"/>
          <w:bCs/>
          <w:color w:val="000000"/>
          <w:lang w:eastAsia="it-IT"/>
        </w:rPr>
        <w:t xml:space="preserve"> a stomaco pieno</w:t>
      </w:r>
      <w:r>
        <w:rPr>
          <w:rFonts w:eastAsia="Calibri" w:cs="Calibri"/>
          <w:bCs/>
          <w:color w:val="000000"/>
          <w:lang w:eastAsia="it-IT"/>
        </w:rPr>
        <w:t xml:space="preserve"> (dopo un pasto)</w:t>
      </w:r>
      <w:r w:rsidR="00157FAA">
        <w:rPr>
          <w:rFonts w:eastAsia="Calibri" w:cs="Calibri"/>
          <w:bCs/>
          <w:color w:val="000000"/>
          <w:lang w:eastAsia="it-IT"/>
        </w:rPr>
        <w:t>.</w:t>
      </w:r>
    </w:p>
    <w:p w:rsidR="00947EF5" w:rsidRPr="00F77B00" w:rsidRDefault="00947EF5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1F301F" w:rsidRPr="00F77B00" w:rsidRDefault="001F301F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F77B0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0A4CC5" w:rsidRPr="00F77B00">
        <w:rPr>
          <w:rFonts w:eastAsia="Calibri" w:cs="Calibri"/>
          <w:b/>
          <w:color w:val="000000"/>
          <w:lang w:eastAsia="it-IT"/>
        </w:rPr>
        <w:t xml:space="preserve">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Pr="00F77B0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E43089" w:rsidRPr="00F77B00" w:rsidRDefault="00F77B0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D52C30" w:rsidRPr="00F77B00">
        <w:rPr>
          <w:rFonts w:eastAsia="Calibri" w:cs="Calibri"/>
          <w:color w:val="000000"/>
          <w:lang w:eastAsia="it-IT"/>
        </w:rPr>
        <w:t>,</w:t>
      </w:r>
      <w:r w:rsidR="00E43089" w:rsidRPr="00F77B00">
        <w:rPr>
          <w:rFonts w:eastAsia="Calibri" w:cs="Calibri"/>
          <w:bCs/>
          <w:color w:val="000000"/>
          <w:lang w:eastAsia="it-IT"/>
        </w:rPr>
        <w:t xml:space="preserve"> il </w:t>
      </w:r>
      <w:r w:rsidR="00762D88" w:rsidRPr="00F77B00">
        <w:rPr>
          <w:rFonts w:eastAsia="Calibri" w:cs="Calibri"/>
          <w:bCs/>
          <w:color w:val="000000"/>
          <w:lang w:eastAsia="it-IT"/>
        </w:rPr>
        <w:t xml:space="preserve">cui </w:t>
      </w:r>
      <w:r w:rsidR="00E43089" w:rsidRPr="00F77B00">
        <w:rPr>
          <w:rFonts w:eastAsia="Calibri" w:cs="Calibri"/>
          <w:bCs/>
          <w:color w:val="000000"/>
          <w:lang w:eastAsia="it-IT"/>
        </w:rPr>
        <w:t xml:space="preserve">codice ATC è </w:t>
      </w:r>
      <w:r w:rsidR="002A528F" w:rsidRPr="00F77B00">
        <w:rPr>
          <w:rFonts w:cs="Tahoma"/>
        </w:rPr>
        <w:t>R01BA52</w:t>
      </w:r>
      <w:r w:rsidR="00E43089" w:rsidRPr="00F77B00">
        <w:rPr>
          <w:rFonts w:eastAsia="DejaVuSans" w:cs="DejaVuSans"/>
        </w:rPr>
        <w:t xml:space="preserve">, </w:t>
      </w:r>
      <w:r w:rsidR="004241AC" w:rsidRPr="00F77B00">
        <w:rPr>
          <w:rFonts w:eastAsia="Calibri" w:cs="Calibri"/>
          <w:color w:val="000000"/>
          <w:lang w:eastAsia="it-IT"/>
        </w:rPr>
        <w:t xml:space="preserve">contiene i principi attivi </w:t>
      </w:r>
      <w:r w:rsidR="002A528F" w:rsidRPr="00F77B00">
        <w:rPr>
          <w:rFonts w:eastAsia="Calibri" w:cs="Calibri"/>
          <w:color w:val="000000"/>
          <w:lang w:eastAsia="it-IT"/>
        </w:rPr>
        <w:t>paracetamolo e pseudoefedrina</w:t>
      </w:r>
      <w:r w:rsidR="00E43089" w:rsidRPr="00F77B00">
        <w:rPr>
          <w:rFonts w:eastAsia="Calibri" w:cs="Calibri"/>
          <w:color w:val="000000"/>
          <w:lang w:eastAsia="it-IT"/>
        </w:rPr>
        <w:t>.</w:t>
      </w:r>
    </w:p>
    <w:p w:rsidR="0036725E" w:rsidRPr="00F77B00" w:rsidRDefault="005166C9" w:rsidP="00F77B00">
      <w:pPr>
        <w:tabs>
          <w:tab w:val="left" w:pos="864"/>
        </w:tabs>
        <w:spacing w:after="0" w:line="240" w:lineRule="auto"/>
        <w:jc w:val="both"/>
      </w:pPr>
      <w:r w:rsidRPr="00F77B00">
        <w:rPr>
          <w:rFonts w:eastAsia="Calibri" w:cs="Calibri"/>
          <w:color w:val="000000"/>
          <w:lang w:eastAsia="it-IT"/>
        </w:rPr>
        <w:t xml:space="preserve">Il </w:t>
      </w:r>
      <w:r w:rsidRPr="00F77B00">
        <w:rPr>
          <w:snapToGrid w:val="0"/>
        </w:rPr>
        <w:t>paracetamolo</w:t>
      </w:r>
      <w:r w:rsidRPr="00F77B00">
        <w:rPr>
          <w:rFonts w:eastAsia="Calibri" w:cs="Calibri"/>
          <w:color w:val="000000"/>
          <w:lang w:eastAsia="it-IT"/>
        </w:rPr>
        <w:t xml:space="preserve"> </w:t>
      </w:r>
      <w:r w:rsidRPr="00F77B00">
        <w:t xml:space="preserve">possiede azione analgesica ed antipiretica: l’attività analgesica sembra legata alla capacità del paracetamolo di inibire la sintesi delle prostaglandine a livello del sistema nervoso centrale: le prostaglandine sono </w:t>
      </w:r>
      <w:r w:rsidRPr="00F77B00">
        <w:rPr>
          <w:rFonts w:eastAsia="DejaVuSans" w:cs="DejaVuSans"/>
        </w:rPr>
        <w:t xml:space="preserve">sostanze prodotte dall’organismo e che sono responsabili dei sintomi dell’infiammazione e del dolore che ne consegue; </w:t>
      </w:r>
      <w:r w:rsidRPr="00F77B00">
        <w:t>l’azione antipiretica si esplica sui centri ipotalamici termoregolatori, azione che si manifesta soltanto in caso di alterazioni febbrili, mediante aumento della dispersione di calore attraverso la vasodilatazione.</w:t>
      </w:r>
      <w:r w:rsidR="000A4CC5" w:rsidRPr="00F77B00">
        <w:t xml:space="preserve"> </w:t>
      </w:r>
    </w:p>
    <w:p w:rsidR="005166C9" w:rsidRPr="00F77B00" w:rsidRDefault="005166C9" w:rsidP="00F77B00">
      <w:pPr>
        <w:tabs>
          <w:tab w:val="left" w:pos="864"/>
        </w:tabs>
        <w:spacing w:after="0" w:line="240" w:lineRule="auto"/>
        <w:jc w:val="both"/>
      </w:pPr>
      <w:r w:rsidRPr="00F77B00">
        <w:t xml:space="preserve">La </w:t>
      </w:r>
      <w:r w:rsidR="009E44F3" w:rsidRPr="00F77B00">
        <w:t>pseudo</w:t>
      </w:r>
      <w:r w:rsidRPr="00F77B00">
        <w:t>efedrina induce la vasocostrizione dei piccoli capillari della mucosa nasale, attenuandone la congestione che si verifica in caso di raffreddore.</w:t>
      </w:r>
    </w:p>
    <w:p w:rsidR="004241AC" w:rsidRPr="00F77B00" w:rsidRDefault="004241AC" w:rsidP="00F77B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F301F" w:rsidRPr="00F77B00" w:rsidRDefault="001F301F" w:rsidP="00F77B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bCs/>
          <w:lang w:eastAsia="it-IT"/>
        </w:rPr>
        <w:t>4) COME È STATO STUDIATO</w:t>
      </w:r>
      <w:r w:rsidR="000A4CC5" w:rsidRPr="00F77B0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Pr="00F77B00">
        <w:rPr>
          <w:rFonts w:eastAsia="Calibri" w:cs="Calibri"/>
          <w:b/>
          <w:bCs/>
          <w:lang w:eastAsia="it-IT"/>
        </w:rPr>
        <w:t xml:space="preserve">? </w:t>
      </w:r>
    </w:p>
    <w:p w:rsidR="004241AC" w:rsidRPr="00F77B00" w:rsidRDefault="004241AC" w:rsidP="00F77B00">
      <w:pPr>
        <w:spacing w:after="0" w:line="240" w:lineRule="auto"/>
        <w:jc w:val="both"/>
        <w:rPr>
          <w:rFonts w:cs="Arial"/>
        </w:rPr>
      </w:pPr>
      <w:r w:rsidRPr="00F77B00">
        <w:rPr>
          <w:rFonts w:cs="Arial"/>
        </w:rPr>
        <w:t xml:space="preserve">Poiché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color w:val="000000"/>
          <w:lang w:eastAsia="it-IT"/>
        </w:rPr>
        <w:t xml:space="preserve"> </w:t>
      </w:r>
      <w:r w:rsidR="00013020" w:rsidRPr="00F77B00">
        <w:rPr>
          <w:rFonts w:cs="Arial"/>
        </w:rPr>
        <w:t>è un medicinale generico</w:t>
      </w:r>
      <w:r w:rsidR="005F01C0" w:rsidRPr="00F77B00">
        <w:rPr>
          <w:rFonts w:cs="Arial"/>
        </w:rPr>
        <w:t xml:space="preserve"> ed è </w:t>
      </w:r>
      <w:r w:rsidR="00AF1779" w:rsidRPr="00F77B00">
        <w:rPr>
          <w:rFonts w:cs="Arial"/>
        </w:rPr>
        <w:t xml:space="preserve"> </w:t>
      </w:r>
      <w:r w:rsidR="005F01C0" w:rsidRPr="00F77B00">
        <w:rPr>
          <w:rFonts w:cs="Arial"/>
        </w:rPr>
        <w:t xml:space="preserve">assunto </w:t>
      </w:r>
      <w:r w:rsidR="00AF1779" w:rsidRPr="00F77B00">
        <w:rPr>
          <w:rFonts w:cs="Arial"/>
        </w:rPr>
        <w:t xml:space="preserve">in </w:t>
      </w:r>
      <w:r w:rsidR="005F01C0" w:rsidRPr="00F77B00">
        <w:rPr>
          <w:rFonts w:cs="Arial"/>
        </w:rPr>
        <w:t>forma di soluzione orale, non è stato necessario effettuare ulteriori studi clinici.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Pr="00F77B00">
        <w:rPr>
          <w:rFonts w:eastAsia="Calibri" w:cs="Calibri"/>
          <w:b/>
          <w:lang w:eastAsia="it-IT"/>
        </w:rPr>
        <w:t xml:space="preserve">? </w:t>
      </w:r>
    </w:p>
    <w:p w:rsidR="004241AC" w:rsidRPr="00F77B00" w:rsidRDefault="00F77B0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V</w:t>
      </w:r>
      <w:r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0A4CC5" w:rsidRPr="00F77B00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F77B00">
        <w:rPr>
          <w:rFonts w:eastAsia="Calibri" w:cs="Calibri"/>
          <w:lang w:eastAsia="it-IT"/>
        </w:rPr>
        <w:t xml:space="preserve">è un medicinale </w:t>
      </w:r>
      <w:r w:rsidR="00013020" w:rsidRPr="00F77B00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F77B00">
        <w:rPr>
          <w:rFonts w:eastAsia="Calibri" w:cs="Calibri"/>
          <w:lang w:eastAsia="it-IT"/>
        </w:rPr>
        <w:t>bioequivale</w:t>
      </w:r>
      <w:r w:rsidR="00C8171A" w:rsidRPr="00F77B00">
        <w:rPr>
          <w:rFonts w:eastAsia="Calibri" w:cs="Calibri"/>
          <w:lang w:eastAsia="it-IT"/>
        </w:rPr>
        <w:t>n</w:t>
      </w:r>
      <w:r w:rsidR="00013020" w:rsidRPr="00F77B00">
        <w:rPr>
          <w:rFonts w:eastAsia="Calibri" w:cs="Calibri"/>
          <w:lang w:eastAsia="it-IT"/>
        </w:rPr>
        <w:t>te</w:t>
      </w:r>
      <w:proofErr w:type="spellEnd"/>
      <w:r w:rsidR="00013020" w:rsidRPr="00F77B00">
        <w:rPr>
          <w:rFonts w:eastAsia="Calibri" w:cs="Calibri"/>
          <w:lang w:eastAsia="it-IT"/>
        </w:rPr>
        <w:t xml:space="preserve"> al medicinale di riferimento</w:t>
      </w:r>
      <w:r w:rsidR="004349A2" w:rsidRPr="00F77B00">
        <w:rPr>
          <w:rFonts w:eastAsia="Calibri" w:cs="Calibri"/>
          <w:lang w:eastAsia="it-IT"/>
        </w:rPr>
        <w:t>; pertanto,</w:t>
      </w:r>
      <w:r w:rsidR="004241AC" w:rsidRPr="00F77B00">
        <w:rPr>
          <w:rFonts w:eastAsia="Calibri" w:cs="Calibri"/>
          <w:lang w:eastAsia="it-IT"/>
        </w:rPr>
        <w:t xml:space="preserve"> </w:t>
      </w:r>
      <w:r w:rsidR="00013020" w:rsidRPr="00F77B00">
        <w:rPr>
          <w:rFonts w:eastAsia="Calibri" w:cs="Calibri"/>
          <w:lang w:eastAsia="it-IT"/>
        </w:rPr>
        <w:t>i suoi</w:t>
      </w:r>
      <w:r w:rsidR="004241AC" w:rsidRPr="00F77B00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F77B00">
        <w:rPr>
          <w:rFonts w:eastAsia="Calibri" w:cs="Calibri"/>
          <w:lang w:eastAsia="it-IT"/>
        </w:rPr>
        <w:t>l</w:t>
      </w:r>
      <w:r w:rsidR="004241AC" w:rsidRPr="00F77B00">
        <w:rPr>
          <w:rFonts w:eastAsia="Calibri" w:cs="Calibri"/>
          <w:lang w:eastAsia="it-IT"/>
        </w:rPr>
        <w:t xml:space="preserve"> medicinal</w:t>
      </w:r>
      <w:r w:rsidR="00013020" w:rsidRPr="00F77B00">
        <w:rPr>
          <w:rFonts w:eastAsia="Calibri" w:cs="Calibri"/>
          <w:lang w:eastAsia="it-IT"/>
        </w:rPr>
        <w:t>e</w:t>
      </w:r>
      <w:r w:rsidR="004241AC" w:rsidRPr="00F77B00">
        <w:rPr>
          <w:rFonts w:eastAsia="Calibri" w:cs="Calibri"/>
          <w:lang w:eastAsia="it-IT"/>
        </w:rPr>
        <w:t xml:space="preserve"> di riferimento. 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="00B06030" w:rsidRPr="00F77B00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F77B00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F77B00">
        <w:rPr>
          <w:rFonts w:eastAsia="Calibri" w:cs="Calibri"/>
          <w:lang w:eastAsia="it-IT"/>
        </w:rPr>
        <w:t xml:space="preserve">La Commissione Tecnico Scientifica (CTS), nella seduta del </w:t>
      </w:r>
      <w:r w:rsidR="008C5426" w:rsidRPr="00F77B00">
        <w:rPr>
          <w:rFonts w:eastAsia="Calibri" w:cs="Calibri"/>
          <w:lang w:eastAsia="it-IT"/>
        </w:rPr>
        <w:t>10-12</w:t>
      </w:r>
      <w:r w:rsidRPr="00F77B00">
        <w:rPr>
          <w:rFonts w:eastAsia="Calibri" w:cs="Calibri"/>
          <w:lang w:eastAsia="it-IT"/>
        </w:rPr>
        <w:t xml:space="preserve"> </w:t>
      </w:r>
      <w:r w:rsidR="008C5426" w:rsidRPr="00F77B00">
        <w:rPr>
          <w:rFonts w:eastAsia="Calibri" w:cs="Calibri"/>
          <w:lang w:eastAsia="it-IT"/>
        </w:rPr>
        <w:t xml:space="preserve">maggio </w:t>
      </w:r>
      <w:r w:rsidR="005C2BF2" w:rsidRPr="00F77B00">
        <w:rPr>
          <w:rFonts w:eastAsia="Calibri" w:cs="Calibri"/>
          <w:lang w:eastAsia="it-IT"/>
        </w:rPr>
        <w:t>2</w:t>
      </w:r>
      <w:r w:rsidR="008C5426" w:rsidRPr="00F77B00">
        <w:rPr>
          <w:rFonts w:eastAsia="Calibri" w:cs="Calibri"/>
          <w:lang w:eastAsia="it-IT"/>
        </w:rPr>
        <w:t>017</w:t>
      </w:r>
      <w:r w:rsidRPr="00F77B00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F77B00">
        <w:rPr>
          <w:rFonts w:eastAsia="Calibri" w:cs="Calibri"/>
          <w:lang w:eastAsia="it-IT"/>
        </w:rPr>
        <w:t>del</w:t>
      </w:r>
      <w:r w:rsidRPr="00F77B00">
        <w:rPr>
          <w:rFonts w:eastAsia="Calibri" w:cs="Calibri"/>
          <w:lang w:eastAsia="it-IT"/>
        </w:rPr>
        <w:t xml:space="preserve"> medicinal</w:t>
      </w:r>
      <w:r w:rsidR="00D20170" w:rsidRPr="00F77B00">
        <w:rPr>
          <w:rFonts w:eastAsia="Calibri" w:cs="Calibri"/>
          <w:lang w:eastAsia="it-IT"/>
        </w:rPr>
        <w:t>e</w:t>
      </w:r>
      <w:r w:rsidRPr="00F77B00">
        <w:rPr>
          <w:rFonts w:eastAsia="Calibri" w:cs="Calibri"/>
          <w:lang w:eastAsia="it-IT"/>
        </w:rPr>
        <w:t xml:space="preserve"> di riferimento </w:t>
      </w:r>
      <w:proofErr w:type="spellStart"/>
      <w:r w:rsidR="00354D5D" w:rsidRPr="00F77B00">
        <w:rPr>
          <w:rFonts w:eastAsia="Calibri" w:cs="Calibri"/>
          <w:lang w:eastAsia="it-IT"/>
        </w:rPr>
        <w:t>T</w:t>
      </w:r>
      <w:r w:rsidR="00D52C30" w:rsidRPr="00F77B00">
        <w:rPr>
          <w:rFonts w:eastAsia="Calibri" w:cs="Calibri"/>
          <w:lang w:eastAsia="it-IT"/>
        </w:rPr>
        <w:t>riaminic</w:t>
      </w:r>
      <w:proofErr w:type="spellEnd"/>
      <w:r w:rsidRPr="00F77B00">
        <w:rPr>
          <w:rFonts w:eastAsia="Calibri" w:cs="Calibri"/>
          <w:lang w:eastAsia="it-IT"/>
        </w:rPr>
        <w:t xml:space="preserve">, i benefici di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F77B00" w:rsidRPr="00F77B00">
        <w:rPr>
          <w:rFonts w:eastAsia="Calibri" w:cs="Calibri"/>
          <w:lang w:eastAsia="it-IT"/>
        </w:rPr>
        <w:t xml:space="preserve"> </w:t>
      </w:r>
      <w:r w:rsidR="00010B82" w:rsidRPr="00F77B00">
        <w:rPr>
          <w:rFonts w:eastAsia="Calibri" w:cs="Calibri"/>
          <w:lang w:eastAsia="it-IT"/>
        </w:rPr>
        <w:t>sono</w:t>
      </w:r>
      <w:r w:rsidRPr="00F77B00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F77B00">
        <w:rPr>
          <w:rFonts w:eastAsia="Calibri" w:cs="Calibri"/>
          <w:lang w:eastAsia="it-IT"/>
        </w:rPr>
        <w:t xml:space="preserve">i prescrizione di cui al punto </w:t>
      </w:r>
      <w:r w:rsidRPr="00F77B00">
        <w:rPr>
          <w:rFonts w:eastAsia="Calibri" w:cs="Calibri"/>
          <w:lang w:eastAsia="it-IT"/>
        </w:rPr>
        <w:t>2) di questo Riassunto e la classe di rimborsabilità del medicinale</w:t>
      </w:r>
      <w:r w:rsidR="00D20170" w:rsidRPr="00F77B00">
        <w:rPr>
          <w:rFonts w:eastAsia="Calibri" w:cs="Calibri"/>
          <w:lang w:eastAsia="it-IT"/>
        </w:rPr>
        <w:t xml:space="preserve"> </w:t>
      </w:r>
      <w:r w:rsidRPr="00F77B00">
        <w:rPr>
          <w:rFonts w:eastAsia="Calibri" w:cs="Calibri"/>
          <w:lang w:eastAsia="it-IT"/>
        </w:rPr>
        <w:t>(</w:t>
      </w:r>
      <w:r w:rsidR="00354D5D" w:rsidRPr="00F77B00">
        <w:rPr>
          <w:rFonts w:eastAsia="Calibri" w:cs="Calibri"/>
          <w:lang w:eastAsia="it-IT"/>
        </w:rPr>
        <w:t>C-bis)</w:t>
      </w:r>
      <w:r w:rsidR="00B06030" w:rsidRPr="00F77B00">
        <w:rPr>
          <w:rFonts w:eastAsia="Calibri" w:cs="Calibri"/>
          <w:lang w:eastAsia="it-IT"/>
        </w:rPr>
        <w:t>.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6523A0" w:rsidRPr="00F77B00" w:rsidRDefault="006523A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F77B00">
        <w:rPr>
          <w:rFonts w:eastAsia="Calibri" w:cs="Calibri"/>
          <w:b/>
          <w:bCs/>
          <w:lang w:eastAsia="it-IT"/>
        </w:rPr>
        <w:t>DI</w:t>
      </w:r>
      <w:proofErr w:type="spellEnd"/>
      <w:r w:rsidRPr="00F77B0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Pr="00F77B00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F77B00" w:rsidRDefault="00031BAD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7B00">
        <w:rPr>
          <w:rFonts w:eastAsia="Calibri" w:cs="Calibri"/>
          <w:lang w:eastAsia="it-IT"/>
        </w:rPr>
        <w:t xml:space="preserve">Il titolare </w:t>
      </w:r>
      <w:r w:rsidR="004241AC" w:rsidRPr="00F77B00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1B078F" w:rsidRPr="00F77B00">
        <w:rPr>
          <w:rFonts w:eastAsia="Calibri" w:cs="Calibri"/>
          <w:lang w:eastAsia="it-IT"/>
        </w:rPr>
        <w:t>.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77B00" w:rsidRPr="00F77B00">
        <w:rPr>
          <w:rFonts w:eastAsia="Calibri" w:cs="Calibri"/>
          <w:b/>
          <w:color w:val="000000"/>
          <w:lang w:eastAsia="it-IT"/>
        </w:rPr>
        <w:t>Vivinduo</w:t>
      </w:r>
      <w:proofErr w:type="spellEnd"/>
      <w:r w:rsidR="00F77B00" w:rsidRPr="00F77B00">
        <w:rPr>
          <w:rFonts w:eastAsia="Calibri" w:cs="Calibri"/>
          <w:b/>
          <w:color w:val="000000"/>
          <w:lang w:eastAsia="it-IT"/>
        </w:rPr>
        <w:t xml:space="preserve"> febbre e congestione nasale</w:t>
      </w:r>
      <w:r w:rsidR="003B3CB7" w:rsidRPr="00F77B00">
        <w:rPr>
          <w:rFonts w:eastAsia="Calibri" w:cs="Calibri"/>
          <w:b/>
          <w:bCs/>
          <w:color w:val="000000"/>
          <w:lang w:eastAsia="it-IT"/>
        </w:rPr>
        <w:t xml:space="preserve">  </w:t>
      </w:r>
      <w:r w:rsidR="000A4CC5" w:rsidRPr="00F77B00">
        <w:rPr>
          <w:rFonts w:eastAsia="Calibri" w:cs="Calibri"/>
          <w:b/>
          <w:bCs/>
          <w:color w:val="000000"/>
          <w:lang w:eastAsia="it-IT"/>
        </w:rPr>
        <w:t xml:space="preserve">  </w:t>
      </w:r>
    </w:p>
    <w:p w:rsidR="00900C91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F77B00">
        <w:rPr>
          <w:rFonts w:eastAsia="Calibri" w:cs="Calibri"/>
          <w:bCs/>
          <w:iCs/>
          <w:lang w:eastAsia="it-IT"/>
        </w:rPr>
        <w:t xml:space="preserve">Il </w:t>
      </w:r>
      <w:r w:rsidR="000D2B4B">
        <w:rPr>
          <w:rFonts w:eastAsia="Calibri" w:cs="Calibri"/>
          <w:bCs/>
          <w:iCs/>
          <w:lang w:eastAsia="it-IT"/>
        </w:rPr>
        <w:t xml:space="preserve">18 luglio 2017 </w:t>
      </w:r>
      <w:r w:rsidRPr="00F77B00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F77B00">
        <w:rPr>
          <w:rFonts w:eastAsia="Calibri" w:cs="Calibri"/>
          <w:color w:val="000000"/>
          <w:lang w:eastAsia="it-IT"/>
        </w:rPr>
        <w:t>V</w:t>
      </w:r>
      <w:r w:rsidR="00F77B00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F77B00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F77B00">
        <w:rPr>
          <w:rFonts w:eastAsia="Calibri" w:cs="Calibri"/>
          <w:color w:val="000000"/>
          <w:lang w:eastAsia="it-IT"/>
        </w:rPr>
        <w:t>.</w:t>
      </w:r>
    </w:p>
    <w:p w:rsidR="00F77B00" w:rsidRPr="00F77B00" w:rsidRDefault="00F77B00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F77B00" w:rsidRDefault="00900C91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7B00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F77B00" w:rsidRDefault="004241AC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77B00">
        <w:rPr>
          <w:rFonts w:eastAsia="Calibri" w:cs="Calibri"/>
          <w:lang w:eastAsia="it-IT"/>
        </w:rPr>
        <w:t xml:space="preserve">Per maggiori informazioni riguardo il trattamento </w:t>
      </w:r>
      <w:proofErr w:type="spellStart"/>
      <w:r w:rsidR="00157FAA">
        <w:rPr>
          <w:rFonts w:eastAsia="Calibri" w:cs="Calibri"/>
          <w:color w:val="000000"/>
          <w:lang w:eastAsia="it-IT"/>
        </w:rPr>
        <w:t>V</w:t>
      </w:r>
      <w:r w:rsidR="00157FAA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157FAA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0A4CC5" w:rsidRPr="00F77B00">
        <w:rPr>
          <w:rFonts w:eastAsia="Calibri" w:cs="Calibri"/>
          <w:bCs/>
          <w:color w:val="000000"/>
          <w:lang w:eastAsia="it-IT"/>
        </w:rPr>
        <w:t>,</w:t>
      </w:r>
      <w:r w:rsidRPr="00F77B00">
        <w:rPr>
          <w:rFonts w:eastAsia="Calibri" w:cs="Calibri"/>
          <w:bCs/>
          <w:color w:val="000000"/>
          <w:lang w:eastAsia="it-IT"/>
        </w:rPr>
        <w:t xml:space="preserve"> </w:t>
      </w:r>
      <w:r w:rsidRPr="00F77B00">
        <w:rPr>
          <w:rFonts w:eastAsia="Calibri" w:cs="Calibri"/>
          <w:lang w:eastAsia="it-IT"/>
        </w:rPr>
        <w:t>si può leggere il foglio illustrativo</w:t>
      </w:r>
      <w:r w:rsidR="00D20170" w:rsidRPr="00F77B00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F77B0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F77B00">
        <w:rPr>
          <w:rFonts w:eastAsia="Calibri" w:cs="Calibri"/>
          <w:lang w:eastAsia="it-IT"/>
        </w:rPr>
        <w:t>)</w:t>
      </w:r>
      <w:r w:rsidRPr="00F77B00">
        <w:rPr>
          <w:rFonts w:eastAsia="Calibri" w:cs="Calibri"/>
          <w:lang w:eastAsia="it-IT"/>
        </w:rPr>
        <w:t xml:space="preserve"> o contattare il medico o </w:t>
      </w:r>
      <w:r w:rsidR="00FA55B0" w:rsidRPr="00F77B00">
        <w:rPr>
          <w:rFonts w:eastAsia="Calibri" w:cs="Calibri"/>
          <w:lang w:eastAsia="it-IT"/>
        </w:rPr>
        <w:t xml:space="preserve">il </w:t>
      </w:r>
      <w:r w:rsidRPr="00F77B00">
        <w:rPr>
          <w:rFonts w:eastAsia="Calibri" w:cs="Calibri"/>
          <w:lang w:eastAsia="it-IT"/>
        </w:rPr>
        <w:t xml:space="preserve">farmacista. </w:t>
      </w:r>
    </w:p>
    <w:p w:rsidR="004241AC" w:rsidRPr="00F77B00" w:rsidRDefault="004241AC" w:rsidP="00F77B00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A41EA1" w:rsidRPr="00F77B00" w:rsidRDefault="004241AC" w:rsidP="00F77B00">
      <w:pPr>
        <w:spacing w:after="0" w:line="240" w:lineRule="auto"/>
        <w:jc w:val="both"/>
        <w:rPr>
          <w:rFonts w:eastAsia="Calibri" w:cs="Calibri"/>
          <w:lang w:eastAsia="it-IT"/>
        </w:rPr>
      </w:pPr>
      <w:r w:rsidRPr="00F77B00">
        <w:rPr>
          <w:rFonts w:eastAsia="Calibri" w:cs="Calibri"/>
          <w:lang w:eastAsia="it-IT"/>
        </w:rPr>
        <w:t xml:space="preserve">Questo riassunto è stato redatto in data </w:t>
      </w:r>
      <w:r w:rsidR="000A4CC5" w:rsidRPr="00F77B00">
        <w:rPr>
          <w:rFonts w:eastAsia="Calibri" w:cs="Calibri"/>
          <w:lang w:eastAsia="it-IT"/>
        </w:rPr>
        <w:t xml:space="preserve"> </w:t>
      </w:r>
      <w:r w:rsidR="00F77B00">
        <w:rPr>
          <w:rFonts w:eastAsia="Calibri" w:cs="Calibri"/>
          <w:lang w:eastAsia="it-IT"/>
        </w:rPr>
        <w:t>09.06.</w:t>
      </w:r>
      <w:r w:rsidR="008C5426" w:rsidRPr="00F77B00">
        <w:rPr>
          <w:rFonts w:eastAsia="Calibri" w:cs="Calibri"/>
          <w:lang w:eastAsia="it-IT"/>
        </w:rPr>
        <w:t>2017</w:t>
      </w:r>
    </w:p>
    <w:p w:rsidR="004241AC" w:rsidRDefault="004241AC" w:rsidP="00F77B00">
      <w:pPr>
        <w:spacing w:after="0" w:line="240" w:lineRule="auto"/>
        <w:jc w:val="both"/>
      </w:pPr>
    </w:p>
    <w:p w:rsidR="00F77B00" w:rsidRDefault="00F77B00" w:rsidP="00F77B00">
      <w:pPr>
        <w:spacing w:after="0" w:line="240" w:lineRule="auto"/>
        <w:jc w:val="both"/>
      </w:pPr>
    </w:p>
    <w:p w:rsidR="00F77B00" w:rsidRDefault="00F77B00" w:rsidP="00F77B00">
      <w:pPr>
        <w:spacing w:after="0" w:line="240" w:lineRule="auto"/>
        <w:jc w:val="both"/>
      </w:pPr>
    </w:p>
    <w:p w:rsidR="00157FAA" w:rsidRDefault="00157FAA" w:rsidP="00F77B00">
      <w:pPr>
        <w:spacing w:after="0" w:line="240" w:lineRule="auto"/>
        <w:jc w:val="both"/>
      </w:pPr>
    </w:p>
    <w:p w:rsidR="00F77B00" w:rsidRPr="00F77B00" w:rsidRDefault="00F77B00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center"/>
        <w:rPr>
          <w:b/>
          <w:sz w:val="28"/>
        </w:rPr>
      </w:pPr>
      <w:r w:rsidRPr="00F77B00">
        <w:rPr>
          <w:b/>
          <w:sz w:val="28"/>
        </w:rPr>
        <w:t>RELAZIONE PUBBLICA DI VALUTAZIONE</w:t>
      </w:r>
    </w:p>
    <w:p w:rsidR="00900C91" w:rsidRPr="00F77B00" w:rsidRDefault="00900C91" w:rsidP="00F77B00">
      <w:pPr>
        <w:spacing w:after="0" w:line="240" w:lineRule="auto"/>
        <w:jc w:val="center"/>
        <w:rPr>
          <w:b/>
        </w:rPr>
      </w:pPr>
    </w:p>
    <w:p w:rsidR="00900C91" w:rsidRPr="00F77B00" w:rsidRDefault="00900C91" w:rsidP="00F77B00">
      <w:pPr>
        <w:spacing w:after="0" w:line="240" w:lineRule="auto"/>
        <w:jc w:val="center"/>
        <w:rPr>
          <w:b/>
        </w:rPr>
      </w:pPr>
    </w:p>
    <w:p w:rsidR="00900C91" w:rsidRPr="00F77B00" w:rsidRDefault="00900C91" w:rsidP="00F77B00">
      <w:pPr>
        <w:spacing w:after="0" w:line="240" w:lineRule="auto"/>
        <w:jc w:val="center"/>
        <w:rPr>
          <w:b/>
        </w:rPr>
      </w:pPr>
    </w:p>
    <w:p w:rsidR="00900C91" w:rsidRPr="00F77B00" w:rsidRDefault="00900C91" w:rsidP="00F77B00">
      <w:pPr>
        <w:spacing w:after="0" w:line="240" w:lineRule="auto"/>
        <w:jc w:val="center"/>
        <w:rPr>
          <w:b/>
        </w:rPr>
      </w:pPr>
    </w:p>
    <w:p w:rsidR="00900C91" w:rsidRPr="00F77B00" w:rsidRDefault="00900C91" w:rsidP="00F77B00">
      <w:pPr>
        <w:spacing w:after="0" w:line="240" w:lineRule="auto"/>
        <w:jc w:val="center"/>
        <w:rPr>
          <w:b/>
        </w:rPr>
      </w:pPr>
      <w:r w:rsidRPr="00F77B00">
        <w:rPr>
          <w:b/>
        </w:rPr>
        <w:t>INDICE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F77B00">
        <w:rPr>
          <w:b/>
        </w:rPr>
        <w:t>INTRODUZIONE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DI QUALITA’</w:t>
      </w:r>
    </w:p>
    <w:p w:rsidR="00900C91" w:rsidRPr="00F77B00" w:rsidRDefault="00900C91" w:rsidP="00F77B00">
      <w:pPr>
        <w:pStyle w:val="Paragrafoelenco"/>
        <w:spacing w:after="0" w:line="240" w:lineRule="auto"/>
        <w:rPr>
          <w:b/>
        </w:rPr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NON CLINICI</w:t>
      </w:r>
    </w:p>
    <w:p w:rsidR="00900C91" w:rsidRPr="00F77B00" w:rsidRDefault="00900C91" w:rsidP="00F77B00">
      <w:pPr>
        <w:pStyle w:val="Paragrafoelenco"/>
        <w:spacing w:after="0" w:line="240" w:lineRule="auto"/>
        <w:rPr>
          <w:b/>
        </w:rPr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CLINICI</w:t>
      </w:r>
    </w:p>
    <w:p w:rsidR="00900C91" w:rsidRPr="00F77B00" w:rsidRDefault="00900C91" w:rsidP="00F77B00">
      <w:pPr>
        <w:pStyle w:val="Paragrafoelenco"/>
        <w:spacing w:after="0" w:line="240" w:lineRule="auto"/>
        <w:rPr>
          <w:b/>
        </w:rPr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77B00">
        <w:rPr>
          <w:b/>
        </w:rPr>
        <w:t>CONSULTAZIONE SUL FOGLIO ILLUSTRATIVO</w:t>
      </w:r>
    </w:p>
    <w:p w:rsidR="00900C91" w:rsidRPr="00F77B00" w:rsidRDefault="00900C91" w:rsidP="00F77B00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F77B00" w:rsidRDefault="00900C91" w:rsidP="00F77B00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F77B00">
        <w:rPr>
          <w:b/>
        </w:rPr>
        <w:t>CONCLUSIONI, VALUTAZIONE DEL RAPPORTO BENEFICIO/RISCHIO E RACCOMANDAZIONI</w:t>
      </w: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900C91" w:rsidRPr="00F77B00" w:rsidRDefault="00900C91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AD2048" w:rsidRPr="00F77B00" w:rsidRDefault="00AD2048" w:rsidP="00F77B00">
      <w:pPr>
        <w:spacing w:after="0" w:line="240" w:lineRule="auto"/>
      </w:pPr>
    </w:p>
    <w:p w:rsidR="00C166DA" w:rsidRPr="00F77B00" w:rsidRDefault="00C166DA" w:rsidP="00F77B00">
      <w:pPr>
        <w:spacing w:after="0" w:line="240" w:lineRule="auto"/>
      </w:pPr>
    </w:p>
    <w:p w:rsidR="005F01C0" w:rsidRPr="00F77B00" w:rsidRDefault="005F01C0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36725E" w:rsidRDefault="0036725E" w:rsidP="00F77B00">
      <w:pPr>
        <w:spacing w:after="0" w:line="240" w:lineRule="auto"/>
      </w:pPr>
    </w:p>
    <w:p w:rsidR="00F77B00" w:rsidRPr="00F77B00" w:rsidRDefault="00F77B00" w:rsidP="00F77B00">
      <w:pPr>
        <w:spacing w:after="0" w:line="240" w:lineRule="auto"/>
      </w:pPr>
    </w:p>
    <w:p w:rsidR="0036725E" w:rsidRPr="00F77B00" w:rsidRDefault="0036725E" w:rsidP="00F77B00">
      <w:pPr>
        <w:spacing w:after="0" w:line="240" w:lineRule="auto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F77B00">
        <w:rPr>
          <w:b/>
        </w:rPr>
        <w:lastRenderedPageBreak/>
        <w:t>INTRODUZIONE</w:t>
      </w:r>
    </w:p>
    <w:p w:rsidR="00900C91" w:rsidRPr="00F77B00" w:rsidRDefault="00900C91" w:rsidP="00F77B00">
      <w:pPr>
        <w:autoSpaceDE w:val="0"/>
        <w:autoSpaceDN w:val="0"/>
        <w:adjustRightInd w:val="0"/>
        <w:spacing w:after="0" w:line="240" w:lineRule="auto"/>
        <w:jc w:val="both"/>
      </w:pPr>
      <w:r w:rsidRPr="00F77B00">
        <w:t xml:space="preserve">Sulla base dei dati di qualità, sicurezza ed efficacia, l’AIFA ha rilasciato a </w:t>
      </w:r>
      <w:r w:rsidR="008C5426" w:rsidRPr="00F77B00">
        <w:t xml:space="preserve">E-Pharma Trento </w:t>
      </w:r>
      <w:r w:rsidRPr="00F77B00">
        <w:t xml:space="preserve">l’autorizzazione </w:t>
      </w:r>
      <w:r w:rsidRPr="000D2B4B">
        <w:t xml:space="preserve">all’immissione in commercio (AIC) per il medicinale </w:t>
      </w:r>
      <w:proofErr w:type="spellStart"/>
      <w:r w:rsidR="00F77B00" w:rsidRPr="000D2B4B">
        <w:t>E-Pharma</w:t>
      </w:r>
      <w:proofErr w:type="spellEnd"/>
      <w:r w:rsidR="00F77B00" w:rsidRPr="000D2B4B">
        <w:t xml:space="preserve"> Trento</w:t>
      </w:r>
      <w:r w:rsidRPr="000D2B4B">
        <w:t xml:space="preserve"> </w:t>
      </w:r>
      <w:r w:rsidRPr="000D2B4B">
        <w:rPr>
          <w:rFonts w:eastAsia="Calibri" w:cs="Calibri"/>
          <w:bCs/>
          <w:iCs/>
          <w:lang w:eastAsia="it-IT"/>
        </w:rPr>
        <w:t xml:space="preserve">il </w:t>
      </w:r>
      <w:r w:rsidR="000D2B4B" w:rsidRPr="000D2B4B">
        <w:rPr>
          <w:rFonts w:eastAsia="Calibri" w:cs="Calibri"/>
          <w:bCs/>
          <w:iCs/>
          <w:lang w:eastAsia="it-IT"/>
        </w:rPr>
        <w:t>18 luglio 2017</w:t>
      </w:r>
      <w:r w:rsidRPr="000D2B4B">
        <w:t>.</w:t>
      </w:r>
      <w:r w:rsidRPr="00F77B00">
        <w:t xml:space="preserve"> </w:t>
      </w:r>
      <w:r w:rsidR="007E00D8" w:rsidRPr="00F77B00">
        <w:t xml:space="preserve"> </w:t>
      </w:r>
    </w:p>
    <w:p w:rsidR="00900C91" w:rsidRPr="00157FAA" w:rsidRDefault="00900C91" w:rsidP="00F77B00">
      <w:pPr>
        <w:spacing w:after="0" w:line="240" w:lineRule="auto"/>
        <w:jc w:val="both"/>
      </w:pPr>
    </w:p>
    <w:p w:rsidR="00900C91" w:rsidRPr="00157FAA" w:rsidRDefault="00157FAA" w:rsidP="00F77B0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 </w:t>
      </w:r>
      <w:r w:rsidR="00AD2048" w:rsidRPr="00157FAA">
        <w:rPr>
          <w:rFonts w:eastAsia="Calibri" w:cs="Calibri"/>
          <w:color w:val="000000"/>
          <w:lang w:eastAsia="it-IT"/>
        </w:rPr>
        <w:t>è un medicinale di automedicazione (OTC) e non necessita di prescrizione del medico</w:t>
      </w:r>
    </w:p>
    <w:p w:rsidR="00900C91" w:rsidRPr="00157FAA" w:rsidRDefault="00900C91" w:rsidP="00F77B00">
      <w:pPr>
        <w:spacing w:after="0" w:line="240" w:lineRule="auto"/>
        <w:jc w:val="both"/>
      </w:pPr>
    </w:p>
    <w:p w:rsidR="00900C91" w:rsidRPr="00157FAA" w:rsidRDefault="00900C91" w:rsidP="00F77B00">
      <w:pPr>
        <w:spacing w:after="0" w:line="240" w:lineRule="auto"/>
        <w:jc w:val="both"/>
      </w:pPr>
      <w:r w:rsidRPr="00157FAA">
        <w:t>Questa procedura è stata presentata ai sensi dell’art. 10</w:t>
      </w:r>
      <w:r w:rsidR="007461B9" w:rsidRPr="00157FAA">
        <w:t>(1)</w:t>
      </w:r>
      <w:r w:rsidRPr="00157FAA">
        <w:t xml:space="preserve"> della Direttiva 2001/83/EU </w:t>
      </w:r>
      <w:proofErr w:type="spellStart"/>
      <w:r w:rsidRPr="00157FAA">
        <w:t>s.m.i.</w:t>
      </w:r>
      <w:proofErr w:type="spellEnd"/>
    </w:p>
    <w:p w:rsidR="00900C91" w:rsidRPr="00157FAA" w:rsidRDefault="00900C91" w:rsidP="00F77B0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900C91" w:rsidRPr="00157FAA" w:rsidRDefault="00157FAA" w:rsidP="00F77B0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900C91" w:rsidRPr="00157FAA">
        <w:rPr>
          <w:rFonts w:eastAsia="Calibri" w:cs="Calibri"/>
          <w:bCs/>
          <w:color w:val="000000"/>
          <w:lang w:eastAsia="it-IT"/>
        </w:rPr>
        <w:t xml:space="preserve"> </w:t>
      </w:r>
      <w:r w:rsidR="00900C91" w:rsidRPr="00157FAA">
        <w:rPr>
          <w:rFonts w:eastAsia="Calibri" w:cs="Calibri"/>
          <w:color w:val="000000"/>
          <w:lang w:eastAsia="it-IT"/>
        </w:rPr>
        <w:t xml:space="preserve">è un medicinale contenente in associazione due principi attivi noti e presenti </w:t>
      </w:r>
      <w:r w:rsidR="007E00D8" w:rsidRPr="00157FAA">
        <w:rPr>
          <w:rFonts w:eastAsia="Calibri" w:cs="Calibri"/>
          <w:color w:val="000000"/>
          <w:lang w:eastAsia="it-IT"/>
        </w:rPr>
        <w:t xml:space="preserve">nel medicinale di riferimento </w:t>
      </w:r>
      <w:proofErr w:type="spellStart"/>
      <w:r w:rsidR="00D52C30" w:rsidRPr="00157FAA">
        <w:rPr>
          <w:rFonts w:eastAsia="Calibri" w:cs="Calibri"/>
          <w:color w:val="000000"/>
          <w:lang w:eastAsia="it-IT"/>
        </w:rPr>
        <w:t>Triamin</w:t>
      </w:r>
      <w:r>
        <w:rPr>
          <w:rFonts w:eastAsia="Calibri" w:cs="Calibri"/>
          <w:color w:val="000000"/>
          <w:lang w:eastAsia="it-IT"/>
        </w:rPr>
        <w:t>i</w:t>
      </w:r>
      <w:r w:rsidR="00D52C30" w:rsidRPr="00157FAA">
        <w:rPr>
          <w:rFonts w:eastAsia="Calibri" w:cs="Calibri"/>
          <w:color w:val="000000"/>
          <w:lang w:eastAsia="it-IT"/>
        </w:rPr>
        <w:t>c</w:t>
      </w:r>
      <w:proofErr w:type="spellEnd"/>
      <w:r w:rsidR="007E00D8" w:rsidRPr="00157FAA">
        <w:rPr>
          <w:rFonts w:eastAsia="Calibri" w:cs="Calibri"/>
          <w:color w:val="000000"/>
          <w:lang w:eastAsia="it-IT"/>
        </w:rPr>
        <w:t>, autorizzato in Italia da più di 10 anni.</w:t>
      </w:r>
    </w:p>
    <w:p w:rsidR="00900C91" w:rsidRPr="00157FAA" w:rsidRDefault="00900C91" w:rsidP="00F77B00">
      <w:pPr>
        <w:spacing w:after="0" w:line="240" w:lineRule="auto"/>
        <w:jc w:val="both"/>
      </w:pPr>
    </w:p>
    <w:p w:rsidR="007E00D8" w:rsidRPr="00157FAA" w:rsidRDefault="00157FAA" w:rsidP="00F77B00">
      <w:pPr>
        <w:pStyle w:val="Testonormale"/>
        <w:jc w:val="both"/>
        <w:rPr>
          <w:rFonts w:asciiTheme="minorHAnsi" w:hAnsiTheme="minorHAnsi" w:cs="Tahoma"/>
          <w:sz w:val="22"/>
          <w:szCs w:val="22"/>
        </w:rPr>
      </w:pPr>
      <w:proofErr w:type="spellStart"/>
      <w:r w:rsidRPr="00157FAA">
        <w:rPr>
          <w:rFonts w:asciiTheme="minorHAnsi" w:eastAsia="Calibri" w:hAnsiTheme="minorHAnsi" w:cs="Calibri"/>
          <w:color w:val="000000"/>
          <w:sz w:val="22"/>
          <w:szCs w:val="22"/>
        </w:rPr>
        <w:t>Vivinduo</w:t>
      </w:r>
      <w:proofErr w:type="spellEnd"/>
      <w:r w:rsidRPr="00157FAA">
        <w:rPr>
          <w:rFonts w:asciiTheme="minorHAnsi" w:eastAsia="Calibri" w:hAnsiTheme="minorHAnsi" w:cs="Calibri"/>
          <w:color w:val="000000"/>
          <w:sz w:val="22"/>
          <w:szCs w:val="22"/>
        </w:rPr>
        <w:t xml:space="preserve"> febbre e congestione nasale</w:t>
      </w:r>
      <w:r w:rsidR="00FE5407" w:rsidRPr="00157FAA">
        <w:rPr>
          <w:rFonts w:asciiTheme="minorHAnsi" w:hAnsiTheme="minorHAnsi" w:cs="Tahoma"/>
          <w:sz w:val="22"/>
          <w:szCs w:val="22"/>
        </w:rPr>
        <w:t xml:space="preserve">, il </w:t>
      </w:r>
      <w:r w:rsidR="00900C91" w:rsidRPr="00157FAA">
        <w:rPr>
          <w:rFonts w:asciiTheme="minorHAnsi" w:hAnsiTheme="minorHAnsi" w:cs="Tahoma"/>
          <w:sz w:val="22"/>
          <w:szCs w:val="22"/>
        </w:rPr>
        <w:t xml:space="preserve">cui codice ATC è </w:t>
      </w:r>
      <w:r w:rsidR="00FE5407" w:rsidRPr="00157FAA">
        <w:rPr>
          <w:rFonts w:asciiTheme="minorHAnsi" w:hAnsiTheme="minorHAnsi" w:cs="Tahoma"/>
          <w:sz w:val="22"/>
          <w:szCs w:val="22"/>
        </w:rPr>
        <w:t>R01BA52</w:t>
      </w:r>
      <w:r w:rsidR="00900C91" w:rsidRPr="00157FAA">
        <w:rPr>
          <w:rFonts w:asciiTheme="minorHAnsi" w:hAnsiTheme="minorHAnsi" w:cs="Tahoma"/>
          <w:sz w:val="22"/>
          <w:szCs w:val="22"/>
        </w:rPr>
        <w:t xml:space="preserve">, contiene </w:t>
      </w:r>
      <w:r w:rsidR="007E00D8" w:rsidRPr="00157FAA">
        <w:rPr>
          <w:rFonts w:asciiTheme="minorHAnsi" w:hAnsiTheme="minorHAnsi" w:cs="Tahoma"/>
          <w:sz w:val="22"/>
          <w:szCs w:val="22"/>
        </w:rPr>
        <w:t>due</w:t>
      </w:r>
      <w:r w:rsidR="00900C91" w:rsidRPr="00157FAA">
        <w:rPr>
          <w:rFonts w:asciiTheme="minorHAnsi" w:hAnsiTheme="minorHAnsi" w:cs="Tahoma"/>
          <w:sz w:val="22"/>
          <w:szCs w:val="22"/>
        </w:rPr>
        <w:t xml:space="preserve"> principi attivi</w:t>
      </w:r>
      <w:r w:rsidR="005649FC" w:rsidRPr="00157FAA">
        <w:rPr>
          <w:rFonts w:asciiTheme="minorHAnsi" w:hAnsiTheme="minorHAnsi" w:cs="Tahoma"/>
          <w:sz w:val="22"/>
          <w:szCs w:val="22"/>
        </w:rPr>
        <w:t>:</w:t>
      </w:r>
      <w:r w:rsidR="00900C91" w:rsidRPr="00157FAA">
        <w:rPr>
          <w:rFonts w:asciiTheme="minorHAnsi" w:hAnsiTheme="minorHAnsi" w:cs="Tahoma"/>
          <w:sz w:val="22"/>
          <w:szCs w:val="22"/>
        </w:rPr>
        <w:t xml:space="preserve"> </w:t>
      </w:r>
      <w:r w:rsidR="00354D5D" w:rsidRPr="00157FAA">
        <w:rPr>
          <w:rFonts w:asciiTheme="minorHAnsi" w:hAnsiTheme="minorHAnsi" w:cs="Tahoma"/>
          <w:sz w:val="22"/>
          <w:szCs w:val="22"/>
        </w:rPr>
        <w:t xml:space="preserve">paracetamolo </w:t>
      </w:r>
      <w:r w:rsidR="005649FC" w:rsidRPr="00157FAA">
        <w:rPr>
          <w:rFonts w:asciiTheme="minorHAnsi" w:hAnsiTheme="minorHAnsi" w:cs="Tahoma"/>
          <w:sz w:val="22"/>
          <w:szCs w:val="22"/>
        </w:rPr>
        <w:t>(</w:t>
      </w:r>
      <w:r w:rsidR="005649FC" w:rsidRPr="00157FAA">
        <w:rPr>
          <w:rFonts w:asciiTheme="minorHAnsi" w:hAnsiTheme="minorHAnsi"/>
          <w:sz w:val="22"/>
          <w:szCs w:val="22"/>
        </w:rPr>
        <w:t>con proprietà analgesiche e antipiretiche) e pseudoefedrina</w:t>
      </w:r>
      <w:r w:rsidR="005649FC" w:rsidRPr="00157FAA">
        <w:rPr>
          <w:rFonts w:asciiTheme="minorHAnsi" w:hAnsiTheme="minorHAnsi" w:cs="Tahoma"/>
          <w:sz w:val="22"/>
          <w:szCs w:val="22"/>
        </w:rPr>
        <w:t xml:space="preserve"> (con </w:t>
      </w:r>
      <w:r w:rsidR="005649FC" w:rsidRPr="00157FAA">
        <w:rPr>
          <w:rFonts w:asciiTheme="minorHAnsi" w:hAnsiTheme="minorHAnsi"/>
          <w:sz w:val="22"/>
          <w:szCs w:val="22"/>
        </w:rPr>
        <w:t>effetti vasocostrittori</w:t>
      </w:r>
      <w:r w:rsidR="005649FC" w:rsidRPr="00157FAA">
        <w:rPr>
          <w:rFonts w:asciiTheme="minorHAnsi" w:hAnsiTheme="minorHAnsi" w:cs="Tahoma"/>
          <w:sz w:val="22"/>
          <w:szCs w:val="22"/>
        </w:rPr>
        <w:t>)</w:t>
      </w:r>
      <w:r w:rsidR="007E00D8" w:rsidRPr="00157FAA">
        <w:rPr>
          <w:rFonts w:asciiTheme="minorHAnsi" w:hAnsiTheme="minorHAnsi" w:cs="Tahoma"/>
          <w:sz w:val="22"/>
          <w:szCs w:val="22"/>
        </w:rPr>
        <w:t xml:space="preserve"> </w:t>
      </w:r>
    </w:p>
    <w:p w:rsidR="00354D5D" w:rsidRPr="00157FAA" w:rsidRDefault="00354D5D" w:rsidP="00F77B00">
      <w:pPr>
        <w:spacing w:after="0" w:line="240" w:lineRule="auto"/>
        <w:jc w:val="both"/>
        <w:rPr>
          <w:rFonts w:cs="Calibri"/>
          <w:iCs/>
        </w:rPr>
      </w:pPr>
    </w:p>
    <w:p w:rsidR="00AB3C26" w:rsidRPr="00157FAA" w:rsidRDefault="00AB3C26" w:rsidP="00F77B00">
      <w:pPr>
        <w:spacing w:after="0" w:line="240" w:lineRule="auto"/>
        <w:jc w:val="both"/>
        <w:rPr>
          <w:rFonts w:cs="Tahoma"/>
        </w:rPr>
      </w:pPr>
      <w:r w:rsidRPr="00157FAA">
        <w:rPr>
          <w:rFonts w:cs="Calibri"/>
          <w:iCs/>
        </w:rPr>
        <w:t xml:space="preserve">Il </w:t>
      </w:r>
      <w:r w:rsidR="005F01C0" w:rsidRPr="00157FAA">
        <w:rPr>
          <w:rFonts w:cs="Calibri"/>
          <w:iCs/>
        </w:rPr>
        <w:t xml:space="preserve">paracetamolo </w:t>
      </w:r>
      <w:r w:rsidR="007461B9" w:rsidRPr="00157FAA">
        <w:rPr>
          <w:rFonts w:cs="Calibri"/>
          <w:iCs/>
        </w:rPr>
        <w:t xml:space="preserve">è un </w:t>
      </w:r>
      <w:r w:rsidR="00354D5D" w:rsidRPr="00157FAA">
        <w:rPr>
          <w:rFonts w:cs="Calibri"/>
          <w:iCs/>
        </w:rPr>
        <w:t>analgesico e antipiretico</w:t>
      </w:r>
      <w:r w:rsidR="0036725E" w:rsidRPr="00157FAA">
        <w:rPr>
          <w:rFonts w:cs="Calibri"/>
          <w:iCs/>
        </w:rPr>
        <w:t>: l’</w:t>
      </w:r>
      <w:r w:rsidR="00AD2048" w:rsidRPr="00157FAA">
        <w:t>attività analgesica sembra legata alla capacità del paracetamolo di inibire la biosintesi delle prostaglandine a livello del S.N.C., elevando la soglia del dolore; l’azione antipiretica si esplica sui centri ipotalamici termoregolatori, azione che si manifesta soltanto in caso di alterazioni febbrili, mediante aumento della dispersione di calore attraverso vasodilatazione.</w:t>
      </w:r>
    </w:p>
    <w:p w:rsidR="00C962EE" w:rsidRPr="00157FAA" w:rsidRDefault="00C962EE" w:rsidP="00F77B00">
      <w:pPr>
        <w:spacing w:after="0" w:line="240" w:lineRule="auto"/>
        <w:jc w:val="both"/>
        <w:rPr>
          <w:rFonts w:cs="Calibri"/>
          <w:iCs/>
        </w:rPr>
      </w:pPr>
      <w:r w:rsidRPr="00157FAA">
        <w:rPr>
          <w:rFonts w:cs="Calibri"/>
          <w:iCs/>
        </w:rPr>
        <w:t xml:space="preserve">La </w:t>
      </w:r>
      <w:r w:rsidR="005F01C0" w:rsidRPr="00157FAA">
        <w:rPr>
          <w:rFonts w:cs="Calibri"/>
          <w:iCs/>
        </w:rPr>
        <w:t>pseudoefedrina</w:t>
      </w:r>
      <w:r w:rsidRPr="00157FAA">
        <w:rPr>
          <w:rFonts w:cs="Calibri"/>
          <w:iCs/>
        </w:rPr>
        <w:t xml:space="preserve"> è un farmaco simpatico</w:t>
      </w:r>
      <w:r w:rsidR="005649FC" w:rsidRPr="00157FAA">
        <w:rPr>
          <w:rFonts w:cs="Calibri"/>
          <w:iCs/>
        </w:rPr>
        <w:t>-</w:t>
      </w:r>
      <w:r w:rsidRPr="00157FAA">
        <w:rPr>
          <w:rFonts w:cs="Calibri"/>
          <w:iCs/>
        </w:rPr>
        <w:t xml:space="preserve">mimetico il cui effetto di vasocostrizione consente di alleviare i sintomi della congestione nasale. </w:t>
      </w:r>
    </w:p>
    <w:p w:rsidR="007461B9" w:rsidRPr="00157FAA" w:rsidRDefault="007461B9" w:rsidP="00F77B0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AB3C26" w:rsidRPr="00157FAA" w:rsidRDefault="00157FAA" w:rsidP="00F77B00">
      <w:pPr>
        <w:widowControl w:val="0"/>
        <w:spacing w:after="0" w:line="240" w:lineRule="auto"/>
        <w:ind w:right="-1"/>
        <w:jc w:val="both"/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0A4CC5" w:rsidRPr="00157FAA">
        <w:rPr>
          <w:rFonts w:eastAsia="Calibri" w:cs="Calibri"/>
          <w:color w:val="000000"/>
          <w:lang w:eastAsia="it-IT"/>
        </w:rPr>
        <w:t xml:space="preserve"> </w:t>
      </w:r>
      <w:r w:rsidR="00900C91" w:rsidRPr="00157FAA">
        <w:rPr>
          <w:rFonts w:cs="Helvetica"/>
        </w:rPr>
        <w:t xml:space="preserve">è indicato </w:t>
      </w:r>
      <w:r w:rsidR="007E00D8" w:rsidRPr="00157FAA">
        <w:rPr>
          <w:rFonts w:cs="Helvetica"/>
        </w:rPr>
        <w:t>nel t</w:t>
      </w:r>
      <w:r w:rsidR="007E00D8" w:rsidRPr="00157FAA">
        <w:rPr>
          <w:rFonts w:cs="Calibri"/>
        </w:rPr>
        <w:t xml:space="preserve">rattamento </w:t>
      </w:r>
      <w:r w:rsidR="00AB3C26" w:rsidRPr="00157FAA">
        <w:t>dei sintomi del raffreddore e dell’influenza.</w:t>
      </w:r>
    </w:p>
    <w:p w:rsidR="005F01C0" w:rsidRPr="00157FAA" w:rsidRDefault="005F01C0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157FAA">
        <w:t xml:space="preserve">Poiché </w:t>
      </w:r>
      <w:proofErr w:type="spellStart"/>
      <w:r w:rsidR="00157FAA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157FAA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157FAA">
        <w:t xml:space="preserve"> </w:t>
      </w:r>
      <w:r w:rsidRPr="00157FAA">
        <w:t>contiene due principi attivi noti</w:t>
      </w:r>
      <w:r w:rsidR="00AB3C26" w:rsidRPr="00157FAA">
        <w:t>,</w:t>
      </w:r>
      <w:r w:rsidRPr="00157FAA">
        <w:t xml:space="preserve"> non sono stati forniti nuovi</w:t>
      </w:r>
      <w:r w:rsidRPr="00F77B00">
        <w:t xml:space="preserve"> dati non clinici e clinici: questo approccio è accettabile poiché il medicinale di riferimento </w:t>
      </w:r>
      <w:proofErr w:type="spellStart"/>
      <w:r w:rsidR="00D52C30" w:rsidRPr="00F77B00">
        <w:t>Triaminic</w:t>
      </w:r>
      <w:proofErr w:type="spellEnd"/>
      <w:r w:rsidRPr="00F77B00">
        <w:t xml:space="preserve"> è autorizzato </w:t>
      </w:r>
      <w:r w:rsidR="00A41EA1" w:rsidRPr="00F77B00">
        <w:t xml:space="preserve">in Italia </w:t>
      </w:r>
      <w:r w:rsidRPr="00F77B00">
        <w:t>da oltre 10 anni</w:t>
      </w:r>
      <w:r w:rsidR="005649FC" w:rsidRPr="00F77B00">
        <w:t xml:space="preserve">; </w:t>
      </w:r>
      <w:r w:rsidR="005166C9" w:rsidRPr="00F77B00">
        <w:t xml:space="preserve">poiché </w:t>
      </w:r>
      <w:proofErr w:type="spellStart"/>
      <w:r w:rsidR="00157FAA">
        <w:rPr>
          <w:rFonts w:eastAsia="Calibri" w:cs="Calibri"/>
          <w:color w:val="000000"/>
          <w:lang w:eastAsia="it-IT"/>
        </w:rPr>
        <w:t>V</w:t>
      </w:r>
      <w:r w:rsidR="00157FAA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157FAA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F77B00">
        <w:t xml:space="preserve"> </w:t>
      </w:r>
      <w:r w:rsidR="005166C9" w:rsidRPr="00F77B00">
        <w:rPr>
          <w:rFonts w:cs="Arial"/>
        </w:rPr>
        <w:t>è somministrato come soluzione orale</w:t>
      </w:r>
      <w:r w:rsidR="008C5426" w:rsidRPr="00F77B00">
        <w:rPr>
          <w:rFonts w:cs="Arial"/>
        </w:rPr>
        <w:t>,</w:t>
      </w:r>
      <w:r w:rsidR="005166C9" w:rsidRPr="00F77B00">
        <w:rPr>
          <w:rFonts w:cs="Arial"/>
        </w:rPr>
        <w:t xml:space="preserve"> è stata concessa l’esenzione dalla conduzione di studi clinici di confronto con il medicinale di riferimento.</w:t>
      </w:r>
    </w:p>
    <w:p w:rsidR="009A4C06" w:rsidRPr="00F77B00" w:rsidRDefault="009A4C06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t>Le officine coinvolte nella produzione sono conformi alle linee guida di Buona Pratica di Fabbricazione (</w:t>
      </w:r>
      <w:proofErr w:type="spellStart"/>
      <w:r w:rsidRPr="00F77B00">
        <w:rPr>
          <w:i/>
        </w:rPr>
        <w:t>Good</w:t>
      </w:r>
      <w:proofErr w:type="spellEnd"/>
      <w:r w:rsidRPr="00F77B00">
        <w:rPr>
          <w:i/>
        </w:rPr>
        <w:t xml:space="preserve"> Manufacturing </w:t>
      </w:r>
      <w:proofErr w:type="spellStart"/>
      <w:r w:rsidRPr="00F77B00">
        <w:rPr>
          <w:i/>
        </w:rPr>
        <w:t>Practice</w:t>
      </w:r>
      <w:proofErr w:type="spellEnd"/>
      <w:r w:rsidRPr="00F77B00">
        <w:t xml:space="preserve"> - GMP). Le autorità regolatore competenti hanno rilasciato i certificati GMP per i siti di produzione sul territorio dell’Unione Europea.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F77B00">
        <w:rPr>
          <w:i/>
        </w:rPr>
        <w:t>Risk</w:t>
      </w:r>
      <w:proofErr w:type="spellEnd"/>
      <w:r w:rsidRPr="00F77B00">
        <w:rPr>
          <w:i/>
        </w:rPr>
        <w:t xml:space="preserve"> Management </w:t>
      </w:r>
      <w:proofErr w:type="spellStart"/>
      <w:r w:rsidRPr="00F77B00">
        <w:rPr>
          <w:i/>
        </w:rPr>
        <w:t>Plan</w:t>
      </w:r>
      <w:proofErr w:type="spellEnd"/>
      <w:r w:rsidRPr="00F77B00">
        <w:t xml:space="preserve"> – RMP) accettabile.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57FAA">
        <w:rPr>
          <w:rFonts w:eastAsia="Calibri" w:cs="Calibri"/>
          <w:color w:val="000000"/>
          <w:lang w:eastAsia="it-IT"/>
        </w:rPr>
        <w:t>V</w:t>
      </w:r>
      <w:r w:rsidR="00157FAA" w:rsidRPr="00F77B00">
        <w:rPr>
          <w:rFonts w:eastAsia="Calibri" w:cs="Calibri"/>
          <w:color w:val="000000"/>
          <w:lang w:eastAsia="it-IT"/>
        </w:rPr>
        <w:t>ivinduo</w:t>
      </w:r>
      <w:proofErr w:type="spellEnd"/>
      <w:r w:rsidR="00157FAA" w:rsidRPr="00F77B00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F77B00">
        <w:t xml:space="preserve"> </w:t>
      </w:r>
      <w:r w:rsidRPr="00F77B00"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6523A0" w:rsidRPr="00F77B00" w:rsidRDefault="006523A0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DI QUALITA’</w:t>
      </w:r>
    </w:p>
    <w:p w:rsidR="00157FAA" w:rsidRDefault="00157FAA" w:rsidP="00F77B00">
      <w:pPr>
        <w:spacing w:after="0" w:line="240" w:lineRule="auto"/>
        <w:jc w:val="both"/>
        <w:rPr>
          <w:b/>
        </w:rPr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b/>
        </w:rPr>
        <w:t xml:space="preserve">II.1a </w:t>
      </w:r>
      <w:r w:rsidR="00AB3C26" w:rsidRPr="00F77B00">
        <w:rPr>
          <w:b/>
        </w:rPr>
        <w:t xml:space="preserve"> </w:t>
      </w:r>
      <w:r w:rsidRPr="00F77B00">
        <w:rPr>
          <w:b/>
        </w:rPr>
        <w:t>PRINCIPIO ATTIVO</w:t>
      </w:r>
      <w:r w:rsidR="00AB3C26" w:rsidRPr="00F77B00">
        <w:rPr>
          <w:b/>
        </w:rPr>
        <w:t xml:space="preserve">: PARACETAMOLO </w:t>
      </w:r>
    </w:p>
    <w:p w:rsidR="00900C91" w:rsidRPr="00F77B00" w:rsidRDefault="00900C91" w:rsidP="00F77B00">
      <w:pPr>
        <w:autoSpaceDE w:val="0"/>
        <w:autoSpaceDN w:val="0"/>
        <w:adjustRightInd w:val="0"/>
        <w:spacing w:after="0" w:line="240" w:lineRule="auto"/>
      </w:pPr>
      <w:r w:rsidRPr="00F77B00">
        <w:rPr>
          <w:u w:val="single"/>
        </w:rPr>
        <w:t>Nome chimico</w:t>
      </w:r>
      <w:r w:rsidR="00FD0C63" w:rsidRPr="00F77B00">
        <w:t xml:space="preserve"> </w:t>
      </w:r>
      <w:r w:rsidR="00FF50F3" w:rsidRPr="00F77B00">
        <w:rPr>
          <w:rStyle w:val="s1"/>
          <w:rFonts w:asciiTheme="minorHAnsi" w:hAnsiTheme="minorHAnsi"/>
          <w:i/>
          <w:iCs/>
        </w:rPr>
        <w:t>N</w:t>
      </w:r>
      <w:r w:rsidR="00FF50F3" w:rsidRPr="00F77B00">
        <w:rPr>
          <w:rStyle w:val="s1"/>
          <w:rFonts w:asciiTheme="minorHAnsi" w:hAnsiTheme="minorHAnsi"/>
        </w:rPr>
        <w:t>-(4-Hydroxyphenyl)acetamide</w:t>
      </w:r>
      <w:r w:rsidR="00FD0C63" w:rsidRPr="00F77B00">
        <w:rPr>
          <w:rStyle w:val="s1"/>
          <w:rFonts w:asciiTheme="minorHAnsi" w:hAnsiTheme="minorHAnsi"/>
        </w:rPr>
        <w:t>.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Struttura</w:t>
      </w:r>
      <w:r w:rsidRPr="00F77B00">
        <w:t>:</w:t>
      </w:r>
    </w:p>
    <w:p w:rsidR="00900C91" w:rsidRPr="00F77B00" w:rsidRDefault="00FF50F3" w:rsidP="00F77B00">
      <w:pPr>
        <w:spacing w:after="0" w:line="240" w:lineRule="auto"/>
        <w:jc w:val="center"/>
        <w:rPr>
          <w:noProof/>
          <w:lang w:eastAsia="it-IT"/>
        </w:rPr>
      </w:pPr>
      <w:r w:rsidRPr="00F77B00">
        <w:rPr>
          <w:rFonts w:cs="Arial"/>
          <w:noProof/>
          <w:lang w:eastAsia="it-IT"/>
        </w:rPr>
        <w:drawing>
          <wp:inline distT="0" distB="0" distL="0" distR="0">
            <wp:extent cx="1066800" cy="466045"/>
            <wp:effectExtent l="19050" t="0" r="0" b="0"/>
            <wp:docPr id="4" name="Immagine 4" descr="P:\_dp\805\XML-IN\Images\cf0049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:\_dp\805\XML-IN\Images\cf0049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119" cy="467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Formula molecolare</w:t>
      </w:r>
      <w:r w:rsidR="00FF50F3" w:rsidRPr="00F77B00">
        <w:rPr>
          <w:u w:val="single"/>
        </w:rPr>
        <w:t xml:space="preserve">: </w:t>
      </w:r>
      <w:r w:rsidR="00FF50F3" w:rsidRPr="00F77B00">
        <w:t xml:space="preserve"> </w:t>
      </w:r>
      <w:r w:rsidR="00FF50F3" w:rsidRPr="00F77B00">
        <w:rPr>
          <w:rStyle w:val="s1"/>
          <w:rFonts w:asciiTheme="minorHAnsi" w:hAnsiTheme="minorHAnsi"/>
        </w:rPr>
        <w:t>C</w:t>
      </w:r>
      <w:r w:rsidR="00FF50F3" w:rsidRPr="00F77B00">
        <w:rPr>
          <w:rStyle w:val="s1"/>
          <w:rFonts w:asciiTheme="minorHAnsi" w:hAnsiTheme="minorHAnsi"/>
          <w:vertAlign w:val="subscript"/>
        </w:rPr>
        <w:t>8</w:t>
      </w:r>
      <w:r w:rsidR="00FF50F3" w:rsidRPr="00F77B00">
        <w:rPr>
          <w:rStyle w:val="s1"/>
          <w:rFonts w:asciiTheme="minorHAnsi" w:hAnsiTheme="minorHAnsi"/>
        </w:rPr>
        <w:t>H</w:t>
      </w:r>
      <w:r w:rsidR="00FF50F3" w:rsidRPr="00F77B00">
        <w:rPr>
          <w:rStyle w:val="s1"/>
          <w:rFonts w:asciiTheme="minorHAnsi" w:hAnsiTheme="minorHAnsi"/>
          <w:vertAlign w:val="subscript"/>
        </w:rPr>
        <w:t>9</w:t>
      </w:r>
      <w:r w:rsidR="00FF50F3" w:rsidRPr="00F77B00">
        <w:rPr>
          <w:rStyle w:val="s1"/>
          <w:rFonts w:asciiTheme="minorHAnsi" w:hAnsiTheme="minorHAnsi"/>
        </w:rPr>
        <w:t>NO</w:t>
      </w:r>
      <w:r w:rsidR="00FF50F3" w:rsidRPr="00F77B00">
        <w:rPr>
          <w:rStyle w:val="s1"/>
          <w:rFonts w:asciiTheme="minorHAnsi" w:hAnsiTheme="minorHAnsi"/>
          <w:vertAlign w:val="subscript"/>
        </w:rPr>
        <w:t>2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Peso molecolare</w:t>
      </w:r>
      <w:r w:rsidRPr="00F77B00">
        <w:t>:</w:t>
      </w:r>
      <w:r w:rsidRPr="00F77B00">
        <w:rPr>
          <w:rFonts w:cs="Arial"/>
          <w:color w:val="252525"/>
          <w:shd w:val="clear" w:color="auto" w:fill="F9F9F9"/>
        </w:rPr>
        <w:t xml:space="preserve"> </w:t>
      </w:r>
      <w:r w:rsidR="00FF50F3" w:rsidRPr="00F77B00">
        <w:rPr>
          <w:rStyle w:val="s1"/>
          <w:rFonts w:asciiTheme="minorHAnsi" w:hAnsiTheme="minorHAnsi"/>
        </w:rPr>
        <w:t xml:space="preserve">151.2 </w:t>
      </w:r>
      <w:r w:rsidRPr="00F77B00">
        <w:rPr>
          <w:rStyle w:val="s1"/>
          <w:rFonts w:asciiTheme="minorHAnsi" w:hAnsiTheme="minorHAnsi"/>
        </w:rPr>
        <w:t>g/mol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lastRenderedPageBreak/>
        <w:t>CAS</w:t>
      </w:r>
      <w:r w:rsidRPr="00F77B00">
        <w:t xml:space="preserve">: </w:t>
      </w:r>
      <w:r w:rsidR="00FD0C63" w:rsidRPr="00F77B00">
        <w:rPr>
          <w:rStyle w:val="s1"/>
          <w:rFonts w:asciiTheme="minorHAnsi" w:hAnsiTheme="minorHAnsi"/>
        </w:rPr>
        <w:t>[</w:t>
      </w:r>
      <w:r w:rsidR="00FF50F3" w:rsidRPr="00F77B00">
        <w:rPr>
          <w:rStyle w:val="s1"/>
          <w:rFonts w:asciiTheme="minorHAnsi" w:hAnsiTheme="minorHAnsi"/>
        </w:rPr>
        <w:t>103-90-2</w:t>
      </w:r>
      <w:r w:rsidR="00FD0C63" w:rsidRPr="00F77B00">
        <w:rPr>
          <w:rStyle w:val="s1"/>
          <w:rFonts w:asciiTheme="minorHAnsi" w:hAnsiTheme="minorHAnsi"/>
        </w:rPr>
        <w:t>]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Aspetto</w:t>
      </w:r>
      <w:r w:rsidRPr="00F77B00">
        <w:t xml:space="preserve">: polvere </w:t>
      </w:r>
      <w:r w:rsidR="00FF50F3" w:rsidRPr="00F77B00">
        <w:t xml:space="preserve">cristallina </w:t>
      </w:r>
      <w:r w:rsidRPr="00F77B00">
        <w:t>bianca o quasi bianca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Solubilità</w:t>
      </w:r>
      <w:r w:rsidR="00097C24" w:rsidRPr="00F77B00">
        <w:rPr>
          <w:u w:val="single"/>
        </w:rPr>
        <w:t xml:space="preserve">: </w:t>
      </w:r>
      <w:r w:rsidR="00FF50F3" w:rsidRPr="00F77B00">
        <w:t>leggermente solubile</w:t>
      </w:r>
      <w:r w:rsidR="00FD0C63" w:rsidRPr="00F77B00">
        <w:t xml:space="preserve"> in acqua</w:t>
      </w:r>
      <w:r w:rsidR="00FD0C63" w:rsidRPr="00F77B00">
        <w:rPr>
          <w:rStyle w:val="s1"/>
          <w:rFonts w:asciiTheme="minorHAnsi" w:hAnsiTheme="minorHAnsi"/>
        </w:rPr>
        <w:t xml:space="preserve">, solubile in </w:t>
      </w:r>
      <w:r w:rsidR="00FF50F3" w:rsidRPr="00F77B00">
        <w:rPr>
          <w:rStyle w:val="s1"/>
          <w:rFonts w:asciiTheme="minorHAnsi" w:hAnsiTheme="minorHAnsi"/>
        </w:rPr>
        <w:t>alcool</w:t>
      </w:r>
      <w:r w:rsidR="00FD0C63" w:rsidRPr="00F77B00">
        <w:rPr>
          <w:rStyle w:val="s1"/>
          <w:rFonts w:asciiTheme="minorHAnsi" w:hAnsiTheme="minorHAnsi"/>
        </w:rPr>
        <w:t xml:space="preserve">, poco solubile in </w:t>
      </w:r>
      <w:r w:rsidR="00FF50F3" w:rsidRPr="00F77B00">
        <w:rPr>
          <w:rStyle w:val="s1"/>
          <w:rFonts w:asciiTheme="minorHAnsi" w:hAnsiTheme="minorHAnsi"/>
        </w:rPr>
        <w:t>cloruro di metilene</w:t>
      </w:r>
      <w:r w:rsidR="00FD0C63" w:rsidRPr="00F77B00">
        <w:rPr>
          <w:rStyle w:val="s1"/>
          <w:rFonts w:asciiTheme="minorHAnsi" w:hAnsiTheme="minorHAnsi"/>
        </w:rPr>
        <w:t>.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Polimorfismo</w:t>
      </w:r>
      <w:r w:rsidRPr="00F77B00">
        <w:t xml:space="preserve">: </w:t>
      </w:r>
      <w:r w:rsidR="00FF50F3" w:rsidRPr="00F77B00">
        <w:rPr>
          <w:lang w:eastAsia="it-IT"/>
        </w:rPr>
        <w:t>paracetamolo non</w:t>
      </w:r>
      <w:r w:rsidRPr="00F77B00">
        <w:rPr>
          <w:lang w:eastAsia="it-IT"/>
        </w:rPr>
        <w:t xml:space="preserve"> mostra polimorfismo</w:t>
      </w:r>
      <w:r w:rsidRPr="00F77B00">
        <w:t>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FF50F3" w:rsidRPr="00F77B00" w:rsidRDefault="00FF50F3" w:rsidP="00F77B00">
      <w:pPr>
        <w:spacing w:after="0" w:line="240" w:lineRule="auto"/>
        <w:jc w:val="both"/>
      </w:pPr>
      <w:r w:rsidRPr="00F77B00">
        <w:t xml:space="preserve">Il principio attivo </w:t>
      </w:r>
      <w:r w:rsidR="009A4C06" w:rsidRPr="00F77B00">
        <w:t>paracetamolo</w:t>
      </w:r>
      <w:r w:rsidRPr="00F77B00">
        <w:t xml:space="preserve"> è presente in Farmacopea Europea e il </w:t>
      </w:r>
      <w:proofErr w:type="spellStart"/>
      <w:r w:rsidRPr="00F77B00">
        <w:t>Direttorato</w:t>
      </w:r>
      <w:proofErr w:type="spellEnd"/>
      <w:r w:rsidRPr="00F77B00">
        <w:t xml:space="preserve"> Europeo per la Qualità dei Medicinali (</w:t>
      </w:r>
      <w:proofErr w:type="spellStart"/>
      <w:r w:rsidRPr="00F77B00">
        <w:rPr>
          <w:i/>
        </w:rPr>
        <w:t>European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Directorate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for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Quality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of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Medic</w:t>
      </w:r>
      <w:r w:rsidR="00B06030" w:rsidRPr="00F77B00">
        <w:rPr>
          <w:i/>
        </w:rPr>
        <w:t>i</w:t>
      </w:r>
      <w:r w:rsidRPr="00F77B00">
        <w:rPr>
          <w:i/>
        </w:rPr>
        <w:t>nals</w:t>
      </w:r>
      <w:proofErr w:type="spellEnd"/>
      <w:r w:rsidRPr="00F77B00">
        <w:t xml:space="preserve"> – EDQM) ha rilasciato ai</w:t>
      </w:r>
      <w:r w:rsidR="009A4C06" w:rsidRPr="00F77B00">
        <w:t xml:space="preserve"> due</w:t>
      </w:r>
      <w:r w:rsidRPr="00F77B00">
        <w:t xml:space="preserve"> produttori</w:t>
      </w:r>
      <w:r w:rsidR="005649FC" w:rsidRPr="00F77B00">
        <w:t xml:space="preserve"> di principio attivo proposti</w:t>
      </w:r>
      <w:r w:rsidRPr="00F77B00">
        <w:t xml:space="preserve"> il certificato di conformità alla Farmacopea Europea. </w:t>
      </w:r>
    </w:p>
    <w:p w:rsidR="00FF50F3" w:rsidRPr="00F77B00" w:rsidRDefault="00FF50F3" w:rsidP="00F77B00">
      <w:pPr>
        <w:spacing w:after="0" w:line="240" w:lineRule="auto"/>
        <w:jc w:val="both"/>
      </w:pPr>
      <w:r w:rsidRPr="00F77B00">
        <w:t>Tutti gli aspetti di produzione e controllo sono coperti dal certificato di conformità alla Farmacopea Europea.</w:t>
      </w:r>
    </w:p>
    <w:p w:rsidR="005649FC" w:rsidRPr="00F77B00" w:rsidRDefault="005649FC" w:rsidP="00F77B00">
      <w:pPr>
        <w:spacing w:after="0" w:line="240" w:lineRule="auto"/>
        <w:jc w:val="both"/>
      </w:pPr>
      <w:r w:rsidRPr="00F77B00">
        <w:t>Per un produttore il confezionamento è</w:t>
      </w:r>
      <w:r w:rsidR="00157FAA">
        <w:t xml:space="preserve"> costituito da </w:t>
      </w:r>
      <w:r w:rsidRPr="00F77B00">
        <w:t xml:space="preserve"> </w:t>
      </w:r>
      <w:r w:rsidR="00157FAA">
        <w:t xml:space="preserve">una </w:t>
      </w:r>
      <w:r w:rsidRPr="00F77B00">
        <w:t>bust</w:t>
      </w:r>
      <w:r w:rsidR="00157FAA">
        <w:t>a</w:t>
      </w:r>
      <w:r w:rsidRPr="00F77B00">
        <w:t xml:space="preserve"> di polietilene post</w:t>
      </w:r>
      <w:r w:rsidR="00157FAA">
        <w:t>a</w:t>
      </w:r>
      <w:r w:rsidRPr="00F77B00">
        <w:t xml:space="preserve"> all’interno di un fusto in fibra; per l’altro </w:t>
      </w:r>
      <w:r w:rsidR="00157FAA">
        <w:t>da una</w:t>
      </w:r>
      <w:r w:rsidRPr="00F77B00">
        <w:t xml:space="preserve"> doppia </w:t>
      </w:r>
      <w:r w:rsidR="008C5426" w:rsidRPr="00F77B00">
        <w:t xml:space="preserve">sacca </w:t>
      </w:r>
      <w:r w:rsidRPr="00F77B00">
        <w:t xml:space="preserve">in polietilene </w:t>
      </w:r>
      <w:r w:rsidR="00C573CF" w:rsidRPr="00F77B00">
        <w:t xml:space="preserve">a bassa </w:t>
      </w:r>
      <w:r w:rsidR="001B078F" w:rsidRPr="00F77B00">
        <w:t xml:space="preserve">densità posta all’interno </w:t>
      </w:r>
      <w:r w:rsidRPr="00F77B00">
        <w:t>di</w:t>
      </w:r>
      <w:r w:rsidR="00B06030" w:rsidRPr="00F77B00">
        <w:t xml:space="preserve"> </w:t>
      </w:r>
      <w:r w:rsidR="00157FAA">
        <w:t xml:space="preserve">una </w:t>
      </w:r>
      <w:r w:rsidR="008C5426" w:rsidRPr="00F77B00">
        <w:t>sacc</w:t>
      </w:r>
      <w:r w:rsidR="00157FAA">
        <w:t>a</w:t>
      </w:r>
      <w:r w:rsidR="008C5426" w:rsidRPr="00F77B00">
        <w:t xml:space="preserve"> </w:t>
      </w:r>
      <w:r w:rsidR="00B06030" w:rsidRPr="00F77B00">
        <w:t>in HDPE,</w:t>
      </w:r>
      <w:r w:rsidRPr="00F77B00">
        <w:t xml:space="preserve"> fusti in fibra o in HDPE</w:t>
      </w:r>
      <w:r w:rsidR="00B06030" w:rsidRPr="00F77B00">
        <w:t>.</w:t>
      </w:r>
    </w:p>
    <w:p w:rsidR="002D3229" w:rsidRPr="00F77B00" w:rsidRDefault="002D3229" w:rsidP="00F77B00">
      <w:pPr>
        <w:spacing w:after="0" w:line="240" w:lineRule="auto"/>
        <w:jc w:val="both"/>
      </w:pPr>
      <w:r w:rsidRPr="00F77B00">
        <w:t xml:space="preserve">In entrambi i casi il </w:t>
      </w:r>
      <w:r w:rsidR="0036725E" w:rsidRPr="00F77B00">
        <w:t xml:space="preserve">periodo di </w:t>
      </w:r>
      <w:proofErr w:type="spellStart"/>
      <w:r w:rsidR="0036725E" w:rsidRPr="00F77B00">
        <w:t>retest</w:t>
      </w:r>
      <w:proofErr w:type="spellEnd"/>
      <w:r w:rsidRPr="00F77B00">
        <w:t xml:space="preserve"> è </w:t>
      </w:r>
      <w:r w:rsidR="005649FC" w:rsidRPr="00F77B00">
        <w:t xml:space="preserve">stabilito in </w:t>
      </w:r>
      <w:r w:rsidRPr="00F77B00">
        <w:t xml:space="preserve">60 mesi. </w:t>
      </w:r>
    </w:p>
    <w:p w:rsidR="007461B9" w:rsidRPr="00F77B00" w:rsidRDefault="007461B9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b/>
        </w:rPr>
        <w:t>II.1b PRINCIPIO ATTIVO</w:t>
      </w:r>
      <w:r w:rsidR="00AB3C26" w:rsidRPr="00F77B00">
        <w:rPr>
          <w:b/>
        </w:rPr>
        <w:t>: PSEUDOEFEDRINA</w:t>
      </w:r>
    </w:p>
    <w:p w:rsidR="00900C91" w:rsidRPr="00F77B00" w:rsidRDefault="00900C91" w:rsidP="00F77B00">
      <w:pPr>
        <w:autoSpaceDE w:val="0"/>
        <w:autoSpaceDN w:val="0"/>
        <w:adjustRightInd w:val="0"/>
        <w:spacing w:after="0" w:line="240" w:lineRule="auto"/>
      </w:pPr>
      <w:r w:rsidRPr="00F77B00">
        <w:rPr>
          <w:u w:val="single"/>
        </w:rPr>
        <w:t>Nome chimico</w:t>
      </w:r>
      <w:r w:rsidRPr="00F77B00">
        <w:t xml:space="preserve">: </w:t>
      </w:r>
      <w:r w:rsidR="00AB3C26" w:rsidRPr="00F77B00">
        <w:rPr>
          <w:rFonts w:cs="Arial"/>
        </w:rPr>
        <w:t>(1</w:t>
      </w:r>
      <w:r w:rsidR="00AB3C26" w:rsidRPr="00F77B00">
        <w:rPr>
          <w:rFonts w:cs="Arial"/>
          <w:i/>
          <w:iCs/>
        </w:rPr>
        <w:t>S</w:t>
      </w:r>
      <w:r w:rsidR="00AB3C26" w:rsidRPr="00F77B00">
        <w:rPr>
          <w:rFonts w:cs="Arial"/>
        </w:rPr>
        <w:t>,2</w:t>
      </w:r>
      <w:r w:rsidR="00AB3C26" w:rsidRPr="00F77B00">
        <w:rPr>
          <w:rFonts w:cs="Arial"/>
          <w:i/>
          <w:iCs/>
        </w:rPr>
        <w:t>S</w:t>
      </w:r>
      <w:r w:rsidR="00AB3C26" w:rsidRPr="00F77B00">
        <w:rPr>
          <w:rFonts w:cs="Arial"/>
        </w:rPr>
        <w:t>)-2-(</w:t>
      </w:r>
      <w:proofErr w:type="spellStart"/>
      <w:r w:rsidR="00AB3C26" w:rsidRPr="00F77B00">
        <w:rPr>
          <w:rFonts w:cs="Arial"/>
        </w:rPr>
        <w:t>Methylamino</w:t>
      </w:r>
      <w:proofErr w:type="spellEnd"/>
      <w:r w:rsidR="00AB3C26" w:rsidRPr="00F77B00">
        <w:rPr>
          <w:rFonts w:cs="Arial"/>
        </w:rPr>
        <w:t xml:space="preserve">)-1-phenylpropan-1-ol </w:t>
      </w:r>
      <w:proofErr w:type="spellStart"/>
      <w:r w:rsidR="00AB3C26" w:rsidRPr="00F77B00">
        <w:rPr>
          <w:rFonts w:cs="Arial"/>
        </w:rPr>
        <w:t>hydrochloride</w:t>
      </w:r>
      <w:proofErr w:type="spellEnd"/>
    </w:p>
    <w:p w:rsidR="00AB3C26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Struttura</w:t>
      </w:r>
      <w:r w:rsidRPr="00F77B00">
        <w:t>:</w:t>
      </w:r>
    </w:p>
    <w:p w:rsidR="00900C91" w:rsidRPr="00F77B00" w:rsidRDefault="00AB3C26" w:rsidP="00F77B00">
      <w:pPr>
        <w:spacing w:after="0" w:line="240" w:lineRule="auto"/>
        <w:jc w:val="center"/>
      </w:pPr>
      <w:r w:rsidRPr="00F77B00">
        <w:rPr>
          <w:noProof/>
          <w:lang w:eastAsia="it-IT"/>
        </w:rPr>
        <w:drawing>
          <wp:inline distT="0" distB="0" distL="0" distR="0">
            <wp:extent cx="962211" cy="659027"/>
            <wp:effectExtent l="19050" t="0" r="9339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395" cy="659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Formula molecolare</w:t>
      </w:r>
      <w:r w:rsidRPr="00F77B00">
        <w:t xml:space="preserve">: </w:t>
      </w:r>
      <w:r w:rsidR="00AB3C26" w:rsidRPr="00F77B00">
        <w:rPr>
          <w:rStyle w:val="s1"/>
          <w:rFonts w:asciiTheme="minorHAnsi" w:hAnsiTheme="minorHAnsi"/>
        </w:rPr>
        <w:t>C</w:t>
      </w:r>
      <w:r w:rsidR="00AB3C26" w:rsidRPr="00F77B00">
        <w:rPr>
          <w:rStyle w:val="s1"/>
          <w:rFonts w:asciiTheme="minorHAnsi" w:hAnsiTheme="minorHAnsi"/>
          <w:vertAlign w:val="subscript"/>
        </w:rPr>
        <w:t>10</w:t>
      </w:r>
      <w:r w:rsidR="00AB3C26" w:rsidRPr="00F77B00">
        <w:rPr>
          <w:rStyle w:val="s1"/>
          <w:rFonts w:asciiTheme="minorHAnsi" w:hAnsiTheme="minorHAnsi"/>
        </w:rPr>
        <w:t>H</w:t>
      </w:r>
      <w:r w:rsidR="00AB3C26" w:rsidRPr="00F77B00">
        <w:rPr>
          <w:rStyle w:val="s1"/>
          <w:rFonts w:asciiTheme="minorHAnsi" w:hAnsiTheme="minorHAnsi"/>
          <w:vertAlign w:val="subscript"/>
        </w:rPr>
        <w:t>16</w:t>
      </w:r>
      <w:r w:rsidR="00AB3C26" w:rsidRPr="00F77B00">
        <w:rPr>
          <w:rStyle w:val="s1"/>
          <w:rFonts w:asciiTheme="minorHAnsi" w:hAnsiTheme="minorHAnsi"/>
        </w:rPr>
        <w:t>ClNO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Peso molecolare</w:t>
      </w:r>
      <w:r w:rsidRPr="00F77B00">
        <w:t xml:space="preserve">: </w:t>
      </w:r>
      <w:r w:rsidR="00AB3C26" w:rsidRPr="00F77B00">
        <w:rPr>
          <w:rStyle w:val="s1"/>
          <w:rFonts w:asciiTheme="minorHAnsi" w:hAnsiTheme="minorHAnsi"/>
        </w:rPr>
        <w:t>201.7</w:t>
      </w:r>
      <w:r w:rsidR="00A72D8A" w:rsidRPr="00F77B00">
        <w:rPr>
          <w:rStyle w:val="s1"/>
          <w:rFonts w:asciiTheme="minorHAnsi" w:hAnsiTheme="minorHAnsi"/>
        </w:rPr>
        <w:t xml:space="preserve"> </w:t>
      </w:r>
      <w:r w:rsidRPr="00F77B00">
        <w:rPr>
          <w:rStyle w:val="s1"/>
          <w:rFonts w:asciiTheme="minorHAnsi" w:hAnsiTheme="minorHAnsi"/>
        </w:rPr>
        <w:t>g/mol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CAS</w:t>
      </w:r>
      <w:r w:rsidRPr="00F77B00">
        <w:t xml:space="preserve">: </w:t>
      </w:r>
      <w:r w:rsidR="00AB3C26" w:rsidRPr="00F77B00">
        <w:rPr>
          <w:rStyle w:val="s1"/>
          <w:rFonts w:asciiTheme="minorHAnsi" w:hAnsiTheme="minorHAnsi"/>
        </w:rPr>
        <w:t>[345-78-8</w:t>
      </w:r>
      <w:r w:rsidR="00A72D8A" w:rsidRPr="00F77B00">
        <w:rPr>
          <w:rStyle w:val="s1"/>
          <w:rFonts w:asciiTheme="minorHAnsi" w:hAnsiTheme="minorHAnsi"/>
        </w:rPr>
        <w:t>]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Aspetto</w:t>
      </w:r>
      <w:r w:rsidRPr="00F77B00">
        <w:t>: polvere</w:t>
      </w:r>
      <w:r w:rsidR="00A72D8A" w:rsidRPr="00F77B00">
        <w:t xml:space="preserve"> cristallina</w:t>
      </w:r>
      <w:r w:rsidRPr="00F77B00">
        <w:t xml:space="preserve"> bianca o quasi bianca</w:t>
      </w:r>
      <w:r w:rsidRPr="00F77B00">
        <w:rPr>
          <w:rStyle w:val="s1"/>
          <w:rFonts w:asciiTheme="minorHAnsi" w:hAnsiTheme="minorHAnsi"/>
        </w:rPr>
        <w:t xml:space="preserve"> </w:t>
      </w:r>
      <w:r w:rsidR="00AB3C26" w:rsidRPr="00F77B00">
        <w:rPr>
          <w:rStyle w:val="s1"/>
          <w:rFonts w:asciiTheme="minorHAnsi" w:hAnsiTheme="minorHAnsi"/>
        </w:rPr>
        <w:t>o cristalli incolori</w:t>
      </w:r>
    </w:p>
    <w:p w:rsidR="00DA01C1" w:rsidRPr="00F77B00" w:rsidRDefault="00900C91" w:rsidP="00F77B00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F77B00">
        <w:rPr>
          <w:u w:val="single"/>
        </w:rPr>
        <w:t>Solubilità</w:t>
      </w:r>
      <w:r w:rsidR="00AB3C26" w:rsidRPr="00F77B00">
        <w:t>:</w:t>
      </w:r>
      <w:r w:rsidR="006523A0" w:rsidRPr="00F77B00">
        <w:t xml:space="preserve"> </w:t>
      </w:r>
      <w:r w:rsidRPr="00F77B00">
        <w:t>solubile in acqua</w:t>
      </w:r>
      <w:r w:rsidR="00AB3C26" w:rsidRPr="00F77B00">
        <w:t xml:space="preserve"> ed etanolo</w:t>
      </w:r>
      <w:r w:rsidR="00DA01C1" w:rsidRPr="00F77B00">
        <w:t>(96%)</w:t>
      </w:r>
      <w:r w:rsidRPr="00F77B00">
        <w:t xml:space="preserve">, moderatamente solubile </w:t>
      </w:r>
      <w:r w:rsidR="00DA01C1" w:rsidRPr="00F77B00">
        <w:t>cloruro di metilene</w:t>
      </w:r>
      <w:r w:rsidR="00A72D8A" w:rsidRPr="00F77B00">
        <w:rPr>
          <w:rStyle w:val="s1"/>
          <w:rFonts w:asciiTheme="minorHAnsi" w:hAnsiTheme="minorHAnsi"/>
        </w:rPr>
        <w:t xml:space="preserve">. 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rPr>
          <w:u w:val="single"/>
        </w:rPr>
        <w:t>Polimorfismo</w:t>
      </w:r>
      <w:r w:rsidRPr="00F77B00">
        <w:t xml:space="preserve">: </w:t>
      </w:r>
      <w:proofErr w:type="spellStart"/>
      <w:r w:rsidR="00157FAA">
        <w:t>psiudoefedrina</w:t>
      </w:r>
      <w:proofErr w:type="spellEnd"/>
      <w:r w:rsidR="00157FAA">
        <w:t xml:space="preserve"> </w:t>
      </w:r>
      <w:r w:rsidR="00DA01C1" w:rsidRPr="00F77B00">
        <w:rPr>
          <w:lang w:eastAsia="it-IT"/>
        </w:rPr>
        <w:t>non presenta</w:t>
      </w:r>
      <w:r w:rsidRPr="00F77B00">
        <w:rPr>
          <w:lang w:eastAsia="it-IT"/>
        </w:rPr>
        <w:t xml:space="preserve"> polimorfismo</w:t>
      </w:r>
      <w:r w:rsidRPr="00F77B00">
        <w:t>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  <w:r w:rsidRPr="00F77B00">
        <w:t xml:space="preserve">Il principio attivo </w:t>
      </w:r>
      <w:r w:rsidR="006523A0" w:rsidRPr="00F77B00">
        <w:t>pseudoefedrina</w:t>
      </w:r>
      <w:r w:rsidRPr="00F77B00">
        <w:t xml:space="preserve"> è presente in Farmacopea Europea e il </w:t>
      </w:r>
      <w:proofErr w:type="spellStart"/>
      <w:r w:rsidRPr="00F77B00">
        <w:t>Direttorato</w:t>
      </w:r>
      <w:proofErr w:type="spellEnd"/>
      <w:r w:rsidRPr="00F77B00">
        <w:t xml:space="preserve"> Europeo per la Qualità dei Medicinali (</w:t>
      </w:r>
      <w:proofErr w:type="spellStart"/>
      <w:r w:rsidRPr="00F77B00">
        <w:rPr>
          <w:i/>
        </w:rPr>
        <w:t>European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Directorate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for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Quality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of</w:t>
      </w:r>
      <w:proofErr w:type="spellEnd"/>
      <w:r w:rsidRPr="00F77B00">
        <w:rPr>
          <w:i/>
        </w:rPr>
        <w:t xml:space="preserve"> </w:t>
      </w:r>
      <w:proofErr w:type="spellStart"/>
      <w:r w:rsidRPr="00F77B00">
        <w:rPr>
          <w:i/>
        </w:rPr>
        <w:t>Medic</w:t>
      </w:r>
      <w:r w:rsidR="001B078F" w:rsidRPr="00F77B00">
        <w:rPr>
          <w:i/>
        </w:rPr>
        <w:t>i</w:t>
      </w:r>
      <w:r w:rsidRPr="00F77B00">
        <w:rPr>
          <w:i/>
        </w:rPr>
        <w:t>nals</w:t>
      </w:r>
      <w:proofErr w:type="spellEnd"/>
      <w:r w:rsidRPr="00F77B00">
        <w:t xml:space="preserve"> – EDQM) ha rilasciato al produttore il certificato di conformità alla Farmacopea Europea</w:t>
      </w:r>
    </w:p>
    <w:p w:rsidR="00A41EA1" w:rsidRPr="00F77B00" w:rsidRDefault="00900C91" w:rsidP="00F77B00">
      <w:pPr>
        <w:spacing w:after="0" w:line="240" w:lineRule="auto"/>
        <w:jc w:val="both"/>
      </w:pPr>
      <w:r w:rsidRPr="00F77B00">
        <w:t xml:space="preserve">Tutti gli aspetti di produzione e controllo sono coperti dal certificato di conformità alla Farmacopea Europea. </w:t>
      </w:r>
      <w:r w:rsidR="00C04E2E" w:rsidRPr="00F77B00">
        <w:t xml:space="preserve">Il principio attivo è confezionato in </w:t>
      </w:r>
      <w:r w:rsidR="00157FAA">
        <w:t xml:space="preserve">una </w:t>
      </w:r>
      <w:r w:rsidR="002D3229" w:rsidRPr="00F77B00">
        <w:t>d</w:t>
      </w:r>
      <w:r w:rsidR="00C04E2E" w:rsidRPr="00F77B00">
        <w:t xml:space="preserve">oppia </w:t>
      </w:r>
      <w:r w:rsidR="008C5426" w:rsidRPr="00F77B00">
        <w:t xml:space="preserve">sacca </w:t>
      </w:r>
      <w:r w:rsidR="00C04E2E" w:rsidRPr="00F77B00">
        <w:t>di polietilene</w:t>
      </w:r>
      <w:r w:rsidR="00157FAA">
        <w:t xml:space="preserve"> posta</w:t>
      </w:r>
      <w:r w:rsidR="00C04E2E" w:rsidRPr="00F77B00">
        <w:t xml:space="preserve"> all’interno di </w:t>
      </w:r>
      <w:r w:rsidR="00157FAA">
        <w:t xml:space="preserve">un </w:t>
      </w:r>
      <w:r w:rsidR="00C04E2E" w:rsidRPr="00F77B00">
        <w:t>fust</w:t>
      </w:r>
      <w:r w:rsidR="00157FAA">
        <w:t>o</w:t>
      </w:r>
      <w:r w:rsidR="00C04E2E" w:rsidRPr="00F77B00">
        <w:t xml:space="preserve"> in fibra. Il periodo di </w:t>
      </w:r>
      <w:proofErr w:type="spellStart"/>
      <w:r w:rsidR="00C04E2E" w:rsidRPr="00F77B00">
        <w:t>retest</w:t>
      </w:r>
      <w:proofErr w:type="spellEnd"/>
      <w:r w:rsidR="00C04E2E" w:rsidRPr="00F77B00">
        <w:t xml:space="preserve"> è </w:t>
      </w:r>
      <w:r w:rsidR="00D52C30" w:rsidRPr="00F77B00">
        <w:t>stabilito</w:t>
      </w:r>
      <w:r w:rsidR="00C04E2E" w:rsidRPr="00F77B00">
        <w:t xml:space="preserve"> in 60 mesi</w:t>
      </w:r>
      <w:r w:rsidR="002D3229" w:rsidRPr="00F77B00">
        <w:t xml:space="preserve"> </w:t>
      </w:r>
      <w:r w:rsidR="003C00C1" w:rsidRPr="00F77B00">
        <w:t>quando</w:t>
      </w:r>
      <w:r w:rsidR="002D3229" w:rsidRPr="00F77B00">
        <w:t xml:space="preserve"> conservato a riparo dalla luce</w:t>
      </w:r>
      <w:r w:rsidR="00C04E2E" w:rsidRPr="00F77B00">
        <w:t>.</w:t>
      </w:r>
    </w:p>
    <w:p w:rsidR="00A41EA1" w:rsidRPr="00F77B00" w:rsidRDefault="00A41EA1" w:rsidP="00F77B00">
      <w:pPr>
        <w:spacing w:after="0" w:line="240" w:lineRule="auto"/>
        <w:jc w:val="both"/>
      </w:pPr>
    </w:p>
    <w:p w:rsidR="003C00C1" w:rsidRPr="00F77B00" w:rsidRDefault="003C00C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  <w:rPr>
          <w:b/>
        </w:rPr>
      </w:pPr>
      <w:r w:rsidRPr="00F77B00">
        <w:rPr>
          <w:b/>
        </w:rPr>
        <w:t>II.2 PRODOTTO FINITO</w:t>
      </w:r>
    </w:p>
    <w:p w:rsidR="00900C91" w:rsidRPr="000233FC" w:rsidRDefault="00900C91" w:rsidP="00F77B00">
      <w:pPr>
        <w:spacing w:after="0" w:line="240" w:lineRule="auto"/>
        <w:jc w:val="both"/>
        <w:rPr>
          <w:b/>
        </w:rPr>
      </w:pPr>
      <w:r w:rsidRPr="000233FC">
        <w:rPr>
          <w:b/>
        </w:rPr>
        <w:t>Descrizione e composizione</w:t>
      </w:r>
    </w:p>
    <w:p w:rsidR="00900C91" w:rsidRPr="00157FAA" w:rsidRDefault="00157FAA" w:rsidP="00157FAA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59"/>
        <w:jc w:val="both"/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B0541E" w:rsidRPr="00157FAA">
        <w:t xml:space="preserve"> è </w:t>
      </w:r>
      <w:r w:rsidR="00900C91" w:rsidRPr="00157FAA">
        <w:t xml:space="preserve">disponibile </w:t>
      </w:r>
      <w:r w:rsidRPr="00157FAA">
        <w:t>come</w:t>
      </w:r>
      <w:r w:rsidR="00900C91" w:rsidRPr="00157FAA">
        <w:t xml:space="preserve"> </w:t>
      </w:r>
      <w:r w:rsidR="005649FC" w:rsidRPr="00157FAA">
        <w:t xml:space="preserve">granulato per soluzione orale </w:t>
      </w:r>
      <w:r w:rsidRPr="00157FAA">
        <w:t xml:space="preserve">in bustine </w:t>
      </w:r>
      <w:r w:rsidR="00900C91" w:rsidRPr="00157FAA">
        <w:t>contenent</w:t>
      </w:r>
      <w:r w:rsidRPr="00157FAA">
        <w:t>i</w:t>
      </w:r>
      <w:r w:rsidR="00900C91" w:rsidRPr="00157FAA">
        <w:t xml:space="preserve"> </w:t>
      </w:r>
      <w:r w:rsidR="003C00C1" w:rsidRPr="00157FAA">
        <w:t>500</w:t>
      </w:r>
      <w:r w:rsidR="005F01C0" w:rsidRPr="00157FAA">
        <w:t xml:space="preserve"> </w:t>
      </w:r>
      <w:r w:rsidR="00DA01C1" w:rsidRPr="00157FAA">
        <w:t>mg di paracetamolo e 60</w:t>
      </w:r>
      <w:r w:rsidR="005F01C0" w:rsidRPr="00157FAA">
        <w:t xml:space="preserve"> </w:t>
      </w:r>
      <w:r w:rsidR="00DA01C1" w:rsidRPr="00157FAA">
        <w:t>mg di pseudoefedrina.</w:t>
      </w:r>
    </w:p>
    <w:p w:rsidR="00DA01C1" w:rsidRPr="00157FAA" w:rsidRDefault="00900C91" w:rsidP="00157FAA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59"/>
        <w:jc w:val="both"/>
      </w:pPr>
      <w:r w:rsidRPr="00157FAA">
        <w:t xml:space="preserve">Gli eccipienti sono </w:t>
      </w:r>
      <w:r w:rsidR="003C00C1" w:rsidRPr="00157FAA">
        <w:t>i seguenti</w:t>
      </w:r>
      <w:r w:rsidR="005F7971" w:rsidRPr="00157FAA">
        <w:t xml:space="preserve">: </w:t>
      </w:r>
      <w:r w:rsidR="003C00C1" w:rsidRPr="00157FAA">
        <w:t xml:space="preserve"> </w:t>
      </w:r>
      <w:r w:rsidR="00DA01C1" w:rsidRPr="00157FAA">
        <w:t xml:space="preserve">Saccarosio, acido citrico anidro, aroma </w:t>
      </w:r>
      <w:proofErr w:type="spellStart"/>
      <w:r w:rsidR="00DA01C1" w:rsidRPr="00157FAA">
        <w:t>tropical</w:t>
      </w:r>
      <w:proofErr w:type="spellEnd"/>
      <w:r w:rsidR="00DA01C1" w:rsidRPr="00157FAA">
        <w:t xml:space="preserve">, aroma pompelmo, sorbitolo, aspartame, </w:t>
      </w:r>
      <w:proofErr w:type="spellStart"/>
      <w:r w:rsidR="00DA01C1" w:rsidRPr="00157FAA">
        <w:t>sucralosio</w:t>
      </w:r>
      <w:proofErr w:type="spellEnd"/>
      <w:r w:rsidR="00DA01C1" w:rsidRPr="00157FAA">
        <w:t xml:space="preserve">, saccarina sodica, </w:t>
      </w:r>
      <w:proofErr w:type="spellStart"/>
      <w:r w:rsidR="00DA01C1" w:rsidRPr="00157FAA">
        <w:t>polisorbato</w:t>
      </w:r>
      <w:proofErr w:type="spellEnd"/>
      <w:r w:rsidR="00DA01C1" w:rsidRPr="00157FAA">
        <w:t xml:space="preserve"> 20, colorante rosso barbabietola, colorante riboflavina sodio fosfato.</w:t>
      </w:r>
    </w:p>
    <w:p w:rsidR="00D52C30" w:rsidRPr="00157FAA" w:rsidRDefault="00C04E2E" w:rsidP="00F77B00">
      <w:pPr>
        <w:spacing w:after="0" w:line="240" w:lineRule="auto"/>
        <w:ind w:right="13"/>
        <w:jc w:val="both"/>
      </w:pPr>
      <w:r w:rsidRPr="00157FAA">
        <w:t>Tutti gli eccipienti sono conformi alla relativa monografia di Farm</w:t>
      </w:r>
      <w:r w:rsidR="00DA01C1" w:rsidRPr="00157FAA">
        <w:t xml:space="preserve">acopea Europea, ad eccezione </w:t>
      </w:r>
      <w:r w:rsidR="00D52C30" w:rsidRPr="00157FAA">
        <w:t xml:space="preserve">dei coloranti </w:t>
      </w:r>
      <w:r w:rsidR="00B0541E" w:rsidRPr="00157FAA">
        <w:t>(</w:t>
      </w:r>
      <w:r w:rsidR="00D52C30" w:rsidRPr="00157FAA">
        <w:t>barbabietol</w:t>
      </w:r>
      <w:r w:rsidR="00B0541E" w:rsidRPr="00157FAA">
        <w:t>a, riboflavina) e degli aromi (</w:t>
      </w:r>
      <w:r w:rsidR="00D52C30" w:rsidRPr="00157FAA">
        <w:t xml:space="preserve">aroma </w:t>
      </w:r>
      <w:r w:rsidR="0060108F" w:rsidRPr="00157FAA">
        <w:t xml:space="preserve">pompelmo </w:t>
      </w:r>
      <w:r w:rsidR="00D52C30" w:rsidRPr="00157FAA">
        <w:t>e aroma tropicale) le cui specifiche sono state adeguatamente definite dal produttore.</w:t>
      </w:r>
    </w:p>
    <w:p w:rsidR="00900C91" w:rsidRPr="00F77B00" w:rsidRDefault="0036725E" w:rsidP="00157FAA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59"/>
        <w:jc w:val="both"/>
      </w:pPr>
      <w:r w:rsidRPr="00157FAA">
        <w:t>N</w:t>
      </w:r>
      <w:r w:rsidR="00C04E2E" w:rsidRPr="00157FAA">
        <w:t>essun eccipiente è ottenuto da organismi geneticamente modificati; non sono presenti eccipienti mai utilizzati nell’uomo.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  <w:rPr>
          <w:b/>
        </w:rPr>
      </w:pPr>
      <w:r w:rsidRPr="00F77B00">
        <w:rPr>
          <w:b/>
        </w:rPr>
        <w:t>Sviluppo farmaceutico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>Sono stati forniti dettagli dello sviluppo farmaceutico e questi sono stati ritenuti soddisfacenti.</w:t>
      </w:r>
    </w:p>
    <w:p w:rsidR="005649FC" w:rsidRPr="00F77B00" w:rsidRDefault="005649FC" w:rsidP="00F77B00">
      <w:pPr>
        <w:spacing w:after="0" w:line="240" w:lineRule="auto"/>
        <w:jc w:val="both"/>
      </w:pPr>
      <w:r w:rsidRPr="00F77B00">
        <w:t xml:space="preserve">Lo scopo era quello di ottenere un medicinale </w:t>
      </w:r>
      <w:proofErr w:type="spellStart"/>
      <w:r w:rsidRPr="00F77B00">
        <w:t>bioequivalente</w:t>
      </w:r>
      <w:proofErr w:type="spellEnd"/>
      <w:r w:rsidRPr="00F77B00">
        <w:t xml:space="preserve"> al medicinale di riferimento </w:t>
      </w:r>
      <w:proofErr w:type="spellStart"/>
      <w:r w:rsidRPr="00F77B00">
        <w:t>Traminic</w:t>
      </w:r>
      <w:proofErr w:type="spellEnd"/>
      <w:r w:rsidRPr="00F77B00">
        <w:t>.</w:t>
      </w:r>
    </w:p>
    <w:p w:rsidR="005649FC" w:rsidRPr="00F77B00" w:rsidRDefault="005649FC" w:rsidP="00F77B00">
      <w:pPr>
        <w:spacing w:after="0" w:line="240" w:lineRule="auto"/>
        <w:jc w:val="both"/>
      </w:pPr>
      <w:r w:rsidRPr="00F77B00">
        <w:t>Sono stati forniti dati comparativi relativi alle caratteristiche fisico-chimiche e al profilo di impurezze rispetto al medicinale di riferimento. I dati sono soddisfacenti.</w:t>
      </w:r>
    </w:p>
    <w:p w:rsidR="00157FAA" w:rsidRPr="00F77B00" w:rsidRDefault="00157FAA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  <w:rPr>
          <w:b/>
        </w:rPr>
      </w:pPr>
      <w:r w:rsidRPr="00F77B00">
        <w:rPr>
          <w:b/>
        </w:rPr>
        <w:t xml:space="preserve">Produzione 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>Sono stati forniti una descrizione del metodo di produzione e la relativa flow-chart.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  <w:rPr>
          <w:b/>
        </w:rPr>
      </w:pPr>
      <w:r w:rsidRPr="00F77B00">
        <w:rPr>
          <w:b/>
        </w:rPr>
        <w:t>Specifiche del prodotto finito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B06030" w:rsidRPr="00F77B00">
        <w:t xml:space="preserve">il </w:t>
      </w:r>
      <w:r w:rsidR="00BC321C" w:rsidRPr="00F77B00">
        <w:t>medicinale</w:t>
      </w:r>
      <w:r w:rsidRPr="00F77B00">
        <w:t>: questi dati dimostrano che i lotti prodotti sono in accordo alle specifiche proposte. Sono stati forniti, infine, certificati analitici per gli standard di riferimento utilizzati.</w:t>
      </w:r>
    </w:p>
    <w:p w:rsidR="00D33431" w:rsidRPr="00F77B00" w:rsidRDefault="00D33431" w:rsidP="00F77B00">
      <w:pPr>
        <w:spacing w:after="0" w:line="240" w:lineRule="auto"/>
        <w:jc w:val="both"/>
        <w:rPr>
          <w:b/>
        </w:rPr>
      </w:pPr>
    </w:p>
    <w:p w:rsidR="00900C91" w:rsidRPr="000233FC" w:rsidRDefault="00975267" w:rsidP="00F77B00">
      <w:pPr>
        <w:spacing w:after="0" w:line="240" w:lineRule="auto"/>
        <w:jc w:val="both"/>
        <w:rPr>
          <w:b/>
        </w:rPr>
      </w:pPr>
      <w:r w:rsidRPr="000233FC">
        <w:rPr>
          <w:b/>
        </w:rPr>
        <w:t>Contenitore</w:t>
      </w:r>
    </w:p>
    <w:p w:rsidR="0090175D" w:rsidRPr="000233FC" w:rsidRDefault="000233FC" w:rsidP="00F77B00">
      <w:pPr>
        <w:spacing w:after="0" w:line="240" w:lineRule="auto"/>
        <w:jc w:val="both"/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90175D" w:rsidRPr="000233FC">
        <w:t xml:space="preserve"> è </w:t>
      </w:r>
      <w:r w:rsidR="00975267" w:rsidRPr="000233FC">
        <w:t xml:space="preserve">confezionato in </w:t>
      </w:r>
      <w:r w:rsidR="0090175D" w:rsidRPr="000233FC">
        <w:t>bustin</w:t>
      </w:r>
      <w:r w:rsidR="003C00C1" w:rsidRPr="000233FC">
        <w:t>e</w:t>
      </w:r>
      <w:r w:rsidR="0090175D" w:rsidRPr="000233FC">
        <w:t xml:space="preserve"> multistrato </w:t>
      </w:r>
      <w:r>
        <w:t xml:space="preserve">di </w:t>
      </w:r>
      <w:r w:rsidR="00876700" w:rsidRPr="000233FC">
        <w:t>PE/</w:t>
      </w:r>
      <w:r w:rsidR="0090175D" w:rsidRPr="000233FC">
        <w:rPr>
          <w:rFonts w:cs="Tahoma"/>
        </w:rPr>
        <w:t>Al/PE/carta</w:t>
      </w:r>
      <w:r w:rsidR="005C2BF2" w:rsidRPr="000233FC">
        <w:rPr>
          <w:rFonts w:cs="Tahoma"/>
        </w:rPr>
        <w:t>.</w:t>
      </w:r>
      <w:r w:rsidR="0090175D" w:rsidRPr="000233FC">
        <w:t xml:space="preserve"> </w:t>
      </w:r>
    </w:p>
    <w:p w:rsidR="00900C91" w:rsidRPr="000233FC" w:rsidRDefault="00975267" w:rsidP="00F77B00">
      <w:pPr>
        <w:spacing w:after="0" w:line="240" w:lineRule="auto"/>
        <w:jc w:val="both"/>
      </w:pPr>
      <w:r w:rsidRPr="000233FC">
        <w:t>Sono state fornite specifiche e certificati analitici per tutti i componenti del confezionamento primario, che è adeguato per il medicinale.</w:t>
      </w:r>
    </w:p>
    <w:p w:rsidR="00900C91" w:rsidRPr="000233FC" w:rsidRDefault="00900C91" w:rsidP="00F77B00">
      <w:pPr>
        <w:spacing w:after="0" w:line="240" w:lineRule="auto"/>
        <w:jc w:val="both"/>
      </w:pPr>
    </w:p>
    <w:p w:rsidR="00900C91" w:rsidRPr="000233FC" w:rsidRDefault="00975267" w:rsidP="00F77B00">
      <w:pPr>
        <w:spacing w:after="0" w:line="240" w:lineRule="auto"/>
        <w:jc w:val="both"/>
        <w:rPr>
          <w:b/>
        </w:rPr>
      </w:pPr>
      <w:r w:rsidRPr="000233FC">
        <w:rPr>
          <w:b/>
        </w:rPr>
        <w:t>Stabilità</w:t>
      </w:r>
    </w:p>
    <w:p w:rsidR="00D52C30" w:rsidRPr="00F77B00" w:rsidRDefault="00975267" w:rsidP="00F77B00">
      <w:pPr>
        <w:spacing w:after="0" w:line="240" w:lineRule="auto"/>
        <w:jc w:val="both"/>
      </w:pPr>
      <w:r w:rsidRPr="000233FC">
        <w:t>Studi di stabilità sul prodotto finito sono stati condotti in accordo alle correnti linee guida e i risultati sono</w:t>
      </w:r>
      <w:r w:rsidRPr="00F77B00">
        <w:t xml:space="preserve"> entro i limiti delle specifiche autorizzate. </w:t>
      </w:r>
    </w:p>
    <w:p w:rsidR="00900C91" w:rsidRPr="00F77B00" w:rsidRDefault="00975267" w:rsidP="00F77B00">
      <w:pPr>
        <w:spacing w:after="0" w:line="240" w:lineRule="auto"/>
        <w:jc w:val="both"/>
      </w:pPr>
      <w:r w:rsidRPr="00F77B00">
        <w:t xml:space="preserve">Sulla base di questi risultati, </w:t>
      </w:r>
      <w:r w:rsidR="0084011E" w:rsidRPr="00F77B00">
        <w:t>è</w:t>
      </w:r>
      <w:r w:rsidR="006B6859" w:rsidRPr="00F77B00">
        <w:t xml:space="preserve"> stat</w:t>
      </w:r>
      <w:r w:rsidR="0084011E" w:rsidRPr="00F77B00">
        <w:t>o</w:t>
      </w:r>
      <w:r w:rsidR="006B6859" w:rsidRPr="00F77B00">
        <w:t xml:space="preserve"> </w:t>
      </w:r>
      <w:r w:rsidR="0060108F" w:rsidRPr="00F77B00">
        <w:t xml:space="preserve">autorizzato </w:t>
      </w:r>
      <w:r w:rsidR="007655E5" w:rsidRPr="00F77B00">
        <w:t>un</w:t>
      </w:r>
      <w:r w:rsidR="006B6859" w:rsidRPr="00F77B00">
        <w:t xml:space="preserve"> </w:t>
      </w:r>
      <w:r w:rsidRPr="00F77B00">
        <w:t xml:space="preserve">periodo di validità di </w:t>
      </w:r>
      <w:r w:rsidR="00BC321C" w:rsidRPr="00F77B00">
        <w:t>3 anni</w:t>
      </w:r>
      <w:r w:rsidR="0084011E" w:rsidRPr="00F77B00">
        <w:t xml:space="preserve">. </w:t>
      </w:r>
      <w:r w:rsidR="0036725E" w:rsidRPr="00F77B00">
        <w:t xml:space="preserve"> </w:t>
      </w:r>
    </w:p>
    <w:p w:rsidR="005C3F14" w:rsidRPr="00F77B00" w:rsidRDefault="005C3F14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  <w:rPr>
          <w:b/>
        </w:rPr>
      </w:pPr>
      <w:r w:rsidRPr="00F77B00">
        <w:rPr>
          <w:b/>
        </w:rPr>
        <w:t>II.3 Discussione sugli aspetti di qualità</w:t>
      </w:r>
    </w:p>
    <w:p w:rsidR="000233FC" w:rsidRDefault="00900C91" w:rsidP="00F77B00">
      <w:pPr>
        <w:spacing w:after="0" w:line="240" w:lineRule="auto"/>
        <w:jc w:val="both"/>
      </w:pPr>
      <w:r w:rsidRPr="00F77B00">
        <w:t xml:space="preserve">Tutte le criticità evidenziate nel corso della valutazione sono state risolte e la qualità di </w:t>
      </w:r>
      <w:r w:rsidR="00BF7912" w:rsidRPr="00F77B00">
        <w:t>V</w:t>
      </w:r>
      <w:r w:rsidR="000233FC" w:rsidRPr="000233F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BC321C" w:rsidRPr="00F77B00">
        <w:t xml:space="preserve"> </w:t>
      </w:r>
      <w:r w:rsidRPr="00F77B00">
        <w:t xml:space="preserve">è considerata adeguata. 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 xml:space="preserve">Non ci sono obiezioni per l’approvazione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F77B00">
        <w:t xml:space="preserve"> </w:t>
      </w:r>
      <w:r w:rsidRPr="00F77B00">
        <w:t>dal punto di vista chimico-farmaceutico.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NON CLINICI</w:t>
      </w:r>
    </w:p>
    <w:p w:rsidR="00D33431" w:rsidRPr="00F77B00" w:rsidRDefault="00900C91" w:rsidP="00F77B00">
      <w:pPr>
        <w:spacing w:after="0" w:line="240" w:lineRule="auto"/>
        <w:jc w:val="both"/>
      </w:pPr>
      <w:r w:rsidRPr="00F77B00">
        <w:t xml:space="preserve">Non sono stati condotti specifici studi non clinici, in quanto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Pr="00F77B00">
        <w:t xml:space="preserve"> contiene due principi attivi noti: questo approccio è accettabile poiché il medicinale di riferimento </w:t>
      </w:r>
      <w:proofErr w:type="spellStart"/>
      <w:r w:rsidR="00D52C30" w:rsidRPr="00F77B00">
        <w:t>Triaminic</w:t>
      </w:r>
      <w:proofErr w:type="spellEnd"/>
      <w:r w:rsidR="00D52C30" w:rsidRPr="00F77B00">
        <w:t xml:space="preserve"> </w:t>
      </w:r>
      <w:r w:rsidRPr="00F77B00">
        <w:t xml:space="preserve">è autorizzato </w:t>
      </w:r>
      <w:r w:rsidR="00D33431" w:rsidRPr="00F77B00">
        <w:t xml:space="preserve">in Italia </w:t>
      </w:r>
      <w:r w:rsidRPr="00F77B00">
        <w:t>da oltre 10 anni</w:t>
      </w:r>
      <w:r w:rsidR="00D33431" w:rsidRPr="00F77B00">
        <w:t>.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>Non ci sono obiezioni per l’approvazione dal punto di vista non clinico.</w:t>
      </w: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77B00">
        <w:rPr>
          <w:b/>
        </w:rPr>
        <w:t>ASPETTI CLINICI</w:t>
      </w:r>
    </w:p>
    <w:p w:rsidR="00D33431" w:rsidRPr="00F77B00" w:rsidRDefault="000233FC" w:rsidP="00F77B00">
      <w:pPr>
        <w:autoSpaceDE w:val="0"/>
        <w:autoSpaceDN w:val="0"/>
        <w:adjustRightInd w:val="0"/>
        <w:spacing w:after="0" w:line="240" w:lineRule="auto"/>
        <w:jc w:val="both"/>
        <w:rPr>
          <w:bCs/>
        </w:rPr>
      </w:pPr>
      <w:proofErr w:type="spellStart"/>
      <w:r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F77B00">
        <w:t xml:space="preserve"> </w:t>
      </w:r>
      <w:r w:rsidR="00900C91" w:rsidRPr="00F77B00">
        <w:t>è utilizzato nel trattamento</w:t>
      </w:r>
      <w:r w:rsidR="0090175D" w:rsidRPr="00F77B00">
        <w:t xml:space="preserve"> dei sintomi del raffreddore e della febbre in adulti e </w:t>
      </w:r>
      <w:r w:rsidR="007655E5" w:rsidRPr="00F77B00">
        <w:t>adolescenti (età compresa tra 12 e 18 anni)</w:t>
      </w:r>
      <w:r w:rsidR="00900C91" w:rsidRPr="00F77B00">
        <w:t>.</w:t>
      </w:r>
    </w:p>
    <w:p w:rsidR="00900C91" w:rsidRPr="00F77B00" w:rsidRDefault="00900C91" w:rsidP="00F77B00">
      <w:pPr>
        <w:spacing w:after="0" w:line="240" w:lineRule="auto"/>
        <w:ind w:right="6"/>
        <w:jc w:val="both"/>
      </w:pPr>
    </w:p>
    <w:p w:rsidR="00900C91" w:rsidRPr="00F77B00" w:rsidRDefault="00900C91" w:rsidP="00F77B00">
      <w:pPr>
        <w:spacing w:after="0" w:line="240" w:lineRule="auto"/>
        <w:ind w:right="6"/>
        <w:jc w:val="both"/>
        <w:rPr>
          <w:b/>
        </w:rPr>
      </w:pPr>
      <w:r w:rsidRPr="00F77B00">
        <w:rPr>
          <w:b/>
        </w:rPr>
        <w:t>Posologia e modalità di somministrazione</w:t>
      </w:r>
    </w:p>
    <w:p w:rsidR="00900C91" w:rsidRPr="00F77B00" w:rsidRDefault="00900C91" w:rsidP="00F77B0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77B00">
        <w:t>Le informazioni sulla posologia e sulle modalità di somministrazione sono riportate nel Riassunto delle Caratteristiche del Prodotto pubblicato sul sito dell’Agenzia Italiana del Farmaco - AIFA /</w:t>
      </w:r>
      <w:r w:rsidRPr="00F77B00">
        <w:rPr>
          <w:rFonts w:eastAsia="Calibri" w:cs="Calibri"/>
          <w:lang w:eastAsia="it-IT"/>
        </w:rPr>
        <w:t>(</w:t>
      </w:r>
      <w:hyperlink r:id="rId10" w:history="1">
        <w:r w:rsidRPr="00F77B0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77B00">
        <w:rPr>
          <w:rFonts w:eastAsia="Calibri" w:cs="Calibri"/>
          <w:lang w:eastAsia="it-IT"/>
        </w:rPr>
        <w:t>).</w:t>
      </w:r>
    </w:p>
    <w:p w:rsidR="00900C91" w:rsidRPr="00F77B00" w:rsidRDefault="00900C91" w:rsidP="00F77B0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F77B00" w:rsidRDefault="00900C91" w:rsidP="00F77B00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F77B00">
        <w:rPr>
          <w:rFonts w:eastAsia="Calibri" w:cs="Calibri"/>
          <w:b/>
          <w:lang w:eastAsia="it-IT"/>
        </w:rPr>
        <w:t>Tossicologia</w:t>
      </w:r>
    </w:p>
    <w:p w:rsidR="00900C91" w:rsidRPr="00F77B00" w:rsidRDefault="0090175D" w:rsidP="00F77B0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77B00">
        <w:rPr>
          <w:rFonts w:eastAsia="Calibri" w:cs="Calibri"/>
          <w:lang w:eastAsia="it-IT"/>
        </w:rPr>
        <w:t xml:space="preserve">La tossicologia del paracetamolo e della pseudoefedrina </w:t>
      </w:r>
      <w:r w:rsidR="00900C91" w:rsidRPr="00F77B00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F77B00" w:rsidRDefault="00900C91" w:rsidP="00F77B00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F77B00" w:rsidRDefault="00900C91" w:rsidP="00F77B00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F77B00">
        <w:rPr>
          <w:rFonts w:eastAsia="Times New Roman" w:cs="Times New Roman"/>
          <w:b/>
        </w:rPr>
        <w:t>Farmacologia clinica</w:t>
      </w:r>
    </w:p>
    <w:p w:rsidR="007655E5" w:rsidRPr="00F77B00" w:rsidRDefault="006523A0" w:rsidP="00F77B00">
      <w:pPr>
        <w:spacing w:after="0" w:line="240" w:lineRule="auto"/>
        <w:jc w:val="both"/>
        <w:rPr>
          <w:rFonts w:cs="Arial"/>
        </w:rPr>
      </w:pPr>
      <w:r w:rsidRPr="00F77B00">
        <w:rPr>
          <w:rFonts w:eastAsia="Calibri" w:cs="Calibri"/>
          <w:lang w:eastAsia="it-IT"/>
        </w:rPr>
        <w:t>La farmacologia clinica del</w:t>
      </w:r>
      <w:r w:rsidR="00900C91" w:rsidRPr="00F77B00">
        <w:rPr>
          <w:rFonts w:eastAsia="Calibri" w:cs="Calibri"/>
          <w:lang w:eastAsia="it-IT"/>
        </w:rPr>
        <w:t xml:space="preserve"> </w:t>
      </w:r>
      <w:r w:rsidR="0090175D" w:rsidRPr="00F77B00">
        <w:rPr>
          <w:rFonts w:eastAsia="Calibri" w:cs="Calibri"/>
          <w:lang w:eastAsia="it-IT"/>
        </w:rPr>
        <w:t xml:space="preserve">paracetamolo e della pseudoefedrina </w:t>
      </w:r>
      <w:r w:rsidR="00900C91" w:rsidRPr="00F77B00">
        <w:rPr>
          <w:rFonts w:eastAsia="Calibri" w:cs="Calibri"/>
          <w:lang w:eastAsia="it-IT"/>
        </w:rPr>
        <w:t>è ben conosciuta.</w:t>
      </w:r>
      <w:r w:rsidR="0090175D" w:rsidRPr="00F77B00">
        <w:rPr>
          <w:rFonts w:eastAsia="Calibri" w:cs="Calibri"/>
          <w:lang w:eastAsia="it-IT"/>
        </w:rPr>
        <w:t xml:space="preserve"> N</w:t>
      </w:r>
      <w:r w:rsidR="00900C91" w:rsidRPr="00F77B00">
        <w:t xml:space="preserve">on sono stati condotti nuovi studi clinici di farmacodinamica e farmacocinetica, in quanto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ED4604" w:rsidRPr="00F77B00">
        <w:t xml:space="preserve"> </w:t>
      </w:r>
      <w:r w:rsidR="00900C91" w:rsidRPr="00F77B00">
        <w:t xml:space="preserve">contiene due principi attivi noti e presenti </w:t>
      </w:r>
      <w:r w:rsidR="00072257" w:rsidRPr="00F77B00">
        <w:t>nel</w:t>
      </w:r>
      <w:r w:rsidR="00900C91" w:rsidRPr="00F77B00">
        <w:t xml:space="preserve"> medicinal</w:t>
      </w:r>
      <w:r w:rsidR="00072257" w:rsidRPr="00F77B00">
        <w:t>e</w:t>
      </w:r>
      <w:r w:rsidR="00900C91" w:rsidRPr="00F77B00">
        <w:t xml:space="preserve"> </w:t>
      </w:r>
      <w:proofErr w:type="spellStart"/>
      <w:r w:rsidR="000233FC" w:rsidRPr="00F77B00">
        <w:t>Triaminic</w:t>
      </w:r>
      <w:proofErr w:type="spellEnd"/>
      <w:r w:rsidR="00900C91" w:rsidRPr="00F77B00">
        <w:t xml:space="preserve"> autorizzat</w:t>
      </w:r>
      <w:r w:rsidR="00072257" w:rsidRPr="00F77B00">
        <w:t>o</w:t>
      </w:r>
      <w:r w:rsidR="00D33431" w:rsidRPr="00F77B00">
        <w:t xml:space="preserve"> in Italia </w:t>
      </w:r>
      <w:r w:rsidR="00900C91" w:rsidRPr="00F77B00">
        <w:t>da più di 10 anni.</w:t>
      </w:r>
      <w:r w:rsidR="007655E5" w:rsidRPr="00F77B00">
        <w:t xml:space="preserve"> </w:t>
      </w:r>
    </w:p>
    <w:p w:rsidR="00900C91" w:rsidRPr="00F77B00" w:rsidRDefault="00900C91" w:rsidP="00F77B00">
      <w:pPr>
        <w:spacing w:after="0" w:line="240" w:lineRule="auto"/>
        <w:jc w:val="both"/>
        <w:rPr>
          <w:rFonts w:cs="Arial"/>
        </w:rPr>
      </w:pPr>
    </w:p>
    <w:p w:rsidR="00900C91" w:rsidRPr="00F77B00" w:rsidRDefault="00900C91" w:rsidP="00F77B00">
      <w:pPr>
        <w:spacing w:after="0" w:line="240" w:lineRule="auto"/>
        <w:jc w:val="both"/>
        <w:rPr>
          <w:rFonts w:cs="Arial"/>
          <w:b/>
        </w:rPr>
      </w:pPr>
      <w:r w:rsidRPr="00F77B00">
        <w:rPr>
          <w:rFonts w:cs="Arial"/>
          <w:b/>
        </w:rPr>
        <w:lastRenderedPageBreak/>
        <w:t>Efficacia e sicurezza clinica</w:t>
      </w:r>
    </w:p>
    <w:p w:rsidR="00900C91" w:rsidRPr="00F77B00" w:rsidRDefault="00900C91" w:rsidP="00F77B00">
      <w:pPr>
        <w:spacing w:after="0" w:line="240" w:lineRule="auto"/>
        <w:jc w:val="both"/>
        <w:rPr>
          <w:rFonts w:cs="Arial"/>
        </w:rPr>
      </w:pPr>
      <w:r w:rsidRPr="00F77B00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0233FC" w:rsidRPr="00F77B00">
        <w:rPr>
          <w:rFonts w:cs="Arial"/>
        </w:rPr>
        <w:t xml:space="preserve"> </w:t>
      </w:r>
      <w:r w:rsidRPr="00F77B00">
        <w:rPr>
          <w:rFonts w:cs="Arial"/>
        </w:rPr>
        <w:t xml:space="preserve">sono ben conosciuti. </w:t>
      </w:r>
      <w:r w:rsidR="000233FC" w:rsidRPr="00F77B00">
        <w:t xml:space="preserve">Poiché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0233FC" w:rsidRPr="00F77B00">
        <w:t xml:space="preserve"> </w:t>
      </w:r>
      <w:r w:rsidR="000233FC" w:rsidRPr="00F77B00">
        <w:rPr>
          <w:rFonts w:cs="Arial"/>
        </w:rPr>
        <w:t>è somministrato come soluzione orale è stata concessa l’esenzione dalla conduzione di studi clinici di confronto con il medicinale di riferimento.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  <w:rPr>
          <w:b/>
        </w:rPr>
      </w:pPr>
      <w:r w:rsidRPr="00F77B00">
        <w:rPr>
          <w:b/>
        </w:rPr>
        <w:t>Piano di Valutazione del Rischio (</w:t>
      </w:r>
      <w:proofErr w:type="spellStart"/>
      <w:r w:rsidRPr="00F77B00">
        <w:rPr>
          <w:b/>
          <w:i/>
        </w:rPr>
        <w:t>Risk</w:t>
      </w:r>
      <w:proofErr w:type="spellEnd"/>
      <w:r w:rsidRPr="00F77B00">
        <w:rPr>
          <w:b/>
          <w:i/>
        </w:rPr>
        <w:t xml:space="preserve"> Management </w:t>
      </w:r>
      <w:proofErr w:type="spellStart"/>
      <w:r w:rsidRPr="00F77B00">
        <w:rPr>
          <w:b/>
          <w:i/>
        </w:rPr>
        <w:t>Plan</w:t>
      </w:r>
      <w:proofErr w:type="spellEnd"/>
      <w:r w:rsidRPr="00F77B00">
        <w:rPr>
          <w:b/>
        </w:rPr>
        <w:t xml:space="preserve"> - RMP)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 xml:space="preserve">E’ stato presentato un RMP in accordo a quanto previsto dalla Direttiva 2001/83/EU </w:t>
      </w:r>
      <w:proofErr w:type="spellStart"/>
      <w:r w:rsidRPr="00F77B00">
        <w:t>s.m.i.</w:t>
      </w:r>
      <w:proofErr w:type="spellEnd"/>
      <w:r w:rsidRPr="00F77B00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Pr="00F77B00">
        <w:t>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>Il riassunto delle problematiche di sicurezza sono riportate nella tabella seguente.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tbl>
      <w:tblPr>
        <w:tblW w:w="46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693"/>
        <w:gridCol w:w="5601"/>
      </w:tblGrid>
      <w:tr w:rsidR="007743AE" w:rsidRPr="00F77B00" w:rsidTr="0036725E">
        <w:trPr>
          <w:jc w:val="center"/>
        </w:trPr>
        <w:tc>
          <w:tcPr>
            <w:tcW w:w="1987" w:type="pct"/>
            <w:shd w:val="clear" w:color="auto" w:fill="auto"/>
          </w:tcPr>
          <w:p w:rsidR="007743AE" w:rsidRPr="000233FC" w:rsidRDefault="007655E5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013" w:type="pct"/>
            <w:shd w:val="clear" w:color="auto" w:fill="auto"/>
          </w:tcPr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con insufficienza epatica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con insufficienza renale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 w:cs="Arial"/>
                <w:sz w:val="20"/>
                <w:szCs w:val="22"/>
                <w:lang w:val="it-IT"/>
              </w:rPr>
              <w:t>Uso in pazienti affetti da alcolismo cronico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Rischio di danno epatico, soprattutto per sovradosaggio, trattamento prolungato, per somministrazione concomitante di sostanze e farmaci epatotossici (ad esempio, antiepilettici, rifampicina, alcool)</w:t>
            </w:r>
          </w:p>
          <w:p w:rsidR="007743AE" w:rsidRPr="000233FC" w:rsidRDefault="00B06030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Gravi reazioni cutanee, </w:t>
            </w:r>
            <w:r w:rsidR="007743AE"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sindrome di </w:t>
            </w:r>
            <w:proofErr w:type="spellStart"/>
            <w:r w:rsidR="007743AE"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Stevens-Johnson</w:t>
            </w:r>
            <w:proofErr w:type="spellEnd"/>
            <w:r w:rsidR="007743AE"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(SSJ), </w:t>
            </w:r>
            <w:proofErr w:type="spellStart"/>
            <w:r w:rsidR="007743AE"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necrolisi</w:t>
            </w:r>
            <w:proofErr w:type="spellEnd"/>
            <w:r w:rsidR="007743AE"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 epidermica tossica (NET), pustolosi esantematica acuta generalizzata)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Ipersensibilità ai principi attivi (broncospasmo, anafilassi)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pazienti affetti da patologie cardiovascolari (angina, ipertensione, aritmie)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Grave crisi ipertensiva per somministrazione concomitante di inibitori delle MAO,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diidroergotamina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,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linezolid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,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midodrina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, arancia amara (melangolo)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Uso in gravidanza e allattamento</w:t>
            </w:r>
          </w:p>
        </w:tc>
      </w:tr>
      <w:tr w:rsidR="007743AE" w:rsidRPr="00F77B00" w:rsidTr="0036725E">
        <w:trPr>
          <w:trHeight w:val="115"/>
          <w:jc w:val="center"/>
        </w:trPr>
        <w:tc>
          <w:tcPr>
            <w:tcW w:w="1987" w:type="pct"/>
            <w:shd w:val="clear" w:color="auto" w:fill="auto"/>
          </w:tcPr>
          <w:p w:rsidR="007743AE" w:rsidRPr="000233FC" w:rsidRDefault="007655E5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potenziali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</w:p>
        </w:tc>
        <w:tc>
          <w:tcPr>
            <w:tcW w:w="3013" w:type="pct"/>
            <w:shd w:val="clear" w:color="auto" w:fill="auto"/>
          </w:tcPr>
          <w:p w:rsidR="007743AE" w:rsidRPr="000233FC" w:rsidRDefault="00505A08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>U</w:t>
            </w:r>
            <w:r w:rsidR="007743AE" w:rsidRPr="000233FC">
              <w:rPr>
                <w:rFonts w:asciiTheme="minorHAnsi" w:hAnsiTheme="minorHAnsi"/>
                <w:sz w:val="20"/>
                <w:szCs w:val="22"/>
                <w:lang w:val="it-IT"/>
              </w:rPr>
              <w:t>so in pazienti affetti da insufficienza della glucosio 6—fosfato deidrogenasi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Rischio di sanguinamento per somministrazione concomitante di anticoagulanti (ad esempio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>Warfarin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ed altri antagonisti della vitamina K)</w:t>
            </w:r>
          </w:p>
          <w:p w:rsidR="007743AE" w:rsidRPr="000233FC" w:rsidRDefault="00EA52DF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>U</w:t>
            </w:r>
            <w:r w:rsidR="007743AE"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so </w:t>
            </w:r>
            <w:proofErr w:type="spellStart"/>
            <w:r w:rsidR="007743AE" w:rsidRPr="000233FC">
              <w:rPr>
                <w:rFonts w:asciiTheme="minorHAnsi" w:hAnsiTheme="minorHAnsi"/>
                <w:sz w:val="20"/>
                <w:szCs w:val="22"/>
                <w:lang w:val="it-IT"/>
              </w:rPr>
              <w:t>off-label</w:t>
            </w:r>
            <w:proofErr w:type="spellEnd"/>
            <w:r w:rsidR="007743AE"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(uso in soggetti di età inferiore a 12 anni)</w:t>
            </w:r>
          </w:p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>Diminuzione dell’effetto anti</w:t>
            </w:r>
            <w:bookmarkStart w:id="1" w:name="_GoBack"/>
            <w:bookmarkEnd w:id="1"/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pertensivo di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>guanetidina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val="it-IT"/>
              </w:rPr>
              <w:t xml:space="preserve"> quando somministrata contemporaneamente</w:t>
            </w:r>
          </w:p>
        </w:tc>
      </w:tr>
      <w:tr w:rsidR="007743AE" w:rsidRPr="00F77B00" w:rsidTr="0036725E">
        <w:trPr>
          <w:jc w:val="center"/>
        </w:trPr>
        <w:tc>
          <w:tcPr>
            <w:tcW w:w="1987" w:type="pct"/>
            <w:shd w:val="clear" w:color="auto" w:fill="auto"/>
          </w:tcPr>
          <w:p w:rsidR="007743AE" w:rsidRPr="000233FC" w:rsidRDefault="007655E5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0233FC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013" w:type="pct"/>
            <w:shd w:val="clear" w:color="auto" w:fill="auto"/>
          </w:tcPr>
          <w:p w:rsidR="007743AE" w:rsidRPr="000233FC" w:rsidRDefault="007743AE" w:rsidP="00F77B00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0233FC">
              <w:rPr>
                <w:rFonts w:asciiTheme="minorHAnsi" w:hAnsiTheme="minorHAnsi"/>
                <w:sz w:val="20"/>
                <w:szCs w:val="22"/>
                <w:lang w:val="it-IT" w:eastAsia="en-GB"/>
              </w:rPr>
              <w:t xml:space="preserve">Non applicabile </w:t>
            </w:r>
          </w:p>
        </w:tc>
      </w:tr>
    </w:tbl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  <w:rPr>
          <w:lang w:val="en-US"/>
        </w:rPr>
      </w:pP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 xml:space="preserve">Azioni </w:t>
      </w:r>
      <w:r w:rsidR="00F462EC" w:rsidRPr="00F77B00">
        <w:t xml:space="preserve">routinarie </w:t>
      </w:r>
      <w:r w:rsidRPr="00F77B00">
        <w:t>di farmacovigilanza e di minimizzazione del rischio sono proposte per tutte le problematiche di sicurezza.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>Oltre le misure previste nel Riassunto delle caratteristiche del prodotto non sono previste attività addizionali di minimizzazione del rischio</w:t>
      </w:r>
      <w:r w:rsidR="00B06030" w:rsidRPr="00F77B00">
        <w:t>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  <w:rPr>
          <w:b/>
        </w:rPr>
      </w:pPr>
      <w:r w:rsidRPr="00F77B00">
        <w:rPr>
          <w:b/>
        </w:rPr>
        <w:t>Conclusioni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 xml:space="preserve">Per la richiesta di AIC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D52C30" w:rsidRPr="00F77B00">
        <w:t xml:space="preserve"> </w:t>
      </w:r>
      <w:r w:rsidRPr="00F77B00">
        <w:t>sono state presentate sufficienti informazioni cliniche.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 xml:space="preserve">Il rapporto beneficio/rischio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="000A4CC5" w:rsidRPr="00F77B00">
        <w:t xml:space="preserve"> </w:t>
      </w:r>
      <w:r w:rsidRPr="00F77B00">
        <w:t>è considerato favorevole dal punto di vista clinico.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77B00">
        <w:rPr>
          <w:b/>
        </w:rPr>
        <w:t>CONSULTAZIONE SUL FOGLIO ILLUSTRATIVO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  <w:r w:rsidRPr="00F77B00">
        <w:t xml:space="preserve">Il foglio illustrativo è stato sottoposto al test di leggibilità in accordo ai requisiti dell’art. 59(3) e 61(1) della direttiva 2001/83/EU </w:t>
      </w:r>
      <w:proofErr w:type="spellStart"/>
      <w:r w:rsidRPr="00F77B00">
        <w:t>s.m.i.</w:t>
      </w:r>
      <w:proofErr w:type="spellEnd"/>
      <w:r w:rsidRPr="00F77B00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900C91" w:rsidRPr="00F77B00" w:rsidRDefault="00900C91" w:rsidP="00F77B00">
      <w:pPr>
        <w:pStyle w:val="Paragrafoelenco"/>
        <w:spacing w:after="0" w:line="240" w:lineRule="auto"/>
        <w:ind w:left="0"/>
        <w:jc w:val="both"/>
      </w:pPr>
    </w:p>
    <w:p w:rsidR="00900C91" w:rsidRPr="00F77B00" w:rsidRDefault="00900C91" w:rsidP="00F77B00">
      <w:pPr>
        <w:spacing w:after="0" w:line="240" w:lineRule="auto"/>
        <w:jc w:val="both"/>
      </w:pPr>
    </w:p>
    <w:p w:rsidR="00900C91" w:rsidRPr="00F77B00" w:rsidRDefault="00900C91" w:rsidP="00F77B00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F77B00">
        <w:rPr>
          <w:b/>
        </w:rPr>
        <w:t>CONCLUSIONI, VALUTAZIONE DEL RAPPORTO BENEFICIO/RISCHIO E RACCOMANDAZIONI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 xml:space="preserve">La qualità di </w:t>
      </w:r>
      <w:proofErr w:type="spellStart"/>
      <w:r w:rsidR="000233FC" w:rsidRPr="00157FAA">
        <w:rPr>
          <w:rFonts w:eastAsia="Calibri" w:cs="Calibri"/>
          <w:color w:val="000000"/>
          <w:lang w:eastAsia="it-IT"/>
        </w:rPr>
        <w:t>Vivinduo</w:t>
      </w:r>
      <w:proofErr w:type="spellEnd"/>
      <w:r w:rsidR="000233FC" w:rsidRPr="00157FAA">
        <w:rPr>
          <w:rFonts w:eastAsia="Calibri" w:cs="Calibri"/>
          <w:color w:val="000000"/>
          <w:lang w:eastAsia="it-IT"/>
        </w:rPr>
        <w:t xml:space="preserve"> febbre e congestione nasale</w:t>
      </w:r>
      <w:r w:rsidRPr="00F77B00">
        <w:t xml:space="preserve"> è accettabile e non sono state rilevate criticità da un punto di vista non clinico e clinico.</w:t>
      </w:r>
    </w:p>
    <w:p w:rsidR="00900C91" w:rsidRPr="00F77B00" w:rsidRDefault="00900C91" w:rsidP="00F77B00">
      <w:pPr>
        <w:spacing w:after="0" w:line="240" w:lineRule="auto"/>
        <w:jc w:val="both"/>
      </w:pPr>
      <w:r w:rsidRPr="00F77B00">
        <w:t>Il rapporto beneficio/rischio è considerato positivo.</w:t>
      </w:r>
    </w:p>
    <w:p w:rsidR="009A260F" w:rsidRPr="00F77B00" w:rsidRDefault="00900C91" w:rsidP="00F77B00">
      <w:pPr>
        <w:spacing w:after="0" w:line="240" w:lineRule="auto"/>
        <w:jc w:val="both"/>
      </w:pPr>
      <w:r w:rsidRPr="00F77B00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F77B00">
        <w:rPr>
          <w:rFonts w:eastAsia="Calibri" w:cs="Calibri"/>
          <w:lang w:eastAsia="it-IT"/>
        </w:rPr>
        <w:t>(</w:t>
      </w:r>
      <w:hyperlink r:id="rId11" w:history="1">
        <w:r w:rsidRPr="00F77B00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F77B00">
        <w:rPr>
          <w:rFonts w:eastAsia="Calibri" w:cs="Calibri"/>
          <w:lang w:eastAsia="it-IT"/>
        </w:rPr>
        <w:t>).</w:t>
      </w:r>
    </w:p>
    <w:sectPr w:rsidR="009A260F" w:rsidRPr="00F77B00" w:rsidSect="00157FAA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31B45"/>
    <w:multiLevelType w:val="hybridMultilevel"/>
    <w:tmpl w:val="D35AD5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FB54C7"/>
    <w:multiLevelType w:val="hybridMultilevel"/>
    <w:tmpl w:val="9BE296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25825"/>
    <w:multiLevelType w:val="hybridMultilevel"/>
    <w:tmpl w:val="41D84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aura Dalsasso">
    <w15:presenceInfo w15:providerId="AD" w15:userId="S-1-5-21-1286573575-3606636818-3791033670-1152"/>
  </w15:person>
  <w15:person w15:author="Elisa Pirani">
    <w15:presenceInfo w15:providerId="AD" w15:userId="S-1-5-21-1286573575-3606636818-3791033670-7223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169C7"/>
    <w:rsid w:val="000233FC"/>
    <w:rsid w:val="00031BAD"/>
    <w:rsid w:val="000340BB"/>
    <w:rsid w:val="000442C9"/>
    <w:rsid w:val="00062636"/>
    <w:rsid w:val="00065F49"/>
    <w:rsid w:val="00072257"/>
    <w:rsid w:val="00097C24"/>
    <w:rsid w:val="000A4CC5"/>
    <w:rsid w:val="000A68A1"/>
    <w:rsid w:val="000A7CC2"/>
    <w:rsid w:val="000C2117"/>
    <w:rsid w:val="000D2B4B"/>
    <w:rsid w:val="000D4F37"/>
    <w:rsid w:val="0012738A"/>
    <w:rsid w:val="00132FE7"/>
    <w:rsid w:val="0014146C"/>
    <w:rsid w:val="0014310B"/>
    <w:rsid w:val="00152E40"/>
    <w:rsid w:val="00157FAA"/>
    <w:rsid w:val="00175CFD"/>
    <w:rsid w:val="001B078F"/>
    <w:rsid w:val="001F301F"/>
    <w:rsid w:val="0024551A"/>
    <w:rsid w:val="002600C7"/>
    <w:rsid w:val="002A528F"/>
    <w:rsid w:val="002A5BB5"/>
    <w:rsid w:val="002D3229"/>
    <w:rsid w:val="002F3D3B"/>
    <w:rsid w:val="002F5C16"/>
    <w:rsid w:val="00311EA2"/>
    <w:rsid w:val="00320002"/>
    <w:rsid w:val="00322BF5"/>
    <w:rsid w:val="00340D52"/>
    <w:rsid w:val="00354D5D"/>
    <w:rsid w:val="00365637"/>
    <w:rsid w:val="0036725E"/>
    <w:rsid w:val="003B3CB7"/>
    <w:rsid w:val="003C00C1"/>
    <w:rsid w:val="004005BD"/>
    <w:rsid w:val="004028FF"/>
    <w:rsid w:val="0040434A"/>
    <w:rsid w:val="0040748B"/>
    <w:rsid w:val="00412C0E"/>
    <w:rsid w:val="004171F6"/>
    <w:rsid w:val="004241AC"/>
    <w:rsid w:val="004349A2"/>
    <w:rsid w:val="004B20A8"/>
    <w:rsid w:val="00505A08"/>
    <w:rsid w:val="005072B8"/>
    <w:rsid w:val="00512512"/>
    <w:rsid w:val="005166C9"/>
    <w:rsid w:val="005649FC"/>
    <w:rsid w:val="00571C17"/>
    <w:rsid w:val="0057265C"/>
    <w:rsid w:val="005820A7"/>
    <w:rsid w:val="0059198A"/>
    <w:rsid w:val="00591B41"/>
    <w:rsid w:val="0059309B"/>
    <w:rsid w:val="005C2BF2"/>
    <w:rsid w:val="005C3F14"/>
    <w:rsid w:val="005F01C0"/>
    <w:rsid w:val="005F7971"/>
    <w:rsid w:val="0060108F"/>
    <w:rsid w:val="006523A0"/>
    <w:rsid w:val="006876E1"/>
    <w:rsid w:val="006A676A"/>
    <w:rsid w:val="006B6859"/>
    <w:rsid w:val="006D685C"/>
    <w:rsid w:val="006F58C8"/>
    <w:rsid w:val="00716EE9"/>
    <w:rsid w:val="007177B5"/>
    <w:rsid w:val="00741EB8"/>
    <w:rsid w:val="007461B9"/>
    <w:rsid w:val="00762D88"/>
    <w:rsid w:val="00764CEF"/>
    <w:rsid w:val="007655E5"/>
    <w:rsid w:val="007743AE"/>
    <w:rsid w:val="00791481"/>
    <w:rsid w:val="007A5C9D"/>
    <w:rsid w:val="007E00D8"/>
    <w:rsid w:val="007E7F1C"/>
    <w:rsid w:val="008217B9"/>
    <w:rsid w:val="0084011E"/>
    <w:rsid w:val="00870179"/>
    <w:rsid w:val="00876700"/>
    <w:rsid w:val="00891D6C"/>
    <w:rsid w:val="008A5247"/>
    <w:rsid w:val="008B14A9"/>
    <w:rsid w:val="008C5426"/>
    <w:rsid w:val="00900C91"/>
    <w:rsid w:val="0090175D"/>
    <w:rsid w:val="00907A21"/>
    <w:rsid w:val="00947EF5"/>
    <w:rsid w:val="00951BB1"/>
    <w:rsid w:val="00975267"/>
    <w:rsid w:val="009966CC"/>
    <w:rsid w:val="009A260F"/>
    <w:rsid w:val="009A33E4"/>
    <w:rsid w:val="009A4C06"/>
    <w:rsid w:val="009B2047"/>
    <w:rsid w:val="009C2FD2"/>
    <w:rsid w:val="009D7388"/>
    <w:rsid w:val="009E44F3"/>
    <w:rsid w:val="00A30604"/>
    <w:rsid w:val="00A41EA1"/>
    <w:rsid w:val="00A442A3"/>
    <w:rsid w:val="00A4580A"/>
    <w:rsid w:val="00A6285A"/>
    <w:rsid w:val="00A72D8A"/>
    <w:rsid w:val="00A838FE"/>
    <w:rsid w:val="00AA3FCC"/>
    <w:rsid w:val="00AB3C26"/>
    <w:rsid w:val="00AC5C6B"/>
    <w:rsid w:val="00AD2048"/>
    <w:rsid w:val="00AF1779"/>
    <w:rsid w:val="00B0541E"/>
    <w:rsid w:val="00B06030"/>
    <w:rsid w:val="00B12C37"/>
    <w:rsid w:val="00B34E18"/>
    <w:rsid w:val="00B35653"/>
    <w:rsid w:val="00BC321C"/>
    <w:rsid w:val="00BC6EC6"/>
    <w:rsid w:val="00BE472D"/>
    <w:rsid w:val="00BE6799"/>
    <w:rsid w:val="00BF4BE9"/>
    <w:rsid w:val="00BF7912"/>
    <w:rsid w:val="00C04E2E"/>
    <w:rsid w:val="00C166DA"/>
    <w:rsid w:val="00C26420"/>
    <w:rsid w:val="00C26606"/>
    <w:rsid w:val="00C34E72"/>
    <w:rsid w:val="00C40CB4"/>
    <w:rsid w:val="00C51A8A"/>
    <w:rsid w:val="00C573CF"/>
    <w:rsid w:val="00C8171A"/>
    <w:rsid w:val="00C85D26"/>
    <w:rsid w:val="00C962EE"/>
    <w:rsid w:val="00CC7AFF"/>
    <w:rsid w:val="00D077E0"/>
    <w:rsid w:val="00D14A40"/>
    <w:rsid w:val="00D20170"/>
    <w:rsid w:val="00D220AF"/>
    <w:rsid w:val="00D33431"/>
    <w:rsid w:val="00D52C30"/>
    <w:rsid w:val="00DA01C1"/>
    <w:rsid w:val="00DC5920"/>
    <w:rsid w:val="00DC63A4"/>
    <w:rsid w:val="00DF26FF"/>
    <w:rsid w:val="00E048BF"/>
    <w:rsid w:val="00E159A3"/>
    <w:rsid w:val="00E43089"/>
    <w:rsid w:val="00E5371A"/>
    <w:rsid w:val="00E7486A"/>
    <w:rsid w:val="00E83142"/>
    <w:rsid w:val="00E95CA3"/>
    <w:rsid w:val="00EA52DF"/>
    <w:rsid w:val="00ED287E"/>
    <w:rsid w:val="00ED4604"/>
    <w:rsid w:val="00F01DBD"/>
    <w:rsid w:val="00F14910"/>
    <w:rsid w:val="00F1554A"/>
    <w:rsid w:val="00F462EC"/>
    <w:rsid w:val="00F60195"/>
    <w:rsid w:val="00F77405"/>
    <w:rsid w:val="00F77B00"/>
    <w:rsid w:val="00FA2702"/>
    <w:rsid w:val="00FA55B0"/>
    <w:rsid w:val="00FB2FCF"/>
    <w:rsid w:val="00FD0C63"/>
    <w:rsid w:val="00FE4EB2"/>
    <w:rsid w:val="00FE5407"/>
    <w:rsid w:val="00FE73D6"/>
    <w:rsid w:val="00FF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Testonormale">
    <w:name w:val="Plain Text"/>
    <w:basedOn w:val="Normale"/>
    <w:link w:val="TestonormaleCarattere"/>
    <w:rsid w:val="00354D5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354D5D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headingrowsAgency">
    <w:name w:val="Table heading rows (Agency)"/>
    <w:basedOn w:val="Normale"/>
    <w:semiHidden/>
    <w:rsid w:val="007743AE"/>
    <w:pPr>
      <w:keepNext/>
      <w:spacing w:after="140" w:line="280" w:lineRule="atLeast"/>
    </w:pPr>
    <w:rPr>
      <w:rFonts w:ascii="Verdana" w:eastAsia="Times New Roman" w:hAnsi="Verdana" w:cs="Verdana"/>
      <w:b/>
      <w:sz w:val="18"/>
      <w:szCs w:val="18"/>
      <w:lang w:val="en-GB" w:eastAsia="en-GB"/>
    </w:rPr>
  </w:style>
  <w:style w:type="paragraph" w:customStyle="1" w:styleId="TabletextrowsAgency">
    <w:name w:val="Table text rows (Agency)"/>
    <w:basedOn w:val="Normale"/>
    <w:rsid w:val="007743A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BA7A99-12C8-4505-8082-14DA65BC5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2730</Words>
  <Characters>15563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16</cp:revision>
  <cp:lastPrinted>2017-06-12T09:49:00Z</cp:lastPrinted>
  <dcterms:created xsi:type="dcterms:W3CDTF">2017-06-12T09:14:00Z</dcterms:created>
  <dcterms:modified xsi:type="dcterms:W3CDTF">2017-11-22T11:04:00Z</dcterms:modified>
</cp:coreProperties>
</file>