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9B1761" w:rsidP="00C00C63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9000" cy="14954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40D5A" w:rsidRDefault="00140D5A" w:rsidP="00140D5A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Relazione Pubblica di Valutazione </w:t>
      </w:r>
    </w:p>
    <w:p w:rsid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F5679" w:rsidRDefault="000F5679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F5679" w:rsidRDefault="000F5679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40D5A" w:rsidRPr="00833209" w:rsidRDefault="00FA5DB1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ZOFENOPRIL</w:t>
      </w:r>
      <w:r w:rsidR="00140D5A">
        <w:rPr>
          <w:b/>
          <w:sz w:val="32"/>
        </w:rPr>
        <w:t xml:space="preserve"> E </w:t>
      </w:r>
      <w:r>
        <w:rPr>
          <w:b/>
          <w:sz w:val="32"/>
        </w:rPr>
        <w:t>IDROCLOROTIAZIDE</w:t>
      </w:r>
      <w:r w:rsidR="00140D5A">
        <w:rPr>
          <w:b/>
          <w:sz w:val="32"/>
        </w:rPr>
        <w:t xml:space="preserve"> </w:t>
      </w:r>
      <w:r w:rsidR="00157E75">
        <w:rPr>
          <w:b/>
          <w:sz w:val="32"/>
        </w:rPr>
        <w:t>EG</w:t>
      </w:r>
    </w:p>
    <w:p w:rsidR="000F5679" w:rsidRDefault="000F5679" w:rsidP="00140D5A">
      <w:pPr>
        <w:widowControl w:val="0"/>
        <w:spacing w:after="0" w:line="240" w:lineRule="auto"/>
        <w:jc w:val="center"/>
        <w:rPr>
          <w:snapToGrid w:val="0"/>
        </w:rPr>
      </w:pPr>
    </w:p>
    <w:p w:rsidR="00140D5A" w:rsidRPr="00140D5A" w:rsidRDefault="00140D5A" w:rsidP="00140D5A">
      <w:pPr>
        <w:widowControl w:val="0"/>
        <w:spacing w:after="0" w:line="240" w:lineRule="auto"/>
        <w:jc w:val="center"/>
        <w:rPr>
          <w:snapToGrid w:val="0"/>
        </w:rPr>
      </w:pPr>
      <w:r w:rsidRPr="00140D5A">
        <w:rPr>
          <w:snapToGrid w:val="0"/>
        </w:rPr>
        <w:t xml:space="preserve"> (</w:t>
      </w:r>
      <w:proofErr w:type="spellStart"/>
      <w:r w:rsidR="00FA5DB1">
        <w:t>Zofenopril</w:t>
      </w:r>
      <w:proofErr w:type="spellEnd"/>
      <w:r w:rsidRPr="00140D5A">
        <w:t xml:space="preserve"> e </w:t>
      </w:r>
      <w:proofErr w:type="spellStart"/>
      <w:r w:rsidR="00FA5DB1">
        <w:t>Idroclorotiazide</w:t>
      </w:r>
      <w:proofErr w:type="spellEnd"/>
      <w:r w:rsidRPr="00140D5A">
        <w:rPr>
          <w:snapToGrid w:val="0"/>
        </w:rPr>
        <w:t>)</w:t>
      </w: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40D5A" w:rsidRPr="00140D5A" w:rsidRDefault="00157E75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EG</w:t>
      </w:r>
    </w:p>
    <w:p w:rsidR="005F0BD7" w:rsidRDefault="005F0BD7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140D5A" w:rsidRDefault="004241AC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t xml:space="preserve">Numero di AIC: </w:t>
      </w:r>
      <w:r w:rsidR="00157E75" w:rsidRPr="00140D5A">
        <w:rPr>
          <w:rFonts w:cs="Helvetica"/>
          <w:b/>
        </w:rPr>
        <w:t>043</w:t>
      </w:r>
      <w:r w:rsidR="00157E75">
        <w:rPr>
          <w:rFonts w:cs="Helvetica"/>
          <w:b/>
        </w:rPr>
        <w:t>863</w:t>
      </w:r>
    </w:p>
    <w:bookmarkEnd w:id="0"/>
    <w:p w:rsidR="004241AC" w:rsidRPr="00140D5A" w:rsidRDefault="004241AC" w:rsidP="00140D5A">
      <w:pPr>
        <w:spacing w:after="0" w:line="240" w:lineRule="auto"/>
        <w:jc w:val="center"/>
        <w:rPr>
          <w:b/>
        </w:rPr>
      </w:pPr>
    </w:p>
    <w:p w:rsidR="00140D5A" w:rsidRDefault="00140D5A" w:rsidP="00140D5A">
      <w:pPr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140D5A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140D5A">
        <w:rPr>
          <w:rFonts w:cs="Calibri"/>
          <w:b/>
          <w:color w:val="000000"/>
          <w:lang w:eastAsia="it-IT"/>
        </w:rPr>
        <w:t>DI</w:t>
      </w:r>
      <w:proofErr w:type="spellEnd"/>
      <w:r w:rsidRPr="00140D5A">
        <w:rPr>
          <w:rFonts w:cs="Calibri"/>
          <w:b/>
          <w:color w:val="000000"/>
          <w:lang w:eastAsia="it-IT"/>
        </w:rPr>
        <w:t xml:space="preserve"> VALUTAZIONE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 xml:space="preserve">Questa è la sintesi del </w:t>
      </w:r>
      <w:r w:rsidRPr="00140D5A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140D5A">
        <w:rPr>
          <w:rFonts w:cs="Calibri"/>
          <w:i/>
          <w:color w:val="000000"/>
          <w:lang w:eastAsia="it-IT"/>
        </w:rPr>
        <w:t>Assessment</w:t>
      </w:r>
      <w:proofErr w:type="spellEnd"/>
      <w:r w:rsidRPr="00140D5A">
        <w:rPr>
          <w:rFonts w:cs="Calibri"/>
          <w:i/>
          <w:color w:val="000000"/>
          <w:lang w:eastAsia="it-IT"/>
        </w:rPr>
        <w:t xml:space="preserve"> Report</w:t>
      </w:r>
      <w:r w:rsidRPr="00140D5A">
        <w:rPr>
          <w:rFonts w:cs="Calibri"/>
          <w:color w:val="000000"/>
          <w:lang w:eastAsia="it-IT"/>
        </w:rPr>
        <w:t xml:space="preserve"> (PAR) per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57E75">
        <w:rPr>
          <w:rFonts w:cs="Calibri"/>
          <w:color w:val="000000"/>
          <w:lang w:eastAsia="it-IT"/>
        </w:rPr>
        <w:t>EG</w:t>
      </w:r>
      <w:r w:rsidRPr="00140D5A">
        <w:rPr>
          <w:rFonts w:cs="Calibri"/>
          <w:color w:val="000000"/>
          <w:lang w:eastAsia="it-IT"/>
        </w:rPr>
        <w:t>.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57E75">
        <w:rPr>
          <w:rFonts w:cs="Calibri"/>
          <w:color w:val="000000"/>
          <w:lang w:eastAsia="it-IT"/>
        </w:rPr>
        <w:t>EG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 xml:space="preserve">è stato valutato </w:t>
      </w:r>
      <w:r w:rsidR="00897CAF" w:rsidRPr="00140D5A">
        <w:rPr>
          <w:rFonts w:cs="Calibri"/>
          <w:color w:val="000000"/>
          <w:lang w:eastAsia="it-IT"/>
        </w:rPr>
        <w:t>dalla Commissione Tecnico-Scientifica (CTS)</w:t>
      </w:r>
      <w:r w:rsidR="00A05AC7">
        <w:rPr>
          <w:rFonts w:cs="Calibri"/>
          <w:color w:val="000000"/>
          <w:lang w:eastAsia="it-IT"/>
        </w:rPr>
        <w:t xml:space="preserve"> </w:t>
      </w:r>
      <w:r w:rsidR="00FB1334" w:rsidRPr="00140D5A">
        <w:rPr>
          <w:rFonts w:cs="Calibri"/>
          <w:color w:val="000000"/>
          <w:lang w:eastAsia="it-IT"/>
        </w:rPr>
        <w:t>e le sue condizioni di impiego</w:t>
      </w:r>
      <w:r w:rsidRPr="00140D5A">
        <w:rPr>
          <w:rFonts w:cs="Calibri"/>
          <w:color w:val="000000"/>
          <w:lang w:eastAsia="it-IT"/>
        </w:rPr>
        <w:t>. Non intende fornire consigli pratici su come utilizzare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140D5A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140D5A" w:rsidRPr="00140D5A">
        <w:rPr>
          <w:rFonts w:cs="Calibri"/>
          <w:color w:val="000000"/>
          <w:lang w:eastAsia="it-IT"/>
        </w:rPr>
        <w:t xml:space="preserve"> </w:t>
      </w:r>
      <w:r w:rsidR="00157E75">
        <w:rPr>
          <w:rFonts w:cs="Calibri"/>
          <w:color w:val="000000"/>
          <w:lang w:eastAsia="it-IT"/>
        </w:rPr>
        <w:t>EG</w:t>
      </w:r>
      <w:r w:rsidRPr="00140D5A">
        <w:rPr>
          <w:rFonts w:cs="Calibri"/>
          <w:bCs/>
          <w:color w:val="000000"/>
          <w:lang w:eastAsia="it-IT"/>
        </w:rPr>
        <w:t>.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>Per informazioni pratiche sull'utilizzo di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57E75">
        <w:rPr>
          <w:rFonts w:cs="Calibri"/>
          <w:color w:val="000000"/>
          <w:lang w:eastAsia="it-IT"/>
        </w:rPr>
        <w:t>EG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>i pazienti devono consultare il foglio illustrativo o contattare il loro medico</w:t>
      </w:r>
      <w:r w:rsidR="00FB1334" w:rsidRPr="00140D5A">
        <w:rPr>
          <w:rFonts w:cs="Calibri"/>
          <w:color w:val="000000"/>
          <w:lang w:eastAsia="it-IT"/>
        </w:rPr>
        <w:t xml:space="preserve"> o il farmacista</w:t>
      </w:r>
      <w:r w:rsidRPr="00140D5A">
        <w:rPr>
          <w:rFonts w:cs="Calibri"/>
          <w:color w:val="000000"/>
          <w:lang w:eastAsia="it-IT"/>
        </w:rPr>
        <w:t xml:space="preserve">. 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="00A05AC7">
        <w:rPr>
          <w:rFonts w:cs="Calibri"/>
          <w:b/>
          <w:bCs/>
          <w:color w:val="000000"/>
          <w:lang w:eastAsia="it-IT"/>
        </w:rPr>
        <w:t xml:space="preserve"> </w:t>
      </w:r>
      <w:r w:rsidR="00691B5A" w:rsidRPr="00140D5A">
        <w:rPr>
          <w:rFonts w:cs="Calibri"/>
          <w:b/>
          <w:bCs/>
          <w:color w:val="000000"/>
          <w:lang w:eastAsia="it-IT"/>
        </w:rPr>
        <w:t>E A COSA SERVE</w:t>
      </w:r>
      <w:r w:rsidRPr="00140D5A">
        <w:rPr>
          <w:rFonts w:cs="Calibri"/>
          <w:b/>
          <w:bCs/>
          <w:color w:val="000000"/>
          <w:lang w:eastAsia="it-IT"/>
        </w:rPr>
        <w:t xml:space="preserve">? </w:t>
      </w:r>
    </w:p>
    <w:p w:rsidR="0060273B" w:rsidRDefault="00FA5DB1" w:rsidP="00EA49A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iCs/>
        </w:rPr>
        <w:t>Zofenopril</w:t>
      </w:r>
      <w:proofErr w:type="spellEnd"/>
      <w:r w:rsidR="00EA49A9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EA49A9" w:rsidRPr="00140D5A">
        <w:rPr>
          <w:iCs/>
        </w:rPr>
        <w:t xml:space="preserve"> </w:t>
      </w:r>
      <w:r w:rsidR="00157E75">
        <w:rPr>
          <w:iCs/>
        </w:rPr>
        <w:t>EG</w:t>
      </w:r>
      <w:r w:rsidR="00A05AC7">
        <w:rPr>
          <w:iCs/>
        </w:rPr>
        <w:t xml:space="preserve"> </w:t>
      </w:r>
      <w:r w:rsidR="00EA49A9" w:rsidRPr="000A1325">
        <w:rPr>
          <w:rFonts w:cs="Calibri"/>
          <w:color w:val="000000"/>
          <w:lang w:eastAsia="it-IT"/>
        </w:rPr>
        <w:t xml:space="preserve">è un medicinale contenente </w:t>
      </w:r>
      <w:r w:rsidR="00EA49A9">
        <w:rPr>
          <w:rFonts w:cs="Calibri"/>
          <w:color w:val="000000"/>
          <w:lang w:eastAsia="it-IT"/>
        </w:rPr>
        <w:t>i</w:t>
      </w:r>
      <w:r w:rsidR="00EA49A9" w:rsidRPr="000A1325">
        <w:rPr>
          <w:rFonts w:cs="Calibri"/>
          <w:color w:val="000000"/>
          <w:lang w:eastAsia="it-IT"/>
        </w:rPr>
        <w:t xml:space="preserve"> principi attiv</w:t>
      </w:r>
      <w:r w:rsidR="00EA49A9">
        <w:rPr>
          <w:rFonts w:cs="Calibri"/>
          <w:color w:val="000000"/>
          <w:lang w:eastAsia="it-IT"/>
        </w:rPr>
        <w:t>i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>
        <w:t>Zofenopril</w:t>
      </w:r>
      <w:proofErr w:type="spellEnd"/>
      <w:r w:rsidR="00EA49A9">
        <w:t xml:space="preserve"> ed </w:t>
      </w:r>
      <w:proofErr w:type="spellStart"/>
      <w:r>
        <w:t>Idroclorotiazide</w:t>
      </w:r>
      <w:proofErr w:type="spellEnd"/>
      <w:r w:rsidR="00EA49A9">
        <w:t xml:space="preserve"> e</w:t>
      </w:r>
      <w:r w:rsidR="00EA49A9" w:rsidRPr="000A1325">
        <w:rPr>
          <w:rFonts w:cs="Calibri"/>
          <w:color w:val="000000"/>
          <w:lang w:eastAsia="it-IT"/>
        </w:rPr>
        <w:t xml:space="preserve">d è </w:t>
      </w:r>
      <w:r w:rsidR="00EA49A9">
        <w:rPr>
          <w:rFonts w:cs="Calibri"/>
          <w:color w:val="000000"/>
          <w:lang w:eastAsia="it-IT"/>
        </w:rPr>
        <w:t xml:space="preserve">autorizzato come compresse </w:t>
      </w:r>
      <w:r w:rsidR="00EA49A9" w:rsidRPr="00603F36">
        <w:rPr>
          <w:rFonts w:cs="Calibri"/>
          <w:color w:val="000000"/>
          <w:lang w:eastAsia="it-IT"/>
        </w:rPr>
        <w:t>contenent</w:t>
      </w:r>
      <w:r w:rsidR="00EA49A9">
        <w:rPr>
          <w:rFonts w:cs="Calibri"/>
          <w:color w:val="000000"/>
          <w:lang w:eastAsia="it-IT"/>
        </w:rPr>
        <w:t>i</w:t>
      </w:r>
      <w:r w:rsidR="00A05AC7">
        <w:rPr>
          <w:rFonts w:cs="Calibri"/>
          <w:color w:val="000000"/>
          <w:lang w:eastAsia="it-IT"/>
        </w:rPr>
        <w:t xml:space="preserve"> </w:t>
      </w:r>
      <w:r>
        <w:t>3</w:t>
      </w:r>
      <w:r w:rsidR="00EA49A9">
        <w:t>0</w:t>
      </w:r>
      <w:r w:rsidR="00A05AC7">
        <w:t xml:space="preserve"> </w:t>
      </w:r>
      <w:r w:rsidR="00EA49A9">
        <w:rPr>
          <w:rFonts w:cs="Calibri"/>
          <w:color w:val="000000"/>
          <w:lang w:eastAsia="it-IT"/>
        </w:rPr>
        <w:t xml:space="preserve">mg di </w:t>
      </w:r>
      <w:proofErr w:type="spellStart"/>
      <w:r>
        <w:rPr>
          <w:rFonts w:cs="Calibri"/>
          <w:color w:val="000000"/>
          <w:lang w:eastAsia="it-IT"/>
        </w:rPr>
        <w:t>Zofenopril</w:t>
      </w:r>
      <w:proofErr w:type="spellEnd"/>
      <w:r w:rsidR="00EA49A9">
        <w:rPr>
          <w:rFonts w:cs="Calibri"/>
          <w:color w:val="000000"/>
          <w:lang w:eastAsia="it-IT"/>
        </w:rPr>
        <w:t xml:space="preserve"> e</w:t>
      </w:r>
      <w:r w:rsidR="00A05AC7">
        <w:rPr>
          <w:rFonts w:cs="Calibri"/>
          <w:color w:val="000000"/>
          <w:lang w:eastAsia="it-IT"/>
        </w:rPr>
        <w:t xml:space="preserve"> </w:t>
      </w:r>
      <w:r w:rsidR="00EA49A9">
        <w:t>12,5</w:t>
      </w:r>
      <w:r w:rsidR="00EA49A9">
        <w:rPr>
          <w:rFonts w:cs="Calibri"/>
          <w:color w:val="000000"/>
          <w:lang w:eastAsia="it-IT"/>
        </w:rPr>
        <w:t xml:space="preserve"> mg</w:t>
      </w:r>
      <w:r w:rsidR="00EA49A9" w:rsidRPr="00603F36">
        <w:rPr>
          <w:rFonts w:cs="Calibri"/>
          <w:color w:val="000000"/>
          <w:lang w:eastAsia="it-IT"/>
        </w:rPr>
        <w:t xml:space="preserve"> di </w:t>
      </w:r>
      <w:proofErr w:type="spellStart"/>
      <w:r>
        <w:rPr>
          <w:rFonts w:cs="Calibri"/>
          <w:color w:val="000000"/>
          <w:lang w:eastAsia="it-IT"/>
        </w:rPr>
        <w:t>Idroclorotiazide</w:t>
      </w:r>
      <w:proofErr w:type="spellEnd"/>
      <w:r w:rsidR="0060273B">
        <w:rPr>
          <w:rFonts w:cs="Calibri"/>
          <w:color w:val="000000"/>
          <w:lang w:eastAsia="it-IT"/>
        </w:rPr>
        <w:t>.</w:t>
      </w:r>
    </w:p>
    <w:p w:rsidR="00F24EC1" w:rsidRDefault="00F24EC1" w:rsidP="00EA49A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60273B">
        <w:rPr>
          <w:iCs/>
        </w:rPr>
        <w:t>Zofenopril</w:t>
      </w:r>
      <w:proofErr w:type="spellEnd"/>
      <w:r w:rsidRPr="0060273B">
        <w:rPr>
          <w:iCs/>
        </w:rPr>
        <w:t xml:space="preserve"> e </w:t>
      </w:r>
      <w:proofErr w:type="spellStart"/>
      <w:r w:rsidRPr="0060273B">
        <w:rPr>
          <w:iCs/>
        </w:rPr>
        <w:t>Idroclorotiazide</w:t>
      </w:r>
      <w:proofErr w:type="spellEnd"/>
      <w:r w:rsidRPr="0060273B">
        <w:rPr>
          <w:iCs/>
        </w:rPr>
        <w:t xml:space="preserve"> </w:t>
      </w:r>
      <w:r w:rsidR="00157E75">
        <w:rPr>
          <w:iCs/>
        </w:rPr>
        <w:t>EG</w:t>
      </w:r>
      <w:r w:rsidRPr="0060273B">
        <w:rPr>
          <w:rFonts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Pr="0060273B">
        <w:rPr>
          <w:rFonts w:cs="Calibri"/>
          <w:color w:val="000000"/>
          <w:lang w:eastAsia="it-IT"/>
        </w:rPr>
        <w:t>Bifrizide</w:t>
      </w:r>
      <w:proofErr w:type="spellEnd"/>
      <w:r w:rsidRPr="0060273B">
        <w:rPr>
          <w:rFonts w:cs="Calibri"/>
          <w:color w:val="000000"/>
          <w:lang w:eastAsia="it-IT"/>
        </w:rPr>
        <w:t>, che è stato autorizzato con procedura di mutuo riconoscimento con Regno Unito come stato di riferimento (</w:t>
      </w:r>
      <w:r w:rsidRPr="0060273B">
        <w:rPr>
          <w:rStyle w:val="Collegamentoipertestuale"/>
          <w:lang w:eastAsia="it-IT"/>
        </w:rPr>
        <w:t>http://www.mhra.gov.uk</w:t>
      </w:r>
      <w:r w:rsidRPr="0060273B">
        <w:t>)</w:t>
      </w:r>
      <w:r w:rsidRPr="0060273B">
        <w:rPr>
          <w:rFonts w:cs="Calibri"/>
          <w:color w:val="000000"/>
          <w:lang w:eastAsia="it-IT"/>
        </w:rPr>
        <w:t>. Sul sito dell’Agenzia Italiana del Farmaco (AIFA) (</w:t>
      </w:r>
      <w:hyperlink r:id="rId6" w:history="1">
        <w:r w:rsidRPr="0060273B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60273B">
        <w:rPr>
          <w:rFonts w:cs="Calibri"/>
          <w:lang w:eastAsia="it-IT"/>
        </w:rPr>
        <w:t>)</w:t>
      </w:r>
      <w:r w:rsidRPr="0060273B">
        <w:t xml:space="preserve"> </w:t>
      </w:r>
      <w:r w:rsidRPr="0060273B">
        <w:rPr>
          <w:rFonts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60273B" w:rsidRPr="0060273B">
        <w:rPr>
          <w:rFonts w:cs="Calibri"/>
          <w:color w:val="000000"/>
          <w:lang w:eastAsia="it-IT"/>
        </w:rPr>
        <w:t>Bifrizide</w:t>
      </w:r>
      <w:proofErr w:type="spellEnd"/>
      <w:r w:rsidRPr="0060273B">
        <w:rPr>
          <w:rFonts w:cs="Calibri"/>
          <w:color w:val="000000"/>
          <w:lang w:eastAsia="it-IT"/>
        </w:rPr>
        <w:t>.</w:t>
      </w:r>
    </w:p>
    <w:p w:rsidR="00EA49A9" w:rsidRPr="00224478" w:rsidRDefault="00FA5DB1" w:rsidP="00EA49A9">
      <w:pPr>
        <w:numPr>
          <w:ilvl w:val="12"/>
          <w:numId w:val="0"/>
        </w:numPr>
        <w:spacing w:after="0" w:line="240" w:lineRule="auto"/>
        <w:jc w:val="both"/>
      </w:pPr>
      <w:proofErr w:type="spellStart"/>
      <w:r>
        <w:rPr>
          <w:iCs/>
        </w:rPr>
        <w:t>Zofenopril</w:t>
      </w:r>
      <w:proofErr w:type="spellEnd"/>
      <w:r w:rsidR="00EA49A9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EA49A9" w:rsidRPr="00140D5A">
        <w:rPr>
          <w:iCs/>
        </w:rPr>
        <w:t xml:space="preserve"> </w:t>
      </w:r>
      <w:r w:rsidR="00157E75">
        <w:rPr>
          <w:iCs/>
        </w:rPr>
        <w:t>EG</w:t>
      </w:r>
      <w:r w:rsidR="00EA49A9" w:rsidRPr="00A308B1">
        <w:t xml:space="preserve"> è utilizzato </w:t>
      </w:r>
      <w:r w:rsidR="00EA49A9" w:rsidRPr="00D56D3C">
        <w:t>per il trattamento della pressione del sangue</w:t>
      </w:r>
      <w:r>
        <w:t xml:space="preserve"> alta </w:t>
      </w:r>
      <w:r w:rsidRPr="00D56D3C">
        <w:t xml:space="preserve">(ipertensione) </w:t>
      </w:r>
      <w:r>
        <w:t>da lieve a moderata</w:t>
      </w:r>
      <w:r w:rsidR="00A05AC7">
        <w:t xml:space="preserve"> </w:t>
      </w:r>
      <w:r w:rsidR="00EA49A9" w:rsidRPr="00D56D3C">
        <w:t xml:space="preserve">in quei pazienti </w:t>
      </w:r>
      <w:r w:rsidR="00EA49A9">
        <w:t xml:space="preserve">la cui pressione sanguigna non è adeguatamente controllata con il solo principio attivo </w:t>
      </w:r>
      <w:proofErr w:type="spellStart"/>
      <w:r>
        <w:t>Zofenopril</w:t>
      </w:r>
      <w:proofErr w:type="spellEnd"/>
      <w:r w:rsidR="00EA49A9">
        <w:t>.</w:t>
      </w:r>
    </w:p>
    <w:p w:rsidR="00107A21" w:rsidRDefault="00107A2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Pr="00140D5A">
        <w:rPr>
          <w:rFonts w:cs="Calibri"/>
          <w:b/>
          <w:bCs/>
          <w:color w:val="000000"/>
          <w:lang w:eastAsia="it-IT"/>
        </w:rPr>
        <w:t>?</w:t>
      </w:r>
    </w:p>
    <w:p w:rsidR="00584845" w:rsidRPr="00E83F8D" w:rsidRDefault="00584845" w:rsidP="0058484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83F8D">
        <w:rPr>
          <w:rFonts w:cs="Calibri"/>
          <w:color w:val="000000"/>
          <w:lang w:eastAsia="it-IT"/>
        </w:rPr>
        <w:t>Il medicinale può essere ottenuto solo dietro prescrizione da parte del medico (ricetta ripetibile).</w:t>
      </w:r>
    </w:p>
    <w:p w:rsidR="00FA5DB1" w:rsidRDefault="00A05AC7" w:rsidP="00A05AC7">
      <w:pPr>
        <w:spacing w:after="0" w:line="240" w:lineRule="auto"/>
        <w:ind w:right="-2"/>
        <w:jc w:val="both"/>
      </w:pPr>
      <w:r w:rsidRPr="00D56D3C">
        <w:t xml:space="preserve">La dose </w:t>
      </w:r>
      <w:r>
        <w:t xml:space="preserve"> </w:t>
      </w:r>
      <w:r w:rsidRPr="00D56D3C">
        <w:t>raccomandata è</w:t>
      </w:r>
      <w:r>
        <w:t xml:space="preserve"> di </w:t>
      </w:r>
      <w:r w:rsidR="00FA5DB1">
        <w:t>una compressa al giorno con o senza cibo</w:t>
      </w:r>
      <w:r>
        <w:t xml:space="preserve">. </w:t>
      </w:r>
    </w:p>
    <w:p w:rsidR="00A05AC7" w:rsidRDefault="00A05AC7" w:rsidP="00A05AC7">
      <w:pPr>
        <w:spacing w:after="0" w:line="240" w:lineRule="auto"/>
        <w:ind w:right="-2"/>
        <w:jc w:val="both"/>
      </w:pPr>
      <w:r>
        <w:t>I pazienti con gravi problemi ai reni o al fegato non possono prendere questo medicinale.</w:t>
      </w:r>
    </w:p>
    <w:p w:rsidR="00A05AC7" w:rsidRDefault="00A05AC7" w:rsidP="00A05AC7">
      <w:pPr>
        <w:tabs>
          <w:tab w:val="left" w:pos="173"/>
        </w:tabs>
        <w:spacing w:after="0" w:line="240" w:lineRule="auto"/>
        <w:jc w:val="both"/>
      </w:pPr>
      <w:r>
        <w:t xml:space="preserve">Questo medicinale non è raccomandato nei bambini </w:t>
      </w:r>
      <w:r w:rsidR="00FA5DB1">
        <w:t xml:space="preserve">e negli adolescenti </w:t>
      </w:r>
      <w:r>
        <w:t>in quanto la sicurezza e l’efficacia non sono state stabilite in questa fascia di età.</w:t>
      </w:r>
    </w:p>
    <w:p w:rsidR="00A05AC7" w:rsidRDefault="00A05AC7" w:rsidP="00A05AC7">
      <w:pPr>
        <w:tabs>
          <w:tab w:val="left" w:pos="173"/>
        </w:tabs>
        <w:spacing w:after="0" w:line="240" w:lineRule="auto"/>
        <w:jc w:val="both"/>
      </w:pPr>
      <w:r>
        <w:lastRenderedPageBreak/>
        <w:t>Le compresse vanno assunte con un po’ di acqua.</w:t>
      </w:r>
    </w:p>
    <w:p w:rsidR="00140D5A" w:rsidRDefault="00140D5A" w:rsidP="00140D5A">
      <w:pPr>
        <w:tabs>
          <w:tab w:val="left" w:pos="4536"/>
        </w:tabs>
        <w:spacing w:after="0" w:line="240" w:lineRule="auto"/>
        <w:jc w:val="both"/>
        <w:rPr>
          <w:iCs/>
        </w:rPr>
      </w:pPr>
    </w:p>
    <w:p w:rsidR="00140D5A" w:rsidRPr="00140D5A" w:rsidRDefault="00140D5A" w:rsidP="00140D5A">
      <w:pPr>
        <w:tabs>
          <w:tab w:val="left" w:pos="4536"/>
        </w:tabs>
        <w:spacing w:after="0" w:line="240" w:lineRule="auto"/>
        <w:jc w:val="both"/>
        <w:rPr>
          <w:iCs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Pr="00140D5A">
        <w:rPr>
          <w:rFonts w:cs="Calibri"/>
          <w:b/>
          <w:bCs/>
          <w:color w:val="000000"/>
          <w:lang w:eastAsia="it-IT"/>
        </w:rPr>
        <w:t xml:space="preserve">? </w:t>
      </w:r>
    </w:p>
    <w:p w:rsidR="00EA49A9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iCs/>
        </w:rPr>
        <w:t>Zofenopril</w:t>
      </w:r>
      <w:proofErr w:type="spellEnd"/>
      <w:r w:rsidR="00EA49A9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EA49A9" w:rsidRPr="00140D5A">
        <w:rPr>
          <w:iCs/>
        </w:rPr>
        <w:t xml:space="preserve"> </w:t>
      </w:r>
      <w:r w:rsidR="00157E75">
        <w:rPr>
          <w:iCs/>
        </w:rPr>
        <w:t>EG</w:t>
      </w:r>
      <w:r w:rsidR="00EA49A9" w:rsidRPr="00897CAF">
        <w:rPr>
          <w:rFonts w:cs="Calibri"/>
          <w:bCs/>
          <w:color w:val="000000"/>
          <w:lang w:eastAsia="it-IT"/>
        </w:rPr>
        <w:t>, il cui codice ATC è</w:t>
      </w:r>
      <w:r w:rsidR="00D0386B">
        <w:t xml:space="preserve"> C09BA15</w:t>
      </w:r>
      <w:r w:rsidR="00EA49A9" w:rsidRPr="00897CAF">
        <w:rPr>
          <w:rFonts w:eastAsia="LiberationSerif" w:cs="LiberationSerif"/>
        </w:rPr>
        <w:t>,</w:t>
      </w:r>
      <w:r w:rsidR="00A05AC7">
        <w:rPr>
          <w:rFonts w:eastAsia="LiberationSerif" w:cs="LiberationSerif"/>
        </w:rPr>
        <w:t xml:space="preserve"> </w:t>
      </w:r>
      <w:r w:rsidR="00EA49A9" w:rsidRPr="00897CAF">
        <w:rPr>
          <w:rFonts w:cs="Calibri"/>
          <w:color w:val="000000"/>
          <w:lang w:eastAsia="it-IT"/>
        </w:rPr>
        <w:t>contiene i principi attiv</w:t>
      </w:r>
      <w:r w:rsidR="00EA49A9">
        <w:rPr>
          <w:rFonts w:cs="Calibri"/>
          <w:color w:val="000000"/>
          <w:lang w:eastAsia="it-IT"/>
        </w:rPr>
        <w:t>i</w:t>
      </w:r>
      <w:r w:rsidR="00B86177">
        <w:rPr>
          <w:rFonts w:cs="Calibri"/>
          <w:color w:val="000000"/>
          <w:lang w:eastAsia="it-IT"/>
        </w:rPr>
        <w:t xml:space="preserve"> </w:t>
      </w:r>
      <w:proofErr w:type="spellStart"/>
      <w:r>
        <w:t>Zofenopril</w:t>
      </w:r>
      <w:proofErr w:type="spellEnd"/>
      <w:r w:rsidR="00A05AC7">
        <w:t xml:space="preserve"> </w:t>
      </w:r>
      <w:r w:rsidR="00EA49A9">
        <w:rPr>
          <w:rFonts w:eastAsia="DejaVuSans" w:cs="DejaVuSans"/>
        </w:rPr>
        <w:t xml:space="preserve">e </w:t>
      </w:r>
      <w:proofErr w:type="spellStart"/>
      <w:r>
        <w:rPr>
          <w:rFonts w:eastAsia="DejaVuSans" w:cs="DejaVuSans"/>
        </w:rPr>
        <w:t>Idroclorotiazide</w:t>
      </w:r>
      <w:proofErr w:type="spellEnd"/>
      <w:r w:rsidR="00EA49A9">
        <w:rPr>
          <w:rFonts w:eastAsia="DejaVuSans" w:cs="DejaVuSans"/>
        </w:rPr>
        <w:t>.</w:t>
      </w:r>
    </w:p>
    <w:p w:rsidR="00EA49A9" w:rsidRPr="00A8302B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DejaVuSans" w:cs="DejaVuSans"/>
        </w:rPr>
        <w:t>Zofenopril</w:t>
      </w:r>
      <w:proofErr w:type="spellEnd"/>
      <w:r w:rsidR="00EA49A9" w:rsidRPr="00A8302B">
        <w:rPr>
          <w:rFonts w:eastAsia="DejaVuSans" w:cs="DejaVuSans"/>
        </w:rPr>
        <w:t xml:space="preserve"> è un inibitore di un enzima che determina la conversione d</w:t>
      </w:r>
      <w:r w:rsidR="00EA49A9">
        <w:rPr>
          <w:rFonts w:eastAsia="DejaVuSans" w:cs="DejaVuSans"/>
        </w:rPr>
        <w:t>i</w:t>
      </w:r>
      <w:r w:rsidR="00A05AC7">
        <w:rPr>
          <w:rFonts w:eastAsia="DejaVuSans" w:cs="DejaVuSans"/>
        </w:rPr>
        <w:t xml:space="preserve"> </w:t>
      </w:r>
      <w:proofErr w:type="spellStart"/>
      <w:r w:rsidR="00EA49A9" w:rsidRPr="00A8302B">
        <w:rPr>
          <w:rFonts w:eastAsia="DejaVuSans" w:cs="DejaVuSans"/>
        </w:rPr>
        <w:t>angiotensina</w:t>
      </w:r>
      <w:proofErr w:type="spellEnd"/>
      <w:r w:rsidR="00EA49A9" w:rsidRPr="00A8302B">
        <w:rPr>
          <w:rFonts w:eastAsia="DejaVuSans" w:cs="DejaVuSans"/>
        </w:rPr>
        <w:t xml:space="preserve"> I </w:t>
      </w:r>
      <w:r w:rsidR="00EA49A9">
        <w:rPr>
          <w:rFonts w:eastAsia="DejaVuSans" w:cs="DejaVuSans"/>
        </w:rPr>
        <w:t xml:space="preserve">in </w:t>
      </w:r>
      <w:proofErr w:type="spellStart"/>
      <w:r w:rsidR="00EA49A9" w:rsidRPr="00A8302B">
        <w:rPr>
          <w:rFonts w:eastAsia="DejaVuSans" w:cs="DejaVuSans"/>
        </w:rPr>
        <w:t>angiotensina</w:t>
      </w:r>
      <w:proofErr w:type="spellEnd"/>
      <w:r w:rsidR="00EA49A9" w:rsidRPr="00A8302B">
        <w:rPr>
          <w:rFonts w:eastAsia="DejaVuSans" w:cs="DejaVuSans"/>
        </w:rPr>
        <w:t xml:space="preserve"> II</w:t>
      </w:r>
      <w:r w:rsidR="00EA49A9">
        <w:rPr>
          <w:rFonts w:eastAsia="DejaVuSans" w:cs="DejaVuSans"/>
        </w:rPr>
        <w:t xml:space="preserve">, </w:t>
      </w:r>
      <w:r w:rsidR="00EA49A9" w:rsidRPr="00A8302B">
        <w:rPr>
          <w:rFonts w:eastAsia="DejaVuSans" w:cs="DejaVuSans"/>
        </w:rPr>
        <w:t>sostanza ad attività vasocostrittrice</w:t>
      </w:r>
      <w:r w:rsidR="00EA49A9">
        <w:rPr>
          <w:rFonts w:eastAsia="DejaVuSans" w:cs="DejaVuSans"/>
        </w:rPr>
        <w:t>,</w:t>
      </w:r>
      <w:r w:rsidR="00A05AC7">
        <w:rPr>
          <w:rFonts w:eastAsia="DejaVuSans" w:cs="DejaVuSans"/>
        </w:rPr>
        <w:t xml:space="preserve"> </w:t>
      </w:r>
      <w:r w:rsidR="00EA49A9">
        <w:rPr>
          <w:rFonts w:eastAsia="DejaVuSans" w:cs="DejaVuSans"/>
        </w:rPr>
        <w:t xml:space="preserve">e la degradazione della bradichinina, una sostanza ad azione </w:t>
      </w:r>
      <w:proofErr w:type="spellStart"/>
      <w:r w:rsidR="00EA49A9">
        <w:rPr>
          <w:rFonts w:eastAsia="DejaVuSans" w:cs="DejaVuSans"/>
        </w:rPr>
        <w:t>vasodilatatrice</w:t>
      </w:r>
      <w:proofErr w:type="spellEnd"/>
      <w:r w:rsidR="00EA49A9">
        <w:rPr>
          <w:rFonts w:eastAsia="DejaVuSans" w:cs="DejaVuSans"/>
        </w:rPr>
        <w:t xml:space="preserve">: la ridotta formazione di </w:t>
      </w:r>
      <w:proofErr w:type="spellStart"/>
      <w:r w:rsidR="00EA49A9">
        <w:rPr>
          <w:rFonts w:eastAsia="DejaVuSans" w:cs="DejaVuSans"/>
        </w:rPr>
        <w:t>angiotensina</w:t>
      </w:r>
      <w:proofErr w:type="spellEnd"/>
      <w:r w:rsidR="00EA49A9">
        <w:rPr>
          <w:rFonts w:eastAsia="DejaVuSans" w:cs="DejaVuSans"/>
        </w:rPr>
        <w:t xml:space="preserve"> II e livelli più elevati di bradichinina comportano vasodilatazione e un abbassamento della pressione del sangue.</w:t>
      </w:r>
    </w:p>
    <w:p w:rsidR="00EA49A9" w:rsidRPr="007E00D8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DejaVuSans" w:cs="DejaVuSans"/>
        </w:rPr>
        <w:t>Idroclorotiazide</w:t>
      </w:r>
      <w:proofErr w:type="spellEnd"/>
      <w:r w:rsidR="00EA49A9" w:rsidRPr="007E00D8">
        <w:rPr>
          <w:rFonts w:eastAsia="DejaVuSans" w:cs="DejaVuSans"/>
        </w:rPr>
        <w:t xml:space="preserve"> è una sostanza con attività diuretica: inibisce il riassorbimento attivo di sodio e, quindi, favorisce l’escrezione di sodio, cloro e acqua; aumentando il volume dei liquidi escreti dal rene, contribuisce alla riduzione della pressione arteriosa.</w:t>
      </w:r>
    </w:p>
    <w:p w:rsidR="00EA49A9" w:rsidRDefault="00EA49A9" w:rsidP="00EA49A9">
      <w:pPr>
        <w:suppressAutoHyphens/>
        <w:spacing w:after="0" w:line="240" w:lineRule="auto"/>
        <w:jc w:val="both"/>
      </w:pPr>
    </w:p>
    <w:p w:rsidR="00EA49A9" w:rsidRPr="00140D5A" w:rsidRDefault="00EA49A9" w:rsidP="00EA49A9">
      <w:pPr>
        <w:suppressAutoHyphens/>
        <w:spacing w:after="0" w:line="240" w:lineRule="auto"/>
        <w:jc w:val="both"/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165615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165615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Pr="00490A67">
        <w:rPr>
          <w:rFonts w:cs="Calibri"/>
          <w:b/>
          <w:bCs/>
          <w:lang w:eastAsia="it-IT"/>
        </w:rPr>
        <w:t xml:space="preserve">? </w:t>
      </w:r>
    </w:p>
    <w:p w:rsidR="0090259E" w:rsidRPr="004954F4" w:rsidRDefault="0090259E" w:rsidP="0090259E">
      <w:pPr>
        <w:spacing w:after="0" w:line="240" w:lineRule="auto"/>
        <w:jc w:val="both"/>
        <w:rPr>
          <w:rFonts w:cs="Arial"/>
        </w:rPr>
      </w:pPr>
      <w:r w:rsidRPr="004954F4">
        <w:rPr>
          <w:rFonts w:cs="Arial"/>
        </w:rPr>
        <w:t xml:space="preserve">Poiché </w:t>
      </w:r>
      <w:proofErr w:type="spellStart"/>
      <w:r>
        <w:rPr>
          <w:iCs/>
        </w:rPr>
        <w:t>Zofenopril</w:t>
      </w:r>
      <w:proofErr w:type="spellEnd"/>
      <w:r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Pr="00880DE6">
        <w:rPr>
          <w:rFonts w:cs="Arial"/>
        </w:rPr>
        <w:t xml:space="preserve"> </w:t>
      </w:r>
      <w:r w:rsidR="00157E75">
        <w:rPr>
          <w:rFonts w:cs="Arial"/>
        </w:rPr>
        <w:t>EG</w:t>
      </w:r>
      <w:r w:rsidRPr="00880DE6">
        <w:rPr>
          <w:rFonts w:cs="Arial"/>
        </w:rPr>
        <w:t xml:space="preserve"> </w:t>
      </w:r>
      <w:r w:rsidRPr="004954F4">
        <w:rPr>
          <w:rFonts w:cs="Arial"/>
        </w:rPr>
        <w:t>è un medicinale generico, è stato sufficiente effettuare prove cliniche per determinare</w:t>
      </w:r>
      <w:r w:rsidRPr="004954F4">
        <w:rPr>
          <w:rFonts w:cs="Arial"/>
          <w:b/>
        </w:rPr>
        <w:t xml:space="preserve"> </w:t>
      </w:r>
      <w:r w:rsidRPr="004954F4">
        <w:rPr>
          <w:rFonts w:cs="Arial"/>
        </w:rPr>
        <w:t xml:space="preserve">la bioequivalenza rispetto al medicinale di riferimento </w:t>
      </w:r>
      <w:proofErr w:type="spellStart"/>
      <w:r w:rsidRPr="004954F4">
        <w:rPr>
          <w:rFonts w:cs="Arial"/>
        </w:rPr>
        <w:t>B</w:t>
      </w:r>
      <w:r>
        <w:rPr>
          <w:rFonts w:cs="Arial"/>
        </w:rPr>
        <w:t>ifrizide</w:t>
      </w:r>
      <w:proofErr w:type="spellEnd"/>
      <w:r w:rsidRPr="004954F4">
        <w:rPr>
          <w:rFonts w:cs="Arial"/>
        </w:rPr>
        <w:t xml:space="preserve">. Due medicinali sono </w:t>
      </w:r>
      <w:proofErr w:type="spellStart"/>
      <w:r w:rsidRPr="004954F4">
        <w:rPr>
          <w:rFonts w:cs="Arial"/>
        </w:rPr>
        <w:t>bioequivalenti</w:t>
      </w:r>
      <w:proofErr w:type="spellEnd"/>
      <w:r w:rsidRPr="004954F4">
        <w:rPr>
          <w:rFonts w:cs="Arial"/>
        </w:rPr>
        <w:t xml:space="preserve"> quando producono gli stessi livelli di principio attivo nell’organismo. </w:t>
      </w:r>
    </w:p>
    <w:p w:rsidR="0090259E" w:rsidRPr="00880DE6" w:rsidRDefault="0090259E" w:rsidP="00EA49A9">
      <w:pPr>
        <w:spacing w:after="0" w:line="240" w:lineRule="auto"/>
        <w:jc w:val="both"/>
        <w:rPr>
          <w:rFonts w:cs="Arial"/>
        </w:rPr>
      </w:pPr>
    </w:p>
    <w:p w:rsidR="00EA49A9" w:rsidRPr="00490A67" w:rsidRDefault="00EA49A9" w:rsidP="00EA49A9">
      <w:pPr>
        <w:spacing w:after="0" w:line="240" w:lineRule="auto"/>
        <w:jc w:val="both"/>
        <w:rPr>
          <w:rFonts w:cs="Calibri"/>
          <w:lang w:eastAsia="it-IT"/>
        </w:rPr>
      </w:pPr>
    </w:p>
    <w:p w:rsidR="00EA49A9" w:rsidRPr="00880DE6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Pr="00880DE6">
        <w:rPr>
          <w:rFonts w:cs="Calibri"/>
          <w:b/>
          <w:lang w:eastAsia="it-IT"/>
        </w:rPr>
        <w:t>?</w:t>
      </w:r>
    </w:p>
    <w:p w:rsidR="00EA49A9" w:rsidRPr="00880DE6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iCs/>
        </w:rPr>
        <w:t>Zofenopril</w:t>
      </w:r>
      <w:proofErr w:type="spellEnd"/>
      <w:r w:rsidR="00165615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165615" w:rsidRPr="00880DE6">
        <w:rPr>
          <w:rFonts w:cs="Arial"/>
        </w:rPr>
        <w:t xml:space="preserve"> </w:t>
      </w:r>
      <w:r w:rsidR="00157E75">
        <w:rPr>
          <w:rFonts w:cs="Calibri"/>
          <w:bCs/>
          <w:color w:val="000000"/>
          <w:lang w:eastAsia="it-IT"/>
        </w:rPr>
        <w:t>EG</w:t>
      </w:r>
      <w:r w:rsidR="00165615">
        <w:rPr>
          <w:rFonts w:cs="Calibri"/>
          <w:bCs/>
          <w:color w:val="000000"/>
          <w:lang w:eastAsia="it-IT"/>
        </w:rPr>
        <w:t xml:space="preserve"> </w:t>
      </w:r>
      <w:r w:rsidR="00EA49A9" w:rsidRPr="00880DE6">
        <w:rPr>
          <w:rFonts w:cs="Calibri"/>
          <w:lang w:eastAsia="it-IT"/>
        </w:rPr>
        <w:t xml:space="preserve">è un medicinale generico ed è </w:t>
      </w:r>
      <w:proofErr w:type="spellStart"/>
      <w:r w:rsidR="0090259E">
        <w:rPr>
          <w:rFonts w:cs="Calibri"/>
          <w:lang w:eastAsia="it-IT"/>
        </w:rPr>
        <w:t>bioequivalente</w:t>
      </w:r>
      <w:proofErr w:type="spellEnd"/>
      <w:r w:rsidR="00EA49A9" w:rsidRPr="00880DE6">
        <w:rPr>
          <w:rFonts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b/>
          <w:bCs/>
          <w:lang w:eastAsia="it-IT"/>
        </w:rPr>
        <w:t xml:space="preserve">6) PERCHE’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="00A05AC7">
        <w:rPr>
          <w:rFonts w:cs="Calibri"/>
          <w:b/>
          <w:bCs/>
          <w:color w:val="000000"/>
          <w:lang w:eastAsia="it-IT"/>
        </w:rPr>
        <w:t xml:space="preserve"> </w:t>
      </w:r>
      <w:r w:rsidRPr="00490A67">
        <w:rPr>
          <w:rFonts w:cs="Calibri"/>
          <w:b/>
          <w:bCs/>
          <w:lang w:eastAsia="it-IT"/>
        </w:rPr>
        <w:t xml:space="preserve">E’ STATO APPROVATO? </w:t>
      </w: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lang w:eastAsia="it-IT"/>
        </w:rPr>
        <w:t xml:space="preserve">La </w:t>
      </w:r>
      <w:r w:rsidRPr="00490A67">
        <w:rPr>
          <w:rFonts w:cs="Calibri"/>
          <w:color w:val="000000"/>
          <w:lang w:eastAsia="it-IT"/>
        </w:rPr>
        <w:t>Commissione Tecnico-Scientifica (CTS)</w:t>
      </w:r>
      <w:r w:rsidR="0090259E">
        <w:rPr>
          <w:rFonts w:cs="Calibri"/>
          <w:color w:val="000000"/>
          <w:lang w:eastAsia="it-IT"/>
        </w:rPr>
        <w:t>,</w:t>
      </w:r>
      <w:r w:rsidRPr="00490A67">
        <w:rPr>
          <w:rFonts w:cs="Calibri"/>
          <w:color w:val="000000"/>
          <w:lang w:eastAsia="it-IT"/>
        </w:rPr>
        <w:t xml:space="preserve"> </w:t>
      </w:r>
      <w:r w:rsidR="0090259E" w:rsidRPr="004954F4">
        <w:rPr>
          <w:rFonts w:cs="Calibri"/>
          <w:lang w:eastAsia="it-IT"/>
        </w:rPr>
        <w:t>nella seduta del</w:t>
      </w:r>
      <w:r w:rsidR="0090259E" w:rsidRPr="00490A67">
        <w:rPr>
          <w:rFonts w:cs="Calibri"/>
          <w:lang w:eastAsia="it-IT"/>
        </w:rPr>
        <w:t xml:space="preserve"> </w:t>
      </w:r>
      <w:r w:rsidR="00584845" w:rsidRPr="00BE603B">
        <w:rPr>
          <w:bCs/>
        </w:rPr>
        <w:t>10</w:t>
      </w:r>
      <w:r w:rsidR="003A3569">
        <w:rPr>
          <w:bCs/>
        </w:rPr>
        <w:t>-</w:t>
      </w:r>
      <w:r w:rsidR="00584845" w:rsidRPr="00BE603B">
        <w:rPr>
          <w:bCs/>
        </w:rPr>
        <w:t>12 ottobre 2016</w:t>
      </w:r>
      <w:r w:rsidR="00584845">
        <w:rPr>
          <w:bCs/>
        </w:rPr>
        <w:t xml:space="preserve">, </w:t>
      </w:r>
      <w:r w:rsidRPr="00490A67">
        <w:rPr>
          <w:rFonts w:cs="Calibri"/>
          <w:lang w:eastAsia="it-IT"/>
        </w:rPr>
        <w:t xml:space="preserve">ha concluso che, conformemente ai requisiti della normativa vigente, </w:t>
      </w:r>
      <w:r w:rsidRPr="00880DE6">
        <w:rPr>
          <w:rFonts w:cs="Calibri"/>
          <w:lang w:eastAsia="it-IT"/>
        </w:rPr>
        <w:t xml:space="preserve">come nel caso del medicinale di riferimento </w:t>
      </w:r>
      <w:proofErr w:type="spellStart"/>
      <w:r w:rsidR="00584845">
        <w:rPr>
          <w:rFonts w:cs="Calibri"/>
          <w:lang w:eastAsia="it-IT"/>
        </w:rPr>
        <w:t>Bifrizide</w:t>
      </w:r>
      <w:proofErr w:type="spellEnd"/>
      <w:r w:rsidRPr="00880DE6">
        <w:rPr>
          <w:rFonts w:cs="Calibri"/>
          <w:lang w:eastAsia="it-IT"/>
        </w:rPr>
        <w:t xml:space="preserve">, </w:t>
      </w:r>
      <w:r w:rsidRPr="00490A67">
        <w:rPr>
          <w:rFonts w:cs="Calibri"/>
          <w:lang w:eastAsia="it-IT"/>
        </w:rPr>
        <w:t xml:space="preserve">i benefici di </w:t>
      </w:r>
      <w:proofErr w:type="spellStart"/>
      <w:r w:rsidR="00FA5DB1">
        <w:rPr>
          <w:rFonts w:cs="Calibri"/>
          <w:bCs/>
          <w:color w:val="000000"/>
          <w:lang w:eastAsia="it-IT"/>
        </w:rPr>
        <w:t>Zofenopril</w:t>
      </w:r>
      <w:proofErr w:type="spellEnd"/>
      <w:r>
        <w:rPr>
          <w:rFonts w:cs="Calibri"/>
          <w:bCs/>
          <w:color w:val="000000"/>
          <w:lang w:eastAsia="it-IT"/>
        </w:rPr>
        <w:t xml:space="preserve"> e </w:t>
      </w:r>
      <w:proofErr w:type="spellStart"/>
      <w:r>
        <w:rPr>
          <w:rFonts w:cs="Calibri"/>
          <w:bCs/>
          <w:color w:val="000000"/>
          <w:lang w:eastAsia="it-IT"/>
        </w:rPr>
        <w:t>idrocloritiazide</w:t>
      </w:r>
      <w:proofErr w:type="spellEnd"/>
      <w:r w:rsidRPr="00490A67">
        <w:rPr>
          <w:rFonts w:cs="Calibri"/>
          <w:bCs/>
          <w:color w:val="000000"/>
          <w:lang w:eastAsia="it-IT"/>
        </w:rPr>
        <w:t xml:space="preserve"> </w:t>
      </w:r>
      <w:r w:rsidR="00157E75">
        <w:rPr>
          <w:rFonts w:cs="Calibri"/>
          <w:bCs/>
          <w:color w:val="000000"/>
          <w:lang w:eastAsia="it-IT"/>
        </w:rPr>
        <w:t>EG</w:t>
      </w:r>
      <w:r w:rsidRPr="00490A67">
        <w:rPr>
          <w:rFonts w:cs="Calibri"/>
          <w:lang w:eastAsia="it-IT"/>
        </w:rPr>
        <w:t xml:space="preserve"> sono superiori ai rischi individuati. L</w:t>
      </w:r>
      <w:r>
        <w:rPr>
          <w:rFonts w:cs="Calibri"/>
          <w:lang w:eastAsia="it-IT"/>
        </w:rPr>
        <w:t>a</w:t>
      </w:r>
      <w:r w:rsidR="00A05AC7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 xml:space="preserve">CTS </w:t>
      </w:r>
      <w:r w:rsidRPr="00490A67">
        <w:rPr>
          <w:rFonts w:cs="Calibri"/>
          <w:lang w:eastAsia="it-IT"/>
        </w:rPr>
        <w:t xml:space="preserve">ha, inoltre, definito le modalità di prescrizione di cui al punto 2) di questo Riassunto e la classe di rimborsabilità del medicinale </w:t>
      </w:r>
      <w:r w:rsidRPr="00F2747E">
        <w:rPr>
          <w:rFonts w:cs="Calibri"/>
          <w:lang w:eastAsia="it-IT"/>
        </w:rPr>
        <w:t>(A).</w:t>
      </w:r>
      <w:r w:rsidRPr="00490A67">
        <w:rPr>
          <w:rFonts w:cs="Calibri"/>
          <w:lang w:eastAsia="it-IT"/>
        </w:rPr>
        <w:t xml:space="preserve"> </w:t>
      </w:r>
    </w:p>
    <w:p w:rsidR="004241AC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EA49A9" w:rsidRPr="00140D5A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40D5A">
        <w:rPr>
          <w:rFonts w:cs="Calibri"/>
          <w:b/>
          <w:bCs/>
          <w:lang w:eastAsia="it-IT"/>
        </w:rPr>
        <w:t>DI</w:t>
      </w:r>
      <w:proofErr w:type="spellEnd"/>
      <w:r w:rsidRPr="00140D5A">
        <w:rPr>
          <w:rFonts w:cs="Calibri"/>
          <w:b/>
          <w:bCs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  <w:r w:rsidRPr="00140D5A">
        <w:rPr>
          <w:rFonts w:cs="Calibri"/>
          <w:b/>
          <w:bCs/>
          <w:color w:val="000000"/>
          <w:lang w:eastAsia="it-IT"/>
        </w:rPr>
        <w:t>?</w:t>
      </w:r>
    </w:p>
    <w:p w:rsidR="004241AC" w:rsidRDefault="00F735B2" w:rsidP="00140D5A">
      <w:pPr>
        <w:tabs>
          <w:tab w:val="left" w:pos="4536"/>
        </w:tabs>
        <w:spacing w:after="0" w:line="240" w:lineRule="auto"/>
        <w:jc w:val="both"/>
      </w:pPr>
      <w:r w:rsidRPr="00B44402">
        <w:rPr>
          <w:rFonts w:cs="Calibri"/>
          <w:lang w:eastAsia="it-IT"/>
        </w:rPr>
        <w:t>I</w:t>
      </w:r>
      <w:r w:rsidRPr="00B44402">
        <w:t>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A05AC7">
        <w:t xml:space="preserve"> </w:t>
      </w:r>
      <w:proofErr w:type="spellStart"/>
      <w:r w:rsidR="00FA5DB1">
        <w:t>Zofenopril</w:t>
      </w:r>
      <w:proofErr w:type="spellEnd"/>
      <w:r w:rsidR="00FA48DF" w:rsidRPr="00B44402">
        <w:t xml:space="preserve"> e </w:t>
      </w:r>
      <w:proofErr w:type="spellStart"/>
      <w:r w:rsidR="00FA5DB1">
        <w:t>Idroclorotiazide</w:t>
      </w:r>
      <w:proofErr w:type="spellEnd"/>
      <w:r w:rsidR="00FA48DF" w:rsidRPr="00B44402">
        <w:t xml:space="preserve"> </w:t>
      </w:r>
      <w:r w:rsidR="00157E75">
        <w:t>EG</w:t>
      </w:r>
      <w:r w:rsidR="004241AC" w:rsidRPr="00B44402">
        <w:t>.</w:t>
      </w:r>
    </w:p>
    <w:p w:rsidR="00EA49A9" w:rsidRDefault="00EA49A9" w:rsidP="00140D5A">
      <w:pPr>
        <w:tabs>
          <w:tab w:val="left" w:pos="4536"/>
        </w:tabs>
        <w:spacing w:after="0" w:line="240" w:lineRule="auto"/>
        <w:jc w:val="both"/>
      </w:pPr>
      <w:bookmarkStart w:id="1" w:name="_GoBack"/>
      <w:bookmarkEnd w:id="1"/>
    </w:p>
    <w:p w:rsidR="00EA49A9" w:rsidRPr="00140D5A" w:rsidRDefault="00EA49A9" w:rsidP="00140D5A">
      <w:pPr>
        <w:tabs>
          <w:tab w:val="left" w:pos="4536"/>
        </w:tabs>
        <w:spacing w:after="0" w:line="240" w:lineRule="auto"/>
        <w:jc w:val="both"/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57E75">
        <w:rPr>
          <w:rFonts w:cs="Calibri"/>
          <w:b/>
          <w:bCs/>
          <w:color w:val="000000"/>
          <w:lang w:eastAsia="it-IT"/>
        </w:rPr>
        <w:t>EG</w:t>
      </w:r>
    </w:p>
    <w:p w:rsidR="004241AC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F2747E">
        <w:rPr>
          <w:rFonts w:cs="Calibri"/>
          <w:bCs/>
          <w:iCs/>
          <w:lang w:eastAsia="it-IT"/>
        </w:rPr>
        <w:t>Il</w:t>
      </w:r>
      <w:r w:rsidR="000F5679">
        <w:rPr>
          <w:rFonts w:cs="Calibri"/>
          <w:bCs/>
          <w:iCs/>
          <w:lang w:eastAsia="it-IT"/>
        </w:rPr>
        <w:t xml:space="preserve"> 22 maggio 2017</w:t>
      </w:r>
      <w:r w:rsidRPr="00F2747E">
        <w:rPr>
          <w:rFonts w:cs="Calibri"/>
          <w:bCs/>
          <w:iCs/>
          <w:lang w:eastAsia="it-IT"/>
        </w:rPr>
        <w:t xml:space="preserve"> </w:t>
      </w:r>
      <w:r w:rsidR="00897CAF" w:rsidRPr="00F2747E">
        <w:rPr>
          <w:rFonts w:cs="Calibri"/>
          <w:bCs/>
          <w:iCs/>
          <w:lang w:eastAsia="it-IT"/>
        </w:rPr>
        <w:t>l’AIFA</w:t>
      </w:r>
      <w:r w:rsidR="004241AC" w:rsidRPr="00F2747E">
        <w:rPr>
          <w:rFonts w:cs="Calibri"/>
          <w:bCs/>
          <w:iCs/>
          <w:lang w:eastAsia="it-IT"/>
        </w:rPr>
        <w:t xml:space="preserve"> ha rilasciato l’autorizzazione all’immissione in commercio</w:t>
      </w:r>
      <w:r w:rsidR="00DE4DC3" w:rsidRPr="00F2747E">
        <w:rPr>
          <w:rFonts w:cs="Calibri"/>
          <w:bCs/>
          <w:iCs/>
          <w:lang w:eastAsia="it-IT"/>
        </w:rPr>
        <w:t xml:space="preserve"> </w:t>
      </w:r>
      <w:r w:rsidR="004241AC" w:rsidRPr="00F2747E">
        <w:rPr>
          <w:rFonts w:cs="Calibri"/>
          <w:bCs/>
          <w:iCs/>
          <w:lang w:eastAsia="it-IT"/>
        </w:rPr>
        <w:t xml:space="preserve">di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F2747E">
        <w:rPr>
          <w:rFonts w:cs="Calibri"/>
          <w:color w:val="000000"/>
          <w:lang w:eastAsia="it-IT"/>
        </w:rPr>
        <w:t xml:space="preserve"> e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57E75">
        <w:rPr>
          <w:rFonts w:cs="Calibri"/>
          <w:color w:val="000000"/>
          <w:lang w:eastAsia="it-IT"/>
        </w:rPr>
        <w:t>EG</w:t>
      </w:r>
      <w:r w:rsidR="004241AC" w:rsidRPr="00140D5A">
        <w:rPr>
          <w:rFonts w:cs="Calibri"/>
          <w:bCs/>
          <w:lang w:eastAsia="it-IT"/>
        </w:rPr>
        <w:t xml:space="preserve">. </w:t>
      </w:r>
    </w:p>
    <w:p w:rsidR="00EA49A9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t>La Relazione Pubblica di Valutazione completa segue questo Riassunto</w:t>
      </w:r>
      <w:r>
        <w:rPr>
          <w:rFonts w:cs="Calibri"/>
          <w:lang w:eastAsia="it-IT"/>
        </w:rPr>
        <w:t>.</w:t>
      </w:r>
    </w:p>
    <w:p w:rsidR="004241AC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57E75">
        <w:rPr>
          <w:rFonts w:cs="Calibri"/>
          <w:color w:val="000000"/>
          <w:lang w:eastAsia="it-IT"/>
        </w:rPr>
        <w:t>EG</w:t>
      </w:r>
      <w:r w:rsidRPr="00140D5A">
        <w:rPr>
          <w:rFonts w:cs="Calibri"/>
          <w:bCs/>
          <w:color w:val="000000"/>
          <w:lang w:eastAsia="it-IT"/>
        </w:rPr>
        <w:t xml:space="preserve">, </w:t>
      </w:r>
      <w:r w:rsidRPr="00140D5A">
        <w:rPr>
          <w:rFonts w:cs="Calibri"/>
          <w:lang w:eastAsia="it-IT"/>
        </w:rPr>
        <w:t>si può leggere il foglio illustrativo</w:t>
      </w:r>
      <w:r w:rsidR="00B51E65" w:rsidRPr="00140D5A">
        <w:rPr>
          <w:rFonts w:cs="Calibri"/>
          <w:lang w:eastAsia="it-IT"/>
        </w:rPr>
        <w:t>(</w:t>
      </w:r>
      <w:hyperlink r:id="rId7" w:history="1">
        <w:r w:rsidR="00B51E65" w:rsidRPr="00140D5A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B51E65" w:rsidRPr="00140D5A">
        <w:rPr>
          <w:rFonts w:cs="Calibri"/>
          <w:lang w:eastAsia="it-IT"/>
        </w:rPr>
        <w:t>)</w:t>
      </w:r>
      <w:r w:rsidRPr="00140D5A">
        <w:rPr>
          <w:rFonts w:cs="Calibri"/>
          <w:lang w:eastAsia="it-IT"/>
        </w:rPr>
        <w:t xml:space="preserve"> o contattare il medico</w:t>
      </w:r>
      <w:r w:rsidR="00FB1334" w:rsidRPr="00140D5A">
        <w:rPr>
          <w:rFonts w:cs="Calibri"/>
          <w:lang w:eastAsia="it-IT"/>
        </w:rPr>
        <w:t xml:space="preserve"> o il farmacista</w:t>
      </w:r>
      <w:r w:rsidRPr="00140D5A">
        <w:rPr>
          <w:rFonts w:cs="Calibri"/>
          <w:lang w:eastAsia="it-IT"/>
        </w:rPr>
        <w:t xml:space="preserve">. </w:t>
      </w:r>
    </w:p>
    <w:p w:rsidR="000F5679" w:rsidRDefault="000F5679" w:rsidP="00EA49A9">
      <w:pPr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spacing w:after="0" w:line="240" w:lineRule="auto"/>
        <w:jc w:val="both"/>
        <w:rPr>
          <w:rFonts w:cs="Calibri"/>
          <w:color w:val="FF0000"/>
          <w:lang w:eastAsia="it-IT"/>
        </w:rPr>
      </w:pPr>
      <w:r w:rsidRPr="00490A67">
        <w:rPr>
          <w:rFonts w:cs="Calibri"/>
          <w:lang w:eastAsia="it-IT"/>
        </w:rPr>
        <w:t xml:space="preserve">Questo riassunto è stato redatto in data </w:t>
      </w:r>
      <w:r w:rsidR="00584845">
        <w:rPr>
          <w:rFonts w:cs="Calibri"/>
          <w:lang w:eastAsia="it-IT"/>
        </w:rPr>
        <w:t>02.12.2016</w:t>
      </w:r>
    </w:p>
    <w:p w:rsidR="003A3569" w:rsidRDefault="003A3569" w:rsidP="00140D5A">
      <w:pPr>
        <w:spacing w:after="0" w:line="240" w:lineRule="auto"/>
        <w:jc w:val="center"/>
        <w:rPr>
          <w:b/>
        </w:rPr>
      </w:pPr>
    </w:p>
    <w:p w:rsidR="00A05AC7" w:rsidRDefault="00A05AC7" w:rsidP="00140D5A">
      <w:pPr>
        <w:spacing w:after="0" w:line="240" w:lineRule="auto"/>
        <w:jc w:val="center"/>
        <w:rPr>
          <w:b/>
        </w:rPr>
      </w:pPr>
    </w:p>
    <w:p w:rsidR="000F5679" w:rsidRDefault="000F5679" w:rsidP="00140D5A">
      <w:pPr>
        <w:spacing w:after="0" w:line="240" w:lineRule="auto"/>
        <w:jc w:val="center"/>
        <w:rPr>
          <w:b/>
        </w:rPr>
      </w:pPr>
    </w:p>
    <w:p w:rsidR="00F00552" w:rsidRPr="00EA49A9" w:rsidRDefault="00F00552" w:rsidP="00140D5A">
      <w:pPr>
        <w:spacing w:after="0" w:line="240" w:lineRule="auto"/>
        <w:jc w:val="center"/>
        <w:rPr>
          <w:b/>
          <w:sz w:val="28"/>
        </w:rPr>
      </w:pPr>
      <w:r w:rsidRPr="00EA49A9">
        <w:rPr>
          <w:b/>
          <w:sz w:val="28"/>
        </w:rPr>
        <w:t xml:space="preserve">RELAZIONE PUBBLICA </w:t>
      </w:r>
      <w:proofErr w:type="spellStart"/>
      <w:r w:rsidRPr="00EA49A9">
        <w:rPr>
          <w:b/>
          <w:sz w:val="28"/>
        </w:rPr>
        <w:t>DI</w:t>
      </w:r>
      <w:proofErr w:type="spellEnd"/>
      <w:r w:rsidRPr="00EA49A9">
        <w:rPr>
          <w:b/>
          <w:sz w:val="28"/>
        </w:rPr>
        <w:t xml:space="preserve"> VALUTAZIONE</w:t>
      </w:r>
    </w:p>
    <w:p w:rsidR="00F00552" w:rsidRPr="00140D5A" w:rsidRDefault="00F00552" w:rsidP="00140D5A">
      <w:pPr>
        <w:spacing w:after="0" w:line="240" w:lineRule="auto"/>
        <w:jc w:val="center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t>INDICE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INTRODUZIONE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 xml:space="preserve">ASPETTI </w:t>
      </w:r>
      <w:proofErr w:type="spellStart"/>
      <w:r w:rsidRPr="00140D5A">
        <w:rPr>
          <w:b/>
        </w:rPr>
        <w:t>DI</w:t>
      </w:r>
      <w:proofErr w:type="spellEnd"/>
      <w:r w:rsidRPr="00140D5A">
        <w:rPr>
          <w:b/>
        </w:rPr>
        <w:t xml:space="preserve"> QUALITA’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NON CLINICI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CLINICI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CONSULTAZIONE SUL FOGLIO ILLUSTRATIVO</w:t>
      </w:r>
    </w:p>
    <w:p w:rsidR="00F00552" w:rsidRPr="00140D5A" w:rsidRDefault="00F00552" w:rsidP="00140D5A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CONCLUSIONI, VALUTAZIONE DEL RAPPORTO BENEFICIO/RISCHIO E RACCOMANDAZIONI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277324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277324">
        <w:rPr>
          <w:b/>
        </w:rPr>
        <w:lastRenderedPageBreak/>
        <w:t>INTRODUZIONE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 xml:space="preserve">Sulla base dei dati di qualità, sicurezza ed efficacia, l’AIFA ha rilasciato a </w:t>
      </w:r>
      <w:r w:rsidR="00157E75">
        <w:rPr>
          <w:rFonts w:cs="Calibri"/>
          <w:color w:val="000000"/>
          <w:lang w:eastAsia="it-IT"/>
        </w:rPr>
        <w:t>EG</w:t>
      </w:r>
      <w:r w:rsidRPr="00140D5A">
        <w:rPr>
          <w:rFonts w:cs="Calibri"/>
          <w:color w:val="000000"/>
          <w:lang w:eastAsia="it-IT"/>
        </w:rPr>
        <w:t xml:space="preserve"> l’autorizzazione all’immissione in commercio (AIC) del medicinale </w:t>
      </w:r>
      <w:proofErr w:type="spellStart"/>
      <w:r w:rsidR="00FA5DB1">
        <w:t>Zofenopril</w:t>
      </w:r>
      <w:proofErr w:type="spellEnd"/>
      <w:r w:rsidRPr="00140D5A">
        <w:t xml:space="preserve"> e </w:t>
      </w:r>
      <w:proofErr w:type="spellStart"/>
      <w:r w:rsidR="00FA5DB1">
        <w:t>Idroclorotiazide</w:t>
      </w:r>
      <w:proofErr w:type="spellEnd"/>
      <w:r w:rsidRPr="00140D5A">
        <w:t xml:space="preserve"> </w:t>
      </w:r>
      <w:r w:rsidR="00157E75">
        <w:t>EG</w:t>
      </w:r>
      <w:r w:rsidR="00DE4DC3" w:rsidRPr="00F2747E">
        <w:t xml:space="preserve"> </w:t>
      </w:r>
      <w:r w:rsidRPr="00F2747E">
        <w:rPr>
          <w:rFonts w:cs="Calibri"/>
          <w:color w:val="000000"/>
          <w:lang w:eastAsia="it-IT"/>
        </w:rPr>
        <w:t>il</w:t>
      </w:r>
      <w:r w:rsidR="00F2747E" w:rsidRPr="00F2747E">
        <w:rPr>
          <w:rFonts w:cs="Calibri"/>
          <w:color w:val="000000"/>
          <w:lang w:eastAsia="it-IT"/>
        </w:rPr>
        <w:t xml:space="preserve"> </w:t>
      </w:r>
      <w:r w:rsidR="000F5679">
        <w:rPr>
          <w:rFonts w:cs="Calibri"/>
          <w:bCs/>
          <w:iCs/>
          <w:lang w:eastAsia="it-IT"/>
        </w:rPr>
        <w:t>22 maggio 2017</w:t>
      </w:r>
      <w:r w:rsidR="00F2747E" w:rsidRPr="00F2747E">
        <w:rPr>
          <w:rFonts w:cs="Calibri"/>
          <w:bCs/>
          <w:iCs/>
          <w:lang w:eastAsia="it-IT"/>
        </w:rPr>
        <w:t>.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F00552" w:rsidRPr="00140D5A" w:rsidRDefault="00FA5DB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t>Zofenopril</w:t>
      </w:r>
      <w:proofErr w:type="spellEnd"/>
      <w:r w:rsidR="00F00552" w:rsidRPr="00140D5A">
        <w:t xml:space="preserve"> e </w:t>
      </w:r>
      <w:proofErr w:type="spellStart"/>
      <w:r>
        <w:t>Idroclorotiazide</w:t>
      </w:r>
      <w:proofErr w:type="spellEnd"/>
      <w:r w:rsidR="00F00552" w:rsidRPr="00140D5A">
        <w:t xml:space="preserve"> </w:t>
      </w:r>
      <w:r w:rsidR="00157E75">
        <w:t>EG</w:t>
      </w:r>
      <w:r w:rsidR="00F00552" w:rsidRPr="00140D5A">
        <w:rPr>
          <w:rFonts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Questa procedura è stata presentata ai sensi dell’art. 10(1) della Direttiva 2001/83/EU </w:t>
      </w:r>
      <w:proofErr w:type="spellStart"/>
      <w:r w:rsidRPr="00140D5A">
        <w:t>s.m.i.</w:t>
      </w:r>
      <w:proofErr w:type="spellEnd"/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F00552" w:rsidRPr="00140D5A" w:rsidRDefault="00FA5DB1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t>Zofenopril</w:t>
      </w:r>
      <w:proofErr w:type="spellEnd"/>
      <w:r w:rsidR="00F00552" w:rsidRPr="00140D5A">
        <w:t xml:space="preserve"> e </w:t>
      </w:r>
      <w:proofErr w:type="spellStart"/>
      <w:r>
        <w:t>Idroclorotiazide</w:t>
      </w:r>
      <w:proofErr w:type="spellEnd"/>
      <w:r w:rsidR="00F00552" w:rsidRPr="00140D5A">
        <w:t xml:space="preserve"> </w:t>
      </w:r>
      <w:r w:rsidR="00157E75">
        <w:t>EG</w:t>
      </w:r>
      <w:r w:rsidR="00F00552" w:rsidRPr="00140D5A">
        <w:rPr>
          <w:rFonts w:cs="Calibri"/>
          <w:color w:val="000000"/>
          <w:lang w:eastAsia="it-IT"/>
        </w:rPr>
        <w:t xml:space="preserve"> è un medicinale generico contenente i principi attivi </w:t>
      </w:r>
      <w:proofErr w:type="spellStart"/>
      <w:r>
        <w:t>Zofenopril</w:t>
      </w:r>
      <w:proofErr w:type="spellEnd"/>
      <w:r w:rsidR="009219B1" w:rsidRPr="00140D5A">
        <w:t xml:space="preserve"> e </w:t>
      </w:r>
      <w:proofErr w:type="spellStart"/>
      <w:r>
        <w:t>Idroclorotiazide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 present</w:t>
      </w:r>
      <w:r w:rsidR="005D524A">
        <w:rPr>
          <w:rFonts w:cs="Calibri"/>
          <w:color w:val="000000"/>
          <w:lang w:eastAsia="it-IT"/>
        </w:rPr>
        <w:t>i</w:t>
      </w:r>
      <w:r w:rsidR="00F00552" w:rsidRPr="00140D5A">
        <w:rPr>
          <w:rFonts w:cs="Calibri"/>
          <w:color w:val="000000"/>
          <w:lang w:eastAsia="it-IT"/>
        </w:rPr>
        <w:t xml:space="preserve"> nel medicinale di riferimento </w:t>
      </w:r>
      <w:proofErr w:type="spellStart"/>
      <w:r w:rsidR="00F24EC1">
        <w:rPr>
          <w:rFonts w:cs="Calibri"/>
          <w:color w:val="000000"/>
          <w:lang w:eastAsia="it-IT"/>
        </w:rPr>
        <w:t>Bifrizide</w:t>
      </w:r>
      <w:proofErr w:type="spellEnd"/>
      <w:r w:rsidR="00F00552" w:rsidRPr="00140D5A">
        <w:rPr>
          <w:rFonts w:cs="Calibri"/>
          <w:color w:val="000000"/>
          <w:lang w:eastAsia="it-IT"/>
        </w:rPr>
        <w:t>, autorizzato in Italia da più di 10 anni.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219B1" w:rsidRPr="00140D5A" w:rsidRDefault="00FA5DB1" w:rsidP="00140D5A">
      <w:pPr>
        <w:widowControl w:val="0"/>
        <w:spacing w:after="0" w:line="240" w:lineRule="auto"/>
        <w:jc w:val="both"/>
      </w:pPr>
      <w:proofErr w:type="spellStart"/>
      <w:r w:rsidRPr="00277324">
        <w:t>Zofenopril</w:t>
      </w:r>
      <w:proofErr w:type="spellEnd"/>
      <w:r w:rsidR="009219B1" w:rsidRPr="00277324">
        <w:t xml:space="preserve"> e</w:t>
      </w:r>
      <w:r w:rsidR="009219B1" w:rsidRPr="00140D5A">
        <w:t xml:space="preserve"> </w:t>
      </w:r>
      <w:proofErr w:type="spellStart"/>
      <w:r>
        <w:t>Idroclorotiazide</w:t>
      </w:r>
      <w:proofErr w:type="spellEnd"/>
      <w:r w:rsidR="009219B1" w:rsidRPr="00140D5A">
        <w:t xml:space="preserve"> </w:t>
      </w:r>
      <w:r w:rsidR="00157E75">
        <w:t>EG</w:t>
      </w:r>
      <w:r w:rsidR="00F00552" w:rsidRPr="00140D5A">
        <w:rPr>
          <w:rFonts w:cs="Calibri"/>
          <w:color w:val="000000"/>
          <w:lang w:eastAsia="it-IT"/>
        </w:rPr>
        <w:t xml:space="preserve">, il cui codice ATC è </w:t>
      </w:r>
      <w:r w:rsidR="009219B1" w:rsidRPr="00140D5A">
        <w:rPr>
          <w:rFonts w:cs="Calibri"/>
          <w:color w:val="000000"/>
          <w:lang w:eastAsia="it-IT"/>
        </w:rPr>
        <w:t>C09BA</w:t>
      </w:r>
      <w:r w:rsidR="00277324">
        <w:rPr>
          <w:rFonts w:cs="Calibri"/>
          <w:color w:val="000000"/>
          <w:lang w:eastAsia="it-IT"/>
        </w:rPr>
        <w:t>15</w:t>
      </w:r>
      <w:r w:rsidR="00F00552" w:rsidRPr="00140D5A">
        <w:rPr>
          <w:rFonts w:cs="Calibri"/>
          <w:color w:val="000000"/>
          <w:lang w:eastAsia="it-IT"/>
        </w:rPr>
        <w:t xml:space="preserve">, contiene </w:t>
      </w:r>
      <w:r w:rsidR="009219B1" w:rsidRPr="00140D5A">
        <w:rPr>
          <w:rFonts w:cs="Calibri"/>
          <w:color w:val="000000"/>
          <w:lang w:eastAsia="it-IT"/>
        </w:rPr>
        <w:t xml:space="preserve">i </w:t>
      </w:r>
      <w:r w:rsidR="00F00552" w:rsidRPr="00140D5A">
        <w:rPr>
          <w:rFonts w:cs="Calibri"/>
          <w:color w:val="000000"/>
          <w:lang w:eastAsia="it-IT"/>
        </w:rPr>
        <w:t>principi attiv</w:t>
      </w:r>
      <w:r w:rsidR="009219B1" w:rsidRPr="00140D5A">
        <w:rPr>
          <w:rFonts w:cs="Calibri"/>
          <w:color w:val="000000"/>
          <w:lang w:eastAsia="it-IT"/>
        </w:rPr>
        <w:t xml:space="preserve">i </w:t>
      </w:r>
      <w:proofErr w:type="spellStart"/>
      <w:r>
        <w:t>Zofenopril</w:t>
      </w:r>
      <w:proofErr w:type="spellEnd"/>
      <w:r w:rsidR="009219B1" w:rsidRPr="00140D5A">
        <w:t xml:space="preserve"> e </w:t>
      </w:r>
      <w:proofErr w:type="spellStart"/>
      <w:r>
        <w:t>Idroclorotiazide</w:t>
      </w:r>
      <w:proofErr w:type="spellEnd"/>
      <w:r w:rsidR="009219B1" w:rsidRPr="00140D5A">
        <w:t>.</w:t>
      </w:r>
    </w:p>
    <w:p w:rsidR="005D524A" w:rsidRPr="0066243B" w:rsidRDefault="00FA5DB1" w:rsidP="005D524A">
      <w:pPr>
        <w:spacing w:after="0" w:line="240" w:lineRule="auto"/>
        <w:jc w:val="both"/>
        <w:rPr>
          <w:rFonts w:eastAsia="Times New Roman"/>
          <w:szCs w:val="20"/>
        </w:rPr>
      </w:pPr>
      <w:proofErr w:type="spellStart"/>
      <w:r>
        <w:t>Zofenopril</w:t>
      </w:r>
      <w:proofErr w:type="spellEnd"/>
      <w:r w:rsidR="009219B1" w:rsidRPr="00140D5A">
        <w:t xml:space="preserve"> </w:t>
      </w:r>
      <w:r w:rsidR="005D524A">
        <w:rPr>
          <w:rFonts w:eastAsia="Times New Roman"/>
          <w:szCs w:val="20"/>
        </w:rPr>
        <w:t xml:space="preserve">agisce inibendo </w:t>
      </w:r>
      <w:r w:rsidR="005D524A" w:rsidRPr="0066243B">
        <w:rPr>
          <w:rFonts w:eastAsia="Times New Roman"/>
          <w:szCs w:val="20"/>
        </w:rPr>
        <w:t xml:space="preserve">l'enzima </w:t>
      </w:r>
      <w:proofErr w:type="spellStart"/>
      <w:r w:rsidR="005D524A" w:rsidRPr="0066243B">
        <w:rPr>
          <w:rFonts w:eastAsia="Times New Roman"/>
          <w:szCs w:val="20"/>
        </w:rPr>
        <w:t>dipeptidilcarbossipeptidasi</w:t>
      </w:r>
      <w:proofErr w:type="spellEnd"/>
      <w:r w:rsidR="005D524A" w:rsidRPr="0066243B">
        <w:rPr>
          <w:rFonts w:eastAsia="Times New Roman"/>
          <w:szCs w:val="20"/>
        </w:rPr>
        <w:t xml:space="preserve"> I (enzima di conversione della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). Questo enzima, a livello plasmatico e tissutale, determina la conversione della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 nella sostanza ad attività vasocostrittrice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II, e la degradazione del vasodila</w:t>
      </w:r>
      <w:r w:rsidR="009465F6">
        <w:rPr>
          <w:rFonts w:eastAsia="Times New Roman"/>
          <w:szCs w:val="20"/>
        </w:rPr>
        <w:t>ta</w:t>
      </w:r>
      <w:r w:rsidR="005D524A" w:rsidRPr="0066243B">
        <w:rPr>
          <w:rFonts w:eastAsia="Times New Roman"/>
          <w:szCs w:val="20"/>
        </w:rPr>
        <w:t xml:space="preserve">tore bradichinina. La ridotta formazione di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 e l'inibizione della degradazione della bradichinina portano a vasodilatazione.</w:t>
      </w:r>
      <w:r w:rsidR="00DE4DC3">
        <w:rPr>
          <w:rFonts w:eastAsia="Times New Roman"/>
          <w:szCs w:val="20"/>
        </w:rPr>
        <w:t xml:space="preserve"> </w:t>
      </w:r>
      <w:r w:rsidR="005D524A" w:rsidRPr="0066243B">
        <w:rPr>
          <w:rFonts w:eastAsia="Times New Roman"/>
          <w:szCs w:val="20"/>
        </w:rPr>
        <w:t>Poiché l'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 stimola anche il rilascio di </w:t>
      </w:r>
      <w:proofErr w:type="spellStart"/>
      <w:r w:rsidR="005D524A" w:rsidRPr="0066243B">
        <w:rPr>
          <w:rFonts w:eastAsia="Times New Roman"/>
          <w:szCs w:val="20"/>
        </w:rPr>
        <w:t>aldosterone</w:t>
      </w:r>
      <w:proofErr w:type="spellEnd"/>
      <w:r w:rsidR="005D524A" w:rsidRPr="0066243B">
        <w:rPr>
          <w:rFonts w:eastAsia="Times New Roman"/>
          <w:szCs w:val="20"/>
        </w:rPr>
        <w:t xml:space="preserve">, </w:t>
      </w:r>
      <w:proofErr w:type="spellStart"/>
      <w:r>
        <w:rPr>
          <w:rFonts w:eastAsia="Times New Roman"/>
          <w:szCs w:val="20"/>
        </w:rPr>
        <w:t>Zofenopril</w:t>
      </w:r>
      <w:proofErr w:type="spellEnd"/>
      <w:r w:rsidR="005D524A" w:rsidRPr="0066243B">
        <w:rPr>
          <w:rFonts w:eastAsia="Times New Roman"/>
          <w:szCs w:val="20"/>
        </w:rPr>
        <w:t xml:space="preserve"> causa una riduzione nella secrezione dell'</w:t>
      </w:r>
      <w:proofErr w:type="spellStart"/>
      <w:r w:rsidR="005D524A" w:rsidRPr="0066243B">
        <w:rPr>
          <w:rFonts w:eastAsia="Times New Roman"/>
          <w:szCs w:val="20"/>
        </w:rPr>
        <w:t>aldosterone</w:t>
      </w:r>
      <w:proofErr w:type="spellEnd"/>
      <w:r w:rsidR="005D524A" w:rsidRPr="0066243B">
        <w:rPr>
          <w:rFonts w:eastAsia="Times New Roman"/>
          <w:szCs w:val="20"/>
        </w:rPr>
        <w:t>.</w:t>
      </w:r>
    </w:p>
    <w:p w:rsidR="005D524A" w:rsidRPr="007461B9" w:rsidRDefault="00FA5DB1" w:rsidP="005D524A">
      <w:pPr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cs="Calibri"/>
          <w:iCs/>
        </w:rPr>
        <w:t>Idroclorotiazide</w:t>
      </w:r>
      <w:proofErr w:type="spellEnd"/>
      <w:r w:rsidR="005D524A" w:rsidRPr="007461B9">
        <w:rPr>
          <w:rFonts w:cs="Calibri"/>
          <w:iCs/>
        </w:rPr>
        <w:t xml:space="preserve"> inibisce il riassorbimento attivo di sodio, principalmente nei tubuli renali distali</w:t>
      </w:r>
      <w:r w:rsidR="00A05AC7">
        <w:rPr>
          <w:rFonts w:cs="Calibri"/>
          <w:iCs/>
        </w:rPr>
        <w:t>,</w:t>
      </w:r>
      <w:r w:rsidR="005D524A" w:rsidRPr="007461B9">
        <w:rPr>
          <w:rFonts w:cs="Calibri"/>
          <w:iCs/>
        </w:rPr>
        <w:t xml:space="preserve"> e favorisce l’escrezione di sodio, cloro e acqua. L’escrezione renale di potassio e magnesio aumenta in maniera dose-dipendente, mentre il calcio è riassorbito in maggior misura. </w:t>
      </w:r>
      <w:proofErr w:type="spellStart"/>
      <w:r w:rsidR="003A3569">
        <w:rPr>
          <w:rFonts w:cs="Calibri"/>
          <w:iCs/>
        </w:rPr>
        <w:t>I</w:t>
      </w:r>
      <w:r>
        <w:rPr>
          <w:rFonts w:cs="Calibri"/>
          <w:iCs/>
        </w:rPr>
        <w:t>droclorotiazide</w:t>
      </w:r>
      <w:proofErr w:type="spellEnd"/>
      <w:r w:rsidR="005D524A" w:rsidRPr="007461B9">
        <w:rPr>
          <w:rFonts w:cs="Calibri"/>
          <w:iCs/>
        </w:rPr>
        <w:t xml:space="preserve"> diminuisce il volume plasmatico e i liquidi extracellulari e riduce la gittata cardiaca e la pressione arteriosa. Durante la terapia a lungo termine, la riduzione delle resistenze periferiche contribuisce alla riduzione della pressione arteriosa.</w:t>
      </w:r>
    </w:p>
    <w:p w:rsidR="005D524A" w:rsidRPr="007461B9" w:rsidRDefault="00FA5DB1" w:rsidP="005D524A">
      <w:pPr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cs="Calibri"/>
          <w:iCs/>
        </w:rPr>
        <w:t>Zofenopril</w:t>
      </w:r>
      <w:proofErr w:type="spellEnd"/>
      <w:r w:rsidR="005D524A">
        <w:rPr>
          <w:rFonts w:cs="Calibri"/>
          <w:iCs/>
        </w:rPr>
        <w:t xml:space="preserve"> </w:t>
      </w:r>
      <w:r w:rsidR="005D524A" w:rsidRPr="007461B9">
        <w:rPr>
          <w:rFonts w:cs="Calibri"/>
          <w:iCs/>
        </w:rPr>
        <w:t xml:space="preserve">e </w:t>
      </w:r>
      <w:proofErr w:type="spellStart"/>
      <w:r>
        <w:rPr>
          <w:rFonts w:cs="Calibri"/>
          <w:iCs/>
        </w:rPr>
        <w:t>Idroclorotiazide</w:t>
      </w:r>
      <w:proofErr w:type="spellEnd"/>
      <w:r w:rsidR="005D524A" w:rsidRPr="007461B9">
        <w:rPr>
          <w:rFonts w:cs="Calibri"/>
          <w:iCs/>
        </w:rPr>
        <w:t xml:space="preserve"> hanno effetti antiipertensivi additivi.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277324" w:rsidRPr="00224478" w:rsidRDefault="00277324" w:rsidP="00277324">
      <w:pPr>
        <w:numPr>
          <w:ilvl w:val="12"/>
          <w:numId w:val="0"/>
        </w:numPr>
        <w:spacing w:after="0" w:line="240" w:lineRule="auto"/>
        <w:jc w:val="both"/>
      </w:pPr>
      <w:proofErr w:type="spellStart"/>
      <w:r>
        <w:rPr>
          <w:iCs/>
        </w:rPr>
        <w:t>Zofenopril</w:t>
      </w:r>
      <w:proofErr w:type="spellEnd"/>
      <w:r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r w:rsidR="00157E75">
        <w:rPr>
          <w:iCs/>
        </w:rPr>
        <w:t>EG</w:t>
      </w:r>
      <w:r w:rsidRPr="00A308B1">
        <w:t xml:space="preserve"> è utilizzato </w:t>
      </w:r>
      <w:r w:rsidRPr="00D56D3C">
        <w:t>per il trattamento della pressione del sangue</w:t>
      </w:r>
      <w:r>
        <w:t xml:space="preserve"> alta </w:t>
      </w:r>
      <w:r w:rsidRPr="00D56D3C">
        <w:t xml:space="preserve">(ipertensione) </w:t>
      </w:r>
      <w:r>
        <w:t xml:space="preserve">da lieve a moderata </w:t>
      </w:r>
      <w:r w:rsidRPr="00D56D3C">
        <w:t xml:space="preserve">in quei pazienti </w:t>
      </w:r>
      <w:r>
        <w:t xml:space="preserve">la cui pressione sanguigna non è adeguatamente controllata con il solo principio attivo </w:t>
      </w:r>
      <w:proofErr w:type="spellStart"/>
      <w:r>
        <w:t>Zofenopril</w:t>
      </w:r>
      <w:proofErr w:type="spellEnd"/>
      <w:r>
        <w:t>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5D524A" w:rsidRDefault="00F00552" w:rsidP="005D524A">
      <w:pPr>
        <w:spacing w:after="0" w:line="240" w:lineRule="auto"/>
        <w:jc w:val="both"/>
      </w:pPr>
      <w:r w:rsidRPr="00140D5A">
        <w:t xml:space="preserve">Poiché </w:t>
      </w:r>
      <w:proofErr w:type="spellStart"/>
      <w:r w:rsidR="00FA5DB1">
        <w:t>Zofenopril</w:t>
      </w:r>
      <w:proofErr w:type="spellEnd"/>
      <w:r w:rsidR="000B795C" w:rsidRPr="00140D5A">
        <w:t xml:space="preserve"> e </w:t>
      </w:r>
      <w:proofErr w:type="spellStart"/>
      <w:r w:rsidR="00FA5DB1">
        <w:t>Idroclorotiazide</w:t>
      </w:r>
      <w:proofErr w:type="spellEnd"/>
      <w:r w:rsidR="000B795C" w:rsidRPr="00140D5A">
        <w:t xml:space="preserve"> </w:t>
      </w:r>
      <w:r w:rsidR="00157E75">
        <w:t>EG</w:t>
      </w:r>
      <w:r w:rsidRPr="00140D5A">
        <w:t xml:space="preserve"> contiene principi attiv</w:t>
      </w:r>
      <w:r w:rsidR="000B795C" w:rsidRPr="00140D5A">
        <w:t>i</w:t>
      </w:r>
      <w:r w:rsidRPr="00140D5A">
        <w:t xml:space="preserve"> not</w:t>
      </w:r>
      <w:r w:rsidR="000B795C" w:rsidRPr="00140D5A">
        <w:t>i</w:t>
      </w:r>
      <w:r w:rsidR="00277324">
        <w:t xml:space="preserve"> </w:t>
      </w:r>
      <w:r w:rsidR="00277324" w:rsidRPr="007461B9">
        <w:t>già usati contemporaneamente nella terapia dell’ipertensione</w:t>
      </w:r>
      <w:r w:rsidR="00277324">
        <w:t>,</w:t>
      </w:r>
      <w:r w:rsidRPr="00140D5A">
        <w:t xml:space="preserve"> non sono stati forniti nuovi dati non clinici e clinici: questo approccio è accettabile poiché il medicinale di riferimento </w:t>
      </w:r>
      <w:proofErr w:type="spellStart"/>
      <w:r w:rsidR="00277324">
        <w:t>Bifrizide</w:t>
      </w:r>
      <w:proofErr w:type="spellEnd"/>
      <w:r w:rsidRPr="00140D5A">
        <w:t xml:space="preserve"> è autorizzato in Italia da oltre 10 anni.</w:t>
      </w:r>
      <w:r w:rsidR="00DE4DC3">
        <w:t xml:space="preserve"> </w:t>
      </w:r>
    </w:p>
    <w:p w:rsidR="003A3569" w:rsidRDefault="003A3569" w:rsidP="005D524A">
      <w:pPr>
        <w:spacing w:after="0" w:line="240" w:lineRule="auto"/>
        <w:jc w:val="both"/>
      </w:pPr>
    </w:p>
    <w:p w:rsidR="00277324" w:rsidRPr="00900C91" w:rsidRDefault="00277324" w:rsidP="00277324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proofErr w:type="spellStart"/>
      <w:r>
        <w:t>Zofenopril</w:t>
      </w:r>
      <w:proofErr w:type="spellEnd"/>
      <w:r w:rsidRPr="00140D5A">
        <w:t xml:space="preserve"> e </w:t>
      </w:r>
      <w:proofErr w:type="spellStart"/>
      <w:r>
        <w:t>Idroclorotiazide</w:t>
      </w:r>
      <w:proofErr w:type="spellEnd"/>
      <w:r w:rsidRPr="00140D5A">
        <w:t xml:space="preserve"> </w:t>
      </w:r>
      <w:r w:rsidR="00157E75">
        <w:t>EG</w:t>
      </w:r>
      <w:r>
        <w:rPr>
          <w:snapToGrid w:val="0"/>
        </w:rPr>
        <w:t xml:space="preserve"> </w:t>
      </w:r>
      <w:r w:rsidRPr="00900C91">
        <w:t>e quelli del medicinale</w:t>
      </w:r>
      <w:r>
        <w:t xml:space="preserve"> di riferimento</w:t>
      </w:r>
      <w:r w:rsidRPr="00900C91">
        <w:t xml:space="preserve"> </w:t>
      </w:r>
      <w:proofErr w:type="spellStart"/>
      <w:r>
        <w:t>Bifrizide</w:t>
      </w:r>
      <w:proofErr w:type="spellEnd"/>
      <w:r w:rsidRPr="007E00D8">
        <w:rPr>
          <w:rFonts w:cs="Calibri"/>
          <w:color w:val="000000"/>
          <w:lang w:eastAsia="it-IT"/>
        </w:rPr>
        <w:t xml:space="preserve">, </w:t>
      </w:r>
      <w:r>
        <w:t>autorizzato in Italia</w:t>
      </w:r>
      <w:r w:rsidRPr="00900C91">
        <w:t>.</w:t>
      </w:r>
    </w:p>
    <w:p w:rsidR="00277324" w:rsidRPr="00900C91" w:rsidRDefault="00277324" w:rsidP="00277324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>Le officine coinvolte nella produzione sono conformi alle linee guida di Buona Pratica di Fabbricazione (</w:t>
      </w:r>
      <w:proofErr w:type="spellStart"/>
      <w:r w:rsidRPr="00140D5A">
        <w:rPr>
          <w:i/>
        </w:rPr>
        <w:t>Good</w:t>
      </w:r>
      <w:proofErr w:type="spellEnd"/>
      <w:r w:rsidRPr="00140D5A">
        <w:rPr>
          <w:i/>
        </w:rPr>
        <w:t xml:space="preserve"> Manufacturing </w:t>
      </w:r>
      <w:proofErr w:type="spellStart"/>
      <w:r w:rsidRPr="00140D5A">
        <w:rPr>
          <w:i/>
        </w:rPr>
        <w:t>Practice</w:t>
      </w:r>
      <w:proofErr w:type="spellEnd"/>
      <w:r w:rsidRPr="00140D5A">
        <w:t xml:space="preserve"> - GMP). Le autorità regolatore competenti hanno rilasciato i certificati GMP per i siti di produzione sul territorio dell’Unione Europea.</w:t>
      </w:r>
    </w:p>
    <w:p w:rsidR="00F00552" w:rsidRPr="00140D5A" w:rsidRDefault="00F00552" w:rsidP="00140D5A">
      <w:pPr>
        <w:spacing w:after="0" w:line="240" w:lineRule="auto"/>
        <w:jc w:val="both"/>
        <w:rPr>
          <w:highlight w:val="yellow"/>
        </w:rPr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140D5A">
        <w:rPr>
          <w:i/>
        </w:rPr>
        <w:t>Risk</w:t>
      </w:r>
      <w:proofErr w:type="spellEnd"/>
      <w:r w:rsidRPr="00140D5A">
        <w:rPr>
          <w:i/>
        </w:rPr>
        <w:t xml:space="preserve"> Management </w:t>
      </w:r>
      <w:proofErr w:type="spellStart"/>
      <w:r w:rsidRPr="00140D5A">
        <w:rPr>
          <w:i/>
        </w:rPr>
        <w:t>Plan</w:t>
      </w:r>
      <w:proofErr w:type="spellEnd"/>
      <w:r w:rsidRPr="00140D5A">
        <w:t xml:space="preserve"> – RMP) accettabile.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Default="00F00552" w:rsidP="00140D5A">
      <w:pPr>
        <w:spacing w:after="0" w:line="240" w:lineRule="auto"/>
        <w:jc w:val="both"/>
      </w:pPr>
      <w:r w:rsidRPr="00140D5A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A5DB1">
        <w:t>Zofenopril</w:t>
      </w:r>
      <w:proofErr w:type="spellEnd"/>
      <w:r w:rsidR="00095DFE" w:rsidRPr="00140D5A">
        <w:t xml:space="preserve"> e </w:t>
      </w:r>
      <w:proofErr w:type="spellStart"/>
      <w:r w:rsidR="00FA5DB1">
        <w:t>Idroclorotiazide</w:t>
      </w:r>
      <w:proofErr w:type="spellEnd"/>
      <w:r w:rsidR="00095DFE" w:rsidRPr="00140D5A">
        <w:t xml:space="preserve"> </w:t>
      </w:r>
      <w:r w:rsidR="00157E75">
        <w:t>EG</w:t>
      </w:r>
      <w:r w:rsidRPr="00140D5A">
        <w:t xml:space="preserve"> contiene un</w:t>
      </w:r>
      <w:r w:rsidR="00095DFE" w:rsidRPr="00140D5A">
        <w:t xml:space="preserve">a combinazione di </w:t>
      </w:r>
      <w:r w:rsidRPr="00140D5A">
        <w:t>principi attiv</w:t>
      </w:r>
      <w:r w:rsidR="00095DFE" w:rsidRPr="00140D5A">
        <w:t>i</w:t>
      </w:r>
      <w:r w:rsidRPr="00140D5A">
        <w:t xml:space="preserve"> not</w:t>
      </w:r>
      <w:r w:rsidR="00095DFE" w:rsidRPr="00140D5A">
        <w:t>i</w:t>
      </w:r>
      <w:r w:rsidRPr="00140D5A">
        <w:t xml:space="preserve"> presente in medicinali autorizzati; inoltre, non sono presenti componenti geneticamente modificati; il metodo di produzione e la formulazione del medicinale non presentano problematiche di carattere ambientale.</w:t>
      </w:r>
    </w:p>
    <w:p w:rsidR="003A3569" w:rsidRPr="00140D5A" w:rsidRDefault="003A3569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 xml:space="preserve">ASPETTI </w:t>
      </w:r>
      <w:proofErr w:type="spellStart"/>
      <w:r w:rsidRPr="00140D5A">
        <w:rPr>
          <w:b/>
        </w:rPr>
        <w:t>DI</w:t>
      </w:r>
      <w:proofErr w:type="spellEnd"/>
      <w:r w:rsidRPr="00140D5A">
        <w:rPr>
          <w:b/>
        </w:rPr>
        <w:t xml:space="preserve"> QUALITA’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rPr>
          <w:b/>
        </w:rPr>
        <w:t>II.1</w:t>
      </w:r>
      <w:r w:rsidR="005D524A">
        <w:rPr>
          <w:b/>
        </w:rPr>
        <w:t>a</w:t>
      </w:r>
      <w:r w:rsidRPr="00140D5A">
        <w:rPr>
          <w:b/>
        </w:rPr>
        <w:t xml:space="preserve"> PRINCIPIO ATTIVO </w:t>
      </w:r>
      <w:r w:rsidR="00FA5DB1">
        <w:rPr>
          <w:b/>
        </w:rPr>
        <w:t>ZOFENOPRIL</w:t>
      </w:r>
      <w:r w:rsidR="00946E79" w:rsidRPr="00140D5A">
        <w:rPr>
          <w:b/>
        </w:rPr>
        <w:t xml:space="preserve"> </w:t>
      </w:r>
      <w:r w:rsidR="00AE16F4">
        <w:rPr>
          <w:b/>
        </w:rPr>
        <w:t>CALCIO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</w:pPr>
      <w:r w:rsidRPr="00140D5A">
        <w:rPr>
          <w:u w:val="single"/>
        </w:rPr>
        <w:t>Nome chimico</w:t>
      </w:r>
      <w:r w:rsidRPr="00140D5A">
        <w:t xml:space="preserve">: </w:t>
      </w:r>
      <w:r w:rsidR="00AE16F4" w:rsidRPr="00AE16F4">
        <w:rPr>
          <w:rFonts w:cs="Arial"/>
          <w:lang w:val="pt-BR"/>
        </w:rPr>
        <w:t>Calcium, (2S,4S)-1-[(2S)-3-benzoylsulfanyl-2-methyl-propanoyl]-4-phenylsulfanylpyrrolidine-2-carboxylate</w:t>
      </w:r>
    </w:p>
    <w:p w:rsidR="00F00552" w:rsidRPr="00140D5A" w:rsidRDefault="00F00552" w:rsidP="00140D5A">
      <w:pPr>
        <w:spacing w:after="0" w:line="240" w:lineRule="auto"/>
        <w:jc w:val="both"/>
        <w:rPr>
          <w:noProof/>
          <w:lang w:eastAsia="it-IT"/>
        </w:rPr>
      </w:pPr>
      <w:r w:rsidRPr="00140D5A">
        <w:rPr>
          <w:u w:val="single"/>
        </w:rPr>
        <w:t>Struttura</w:t>
      </w:r>
      <w:r w:rsidRPr="00140D5A">
        <w:t>:</w:t>
      </w:r>
    </w:p>
    <w:p w:rsidR="00F00552" w:rsidRPr="00140D5A" w:rsidRDefault="00AE16F4" w:rsidP="00140D5A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1723781" cy="857948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855" t="50623" r="30922" b="5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691" cy="857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24A" w:rsidRPr="003A3569" w:rsidRDefault="005D524A" w:rsidP="00AE16F4">
      <w:pPr>
        <w:pStyle w:val="Default"/>
        <w:rPr>
          <w:rFonts w:asciiTheme="minorHAnsi" w:hAnsiTheme="minorHAnsi"/>
          <w:sz w:val="22"/>
          <w:szCs w:val="22"/>
        </w:rPr>
      </w:pPr>
      <w:r w:rsidRPr="003A3569">
        <w:rPr>
          <w:rFonts w:asciiTheme="minorHAnsi" w:hAnsiTheme="minorHAnsi"/>
          <w:color w:val="auto"/>
          <w:sz w:val="22"/>
          <w:szCs w:val="22"/>
          <w:u w:val="single"/>
          <w:lang w:eastAsia="en-US"/>
        </w:rPr>
        <w:t>Formula molecolare</w:t>
      </w:r>
      <w:r w:rsidRPr="003A3569">
        <w:rPr>
          <w:rFonts w:asciiTheme="minorHAnsi" w:hAnsiTheme="minorHAnsi"/>
          <w:sz w:val="22"/>
          <w:szCs w:val="22"/>
        </w:rPr>
        <w:t xml:space="preserve">: 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2(C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22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H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22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NO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4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S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2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)Ca</w:t>
      </w:r>
    </w:p>
    <w:p w:rsidR="005D524A" w:rsidRPr="003A3569" w:rsidRDefault="005D524A" w:rsidP="00AE16F4">
      <w:pPr>
        <w:pStyle w:val="Default"/>
        <w:rPr>
          <w:rFonts w:asciiTheme="minorHAnsi" w:hAnsiTheme="minorHAnsi"/>
          <w:sz w:val="22"/>
          <w:szCs w:val="22"/>
        </w:rPr>
      </w:pPr>
      <w:r w:rsidRPr="003A3569">
        <w:rPr>
          <w:rFonts w:asciiTheme="minorHAnsi" w:hAnsiTheme="minorHAnsi"/>
          <w:color w:val="auto"/>
          <w:sz w:val="22"/>
          <w:szCs w:val="22"/>
          <w:u w:val="single"/>
          <w:lang w:eastAsia="en-US"/>
        </w:rPr>
        <w:t>Peso molecolare</w:t>
      </w:r>
      <w:r w:rsidRPr="003A3569">
        <w:rPr>
          <w:rFonts w:asciiTheme="minorHAnsi" w:hAnsiTheme="minorHAnsi"/>
          <w:sz w:val="22"/>
          <w:szCs w:val="22"/>
        </w:rPr>
        <w:t>:</w:t>
      </w:r>
      <w:r w:rsidR="00AE16F4" w:rsidRPr="003A3569">
        <w:rPr>
          <w:rFonts w:asciiTheme="minorHAnsi" w:hAnsiTheme="minorHAnsi"/>
          <w:sz w:val="22"/>
          <w:szCs w:val="22"/>
        </w:rPr>
        <w:t xml:space="preserve"> </w:t>
      </w:r>
      <w:r w:rsidR="00AE16F4" w:rsidRPr="003A3569">
        <w:rPr>
          <w:rFonts w:asciiTheme="minorHAnsi" w:eastAsia="Times New Roman" w:hAnsiTheme="minorHAnsi"/>
          <w:sz w:val="22"/>
          <w:szCs w:val="22"/>
        </w:rPr>
        <w:t xml:space="preserve">897.17 </w:t>
      </w:r>
      <w:r w:rsidRPr="003A3569">
        <w:rPr>
          <w:rFonts w:asciiTheme="minorHAnsi" w:eastAsia="Times New Roman" w:hAnsiTheme="minorHAnsi"/>
          <w:sz w:val="22"/>
          <w:szCs w:val="22"/>
        </w:rPr>
        <w:t>g/mol</w:t>
      </w:r>
    </w:p>
    <w:p w:rsidR="005D524A" w:rsidRPr="003A3569" w:rsidRDefault="005D524A" w:rsidP="00AE16F4">
      <w:pPr>
        <w:pStyle w:val="Default"/>
        <w:rPr>
          <w:rFonts w:asciiTheme="minorHAnsi" w:hAnsiTheme="minorHAnsi"/>
          <w:i/>
          <w:sz w:val="22"/>
          <w:szCs w:val="22"/>
        </w:rPr>
      </w:pPr>
      <w:r w:rsidRPr="003A3569">
        <w:rPr>
          <w:rFonts w:asciiTheme="minorHAnsi" w:hAnsiTheme="minorHAnsi"/>
          <w:color w:val="auto"/>
          <w:sz w:val="22"/>
          <w:szCs w:val="22"/>
          <w:u w:val="single"/>
          <w:lang w:eastAsia="en-US"/>
        </w:rPr>
        <w:t>CAS</w:t>
      </w:r>
      <w:r w:rsidRPr="003A3569">
        <w:rPr>
          <w:rFonts w:asciiTheme="minorHAnsi" w:hAnsiTheme="minorHAnsi"/>
          <w:sz w:val="22"/>
          <w:szCs w:val="22"/>
        </w:rPr>
        <w:t xml:space="preserve">: </w:t>
      </w:r>
      <w:r w:rsidRPr="003A3569">
        <w:rPr>
          <w:rFonts w:asciiTheme="minorHAnsi" w:eastAsia="Times New Roman" w:hAnsiTheme="minorHAnsi"/>
          <w:color w:val="auto"/>
          <w:sz w:val="22"/>
          <w:szCs w:val="22"/>
          <w:lang w:eastAsia="en-US"/>
        </w:rPr>
        <w:t>[</w:t>
      </w:r>
      <w:r w:rsidR="00AE16F4" w:rsidRPr="003A3569">
        <w:rPr>
          <w:rFonts w:asciiTheme="minorHAnsi" w:hAnsiTheme="minorHAnsi"/>
          <w:sz w:val="22"/>
          <w:szCs w:val="22"/>
        </w:rPr>
        <w:t>87938-43-4</w:t>
      </w:r>
      <w:r w:rsidRPr="003A3569">
        <w:rPr>
          <w:rFonts w:asciiTheme="minorHAnsi" w:hAnsiTheme="minorHAnsi"/>
          <w:sz w:val="22"/>
          <w:szCs w:val="22"/>
        </w:rPr>
        <w:t>]</w:t>
      </w:r>
    </w:p>
    <w:p w:rsidR="005D524A" w:rsidRPr="003A3569" w:rsidRDefault="005D524A" w:rsidP="005D524A">
      <w:pPr>
        <w:pStyle w:val="Titolo1"/>
        <w:shd w:val="clear" w:color="auto" w:fill="FFFFFF"/>
        <w:spacing w:line="240" w:lineRule="auto"/>
        <w:ind w:left="0"/>
        <w:rPr>
          <w:rFonts w:asciiTheme="minorHAnsi" w:eastAsia="Calibri" w:hAnsiTheme="minorHAnsi"/>
          <w:i w:val="0"/>
          <w:szCs w:val="22"/>
          <w:u w:val="none"/>
        </w:rPr>
      </w:pPr>
      <w:r w:rsidRPr="003A3569">
        <w:rPr>
          <w:rFonts w:asciiTheme="minorHAnsi" w:hAnsiTheme="minorHAnsi"/>
          <w:i w:val="0"/>
          <w:szCs w:val="22"/>
        </w:rPr>
        <w:t>Aspetto</w:t>
      </w:r>
      <w:r w:rsidRPr="003A3569">
        <w:rPr>
          <w:rFonts w:asciiTheme="minorHAnsi" w:hAnsiTheme="minorHAnsi"/>
          <w:i w:val="0"/>
          <w:szCs w:val="22"/>
          <w:u w:val="none"/>
        </w:rPr>
        <w:t xml:space="preserve">: </w:t>
      </w:r>
      <w:r w:rsidR="006D407A" w:rsidRPr="003A3569">
        <w:rPr>
          <w:rFonts w:asciiTheme="minorHAnsi" w:eastAsia="Calibri" w:hAnsiTheme="minorHAnsi"/>
          <w:i w:val="0"/>
          <w:szCs w:val="22"/>
          <w:u w:val="none"/>
        </w:rPr>
        <w:t>polvere di colore da quasi bianco a bianco</w:t>
      </w:r>
    </w:p>
    <w:p w:rsidR="00DA001E" w:rsidRPr="003A3569" w:rsidRDefault="005D524A" w:rsidP="00140D5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  <w:u w:val="single"/>
        </w:rPr>
        <w:t>Solubilità</w:t>
      </w:r>
      <w:r w:rsidRPr="003A3569">
        <w:rPr>
          <w:rFonts w:asciiTheme="minorHAnsi" w:hAnsiTheme="minorHAnsi"/>
        </w:rPr>
        <w:t xml:space="preserve">: </w:t>
      </w:r>
      <w:r w:rsidR="006D407A" w:rsidRPr="003A3569">
        <w:rPr>
          <w:rFonts w:asciiTheme="minorHAnsi" w:hAnsiTheme="minorHAnsi"/>
        </w:rPr>
        <w:t>moderatamente solubile in acido acetico glaciale</w:t>
      </w:r>
    </w:p>
    <w:p w:rsidR="006D407A" w:rsidRPr="003A3569" w:rsidRDefault="006D407A" w:rsidP="005D524A">
      <w:pPr>
        <w:spacing w:after="0" w:line="240" w:lineRule="auto"/>
        <w:jc w:val="both"/>
        <w:rPr>
          <w:rFonts w:asciiTheme="minorHAnsi" w:hAnsiTheme="minorHAnsi"/>
        </w:rPr>
      </w:pPr>
    </w:p>
    <w:p w:rsidR="006D407A" w:rsidRPr="003A3569" w:rsidRDefault="006D407A" w:rsidP="006D407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</w:rPr>
        <w:t xml:space="preserve">Il principio attivo </w:t>
      </w:r>
      <w:proofErr w:type="spellStart"/>
      <w:r w:rsidRPr="003A3569">
        <w:rPr>
          <w:rFonts w:asciiTheme="minorHAnsi" w:hAnsiTheme="minorHAnsi"/>
        </w:rPr>
        <w:t>zofenopril</w:t>
      </w:r>
      <w:proofErr w:type="spellEnd"/>
      <w:r w:rsidRPr="003A3569">
        <w:rPr>
          <w:rFonts w:asciiTheme="minorHAnsi" w:hAnsiTheme="minorHAnsi"/>
        </w:rPr>
        <w:t xml:space="preserve"> calcio </w:t>
      </w:r>
      <w:r w:rsidR="00642334" w:rsidRPr="003A3569">
        <w:rPr>
          <w:rFonts w:asciiTheme="minorHAnsi" w:hAnsiTheme="minorHAnsi"/>
        </w:rPr>
        <w:t xml:space="preserve">non </w:t>
      </w:r>
      <w:r w:rsidRPr="003A3569">
        <w:rPr>
          <w:rFonts w:asciiTheme="minorHAnsi" w:hAnsiTheme="minorHAnsi"/>
        </w:rPr>
        <w:t xml:space="preserve">è presente in Farmacopea Europea; il produttore proposto ha presentato un ASMF. </w:t>
      </w:r>
    </w:p>
    <w:p w:rsidR="006D407A" w:rsidRPr="003A3569" w:rsidRDefault="006D407A" w:rsidP="006D407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</w:rPr>
        <w:t>La sintesi del principio attivo è stata adeguatamente descritta a partire da  idonei materiali di partenza; sono utilizzati appropriati controlli di processo e degli intermedi di sintesi.</w:t>
      </w:r>
    </w:p>
    <w:p w:rsidR="006D407A" w:rsidRPr="003A3569" w:rsidRDefault="006D407A" w:rsidP="006D407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</w:rPr>
        <w:t>I materiali e i reagenti utilizzati nella sintesi sono di qualità adeguata.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>Le specifiche del principio attivo sono appropriate e controllati con metodi analitici adeguatamente convalidati. Sono stati forniti certificati analitici che confermano la qualità del principio attivo.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 xml:space="preserve">Il principio attivo è confezionato in un adeguato contenitore, per il quale sono stati forniti specifiche e certificati analitici. Il confezionamento è </w:t>
      </w:r>
      <w:r>
        <w:t xml:space="preserve">costituito da </w:t>
      </w:r>
      <w:r w:rsidRPr="006F3370">
        <w:t>una</w:t>
      </w:r>
      <w:r>
        <w:t xml:space="preserve"> doppia</w:t>
      </w:r>
      <w:r w:rsidRPr="006F3370">
        <w:t xml:space="preserve"> busta di polietilene posta all’interno </w:t>
      </w:r>
      <w:r>
        <w:t xml:space="preserve">di </w:t>
      </w:r>
      <w:r w:rsidRPr="006F3370">
        <w:t>un</w:t>
      </w:r>
      <w:r>
        <w:t>a terza busta in tripla lamina di alluminio; il tutto è posto in</w:t>
      </w:r>
      <w:r w:rsidRPr="006F3370">
        <w:t xml:space="preserve"> </w:t>
      </w:r>
      <w:r>
        <w:t>contenitore in polietilene.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F3370">
        <w:t>retest</w:t>
      </w:r>
      <w:proofErr w:type="spellEnd"/>
      <w:r w:rsidRPr="006F3370">
        <w:t xml:space="preserve"> di 3 anni</w:t>
      </w:r>
      <w:r>
        <w:t xml:space="preserve">. </w:t>
      </w:r>
      <w:r w:rsidRPr="006F3370">
        <w:t xml:space="preserve"> </w:t>
      </w:r>
    </w:p>
    <w:p w:rsidR="00946E79" w:rsidRPr="00140D5A" w:rsidRDefault="00946E79" w:rsidP="00140D5A">
      <w:pPr>
        <w:spacing w:after="0" w:line="240" w:lineRule="auto"/>
        <w:jc w:val="both"/>
      </w:pPr>
    </w:p>
    <w:p w:rsidR="00DB42D6" w:rsidRPr="00140D5A" w:rsidRDefault="005D524A" w:rsidP="00140D5A">
      <w:pPr>
        <w:spacing w:after="0" w:line="240" w:lineRule="auto"/>
        <w:jc w:val="both"/>
      </w:pPr>
      <w:r w:rsidRPr="00140D5A">
        <w:rPr>
          <w:b/>
        </w:rPr>
        <w:t>II.1</w:t>
      </w:r>
      <w:r>
        <w:rPr>
          <w:b/>
        </w:rPr>
        <w:t>b</w:t>
      </w:r>
      <w:r w:rsidRPr="00140D5A">
        <w:rPr>
          <w:b/>
        </w:rPr>
        <w:t xml:space="preserve"> PRINCIPIO ATTIVO </w:t>
      </w:r>
      <w:r w:rsidR="00FA5DB1">
        <w:rPr>
          <w:b/>
        </w:rPr>
        <w:t>IDROCLOROTIAZIDE</w:t>
      </w:r>
    </w:p>
    <w:p w:rsidR="00DB42D6" w:rsidRPr="00140D5A" w:rsidRDefault="00DB42D6" w:rsidP="00140D5A">
      <w:pPr>
        <w:autoSpaceDE w:val="0"/>
        <w:autoSpaceDN w:val="0"/>
        <w:adjustRightInd w:val="0"/>
        <w:spacing w:after="0" w:line="240" w:lineRule="auto"/>
        <w:jc w:val="both"/>
      </w:pPr>
      <w:r w:rsidRPr="00140D5A">
        <w:rPr>
          <w:u w:val="single"/>
        </w:rPr>
        <w:t>Nome chimico</w:t>
      </w:r>
      <w:r w:rsidRPr="00140D5A">
        <w:t xml:space="preserve">: </w:t>
      </w:r>
      <w:r w:rsidRPr="00140D5A">
        <w:rPr>
          <w:rStyle w:val="s1"/>
          <w:rFonts w:ascii="Calibri" w:hAnsi="Calibri"/>
        </w:rPr>
        <w:t>6-Chloro-3,4-dihydro-2</w:t>
      </w:r>
      <w:r w:rsidRPr="00140D5A">
        <w:rPr>
          <w:rStyle w:val="s1"/>
          <w:rFonts w:ascii="Calibri" w:hAnsi="Calibri"/>
          <w:i/>
          <w:iCs/>
        </w:rPr>
        <w:t>H</w:t>
      </w:r>
      <w:r w:rsidRPr="00140D5A">
        <w:rPr>
          <w:rStyle w:val="s1"/>
          <w:rFonts w:ascii="Calibri" w:hAnsi="Calibri"/>
        </w:rPr>
        <w:t>-1,2,4-benzothiadiazine-7-sulfonamide 1,1-dioxide</w:t>
      </w:r>
    </w:p>
    <w:p w:rsidR="00DB42D6" w:rsidRPr="00140D5A" w:rsidRDefault="00DB42D6" w:rsidP="00140D5A">
      <w:pPr>
        <w:spacing w:after="0" w:line="240" w:lineRule="auto"/>
        <w:jc w:val="both"/>
        <w:rPr>
          <w:noProof/>
          <w:lang w:eastAsia="it-IT"/>
        </w:rPr>
      </w:pPr>
      <w:r w:rsidRPr="00140D5A">
        <w:rPr>
          <w:u w:val="single"/>
        </w:rPr>
        <w:t>Struttura</w:t>
      </w:r>
      <w:r w:rsidRPr="00140D5A">
        <w:t>:</w:t>
      </w:r>
    </w:p>
    <w:p w:rsidR="00DB42D6" w:rsidRPr="00140D5A" w:rsidRDefault="009B1761" w:rsidP="00140D5A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990600" cy="561975"/>
            <wp:effectExtent l="19050" t="0" r="0" b="0"/>
            <wp:docPr id="3" name="Immagine 3" descr="cf0394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f0394-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2D6" w:rsidRPr="00140D5A" w:rsidRDefault="00DB42D6" w:rsidP="00140D5A">
      <w:pPr>
        <w:spacing w:after="0" w:line="240" w:lineRule="auto"/>
        <w:jc w:val="both"/>
      </w:pPr>
      <w:r w:rsidRPr="00140D5A">
        <w:rPr>
          <w:u w:val="single"/>
        </w:rPr>
        <w:t>Formula molecolare</w:t>
      </w:r>
      <w:r w:rsidRPr="00140D5A">
        <w:t xml:space="preserve">: </w:t>
      </w:r>
      <w:r w:rsidRPr="00140D5A">
        <w:rPr>
          <w:rStyle w:val="s1"/>
          <w:rFonts w:ascii="Calibri" w:hAnsi="Calibri"/>
        </w:rPr>
        <w:t>C</w:t>
      </w:r>
      <w:r w:rsidRPr="00140D5A">
        <w:rPr>
          <w:rStyle w:val="s1"/>
          <w:rFonts w:ascii="Calibri" w:hAnsi="Calibri"/>
          <w:vertAlign w:val="subscript"/>
        </w:rPr>
        <w:t>7</w:t>
      </w:r>
      <w:r w:rsidRPr="00140D5A">
        <w:rPr>
          <w:rStyle w:val="s1"/>
          <w:rFonts w:ascii="Calibri" w:hAnsi="Calibri"/>
        </w:rPr>
        <w:t>H</w:t>
      </w:r>
      <w:r w:rsidRPr="00140D5A">
        <w:rPr>
          <w:rStyle w:val="s1"/>
          <w:rFonts w:ascii="Calibri" w:hAnsi="Calibri"/>
          <w:vertAlign w:val="subscript"/>
        </w:rPr>
        <w:t>8</w:t>
      </w:r>
      <w:r w:rsidRPr="00140D5A">
        <w:rPr>
          <w:rStyle w:val="s1"/>
          <w:rFonts w:ascii="Calibri" w:hAnsi="Calibri"/>
        </w:rPr>
        <w:t>ClN</w:t>
      </w:r>
      <w:r w:rsidRPr="00140D5A">
        <w:rPr>
          <w:rStyle w:val="s1"/>
          <w:rFonts w:ascii="Calibri" w:hAnsi="Calibri"/>
          <w:vertAlign w:val="subscript"/>
        </w:rPr>
        <w:t>3</w:t>
      </w:r>
      <w:r w:rsidRPr="00140D5A">
        <w:rPr>
          <w:rStyle w:val="s1"/>
          <w:rFonts w:ascii="Calibri" w:hAnsi="Calibri"/>
        </w:rPr>
        <w:t>O</w:t>
      </w:r>
      <w:r w:rsidRPr="00140D5A">
        <w:rPr>
          <w:rStyle w:val="s1"/>
          <w:rFonts w:ascii="Calibri" w:hAnsi="Calibri"/>
          <w:vertAlign w:val="subscript"/>
        </w:rPr>
        <w:t>4</w:t>
      </w:r>
      <w:r w:rsidRPr="00140D5A">
        <w:rPr>
          <w:rStyle w:val="s1"/>
          <w:rFonts w:ascii="Calibri" w:hAnsi="Calibri"/>
        </w:rPr>
        <w:t>S</w:t>
      </w:r>
      <w:r w:rsidRPr="00140D5A">
        <w:rPr>
          <w:rStyle w:val="s1"/>
          <w:rFonts w:ascii="Calibri" w:hAnsi="Calibri"/>
          <w:vertAlign w:val="subscript"/>
        </w:rPr>
        <w:t>2</w:t>
      </w:r>
    </w:p>
    <w:p w:rsidR="00DB42D6" w:rsidRPr="00140D5A" w:rsidRDefault="00DB42D6" w:rsidP="00140D5A">
      <w:pPr>
        <w:spacing w:after="0" w:line="240" w:lineRule="auto"/>
        <w:jc w:val="both"/>
      </w:pPr>
      <w:r w:rsidRPr="00140D5A">
        <w:rPr>
          <w:u w:val="single"/>
        </w:rPr>
        <w:t>Peso molecolare</w:t>
      </w:r>
      <w:r w:rsidRPr="00140D5A">
        <w:t>:492.5</w:t>
      </w:r>
      <w:r w:rsidRPr="00140D5A">
        <w:rPr>
          <w:rStyle w:val="s1"/>
          <w:rFonts w:ascii="Calibri" w:hAnsi="Calibri"/>
        </w:rPr>
        <w:t xml:space="preserve"> g/mol</w:t>
      </w:r>
    </w:p>
    <w:p w:rsidR="00DB42D6" w:rsidRPr="005D524A" w:rsidRDefault="00DB42D6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  <w:u w:val="none"/>
        </w:rPr>
      </w:pPr>
      <w:r w:rsidRPr="005D524A">
        <w:rPr>
          <w:rFonts w:ascii="Calibri" w:hAnsi="Calibri"/>
          <w:i w:val="0"/>
          <w:szCs w:val="22"/>
        </w:rPr>
        <w:t>CAS</w:t>
      </w:r>
      <w:r w:rsidRPr="005D524A">
        <w:rPr>
          <w:rFonts w:ascii="Calibri" w:hAnsi="Calibri"/>
          <w:i w:val="0"/>
          <w:szCs w:val="22"/>
          <w:u w:val="none"/>
        </w:rPr>
        <w:t xml:space="preserve">: </w:t>
      </w:r>
      <w:r w:rsidRPr="005D524A">
        <w:rPr>
          <w:rStyle w:val="s1"/>
          <w:rFonts w:ascii="Calibri" w:hAnsi="Calibri"/>
          <w:i w:val="0"/>
          <w:szCs w:val="22"/>
          <w:u w:val="none"/>
        </w:rPr>
        <w:t>[58-93-5]</w:t>
      </w:r>
    </w:p>
    <w:p w:rsidR="00DB42D6" w:rsidRPr="005D524A" w:rsidRDefault="00DB42D6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</w:rPr>
      </w:pPr>
      <w:r w:rsidRPr="005D524A">
        <w:rPr>
          <w:rFonts w:ascii="Calibri" w:hAnsi="Calibri"/>
          <w:i w:val="0"/>
          <w:szCs w:val="22"/>
        </w:rPr>
        <w:t>Aspetto</w:t>
      </w:r>
      <w:r w:rsidRPr="005D524A">
        <w:rPr>
          <w:rFonts w:ascii="Calibri" w:hAnsi="Calibri"/>
          <w:i w:val="0"/>
          <w:szCs w:val="22"/>
          <w:u w:val="none"/>
        </w:rPr>
        <w:t>: polvere cristallina bianca o quasi bianca</w:t>
      </w:r>
    </w:p>
    <w:p w:rsidR="00946E79" w:rsidRPr="00140D5A" w:rsidRDefault="00DB42D6" w:rsidP="00140D5A">
      <w:pPr>
        <w:spacing w:after="0" w:line="240" w:lineRule="auto"/>
        <w:jc w:val="both"/>
        <w:rPr>
          <w:color w:val="222222"/>
        </w:rPr>
      </w:pPr>
      <w:r w:rsidRPr="00140D5A">
        <w:rPr>
          <w:u w:val="single"/>
        </w:rPr>
        <w:t>Solubilità</w:t>
      </w:r>
      <w:r w:rsidRPr="00140D5A">
        <w:t xml:space="preserve">: </w:t>
      </w:r>
      <w:r w:rsidRPr="00140D5A">
        <w:rPr>
          <w:color w:val="222222"/>
        </w:rPr>
        <w:t xml:space="preserve">molto poco solubile in acqua, solubile in acetone, scarsamente solubile in etanolo (96 per cento). </w:t>
      </w:r>
      <w:r w:rsidR="00A05AC7">
        <w:rPr>
          <w:color w:val="222222"/>
        </w:rPr>
        <w:t xml:space="preserve"> </w:t>
      </w:r>
      <w:r w:rsidRPr="00140D5A">
        <w:rPr>
          <w:color w:val="222222"/>
        </w:rPr>
        <w:t>Si dissolve in soluzioni diluite di idrossidi</w:t>
      </w:r>
    </w:p>
    <w:p w:rsidR="00DB42D6" w:rsidRPr="00140D5A" w:rsidRDefault="00DB42D6" w:rsidP="00140D5A">
      <w:pPr>
        <w:spacing w:after="0" w:line="240" w:lineRule="auto"/>
        <w:jc w:val="both"/>
        <w:rPr>
          <w:highlight w:val="yellow"/>
        </w:rPr>
      </w:pPr>
    </w:p>
    <w:p w:rsidR="005D524A" w:rsidRPr="00490A67" w:rsidRDefault="006C22A2" w:rsidP="005D524A">
      <w:pPr>
        <w:spacing w:after="0" w:line="240" w:lineRule="auto"/>
        <w:jc w:val="both"/>
      </w:pPr>
      <w:r w:rsidRPr="00140D5A">
        <w:t xml:space="preserve">Il principio attivo </w:t>
      </w:r>
      <w:proofErr w:type="spellStart"/>
      <w:r w:rsidR="00FA5DB1">
        <w:t>Idroclorotiazide</w:t>
      </w:r>
      <w:proofErr w:type="spellEnd"/>
      <w:r w:rsidRPr="00140D5A">
        <w:t xml:space="preserve"> </w:t>
      </w:r>
      <w:r w:rsidR="005D524A" w:rsidRPr="00490A67">
        <w:t xml:space="preserve">è presente in Farmacopea Europea e il </w:t>
      </w:r>
      <w:proofErr w:type="spellStart"/>
      <w:r w:rsidR="005D524A" w:rsidRPr="00490A67">
        <w:t>Direttorato</w:t>
      </w:r>
      <w:proofErr w:type="spellEnd"/>
      <w:r w:rsidR="005D524A" w:rsidRPr="00490A67">
        <w:t xml:space="preserve"> Europeo per la Qualità dei Medicinali (</w:t>
      </w:r>
      <w:proofErr w:type="spellStart"/>
      <w:r w:rsidR="005D524A" w:rsidRPr="00490A67">
        <w:rPr>
          <w:i/>
        </w:rPr>
        <w:t>European</w:t>
      </w:r>
      <w:proofErr w:type="spellEnd"/>
      <w:r w:rsidR="00A05AC7">
        <w:rPr>
          <w:i/>
        </w:rPr>
        <w:t xml:space="preserve"> </w:t>
      </w:r>
      <w:proofErr w:type="spellStart"/>
      <w:r w:rsidR="005D524A" w:rsidRPr="00490A67">
        <w:rPr>
          <w:i/>
        </w:rPr>
        <w:t>Directorate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for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Quality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of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Medicnals</w:t>
      </w:r>
      <w:proofErr w:type="spellEnd"/>
      <w:r w:rsidR="005D524A" w:rsidRPr="00490A67">
        <w:t xml:space="preserve"> – EDQM) ha rilasciato al produttore il certificato di conformità alla Farmacopea Europea.</w:t>
      </w:r>
    </w:p>
    <w:p w:rsidR="005D524A" w:rsidRPr="00490A67" w:rsidRDefault="00FB7B8B" w:rsidP="005D524A">
      <w:pPr>
        <w:spacing w:after="0" w:line="240" w:lineRule="auto"/>
        <w:jc w:val="both"/>
      </w:pPr>
      <w:r>
        <w:t>T</w:t>
      </w:r>
      <w:r w:rsidR="005D524A" w:rsidRPr="00490A67">
        <w:t>utti gli aspetti di produzione e controllo sono coperti dal certificato di conformità alla Farmacopea Europea.</w:t>
      </w:r>
    </w:p>
    <w:p w:rsidR="005D524A" w:rsidRPr="00490A67" w:rsidRDefault="00A05AC7" w:rsidP="005D524A">
      <w:pPr>
        <w:spacing w:after="0" w:line="240" w:lineRule="auto"/>
        <w:jc w:val="both"/>
      </w:pPr>
      <w:r w:rsidRPr="00490A67">
        <w:lastRenderedPageBreak/>
        <w:t xml:space="preserve">Il confezionamento primario è costituito da </w:t>
      </w:r>
      <w:r w:rsidR="00DA2C01">
        <w:t xml:space="preserve">doppia </w:t>
      </w:r>
      <w:r w:rsidRPr="00490A67">
        <w:t xml:space="preserve">busta di polietilene </w:t>
      </w:r>
      <w:r>
        <w:t xml:space="preserve">inserita in </w:t>
      </w:r>
      <w:r w:rsidRPr="00490A67">
        <w:t xml:space="preserve">un </w:t>
      </w:r>
      <w:r>
        <w:t>contenitore</w:t>
      </w:r>
      <w:r w:rsidR="00DA2C01">
        <w:t xml:space="preserve"> in polietilene</w:t>
      </w:r>
      <w:r>
        <w:t>;</w:t>
      </w:r>
      <w:r w:rsidRPr="00490A67">
        <w:t xml:space="preserve"> </w:t>
      </w:r>
      <w:r w:rsidR="005D524A" w:rsidRPr="00490A67">
        <w:t xml:space="preserve">è stato approvato un periodo di </w:t>
      </w:r>
      <w:proofErr w:type="spellStart"/>
      <w:r w:rsidR="005D524A" w:rsidRPr="00490A67">
        <w:t>retest</w:t>
      </w:r>
      <w:proofErr w:type="spellEnd"/>
      <w:r w:rsidR="005D524A" w:rsidRPr="00490A67">
        <w:t xml:space="preserve"> di </w:t>
      </w:r>
      <w:r w:rsidR="005D524A">
        <w:t>5 anni</w:t>
      </w:r>
      <w:r w:rsidR="005D524A" w:rsidRPr="00490A67">
        <w:t>.</w:t>
      </w:r>
    </w:p>
    <w:p w:rsidR="006C22A2" w:rsidRPr="00140D5A" w:rsidRDefault="006C22A2" w:rsidP="005D524A">
      <w:pPr>
        <w:spacing w:after="0" w:line="240" w:lineRule="auto"/>
        <w:jc w:val="both"/>
        <w:rPr>
          <w:highlight w:val="yellow"/>
        </w:rPr>
      </w:pPr>
    </w:p>
    <w:p w:rsidR="001B5C75" w:rsidRPr="00140D5A" w:rsidRDefault="001B5C75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II.2 PRODOTTO FINITO</w:t>
      </w: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Descrizione e composizione</w:t>
      </w:r>
    </w:p>
    <w:p w:rsidR="00F00552" w:rsidRPr="00DA2C01" w:rsidRDefault="00FA5DB1" w:rsidP="00140D5A">
      <w:pPr>
        <w:spacing w:after="0" w:line="240" w:lineRule="auto"/>
        <w:jc w:val="both"/>
      </w:pPr>
      <w:proofErr w:type="spellStart"/>
      <w:r>
        <w:t>Zofenopril</w:t>
      </w:r>
      <w:proofErr w:type="spellEnd"/>
      <w:r w:rsidR="00334BF9" w:rsidRPr="00140D5A">
        <w:t xml:space="preserve"> e </w:t>
      </w:r>
      <w:proofErr w:type="spellStart"/>
      <w:r>
        <w:t>Idroclorotiazide</w:t>
      </w:r>
      <w:proofErr w:type="spellEnd"/>
      <w:r w:rsidR="00334BF9" w:rsidRPr="00140D5A">
        <w:t xml:space="preserve"> </w:t>
      </w:r>
      <w:r w:rsidR="00157E75">
        <w:t>EG</w:t>
      </w:r>
      <w:r w:rsidR="00F00552" w:rsidRPr="00140D5A">
        <w:rPr>
          <w:rFonts w:cs="Calibri"/>
          <w:color w:val="000000"/>
          <w:lang w:eastAsia="it-IT"/>
        </w:rPr>
        <w:t xml:space="preserve"> è disponibile in compresse </w:t>
      </w:r>
      <w:r w:rsidR="00DA2C01">
        <w:rPr>
          <w:rFonts w:cs="Calibri"/>
          <w:color w:val="000000"/>
          <w:lang w:eastAsia="it-IT"/>
        </w:rPr>
        <w:t xml:space="preserve">rivestite con film </w:t>
      </w:r>
      <w:r w:rsidR="00F00552" w:rsidRPr="00140D5A">
        <w:rPr>
          <w:rFonts w:cs="Calibri"/>
          <w:color w:val="000000"/>
          <w:lang w:eastAsia="it-IT"/>
        </w:rPr>
        <w:t xml:space="preserve">contenenti </w:t>
      </w:r>
      <w:r w:rsidR="00DA2C01">
        <w:rPr>
          <w:iCs/>
        </w:rPr>
        <w:t>3</w:t>
      </w:r>
      <w:r w:rsidR="008E534A" w:rsidRPr="00140D5A">
        <w:rPr>
          <w:iCs/>
        </w:rPr>
        <w:t xml:space="preserve">0 </w:t>
      </w:r>
      <w:r w:rsidR="005D524A">
        <w:rPr>
          <w:iCs/>
        </w:rPr>
        <w:t>mg</w:t>
      </w:r>
      <w:r w:rsidR="008E534A" w:rsidRPr="00140D5A">
        <w:rPr>
          <w:iCs/>
        </w:rPr>
        <w:t xml:space="preserve"> di </w:t>
      </w:r>
      <w:proofErr w:type="spellStart"/>
      <w:r>
        <w:rPr>
          <w:iCs/>
        </w:rPr>
        <w:t>Zofenopril</w:t>
      </w:r>
      <w:proofErr w:type="spellEnd"/>
      <w:r w:rsidR="008E534A" w:rsidRPr="00140D5A">
        <w:rPr>
          <w:iCs/>
        </w:rPr>
        <w:t xml:space="preserve"> e 12,5 </w:t>
      </w:r>
      <w:r w:rsidR="005D524A">
        <w:rPr>
          <w:iCs/>
        </w:rPr>
        <w:t>mg</w:t>
      </w:r>
      <w:r w:rsidR="008E534A" w:rsidRPr="00140D5A">
        <w:rPr>
          <w:iCs/>
        </w:rPr>
        <w:t xml:space="preserve"> di </w:t>
      </w:r>
      <w:proofErr w:type="spellStart"/>
      <w:r>
        <w:rPr>
          <w:iCs/>
        </w:rPr>
        <w:t>Idroclorotiazide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. Le compresse </w:t>
      </w:r>
      <w:r w:rsidR="00DA2C01" w:rsidRPr="00DA2C01">
        <w:rPr>
          <w:rFonts w:cs="Calibri"/>
          <w:color w:val="000000"/>
          <w:lang w:eastAsia="it-IT"/>
        </w:rPr>
        <w:t>sono di colore rosso chiaro, rotonde, con linea di frattura su un lato</w:t>
      </w:r>
      <w:r w:rsidR="005D524A" w:rsidRPr="00DA2C01">
        <w:t>.</w:t>
      </w:r>
    </w:p>
    <w:p w:rsidR="00F00552" w:rsidRPr="00DA2C01" w:rsidRDefault="008E534A" w:rsidP="00140D5A">
      <w:pPr>
        <w:spacing w:after="0" w:line="240" w:lineRule="auto"/>
        <w:jc w:val="both"/>
      </w:pPr>
      <w:r w:rsidRPr="00140D5A">
        <w:t>G</w:t>
      </w:r>
      <w:r w:rsidR="00F00552" w:rsidRPr="00140D5A">
        <w:t>li eccipienti sono i seguenti:</w:t>
      </w:r>
      <w:r w:rsidRPr="00140D5A">
        <w:t xml:space="preserve"> </w:t>
      </w:r>
      <w:r w:rsidR="00DA2C01">
        <w:t xml:space="preserve">cellulosa microcristallina, </w:t>
      </w:r>
      <w:r w:rsidRPr="00DA2C01">
        <w:t xml:space="preserve">lattosio monoidrato, </w:t>
      </w:r>
      <w:proofErr w:type="spellStart"/>
      <w:r w:rsidR="00DA2C01" w:rsidRPr="00DA2C01">
        <w:t>croscarmellosa</w:t>
      </w:r>
      <w:proofErr w:type="spellEnd"/>
      <w:r w:rsidR="00DA2C01" w:rsidRPr="00DA2C01">
        <w:t xml:space="preserve"> sodica, silice colloidale anidra</w:t>
      </w:r>
      <w:r w:rsidRPr="00DA2C01">
        <w:t xml:space="preserve">, amido di mais </w:t>
      </w:r>
      <w:proofErr w:type="spellStart"/>
      <w:r w:rsidRPr="00DA2C01">
        <w:t>pregelatinizzato</w:t>
      </w:r>
      <w:proofErr w:type="spellEnd"/>
      <w:r w:rsidRPr="00DA2C01">
        <w:t>, magnesio stearato</w:t>
      </w:r>
      <w:r w:rsidR="00DA2C01" w:rsidRPr="00DA2C01">
        <w:t xml:space="preserve">, </w:t>
      </w:r>
      <w:proofErr w:type="spellStart"/>
      <w:r w:rsidR="009465F6">
        <w:t>Opadry</w:t>
      </w:r>
      <w:proofErr w:type="spellEnd"/>
      <w:r w:rsidR="009465F6">
        <w:t xml:space="preserve"> II Arancio costituito da: </w:t>
      </w:r>
      <w:r w:rsidR="00DA2C01" w:rsidRPr="00DA2C01">
        <w:t xml:space="preserve">alcool polivinilico, titanio </w:t>
      </w:r>
      <w:r w:rsidR="009465F6">
        <w:t xml:space="preserve"> diossido </w:t>
      </w:r>
      <w:r w:rsidR="00DA2C01" w:rsidRPr="00DA2C01">
        <w:t>(E 171), macrogol 4000, talco, giallo tramonto FCF lacca di alluminio (E 110), ossido di ferro rosso (E 172)</w:t>
      </w:r>
      <w:r w:rsidR="005D524A" w:rsidRPr="00DA2C01">
        <w:t>.</w:t>
      </w:r>
    </w:p>
    <w:p w:rsidR="00F00552" w:rsidRPr="00140D5A" w:rsidRDefault="00F00552" w:rsidP="00140D5A">
      <w:pPr>
        <w:spacing w:after="0" w:line="240" w:lineRule="auto"/>
        <w:ind w:right="13"/>
        <w:jc w:val="both"/>
      </w:pPr>
      <w:r w:rsidRPr="00140D5A">
        <w:t>Tutti gli eccipienti sono conformi alla relativa monografia di Farmacopea Europea, ad eccezione del sistema colorante (ossido di ferro</w:t>
      </w:r>
      <w:r w:rsidR="00DA2C01">
        <w:t xml:space="preserve"> e giallo tramonto FCF lacca di alluminio</w:t>
      </w:r>
      <w:r w:rsidRPr="00140D5A">
        <w:t>) le cui specifiche sono state opportunamente definite dal produttore.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Nessun eccipiente è ottenuto da organismi geneticamente modificati; non sono presenti eccipienti mai utilizzati nell’uomo.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3A3569" w:rsidRPr="00C75273" w:rsidRDefault="003A3569" w:rsidP="003A3569">
      <w:pPr>
        <w:spacing w:after="0" w:line="240" w:lineRule="auto"/>
        <w:jc w:val="both"/>
        <w:rPr>
          <w:b/>
        </w:rPr>
      </w:pPr>
      <w:r w:rsidRPr="00C75273">
        <w:rPr>
          <w:b/>
        </w:rPr>
        <w:t>Sviluppo farmaceutico</w:t>
      </w:r>
    </w:p>
    <w:p w:rsidR="003A3569" w:rsidRPr="00C75273" w:rsidRDefault="003A3569" w:rsidP="003A3569">
      <w:pPr>
        <w:spacing w:after="0" w:line="240" w:lineRule="auto"/>
        <w:jc w:val="both"/>
      </w:pPr>
      <w:r w:rsidRPr="00C75273">
        <w:t>Sono stati forniti dettagli dello sviluppo farmaceutico e questi sono stati ritenuti soddisfacenti.</w:t>
      </w:r>
    </w:p>
    <w:p w:rsidR="003A3569" w:rsidRPr="00C75273" w:rsidRDefault="003A3569" w:rsidP="003A3569">
      <w:pPr>
        <w:spacing w:after="0" w:line="240" w:lineRule="auto"/>
        <w:jc w:val="both"/>
      </w:pPr>
      <w:r w:rsidRPr="00C75273">
        <w:t xml:space="preserve">Lo scopo era quello di ottenere un medicinale </w:t>
      </w:r>
      <w:proofErr w:type="spellStart"/>
      <w:r w:rsidRPr="00C75273">
        <w:t>bioequivalente</w:t>
      </w:r>
      <w:proofErr w:type="spellEnd"/>
      <w:r w:rsidRPr="00C75273">
        <w:t xml:space="preserve"> al medicinale di riferimento </w:t>
      </w:r>
      <w:proofErr w:type="spellStart"/>
      <w:r>
        <w:t>Bifrizide</w:t>
      </w:r>
      <w:proofErr w:type="spellEnd"/>
      <w:r w:rsidRPr="00C75273">
        <w:t xml:space="preserve"> autorizzato in Italia.</w:t>
      </w:r>
    </w:p>
    <w:p w:rsidR="003A3569" w:rsidRPr="00434288" w:rsidRDefault="003A3569" w:rsidP="003A3569">
      <w:pPr>
        <w:spacing w:after="0" w:line="240" w:lineRule="auto"/>
        <w:jc w:val="both"/>
      </w:pPr>
      <w:r w:rsidRPr="00C75273">
        <w:t>Sono stati forniti dati comparativi relativi al profilo di dissoluzione e al profilo di impurezze rispetto al medicina</w:t>
      </w:r>
      <w:r w:rsidRPr="00434288">
        <w:t>le di riferimento. I dati sono soddisfacenti.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 xml:space="preserve">Produzione </w:t>
      </w:r>
    </w:p>
    <w:p w:rsidR="005D524A" w:rsidRPr="00880DE6" w:rsidRDefault="005D524A" w:rsidP="005D524A">
      <w:pPr>
        <w:spacing w:after="0" w:line="240" w:lineRule="auto"/>
        <w:jc w:val="both"/>
      </w:pPr>
      <w:r w:rsidRPr="00880DE6">
        <w:t>Sono stati forniti una descrizione del metodo di produzione e la relativa flow-chart.</w:t>
      </w:r>
    </w:p>
    <w:p w:rsidR="005D524A" w:rsidRPr="00880DE6" w:rsidRDefault="005D524A" w:rsidP="005D524A">
      <w:pPr>
        <w:spacing w:after="0" w:line="240" w:lineRule="auto"/>
        <w:jc w:val="both"/>
      </w:pPr>
      <w:r w:rsidRPr="00880DE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Specifiche del prodotto finito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165615">
        <w:t xml:space="preserve">il </w:t>
      </w:r>
      <w:r w:rsidRPr="00140D5A">
        <w:t>prodotto finito: questi dati dimostrano che i lotti prodotti sono in accordo alle specifiche proposte. Sono stati forniti, infine, certificati analitici per gli standard di riferimento utilizzati.</w:t>
      </w: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Contenitore</w:t>
      </w:r>
    </w:p>
    <w:p w:rsidR="00F00552" w:rsidRPr="00140D5A" w:rsidRDefault="00FA5DB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t>Zofenopril</w:t>
      </w:r>
      <w:proofErr w:type="spellEnd"/>
      <w:r w:rsidR="005B0F78" w:rsidRPr="00140D5A">
        <w:t xml:space="preserve"> e </w:t>
      </w:r>
      <w:proofErr w:type="spellStart"/>
      <w:r>
        <w:t>Idroclorotiazide</w:t>
      </w:r>
      <w:proofErr w:type="spellEnd"/>
      <w:r w:rsidR="005B0F78" w:rsidRPr="00140D5A">
        <w:t xml:space="preserve"> </w:t>
      </w:r>
      <w:r w:rsidR="00157E75">
        <w:t>EG</w:t>
      </w:r>
      <w:r w:rsidR="00F00552" w:rsidRPr="00140D5A">
        <w:t xml:space="preserve"> è confezionato in blister </w:t>
      </w:r>
      <w:r w:rsidR="001D5F3F">
        <w:t>di PVC/</w:t>
      </w:r>
      <w:proofErr w:type="spellStart"/>
      <w:r w:rsidR="001D5F3F">
        <w:t>PVdC</w:t>
      </w:r>
      <w:proofErr w:type="spellEnd"/>
      <w:r w:rsidR="001D5F3F">
        <w:t>/Al</w:t>
      </w:r>
      <w:r w:rsidR="00F00552" w:rsidRPr="00140D5A">
        <w:t>. Sono state fornite specifiche e certificati analitici per tutti i componenti del confezionamento primario, che è adeguato per il medicinale.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Stabilità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Studi di stabilità sul prodotto finito sono stati condotti in accordo alle correnti linee guida e i risultati sono entro i limiti delle specifiche autorizzate. Sulla base di questi risultati, è stato autoriz</w:t>
      </w:r>
      <w:r w:rsidR="001D5F3F">
        <w:t>zato un periodo di validità di 2</w:t>
      </w:r>
      <w:r w:rsidRPr="00140D5A">
        <w:t xml:space="preserve"> anni senza nessuna condizione particolare di conservazione</w:t>
      </w:r>
      <w:r w:rsidR="00CB2896">
        <w:t>.</w:t>
      </w:r>
    </w:p>
    <w:p w:rsidR="00F00552" w:rsidRDefault="00F00552" w:rsidP="00140D5A">
      <w:pPr>
        <w:spacing w:after="0" w:line="240" w:lineRule="auto"/>
        <w:jc w:val="both"/>
      </w:pPr>
    </w:p>
    <w:p w:rsidR="003A3569" w:rsidRPr="00140D5A" w:rsidRDefault="003A3569" w:rsidP="00140D5A">
      <w:pPr>
        <w:spacing w:after="0" w:line="240" w:lineRule="auto"/>
        <w:jc w:val="both"/>
      </w:pPr>
    </w:p>
    <w:p w:rsidR="00F00552" w:rsidRPr="00140D5A" w:rsidRDefault="00F00552" w:rsidP="003A3569">
      <w:pPr>
        <w:spacing w:after="0" w:line="240" w:lineRule="auto"/>
        <w:jc w:val="both"/>
        <w:rPr>
          <w:b/>
        </w:rPr>
      </w:pPr>
      <w:r w:rsidRPr="00140D5A">
        <w:rPr>
          <w:b/>
        </w:rPr>
        <w:t>II.3 Discussione sugli aspetti di qualità</w:t>
      </w:r>
    </w:p>
    <w:p w:rsidR="00F00552" w:rsidRPr="00140D5A" w:rsidRDefault="00F00552" w:rsidP="003A3569">
      <w:pPr>
        <w:spacing w:after="0" w:line="240" w:lineRule="auto"/>
        <w:jc w:val="both"/>
      </w:pPr>
      <w:r w:rsidRPr="00140D5A">
        <w:t xml:space="preserve">Tutte le criticità evidenziate nel corso della valutazione sono state risolte e la qualità di </w:t>
      </w:r>
      <w:proofErr w:type="spellStart"/>
      <w:r w:rsidR="00FA5DB1">
        <w:t>Zofenopril</w:t>
      </w:r>
      <w:proofErr w:type="spellEnd"/>
      <w:r w:rsidR="005B0F78" w:rsidRPr="00140D5A">
        <w:t xml:space="preserve"> e </w:t>
      </w:r>
      <w:proofErr w:type="spellStart"/>
      <w:r w:rsidR="00FA5DB1">
        <w:t>Idroclorotiazide</w:t>
      </w:r>
      <w:proofErr w:type="spellEnd"/>
      <w:r w:rsidR="005B0F78" w:rsidRPr="00140D5A">
        <w:t xml:space="preserve"> </w:t>
      </w:r>
      <w:r w:rsidR="00157E75">
        <w:t>EG</w:t>
      </w:r>
      <w:r w:rsidRPr="00140D5A">
        <w:t xml:space="preserve"> è considerata adeguata. Non ci sono obiezioni per l’approvazione di </w:t>
      </w:r>
      <w:proofErr w:type="spellStart"/>
      <w:r w:rsidR="00FA5DB1">
        <w:rPr>
          <w:rFonts w:cs="Arial"/>
        </w:rPr>
        <w:t>Zofenopril</w:t>
      </w:r>
      <w:proofErr w:type="spellEnd"/>
      <w:r w:rsidR="004B700A">
        <w:rPr>
          <w:rFonts w:cs="Arial"/>
        </w:rPr>
        <w:t xml:space="preserve"> e </w:t>
      </w:r>
      <w:proofErr w:type="spellStart"/>
      <w:r w:rsidR="00FA5DB1">
        <w:rPr>
          <w:rFonts w:cs="Arial"/>
        </w:rPr>
        <w:t>Idroclorotiazide</w:t>
      </w:r>
      <w:proofErr w:type="spellEnd"/>
      <w:r w:rsidR="00165615">
        <w:rPr>
          <w:rFonts w:cs="Arial"/>
        </w:rPr>
        <w:t xml:space="preserve"> </w:t>
      </w:r>
      <w:r w:rsidR="00157E75">
        <w:rPr>
          <w:rFonts w:cs="Arial"/>
        </w:rPr>
        <w:t>EG</w:t>
      </w:r>
      <w:r w:rsidRPr="00140D5A">
        <w:t xml:space="preserve"> dal punto di vista chimico-farmaceutico.</w:t>
      </w:r>
    </w:p>
    <w:p w:rsidR="00F00552" w:rsidRPr="00140D5A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NON CLINICI</w:t>
      </w:r>
    </w:p>
    <w:p w:rsidR="00CB2896" w:rsidRDefault="00CB2896" w:rsidP="003A3569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FA5DB1">
        <w:rPr>
          <w:rFonts w:cs="Arial"/>
        </w:rPr>
        <w:t>Zofenopril</w:t>
      </w:r>
      <w:proofErr w:type="spellEnd"/>
      <w:r w:rsidR="00165615">
        <w:rPr>
          <w:rFonts w:cs="Arial"/>
        </w:rPr>
        <w:t xml:space="preserve"> e </w:t>
      </w:r>
      <w:proofErr w:type="spellStart"/>
      <w:r w:rsidR="00FA5DB1">
        <w:rPr>
          <w:rFonts w:cs="Arial"/>
        </w:rPr>
        <w:t>Idroclorotiazide</w:t>
      </w:r>
      <w:proofErr w:type="spellEnd"/>
      <w:r w:rsidR="00165615">
        <w:t xml:space="preserve"> </w:t>
      </w:r>
      <w:r w:rsidR="00157E75">
        <w:t>EG</w:t>
      </w:r>
      <w:r>
        <w:t xml:space="preserve"> contiene princip</w:t>
      </w:r>
      <w:r w:rsidR="00165615">
        <w:t>i</w:t>
      </w:r>
      <w:r>
        <w:t xml:space="preserve"> attiv</w:t>
      </w:r>
      <w:r w:rsidR="00165615">
        <w:t>i</w:t>
      </w:r>
      <w:r>
        <w:t xml:space="preserve"> noto: questo approccio è accettabile poiché il medicinale di riferimento </w:t>
      </w:r>
      <w:proofErr w:type="spellStart"/>
      <w:r w:rsidR="001D5F3F">
        <w:t>Bifrizide</w:t>
      </w:r>
      <w:proofErr w:type="spellEnd"/>
      <w:r>
        <w:t xml:space="preserve"> è autorizzato in Italia da oltre 10 anni.</w:t>
      </w:r>
    </w:p>
    <w:p w:rsidR="00CB2896" w:rsidRDefault="00CB2896" w:rsidP="003A3569">
      <w:pPr>
        <w:spacing w:after="0" w:line="240" w:lineRule="auto"/>
        <w:jc w:val="both"/>
      </w:pPr>
      <w:r>
        <w:t>Non ci sono obiezioni per l’approvazione dal punto di vista non clinico.</w:t>
      </w:r>
    </w:p>
    <w:p w:rsidR="00F00552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CLINICI</w:t>
      </w:r>
    </w:p>
    <w:p w:rsidR="00642334" w:rsidRPr="00224478" w:rsidRDefault="00642334" w:rsidP="003A3569">
      <w:pPr>
        <w:spacing w:after="0" w:line="240" w:lineRule="auto"/>
        <w:jc w:val="both"/>
      </w:pPr>
      <w:proofErr w:type="spellStart"/>
      <w:r>
        <w:rPr>
          <w:iCs/>
        </w:rPr>
        <w:t>Zofenopril</w:t>
      </w:r>
      <w:proofErr w:type="spellEnd"/>
      <w:r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r w:rsidR="00157E75">
        <w:rPr>
          <w:iCs/>
        </w:rPr>
        <w:t>EG</w:t>
      </w:r>
      <w:r w:rsidRPr="00A308B1">
        <w:t xml:space="preserve"> è utilizzato </w:t>
      </w:r>
      <w:r w:rsidRPr="00D56D3C">
        <w:t>per il trattamento della pressione del sangue</w:t>
      </w:r>
      <w:r>
        <w:t xml:space="preserve"> alta </w:t>
      </w:r>
      <w:r w:rsidRPr="00D56D3C">
        <w:t xml:space="preserve">(ipertensione) </w:t>
      </w:r>
      <w:r>
        <w:t xml:space="preserve">da lieve a moderata </w:t>
      </w:r>
      <w:r w:rsidRPr="00D56D3C">
        <w:t xml:space="preserve">in quei pazienti </w:t>
      </w:r>
      <w:r>
        <w:t xml:space="preserve">la cui pressione sanguigna non è adeguatamente controllata con il solo principio attivo </w:t>
      </w:r>
      <w:proofErr w:type="spellStart"/>
      <w:r>
        <w:t>Zofenopril</w:t>
      </w:r>
      <w:proofErr w:type="spellEnd"/>
      <w:r>
        <w:t>.</w:t>
      </w:r>
    </w:p>
    <w:p w:rsidR="00165615" w:rsidRDefault="00165615" w:rsidP="003A3569">
      <w:pPr>
        <w:spacing w:after="0" w:line="240" w:lineRule="auto"/>
        <w:jc w:val="both"/>
      </w:pPr>
    </w:p>
    <w:p w:rsidR="00CB2896" w:rsidRPr="00880DE6" w:rsidRDefault="00CB2896" w:rsidP="003A3569">
      <w:pPr>
        <w:spacing w:after="0" w:line="240" w:lineRule="auto"/>
        <w:ind w:right="6"/>
        <w:jc w:val="both"/>
        <w:rPr>
          <w:b/>
        </w:rPr>
      </w:pPr>
      <w:r w:rsidRPr="00880DE6">
        <w:rPr>
          <w:b/>
        </w:rPr>
        <w:t>Posologia e modalità di somministrazione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t xml:space="preserve">Le informazioni sulla posologia e sulle modalità di somministrazione sono riportate nel Riassunto delle Caratteristiche del Prodotto pubblicato sul sito dell’Agenzia Italiana del Farmaco - AIFA </w:t>
      </w:r>
      <w:r w:rsidRPr="00880DE6">
        <w:rPr>
          <w:rFonts w:cs="Calibri"/>
          <w:lang w:eastAsia="it-IT"/>
        </w:rPr>
        <w:t>(</w:t>
      </w:r>
      <w:hyperlink r:id="rId10" w:history="1">
        <w:r w:rsidRPr="00880DE6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880DE6">
        <w:rPr>
          <w:rFonts w:cs="Calibri"/>
          <w:lang w:eastAsia="it-IT"/>
        </w:rPr>
        <w:t>).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880DE6">
        <w:rPr>
          <w:rFonts w:cs="Calibri"/>
          <w:b/>
          <w:lang w:eastAsia="it-IT"/>
        </w:rPr>
        <w:t>Tossicologia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t>La tossicologia d</w:t>
      </w:r>
      <w:r>
        <w:rPr>
          <w:rFonts w:cs="Calibri"/>
          <w:lang w:eastAsia="it-IT"/>
        </w:rPr>
        <w:t>e</w:t>
      </w:r>
      <w:r w:rsidRPr="00880DE6">
        <w:rPr>
          <w:rFonts w:cs="Calibri"/>
          <w:lang w:eastAsia="it-IT"/>
        </w:rPr>
        <w:t xml:space="preserve">i </w:t>
      </w:r>
      <w:r>
        <w:rPr>
          <w:rFonts w:cs="Calibri"/>
          <w:lang w:eastAsia="it-IT"/>
        </w:rPr>
        <w:t xml:space="preserve">principi attivi </w:t>
      </w:r>
      <w:proofErr w:type="spellStart"/>
      <w:r w:rsidR="00FA5DB1">
        <w:t>Zofenopril</w:t>
      </w:r>
      <w:proofErr w:type="spellEnd"/>
      <w:r w:rsidR="00165615"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DE4DC3">
        <w:t xml:space="preserve"> </w:t>
      </w:r>
      <w:r w:rsidRPr="00880DE6">
        <w:rPr>
          <w:rFonts w:cs="Calibri"/>
          <w:lang w:eastAsia="it-IT"/>
        </w:rPr>
        <w:t>è ben conosciuta; non è stato necessario presentare ulteriori dati.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eastAsia="Times New Roman"/>
          <w:b/>
        </w:rPr>
      </w:pPr>
      <w:r w:rsidRPr="00880DE6">
        <w:rPr>
          <w:rFonts w:eastAsia="Times New Roman"/>
          <w:b/>
        </w:rPr>
        <w:t>Farmacologia clinica</w:t>
      </w:r>
    </w:p>
    <w:p w:rsidR="00CB2896" w:rsidRPr="00880DE6" w:rsidRDefault="00CB2896" w:rsidP="003A3569">
      <w:pPr>
        <w:spacing w:after="0" w:line="240" w:lineRule="auto"/>
        <w:jc w:val="both"/>
      </w:pPr>
      <w:r w:rsidRPr="00880DE6">
        <w:rPr>
          <w:rFonts w:cs="Calibri"/>
          <w:lang w:eastAsia="it-IT"/>
        </w:rPr>
        <w:t>La farmacologia clinica d</w:t>
      </w:r>
      <w:r>
        <w:rPr>
          <w:rFonts w:cs="Calibri"/>
          <w:lang w:eastAsia="it-IT"/>
        </w:rPr>
        <w:t>e</w:t>
      </w:r>
      <w:r w:rsidRPr="00880DE6">
        <w:rPr>
          <w:rFonts w:cs="Calibri"/>
          <w:lang w:eastAsia="it-IT"/>
        </w:rPr>
        <w:t xml:space="preserve">i </w:t>
      </w:r>
      <w:r>
        <w:rPr>
          <w:rFonts w:cs="Calibri"/>
          <w:lang w:eastAsia="it-IT"/>
        </w:rPr>
        <w:t xml:space="preserve">principi attivi </w:t>
      </w:r>
      <w:proofErr w:type="spellStart"/>
      <w:r w:rsidR="00FA5DB1">
        <w:t>Zofenopril</w:t>
      </w:r>
      <w:proofErr w:type="spellEnd"/>
      <w:r w:rsidR="00165615"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Pr="00880DE6">
        <w:rPr>
          <w:rFonts w:cs="Calibri"/>
          <w:lang w:eastAsia="it-IT"/>
        </w:rPr>
        <w:t>è ben conosciuta.</w:t>
      </w:r>
      <w:r w:rsidRPr="00880DE6">
        <w:t xml:space="preserve"> </w:t>
      </w:r>
      <w:r w:rsidR="00642334">
        <w:t>Con l’eccezione dello studio di bioequivalenza</w:t>
      </w:r>
      <w:r w:rsidR="00642334" w:rsidRPr="00880DE6">
        <w:t xml:space="preserve"> </w:t>
      </w:r>
      <w:r w:rsidR="00642334">
        <w:t>n</w:t>
      </w:r>
      <w:r w:rsidRPr="00880DE6">
        <w:t xml:space="preserve">on sono stati condotti nuovi studi clinici di farmacodinamica e farmacocinetica, in quanto </w:t>
      </w:r>
      <w:proofErr w:type="spellStart"/>
      <w:r w:rsidR="00FA5DB1">
        <w:t>Zofenopril</w:t>
      </w:r>
      <w:proofErr w:type="spellEnd"/>
      <w:r w:rsidR="00165615"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="00157E75">
        <w:t>EG</w:t>
      </w:r>
      <w:r w:rsidRPr="00880DE6">
        <w:t xml:space="preserve"> contiene </w:t>
      </w:r>
      <w:r>
        <w:t>principi</w:t>
      </w:r>
      <w:r w:rsidRPr="00880DE6">
        <w:t xml:space="preserve"> attiv</w:t>
      </w:r>
      <w:r>
        <w:t>i</w:t>
      </w:r>
      <w:r w:rsidRPr="00880DE6">
        <w:t xml:space="preserve"> not</w:t>
      </w:r>
      <w:r>
        <w:t>i</w:t>
      </w:r>
      <w:r w:rsidRPr="00880DE6">
        <w:t xml:space="preserve"> e present</w:t>
      </w:r>
      <w:r>
        <w:t>i</w:t>
      </w:r>
      <w:r w:rsidRPr="00880DE6">
        <w:t xml:space="preserve"> nel medicinale di riferimento </w:t>
      </w:r>
      <w:proofErr w:type="spellStart"/>
      <w:r w:rsidR="00642334">
        <w:t>Bifrizide</w:t>
      </w:r>
      <w:proofErr w:type="spellEnd"/>
      <w:r w:rsidRPr="00880DE6">
        <w:t xml:space="preserve"> autorizzato in Italia da più di 10 anni.</w:t>
      </w:r>
    </w:p>
    <w:p w:rsidR="00CB2896" w:rsidRPr="00880DE6" w:rsidRDefault="00CB2896" w:rsidP="003A3569">
      <w:pPr>
        <w:spacing w:after="0" w:line="240" w:lineRule="auto"/>
        <w:jc w:val="both"/>
      </w:pPr>
    </w:p>
    <w:p w:rsidR="00CB2896" w:rsidRPr="00880DE6" w:rsidRDefault="00CB2896" w:rsidP="003A3569">
      <w:pPr>
        <w:spacing w:after="0" w:line="240" w:lineRule="auto"/>
        <w:jc w:val="both"/>
        <w:rPr>
          <w:b/>
        </w:rPr>
      </w:pPr>
      <w:r w:rsidRPr="00880DE6">
        <w:rPr>
          <w:b/>
        </w:rPr>
        <w:t>Studio di bioequivalenza</w:t>
      </w:r>
    </w:p>
    <w:p w:rsidR="00642334" w:rsidRPr="009F5FC7" w:rsidRDefault="00642334" w:rsidP="003A3569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proofErr w:type="spellStart"/>
      <w:r>
        <w:t>Zofenopril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157E75">
        <w:t>EG</w:t>
      </w:r>
      <w:r w:rsidRPr="00880DE6">
        <w:t xml:space="preserve"> </w:t>
      </w:r>
      <w:r w:rsidRPr="009F5FC7">
        <w:t xml:space="preserve">e quelli del medicinale </w:t>
      </w:r>
      <w:proofErr w:type="spellStart"/>
      <w:r>
        <w:t>Bifrizide</w:t>
      </w:r>
      <w:proofErr w:type="spellEnd"/>
      <w:r w:rsidRPr="009F5FC7">
        <w:t>.</w:t>
      </w:r>
    </w:p>
    <w:p w:rsidR="00642334" w:rsidRPr="009F5FC7" w:rsidRDefault="00642334" w:rsidP="003A3569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642334" w:rsidRPr="009F5FC7" w:rsidRDefault="00642334" w:rsidP="003A3569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642334" w:rsidRPr="005D5D07" w:rsidRDefault="00642334" w:rsidP="003A3569">
      <w:pPr>
        <w:spacing w:after="0" w:line="240" w:lineRule="auto"/>
        <w:jc w:val="both"/>
        <w:rPr>
          <w:rFonts w:cs="Arial"/>
        </w:rPr>
      </w:pPr>
      <w:r w:rsidRPr="007469AE">
        <w:t xml:space="preserve">Lo studio di bioequivalenza è </w:t>
      </w:r>
      <w:r>
        <w:t xml:space="preserve"> uno studio </w:t>
      </w:r>
      <w:r w:rsidRPr="005D5D07">
        <w:t xml:space="preserve">comparativo, randomizzato, a dose singola, 2-periodi, </w:t>
      </w:r>
      <w:r w:rsidRPr="00F36FEA">
        <w:t xml:space="preserve">crossover condotto in </w:t>
      </w:r>
      <w:r>
        <w:t>44</w:t>
      </w:r>
      <w:r w:rsidRPr="00F36FEA">
        <w:t xml:space="preserve"> volontari sani di </w:t>
      </w:r>
      <w:r>
        <w:t xml:space="preserve">entrambe i </w:t>
      </w:r>
      <w:r w:rsidRPr="00F36FEA">
        <w:t>sess</w:t>
      </w:r>
      <w:r>
        <w:t>i</w:t>
      </w:r>
      <w:r w:rsidRPr="00F36FEA">
        <w:t xml:space="preserve"> con somministrazione a digiuno. </w:t>
      </w:r>
      <w:r w:rsidRPr="00F36FEA">
        <w:rPr>
          <w:rFonts w:cs="Arial"/>
        </w:rPr>
        <w:t xml:space="preserve">Dopo una notte di digiuno, il medicinale è stato somministrato con acqua. </w:t>
      </w:r>
      <w:r w:rsidRPr="00F36FEA">
        <w:t xml:space="preserve">Un soddisfacente periodo di wash-out di </w:t>
      </w:r>
      <w:r>
        <w:rPr>
          <w:rFonts w:cs="Arial"/>
        </w:rPr>
        <w:t>7</w:t>
      </w:r>
      <w:r w:rsidRPr="00F36FEA">
        <w:rPr>
          <w:rFonts w:cs="Arial"/>
        </w:rPr>
        <w:t xml:space="preserve"> giorni è stato previsto tra le somministrazioni in ogni gruppo.</w:t>
      </w:r>
    </w:p>
    <w:p w:rsidR="00642334" w:rsidRPr="009F5FC7" w:rsidRDefault="00642334" w:rsidP="003A3569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Campioni di sangue sono stati prelevati al tempo zero (</w:t>
      </w:r>
      <w:proofErr w:type="spellStart"/>
      <w:r w:rsidRPr="009F5FC7">
        <w:rPr>
          <w:rFonts w:cs="Arial"/>
        </w:rPr>
        <w:t>pre-dose</w:t>
      </w:r>
      <w:proofErr w:type="spellEnd"/>
      <w:r w:rsidRPr="009F5FC7">
        <w:rPr>
          <w:rFonts w:cs="Arial"/>
        </w:rPr>
        <w:t xml:space="preserve">) e a specificati tempi fino a </w:t>
      </w:r>
      <w:r w:rsidR="00C54C2B">
        <w:rPr>
          <w:rFonts w:cs="Arial"/>
        </w:rPr>
        <w:t>72</w:t>
      </w:r>
      <w:r w:rsidRPr="009F5FC7">
        <w:rPr>
          <w:rFonts w:cs="Arial"/>
        </w:rPr>
        <w:t xml:space="preserve"> ore dopo la somministrazione. I livelli plasmatici </w:t>
      </w:r>
      <w:r w:rsidR="00C54C2B">
        <w:rPr>
          <w:rFonts w:cs="Arial"/>
        </w:rPr>
        <w:t>d</w:t>
      </w:r>
      <w:r w:rsidRPr="009F5FC7">
        <w:rPr>
          <w:rFonts w:cs="Arial"/>
        </w:rPr>
        <w:t xml:space="preserve">i </w:t>
      </w:r>
      <w:proofErr w:type="spellStart"/>
      <w:r w:rsidR="00C54C2B">
        <w:rPr>
          <w:rFonts w:cs="Arial"/>
        </w:rPr>
        <w:t>zofenopril</w:t>
      </w:r>
      <w:proofErr w:type="spellEnd"/>
      <w:r w:rsidR="00C54C2B">
        <w:rPr>
          <w:rFonts w:cs="Arial"/>
        </w:rPr>
        <w:t xml:space="preserve"> e </w:t>
      </w:r>
      <w:proofErr w:type="spellStart"/>
      <w:r w:rsidR="00C54C2B">
        <w:rPr>
          <w:rFonts w:cs="Arial"/>
        </w:rPr>
        <w:t>idroclorotiazide</w:t>
      </w:r>
      <w:proofErr w:type="spellEnd"/>
      <w:r w:rsidRPr="009F5FC7">
        <w:rPr>
          <w:rFonts w:cs="Arial"/>
        </w:rPr>
        <w:t xml:space="preserve"> sono stati determinati mediante un metodo analitico HPLC-MS-MS opportunamente convalidato.</w:t>
      </w:r>
    </w:p>
    <w:p w:rsidR="00642334" w:rsidRPr="009F5FC7" w:rsidRDefault="00642334" w:rsidP="003A3569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 xml:space="preserve">Per </w:t>
      </w:r>
      <w:proofErr w:type="spellStart"/>
      <w:r w:rsidR="00C54C2B">
        <w:rPr>
          <w:rFonts w:cs="Arial"/>
        </w:rPr>
        <w:t>zofenopril</w:t>
      </w:r>
      <w:proofErr w:type="spellEnd"/>
      <w:r w:rsidR="00C54C2B">
        <w:rPr>
          <w:rFonts w:cs="Arial"/>
        </w:rPr>
        <w:t xml:space="preserve"> e </w:t>
      </w:r>
      <w:proofErr w:type="spellStart"/>
      <w:r w:rsidR="00C54C2B">
        <w:rPr>
          <w:rFonts w:cs="Arial"/>
        </w:rPr>
        <w:t>idroclorotiazide</w:t>
      </w:r>
      <w:proofErr w:type="spellEnd"/>
      <w:r w:rsidR="00C54C2B" w:rsidRPr="009F5FC7">
        <w:rPr>
          <w:rFonts w:cs="Arial"/>
        </w:rPr>
        <w:t xml:space="preserve"> </w:t>
      </w:r>
      <w:r>
        <w:rPr>
          <w:rFonts w:cs="Arial"/>
        </w:rPr>
        <w:t xml:space="preserve">sono state definite le seguenti </w:t>
      </w:r>
      <w:r w:rsidRPr="009F5FC7">
        <w:rPr>
          <w:rFonts w:cs="Arial"/>
        </w:rPr>
        <w:t xml:space="preserve">variabili farmacocinetiche: </w:t>
      </w:r>
      <w:proofErr w:type="spellStart"/>
      <w:r w:rsidRPr="009F5FC7">
        <w:rPr>
          <w:rFonts w:cs="Arial"/>
        </w:rPr>
        <w:t>C</w:t>
      </w:r>
      <w:r w:rsidRPr="009F5FC7">
        <w:rPr>
          <w:rFonts w:cs="Arial"/>
          <w:vertAlign w:val="subscript"/>
        </w:rPr>
        <w:t>max</w:t>
      </w:r>
      <w:proofErr w:type="spellEnd"/>
      <w:r w:rsidRPr="009F5FC7">
        <w:rPr>
          <w:rFonts w:cs="Arial"/>
        </w:rPr>
        <w:t>, AUC</w:t>
      </w:r>
      <w:r w:rsidRPr="009F5FC7">
        <w:rPr>
          <w:rFonts w:cs="Arial"/>
          <w:vertAlign w:val="subscript"/>
        </w:rPr>
        <w:t>0-</w:t>
      </w:r>
      <w:r w:rsidR="00C54C2B">
        <w:rPr>
          <w:rFonts w:cs="Arial"/>
          <w:vertAlign w:val="subscript"/>
        </w:rPr>
        <w:t>72</w:t>
      </w:r>
      <w:r w:rsidRPr="009F5FC7">
        <w:rPr>
          <w:rFonts w:cs="Arial"/>
        </w:rPr>
        <w:t>,, AUC</w:t>
      </w:r>
      <w:r w:rsidRPr="009F5FC7">
        <w:rPr>
          <w:rFonts w:cs="Arial"/>
          <w:vertAlign w:val="subscript"/>
        </w:rPr>
        <w:t>0-</w:t>
      </w:r>
      <w:r w:rsidRPr="009F5FC7">
        <w:rPr>
          <w:rFonts w:cs="Arial"/>
          <w:vertAlign w:val="subscript"/>
          <w:lang w:val="en-GB"/>
        </w:rPr>
        <w:sym w:font="Symbol" w:char="00A5"/>
      </w:r>
      <w:r w:rsidRPr="009F5FC7">
        <w:rPr>
          <w:rFonts w:cs="Arial"/>
        </w:rPr>
        <w:t xml:space="preserve">, </w:t>
      </w:r>
      <w:proofErr w:type="spellStart"/>
      <w:r w:rsidRPr="009F5FC7">
        <w:rPr>
          <w:rFonts w:cs="Arial"/>
        </w:rPr>
        <w:t>t</w:t>
      </w:r>
      <w:r w:rsidRPr="009F5FC7">
        <w:rPr>
          <w:rFonts w:cs="Arial"/>
          <w:vertAlign w:val="subscript"/>
        </w:rPr>
        <w:t>max</w:t>
      </w:r>
      <w:proofErr w:type="spellEnd"/>
      <w:r w:rsidRPr="009F5FC7">
        <w:rPr>
          <w:rFonts w:cs="Arial"/>
        </w:rPr>
        <w:t xml:space="preserve">, </w:t>
      </w:r>
      <w:proofErr w:type="spellStart"/>
      <w:r w:rsidRPr="009F5FC7">
        <w:rPr>
          <w:rFonts w:cs="Arial"/>
        </w:rPr>
        <w:t>t½</w:t>
      </w:r>
      <w:proofErr w:type="spellEnd"/>
      <w:r w:rsidRPr="009F5FC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cs="Arial"/>
        </w:rPr>
        <w:t>C</w:t>
      </w:r>
      <w:r w:rsidRPr="009F5FC7">
        <w:rPr>
          <w:rFonts w:cs="Arial"/>
          <w:vertAlign w:val="subscript"/>
        </w:rPr>
        <w:t>max</w:t>
      </w:r>
      <w:proofErr w:type="spellEnd"/>
      <w:r w:rsidRPr="009F5FC7">
        <w:rPr>
          <w:rFonts w:cs="Arial"/>
        </w:rPr>
        <w:t xml:space="preserve"> e AUC</w:t>
      </w:r>
      <w:r w:rsidRPr="009F5FC7">
        <w:rPr>
          <w:rFonts w:cs="Arial"/>
          <w:vertAlign w:val="subscript"/>
        </w:rPr>
        <w:t>0-</w:t>
      </w:r>
      <w:r w:rsidR="00C54C2B">
        <w:rPr>
          <w:rFonts w:cs="Arial"/>
          <w:vertAlign w:val="subscript"/>
        </w:rPr>
        <w:t>72</w:t>
      </w:r>
      <w:r w:rsidRPr="009F5FC7">
        <w:rPr>
          <w:rFonts w:cs="Arial"/>
        </w:rPr>
        <w:t xml:space="preserve">,, 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0.80-1.25 (80%-125%).</w:t>
      </w:r>
    </w:p>
    <w:p w:rsidR="00642334" w:rsidRPr="009F5FC7" w:rsidRDefault="00642334" w:rsidP="00642334">
      <w:pPr>
        <w:pStyle w:val="Paragrafoelenco"/>
        <w:spacing w:after="0" w:line="240" w:lineRule="auto"/>
        <w:ind w:left="0"/>
        <w:jc w:val="both"/>
      </w:pPr>
    </w:p>
    <w:p w:rsidR="00642334" w:rsidRPr="009F5FC7" w:rsidRDefault="00642334" w:rsidP="00642334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642334" w:rsidRPr="009F5FC7" w:rsidRDefault="00C54C2B" w:rsidP="00642334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44</w:t>
      </w:r>
      <w:r w:rsidR="00642334" w:rsidRPr="009F5FC7">
        <w:rPr>
          <w:rFonts w:cs="Arial"/>
        </w:rPr>
        <w:t xml:space="preserve"> volontari sani sono stati arruolati nello studio. 3</w:t>
      </w:r>
      <w:r w:rsidR="009465F6">
        <w:rPr>
          <w:rFonts w:cs="Arial"/>
        </w:rPr>
        <w:t>8</w:t>
      </w:r>
      <w:r w:rsidR="00642334" w:rsidRPr="009F5FC7">
        <w:rPr>
          <w:rFonts w:cs="Arial"/>
        </w:rPr>
        <w:t xml:space="preserve"> soggetti </w:t>
      </w:r>
      <w:r w:rsidR="00642334" w:rsidRPr="009F5FC7">
        <w:t xml:space="preserve">hanno completato la fase clinica e </w:t>
      </w:r>
      <w:r w:rsidR="00642334" w:rsidRPr="009F5FC7">
        <w:rPr>
          <w:rFonts w:cs="Arial"/>
        </w:rPr>
        <w:t>sono stati inclusi nell’analisi farmacocinetica.</w:t>
      </w:r>
    </w:p>
    <w:p w:rsidR="00642334" w:rsidRPr="009F5FC7" w:rsidRDefault="00642334" w:rsidP="0064233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642334" w:rsidRPr="009F5FC7" w:rsidRDefault="00642334" w:rsidP="0064233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C54C2B" w:rsidRPr="00320FF3" w:rsidRDefault="00C54C2B" w:rsidP="003A356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Venivano manifestati</w:t>
      </w:r>
      <w:r w:rsidRPr="00320FF3">
        <w:rPr>
          <w:rFonts w:ascii="Calibri" w:hAnsi="Calibri"/>
          <w:sz w:val="22"/>
          <w:szCs w:val="22"/>
        </w:rPr>
        <w:t xml:space="preserve"> 28 </w:t>
      </w:r>
      <w:r>
        <w:rPr>
          <w:rFonts w:ascii="Calibri" w:hAnsi="Calibri"/>
          <w:sz w:val="22"/>
          <w:szCs w:val="22"/>
        </w:rPr>
        <w:t>eventi avversi</w:t>
      </w:r>
      <w:r w:rsidRPr="00320FF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</w:t>
      </w:r>
      <w:proofErr w:type="spellStart"/>
      <w:r>
        <w:rPr>
          <w:rFonts w:ascii="Calibri" w:hAnsi="Calibri"/>
          <w:sz w:val="22"/>
          <w:szCs w:val="22"/>
        </w:rPr>
        <w:t>AEs</w:t>
      </w:r>
      <w:proofErr w:type="spellEnd"/>
      <w:r>
        <w:rPr>
          <w:rFonts w:ascii="Calibri" w:hAnsi="Calibri"/>
          <w:sz w:val="22"/>
          <w:szCs w:val="22"/>
        </w:rPr>
        <w:t xml:space="preserve">) </w:t>
      </w:r>
      <w:r w:rsidRPr="00320FF3">
        <w:rPr>
          <w:rFonts w:ascii="Calibri" w:hAnsi="Calibri"/>
          <w:sz w:val="22"/>
          <w:szCs w:val="22"/>
        </w:rPr>
        <w:t xml:space="preserve">giudicati direttamente correlati con le formulazioni in studio. 9AEs erano direttamente correlati al test e 19 al </w:t>
      </w:r>
      <w:r w:rsidR="003A3569">
        <w:rPr>
          <w:rFonts w:ascii="Calibri" w:hAnsi="Calibri"/>
          <w:sz w:val="22"/>
          <w:szCs w:val="22"/>
        </w:rPr>
        <w:t>medicinale di riferimento</w:t>
      </w:r>
      <w:r w:rsidRPr="00320FF3">
        <w:rPr>
          <w:rFonts w:ascii="Calibri" w:hAnsi="Calibri"/>
          <w:sz w:val="22"/>
          <w:szCs w:val="22"/>
        </w:rPr>
        <w:t>.</w:t>
      </w:r>
    </w:p>
    <w:p w:rsidR="003A3569" w:rsidRPr="00EB5C5C" w:rsidRDefault="003A3569" w:rsidP="003A356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B5C5C">
        <w:rPr>
          <w:rFonts w:ascii="Calibri" w:hAnsi="Calibri" w:cs="Arial"/>
          <w:b w:val="0"/>
          <w:sz w:val="22"/>
          <w:szCs w:val="22"/>
          <w:lang w:val="it-IT"/>
        </w:rPr>
        <w:lastRenderedPageBreak/>
        <w:t>Non sono stati rilevati eventi avversi gravi.</w:t>
      </w:r>
    </w:p>
    <w:p w:rsidR="00C54C2B" w:rsidRDefault="00C54C2B" w:rsidP="003A356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642334" w:rsidRPr="009F5FC7" w:rsidRDefault="00642334" w:rsidP="003A356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642334" w:rsidRDefault="00642334" w:rsidP="003A356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3A3569" w:rsidRPr="003A3569" w:rsidRDefault="003A3569" w:rsidP="003A3569">
      <w:pPr>
        <w:spacing w:after="0" w:line="240" w:lineRule="auto"/>
      </w:pPr>
    </w:p>
    <w:tbl>
      <w:tblPr>
        <w:tblW w:w="8213" w:type="dxa"/>
        <w:jc w:val="center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7"/>
        <w:gridCol w:w="1663"/>
        <w:gridCol w:w="31"/>
        <w:gridCol w:w="1624"/>
        <w:gridCol w:w="61"/>
        <w:gridCol w:w="1594"/>
        <w:gridCol w:w="91"/>
        <w:gridCol w:w="1481"/>
        <w:gridCol w:w="120"/>
        <w:gridCol w:w="1541"/>
      </w:tblGrid>
      <w:tr w:rsidR="004D52B7" w:rsidRPr="00493439" w:rsidTr="003A3569">
        <w:trPr>
          <w:gridBefore w:val="1"/>
          <w:wBefore w:w="7" w:type="dxa"/>
          <w:trHeight w:val="361"/>
          <w:jc w:val="center"/>
        </w:trPr>
        <w:tc>
          <w:tcPr>
            <w:tcW w:w="8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D52B7" w:rsidRPr="003A3569" w:rsidRDefault="003712FA" w:rsidP="003A3569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3A3569">
              <w:rPr>
                <w:b/>
                <w:bCs/>
                <w:sz w:val="20"/>
              </w:rPr>
              <w:t>ZOFENOPRIL</w:t>
            </w:r>
          </w:p>
        </w:tc>
      </w:tr>
      <w:tr w:rsidR="00C54C2B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42"/>
          <w:jc w:val="center"/>
        </w:trPr>
        <w:tc>
          <w:tcPr>
            <w:tcW w:w="1701" w:type="dxa"/>
            <w:gridSpan w:val="3"/>
            <w:vAlign w:val="bottom"/>
          </w:tcPr>
          <w:p w:rsidR="00C54C2B" w:rsidRPr="003A3569" w:rsidRDefault="00C54C2B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Parametro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Test [LSM]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Reference</w:t>
            </w:r>
            <w:proofErr w:type="spellEnd"/>
            <w:r w:rsidR="003A3569">
              <w:rPr>
                <w:b/>
                <w:sz w:val="20"/>
              </w:rPr>
              <w:t xml:space="preserve"> </w:t>
            </w:r>
            <w:r w:rsidRPr="003A3569">
              <w:rPr>
                <w:b/>
                <w:sz w:val="20"/>
              </w:rPr>
              <w:t>[LSM]</w:t>
            </w:r>
          </w:p>
        </w:tc>
        <w:tc>
          <w:tcPr>
            <w:tcW w:w="1601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 xml:space="preserve">T/R </w:t>
            </w:r>
            <w:proofErr w:type="spellStart"/>
            <w:r w:rsidRPr="003A3569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541" w:type="dxa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90% C.I.</w:t>
            </w:r>
          </w:p>
        </w:tc>
      </w:tr>
      <w:tr w:rsidR="00C54C2B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61"/>
          <w:jc w:val="center"/>
        </w:trPr>
        <w:tc>
          <w:tcPr>
            <w:tcW w:w="1701" w:type="dxa"/>
            <w:gridSpan w:val="3"/>
            <w:vAlign w:val="bottom"/>
          </w:tcPr>
          <w:p w:rsidR="00C54C2B" w:rsidRPr="003A3569" w:rsidRDefault="00C54C2B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AUC0-t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79.62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74.47</w:t>
            </w:r>
          </w:p>
        </w:tc>
        <w:tc>
          <w:tcPr>
            <w:tcW w:w="1601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106.92</w:t>
            </w:r>
          </w:p>
        </w:tc>
        <w:tc>
          <w:tcPr>
            <w:tcW w:w="1541" w:type="dxa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98.68-115.84</w:t>
            </w:r>
          </w:p>
        </w:tc>
      </w:tr>
      <w:tr w:rsidR="00C54C2B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78"/>
          <w:jc w:val="center"/>
        </w:trPr>
        <w:tc>
          <w:tcPr>
            <w:tcW w:w="1701" w:type="dxa"/>
            <w:gridSpan w:val="3"/>
            <w:vAlign w:val="bottom"/>
          </w:tcPr>
          <w:p w:rsidR="00C54C2B" w:rsidRPr="003A3569" w:rsidRDefault="00C54C2B" w:rsidP="003A3569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45.23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49.92</w:t>
            </w:r>
          </w:p>
        </w:tc>
        <w:tc>
          <w:tcPr>
            <w:tcW w:w="1601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90.60</w:t>
            </w:r>
          </w:p>
        </w:tc>
        <w:tc>
          <w:tcPr>
            <w:tcW w:w="1541" w:type="dxa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80.27-102.27</w:t>
            </w:r>
          </w:p>
        </w:tc>
      </w:tr>
      <w:tr w:rsidR="004D52B7" w:rsidRPr="00FC6241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295"/>
          <w:jc w:val="center"/>
        </w:trPr>
        <w:tc>
          <w:tcPr>
            <w:tcW w:w="8213" w:type="dxa"/>
            <w:gridSpan w:val="10"/>
            <w:shd w:val="clear" w:color="auto" w:fill="E6E6E6"/>
            <w:vAlign w:val="center"/>
          </w:tcPr>
          <w:p w:rsidR="004D52B7" w:rsidRPr="003A3569" w:rsidRDefault="003712FA" w:rsidP="003A3569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3A3569">
              <w:rPr>
                <w:b/>
                <w:bCs/>
                <w:sz w:val="20"/>
              </w:rPr>
              <w:t>IDROCLORITIAZIDE</w:t>
            </w:r>
          </w:p>
        </w:tc>
      </w:tr>
      <w:tr w:rsidR="004D52B7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279"/>
          <w:jc w:val="center"/>
        </w:trPr>
        <w:tc>
          <w:tcPr>
            <w:tcW w:w="1670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Parametro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Test [LSM]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Reference</w:t>
            </w:r>
            <w:proofErr w:type="spellEnd"/>
            <w:r w:rsidR="003A3569">
              <w:rPr>
                <w:b/>
                <w:sz w:val="20"/>
              </w:rPr>
              <w:t xml:space="preserve"> </w:t>
            </w:r>
            <w:r w:rsidRPr="003A3569">
              <w:rPr>
                <w:b/>
                <w:sz w:val="20"/>
              </w:rPr>
              <w:t>[LSM]</w:t>
            </w:r>
          </w:p>
        </w:tc>
        <w:tc>
          <w:tcPr>
            <w:tcW w:w="1572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 xml:space="preserve">T/R </w:t>
            </w:r>
            <w:proofErr w:type="spellStart"/>
            <w:r w:rsidRPr="003A3569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661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90% C.I.</w:t>
            </w:r>
          </w:p>
        </w:tc>
      </w:tr>
      <w:tr w:rsidR="004D52B7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02"/>
          <w:jc w:val="center"/>
        </w:trPr>
        <w:tc>
          <w:tcPr>
            <w:tcW w:w="1670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AUC0-t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489.47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488.60</w:t>
            </w:r>
          </w:p>
        </w:tc>
        <w:tc>
          <w:tcPr>
            <w:tcW w:w="1572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100.18</w:t>
            </w:r>
          </w:p>
        </w:tc>
        <w:tc>
          <w:tcPr>
            <w:tcW w:w="1661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96.88-103.59</w:t>
            </w:r>
          </w:p>
        </w:tc>
      </w:tr>
      <w:tr w:rsidR="004D52B7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02"/>
          <w:jc w:val="center"/>
        </w:trPr>
        <w:tc>
          <w:tcPr>
            <w:tcW w:w="1670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75.30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73.78</w:t>
            </w:r>
          </w:p>
        </w:tc>
        <w:tc>
          <w:tcPr>
            <w:tcW w:w="1572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102.07</w:t>
            </w:r>
          </w:p>
        </w:tc>
        <w:tc>
          <w:tcPr>
            <w:tcW w:w="1661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95.72-108.83</w:t>
            </w:r>
          </w:p>
        </w:tc>
      </w:tr>
    </w:tbl>
    <w:p w:rsidR="00C54C2B" w:rsidRDefault="00C54C2B" w:rsidP="003A3569">
      <w:pPr>
        <w:spacing w:after="0" w:line="240" w:lineRule="auto"/>
        <w:rPr>
          <w:rFonts w:cs="Arial"/>
          <w:i/>
        </w:rPr>
      </w:pPr>
    </w:p>
    <w:p w:rsidR="00642334" w:rsidRPr="009F5FC7" w:rsidRDefault="00642334" w:rsidP="003A3569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642334" w:rsidRPr="009F5FC7" w:rsidRDefault="00642334" w:rsidP="003A3569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CB2896" w:rsidRPr="00880DE6" w:rsidRDefault="00CB2896" w:rsidP="003A3569">
      <w:pPr>
        <w:spacing w:after="0" w:line="240" w:lineRule="auto"/>
        <w:jc w:val="both"/>
        <w:rPr>
          <w:rFonts w:cs="Arial"/>
        </w:rPr>
      </w:pPr>
    </w:p>
    <w:p w:rsidR="00CB2896" w:rsidRPr="00880DE6" w:rsidRDefault="00CB2896" w:rsidP="003A3569">
      <w:pPr>
        <w:spacing w:after="0" w:line="240" w:lineRule="auto"/>
        <w:jc w:val="both"/>
        <w:rPr>
          <w:rFonts w:cs="Arial"/>
          <w:b/>
        </w:rPr>
      </w:pPr>
      <w:r w:rsidRPr="00880DE6">
        <w:rPr>
          <w:rFonts w:cs="Arial"/>
          <w:b/>
        </w:rPr>
        <w:t>Efficacia e sicurezza clinica</w:t>
      </w:r>
    </w:p>
    <w:p w:rsidR="00CB2896" w:rsidRPr="00880DE6" w:rsidRDefault="00CB2896" w:rsidP="003A3569">
      <w:pPr>
        <w:spacing w:after="0" w:line="240" w:lineRule="auto"/>
        <w:jc w:val="both"/>
        <w:rPr>
          <w:rFonts w:cs="Arial"/>
        </w:rPr>
      </w:pPr>
      <w:r w:rsidRPr="00880DE6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FA5DB1">
        <w:rPr>
          <w:rFonts w:cs="Arial"/>
        </w:rPr>
        <w:t>Zofenopril</w:t>
      </w:r>
      <w:proofErr w:type="spellEnd"/>
      <w:r w:rsidR="00165615">
        <w:rPr>
          <w:rFonts w:cs="Arial"/>
        </w:rPr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="00157E75">
        <w:rPr>
          <w:rFonts w:cs="Arial"/>
        </w:rPr>
        <w:t>EG</w:t>
      </w:r>
      <w:r w:rsidRPr="00880DE6">
        <w:rPr>
          <w:rFonts w:cs="Arial"/>
        </w:rPr>
        <w:t xml:space="preserve"> sono ben conosciuti. 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  <w:rPr>
          <w:b/>
        </w:rPr>
      </w:pPr>
      <w:r w:rsidRPr="00140D5A">
        <w:rPr>
          <w:b/>
        </w:rPr>
        <w:t>Piano di Valutazione del Rischio (</w:t>
      </w:r>
      <w:proofErr w:type="spellStart"/>
      <w:r w:rsidRPr="00140D5A">
        <w:rPr>
          <w:b/>
          <w:i/>
        </w:rPr>
        <w:t>Risk</w:t>
      </w:r>
      <w:proofErr w:type="spellEnd"/>
      <w:r w:rsidRPr="00140D5A">
        <w:rPr>
          <w:b/>
          <w:i/>
        </w:rPr>
        <w:t xml:space="preserve"> Management </w:t>
      </w:r>
      <w:proofErr w:type="spellStart"/>
      <w:r w:rsidRPr="00140D5A">
        <w:rPr>
          <w:b/>
          <w:i/>
        </w:rPr>
        <w:t>Plan</w:t>
      </w:r>
      <w:proofErr w:type="spellEnd"/>
      <w:r w:rsidRPr="00140D5A">
        <w:rPr>
          <w:b/>
        </w:rPr>
        <w:t xml:space="preserve"> - RMP)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  <w:r w:rsidRPr="00140D5A">
        <w:t xml:space="preserve">E’ stato presentato un RMP in accordo a quanto previsto dalla Direttiva 2001/83/EU </w:t>
      </w:r>
      <w:proofErr w:type="spellStart"/>
      <w:r w:rsidRPr="00140D5A">
        <w:t>s.m.i.</w:t>
      </w:r>
      <w:proofErr w:type="spellEnd"/>
      <w:r w:rsidRPr="00140D5A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FA5DB1">
        <w:t>Zofenopril</w:t>
      </w:r>
      <w:proofErr w:type="spellEnd"/>
      <w:r w:rsidR="005B0F78" w:rsidRPr="00140D5A">
        <w:t xml:space="preserve"> e </w:t>
      </w:r>
      <w:proofErr w:type="spellStart"/>
      <w:r w:rsidR="00FA5DB1">
        <w:t>Idroclorotiazide</w:t>
      </w:r>
      <w:proofErr w:type="spellEnd"/>
      <w:r w:rsidR="005B0F78" w:rsidRPr="00140D5A">
        <w:t xml:space="preserve"> </w:t>
      </w:r>
      <w:r w:rsidR="00157E75">
        <w:t>EG</w:t>
      </w:r>
      <w:r w:rsidRPr="00140D5A">
        <w:t>.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  <w:r w:rsidRPr="00140D5A">
        <w:t>Il riassunto delle problematiche di sicurezza è riportato nella tabella seguente.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6E" w:rsidRPr="00B9266E" w:rsidRDefault="00B9266E" w:rsidP="00140D5A">
            <w:pPr>
              <w:spacing w:after="0" w:line="240" w:lineRule="auto"/>
              <w:rPr>
                <w:sz w:val="20"/>
                <w:u w:val="single"/>
              </w:rPr>
            </w:pPr>
            <w:r w:rsidRPr="00B9266E">
              <w:rPr>
                <w:sz w:val="20"/>
                <w:u w:val="single"/>
              </w:rPr>
              <w:t xml:space="preserve">Associazione 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(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</w:t>
            </w:r>
            <w:r w:rsidR="00157E75">
              <w:rPr>
                <w:sz w:val="20"/>
                <w:u w:val="single"/>
              </w:rPr>
              <w:t>EG</w:t>
            </w:r>
            <w:r w:rsidRPr="00B9266E">
              <w:rPr>
                <w:sz w:val="20"/>
                <w:u w:val="single"/>
              </w:rPr>
              <w:t>)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Neutropenia e agranulocitosi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Fetotossicità</w:t>
            </w:r>
            <w:proofErr w:type="spellEnd"/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Reazioni di ipersensibilità</w:t>
            </w:r>
          </w:p>
          <w:p w:rsidR="00943A5F" w:rsidRDefault="00B9266E" w:rsidP="00CB2896">
            <w:pPr>
              <w:spacing w:after="0" w:line="240" w:lineRule="auto"/>
              <w:jc w:val="both"/>
              <w:rPr>
                <w:sz w:val="20"/>
                <w:u w:val="single"/>
              </w:rPr>
            </w:pP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>A</w:t>
            </w:r>
            <w:r>
              <w:rPr>
                <w:sz w:val="20"/>
              </w:rPr>
              <w:t>umento del</w:t>
            </w:r>
            <w:r w:rsidRPr="00B9266E">
              <w:rPr>
                <w:sz w:val="20"/>
              </w:rPr>
              <w:t xml:space="preserve"> </w:t>
            </w:r>
            <w:r w:rsidR="00C201CF">
              <w:rPr>
                <w:sz w:val="20"/>
              </w:rPr>
              <w:t xml:space="preserve">rischio di </w:t>
            </w:r>
            <w:proofErr w:type="spellStart"/>
            <w:r w:rsidR="00C201CF">
              <w:rPr>
                <w:sz w:val="20"/>
              </w:rPr>
              <w:t>iperk</w:t>
            </w:r>
            <w:r w:rsidRPr="00B9266E">
              <w:rPr>
                <w:sz w:val="20"/>
              </w:rPr>
              <w:t>aliemia</w:t>
            </w:r>
            <w:proofErr w:type="spellEnd"/>
            <w:r w:rsidRPr="00B9266E">
              <w:rPr>
                <w:sz w:val="20"/>
              </w:rPr>
              <w:t xml:space="preserve">, danno renale o ipotensione a seguito dell’uso concomitante di altri medicinali che agiscono sul sistema </w:t>
            </w:r>
            <w:proofErr w:type="spellStart"/>
            <w:r w:rsidRPr="00B9266E">
              <w:rPr>
                <w:sz w:val="20"/>
              </w:rPr>
              <w:t>renina-angiotensina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 xml:space="preserve">Difficoltà respiratorie dovute ad </w:t>
            </w:r>
            <w:proofErr w:type="spellStart"/>
            <w:r w:rsidRPr="00B9266E">
              <w:rPr>
                <w:sz w:val="20"/>
              </w:rPr>
              <w:t>angioedema</w:t>
            </w:r>
            <w:proofErr w:type="spellEnd"/>
            <w:r w:rsidRPr="00B9266E">
              <w:rPr>
                <w:sz w:val="20"/>
              </w:rPr>
              <w:t xml:space="preserve"> della lingua, della glottide o della laringe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u w:val="single"/>
              </w:rPr>
            </w:pPr>
            <w:r w:rsidRPr="00B9266E">
              <w:rPr>
                <w:sz w:val="20"/>
              </w:rPr>
              <w:t xml:space="preserve">Insufficiente efficacia in pazienti con </w:t>
            </w:r>
            <w:proofErr w:type="spellStart"/>
            <w:r w:rsidRPr="00B9266E">
              <w:rPr>
                <w:sz w:val="20"/>
              </w:rPr>
              <w:t>aldosteroidismo</w:t>
            </w:r>
            <w:proofErr w:type="spellEnd"/>
            <w:r w:rsidRPr="00B9266E">
              <w:rPr>
                <w:sz w:val="20"/>
              </w:rPr>
              <w:t xml:space="preserve"> primario</w:t>
            </w:r>
          </w:p>
          <w:p w:rsidR="00B9266E" w:rsidRDefault="00B9266E" w:rsidP="00B9266E">
            <w:pPr>
              <w:spacing w:after="0" w:line="240" w:lineRule="auto"/>
              <w:jc w:val="both"/>
              <w:rPr>
                <w:sz w:val="20"/>
                <w:u w:val="single"/>
              </w:rPr>
            </w:pPr>
            <w:proofErr w:type="spellStart"/>
            <w:r>
              <w:rPr>
                <w:sz w:val="20"/>
                <w:u w:val="single"/>
              </w:rPr>
              <w:t>Idroclorotiazide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>Esacerbazione o insorgenza di lupus eritematoso sistemico</w:t>
            </w:r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proofErr w:type="spellStart"/>
            <w:r w:rsidRPr="00B9266E">
              <w:rPr>
                <w:sz w:val="20"/>
              </w:rPr>
              <w:t>Ipokaliemia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>Compromissione renale</w:t>
            </w:r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u w:val="single"/>
              </w:rPr>
            </w:pPr>
            <w:r w:rsidRPr="00B9266E">
              <w:rPr>
                <w:sz w:val="20"/>
              </w:rPr>
              <w:t>Aumento del rischio di disturbi metabolici ed endocrini</w:t>
            </w:r>
          </w:p>
        </w:tc>
      </w:tr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6E" w:rsidRPr="00B9266E" w:rsidRDefault="00B9266E" w:rsidP="00B9266E">
            <w:pPr>
              <w:spacing w:after="0" w:line="240" w:lineRule="auto"/>
              <w:rPr>
                <w:sz w:val="20"/>
                <w:u w:val="single"/>
              </w:rPr>
            </w:pPr>
            <w:r w:rsidRPr="00B9266E">
              <w:rPr>
                <w:sz w:val="20"/>
                <w:u w:val="single"/>
              </w:rPr>
              <w:t xml:space="preserve">Associazione 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(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</w:t>
            </w:r>
            <w:r w:rsidR="00157E75">
              <w:rPr>
                <w:sz w:val="20"/>
                <w:u w:val="single"/>
              </w:rPr>
              <w:t>EG</w:t>
            </w:r>
            <w:r w:rsidRPr="00B9266E">
              <w:rPr>
                <w:sz w:val="20"/>
                <w:u w:val="single"/>
              </w:rPr>
              <w:t>)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Interazione con altri medicinali (diuretici risparmiatori di potassio o integratori di potassio; litio)</w:t>
            </w:r>
          </w:p>
          <w:p w:rsidR="000E5FDE" w:rsidRPr="00B9266E" w:rsidRDefault="00B9266E" w:rsidP="00B9266E">
            <w:pPr>
              <w:spacing w:after="0" w:line="240" w:lineRule="auto"/>
              <w:rPr>
                <w:sz w:val="20"/>
                <w:u w:val="single"/>
              </w:rPr>
            </w:pP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Ittero </w:t>
            </w:r>
            <w:proofErr w:type="spellStart"/>
            <w:r>
              <w:rPr>
                <w:sz w:val="20"/>
              </w:rPr>
              <w:t>colestatico</w:t>
            </w:r>
            <w:proofErr w:type="spellEnd"/>
            <w:r>
              <w:rPr>
                <w:sz w:val="20"/>
              </w:rPr>
              <w:t xml:space="preserve"> ed epatite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Ridotta efficacia in pazienti di pelle nera</w:t>
            </w:r>
          </w:p>
          <w:p w:rsidR="00B9266E" w:rsidRPr="00B9266E" w:rsidRDefault="00B9266E" w:rsidP="00B9266E">
            <w:pPr>
              <w:spacing w:after="0" w:line="240" w:lineRule="auto"/>
              <w:rPr>
                <w:sz w:val="20"/>
                <w:u w:val="single"/>
              </w:rPr>
            </w:pP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</w:p>
          <w:p w:rsidR="00F72114" w:rsidRPr="00F72114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Miopia acuta e glaucoma secondario acuto ad angolo chiuso</w:t>
            </w:r>
          </w:p>
        </w:tc>
      </w:tr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lastRenderedPageBreak/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14" w:rsidRPr="00B9266E" w:rsidRDefault="00F72114" w:rsidP="00F72114">
            <w:pPr>
              <w:spacing w:after="0" w:line="240" w:lineRule="auto"/>
              <w:rPr>
                <w:sz w:val="20"/>
                <w:u w:val="single"/>
              </w:rPr>
            </w:pPr>
            <w:r w:rsidRPr="00B9266E">
              <w:rPr>
                <w:sz w:val="20"/>
                <w:u w:val="single"/>
              </w:rPr>
              <w:t xml:space="preserve">Associazione 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(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</w:t>
            </w:r>
            <w:r w:rsidR="00157E75">
              <w:rPr>
                <w:sz w:val="20"/>
                <w:u w:val="single"/>
              </w:rPr>
              <w:t>EG</w:t>
            </w:r>
            <w:r w:rsidRPr="00B9266E">
              <w:rPr>
                <w:sz w:val="20"/>
                <w:u w:val="single"/>
              </w:rPr>
              <w:t>)</w:t>
            </w:r>
          </w:p>
          <w:p w:rsidR="00F72114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e negli adolescenti</w:t>
            </w:r>
          </w:p>
          <w:p w:rsidR="00F72114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in pazienti che hanno ricevuto trapianto renale</w:t>
            </w:r>
          </w:p>
          <w:p w:rsidR="00F00552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  <w:p w:rsidR="00C201CF" w:rsidRDefault="00C201CF" w:rsidP="00C201CF">
            <w:pPr>
              <w:spacing w:after="0" w:line="240" w:lineRule="auto"/>
              <w:rPr>
                <w:sz w:val="20"/>
                <w:u w:val="single"/>
              </w:rPr>
            </w:pPr>
            <w:proofErr w:type="spellStart"/>
            <w:r w:rsidRPr="00C201CF">
              <w:rPr>
                <w:sz w:val="20"/>
                <w:u w:val="single"/>
              </w:rPr>
              <w:t>Zofenopril</w:t>
            </w:r>
            <w:proofErr w:type="spellEnd"/>
          </w:p>
          <w:p w:rsidR="00C201CF" w:rsidRPr="00C201CF" w:rsidRDefault="00C201CF" w:rsidP="00C201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sz w:val="20"/>
              </w:rPr>
            </w:pPr>
            <w:r w:rsidRPr="00C201CF">
              <w:rPr>
                <w:sz w:val="20"/>
              </w:rPr>
              <w:t>Uso in pazienti con infarto del miocardio che devono essere sottoposti ad emodialisi</w:t>
            </w:r>
          </w:p>
        </w:tc>
      </w:tr>
    </w:tbl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Azioni </w:t>
      </w:r>
      <w:proofErr w:type="spellStart"/>
      <w:r w:rsidRPr="00140D5A">
        <w:t>routinarie</w:t>
      </w:r>
      <w:proofErr w:type="spellEnd"/>
      <w:r w:rsidRPr="00140D5A">
        <w:t xml:space="preserve"> di farmacovigilanza e di minimizzazione del rischio sono proposte per tutte le problematiche di sicurezza.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>Oltre le misure previste nel Riassunto delle caratteristiche del prodotto non sono previste attività addizionali di minimizzazione del rischio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  <w:rPr>
          <w:b/>
        </w:rPr>
      </w:pPr>
      <w:r w:rsidRPr="00140D5A">
        <w:rPr>
          <w:b/>
        </w:rPr>
        <w:t>Conclusioni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Per la richiesta di AIC di </w:t>
      </w:r>
      <w:proofErr w:type="spellStart"/>
      <w:r w:rsidR="00FA5DB1">
        <w:t>Zofenopril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="00157E75">
        <w:t>EG</w:t>
      </w:r>
      <w:r w:rsidRPr="00140D5A">
        <w:t xml:space="preserve"> sono state presentate sufficienti informazioni cliniche.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Il rapporto beneficio/rischio di </w:t>
      </w:r>
      <w:proofErr w:type="spellStart"/>
      <w:r w:rsidR="00FA5DB1">
        <w:t>Zofenopril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="00157E75">
        <w:t>EG</w:t>
      </w:r>
      <w:r w:rsidRPr="00140D5A">
        <w:t xml:space="preserve"> è considerato favorevole dal punto di vista clinico.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CONSULTAZIONE SUL FOGLIO ILLUSTRATIVO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Il foglio illustrativo è stato sottoposto al test di leggibilità in accordo ai requisiti dell’art. 59(3) e 61(1) della direttiva 2001/83/EU </w:t>
      </w:r>
      <w:proofErr w:type="spellStart"/>
      <w:r w:rsidRPr="00140D5A">
        <w:t>s.m.i.</w:t>
      </w:r>
      <w:proofErr w:type="spellEnd"/>
      <w:r w:rsidRPr="00140D5A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highlight w:val="yellow"/>
        </w:rPr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CONCLUSIONI, VALUTAZIONE DEL RAPPORTO BENEFICIO/RISCHIO E RACCOMANDAZIONI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La qualità di </w:t>
      </w:r>
      <w:proofErr w:type="spellStart"/>
      <w:r w:rsidR="00FA5DB1">
        <w:t>Zofenopril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="00157E75">
        <w:t>EG</w:t>
      </w:r>
      <w:r w:rsidRPr="00140D5A">
        <w:t xml:space="preserve"> è accettabile e non sono state rilevate criticità da un punto di vista non clinico e clinico.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rapporto beneficio/rischio è considerato positivo.</w:t>
      </w:r>
    </w:p>
    <w:p w:rsidR="00876ED0" w:rsidRPr="00140D5A" w:rsidRDefault="00F00552" w:rsidP="00140D5A">
      <w:pPr>
        <w:spacing w:after="0" w:line="240" w:lineRule="auto"/>
        <w:jc w:val="both"/>
        <w:rPr>
          <w:rFonts w:cs="Calibri"/>
          <w:lang w:eastAsia="it-IT"/>
        </w:rPr>
      </w:pPr>
      <w:r w:rsidRPr="00140D5A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140D5A">
        <w:rPr>
          <w:rFonts w:cs="Calibri"/>
          <w:lang w:eastAsia="it-IT"/>
        </w:rPr>
        <w:t>(</w:t>
      </w:r>
      <w:hyperlink r:id="rId11" w:history="1">
        <w:r w:rsidRPr="00140D5A">
          <w:rPr>
            <w:rStyle w:val="Collegamentoipertestuale"/>
            <w:rFonts w:cs="Calibri"/>
          </w:rPr>
          <w:t>https://farmaci.agenziafarmaco.gov.it/bancadatifarmaci</w:t>
        </w:r>
      </w:hyperlink>
      <w:r w:rsidRPr="00140D5A">
        <w:rPr>
          <w:rFonts w:cs="Calibri"/>
          <w:lang w:eastAsia="it-IT"/>
        </w:rPr>
        <w:t>).</w:t>
      </w:r>
    </w:p>
    <w:sectPr w:rsidR="00876ED0" w:rsidRPr="00140D5A" w:rsidSect="000F567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625"/>
    <w:multiLevelType w:val="hybridMultilevel"/>
    <w:tmpl w:val="CB900D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025CC"/>
    <w:multiLevelType w:val="hybridMultilevel"/>
    <w:tmpl w:val="2736D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65A7B"/>
    <w:multiLevelType w:val="hybridMultilevel"/>
    <w:tmpl w:val="FA205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3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414E9"/>
    <w:multiLevelType w:val="hybridMultilevel"/>
    <w:tmpl w:val="BE6E2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11"/>
  </w:num>
  <w:num w:numId="5">
    <w:abstractNumId w:val="5"/>
  </w:num>
  <w:num w:numId="6">
    <w:abstractNumId w:val="13"/>
  </w:num>
  <w:num w:numId="7">
    <w:abstractNumId w:val="17"/>
  </w:num>
  <w:num w:numId="8">
    <w:abstractNumId w:val="20"/>
  </w:num>
  <w:num w:numId="9">
    <w:abstractNumId w:val="4"/>
  </w:num>
  <w:num w:numId="10">
    <w:abstractNumId w:val="15"/>
  </w:num>
  <w:num w:numId="11">
    <w:abstractNumId w:val="9"/>
  </w:num>
  <w:num w:numId="12">
    <w:abstractNumId w:val="1"/>
  </w:num>
  <w:num w:numId="13">
    <w:abstractNumId w:val="14"/>
  </w:num>
  <w:num w:numId="14">
    <w:abstractNumId w:val="12"/>
  </w:num>
  <w:num w:numId="15">
    <w:abstractNumId w:val="6"/>
  </w:num>
  <w:num w:numId="16">
    <w:abstractNumId w:val="7"/>
  </w:num>
  <w:num w:numId="17">
    <w:abstractNumId w:val="10"/>
  </w:num>
  <w:num w:numId="18">
    <w:abstractNumId w:val="2"/>
  </w:num>
  <w:num w:numId="19">
    <w:abstractNumId w:val="0"/>
  </w:num>
  <w:num w:numId="20">
    <w:abstractNumId w:val="16"/>
  </w:num>
  <w:num w:numId="2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 Mirella">
    <w15:presenceInfo w15:providerId="AD" w15:userId="S-1-5-21-682003330-448539723-725345543-15384"/>
  </w15:person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62ADC"/>
    <w:rsid w:val="0007671F"/>
    <w:rsid w:val="00077016"/>
    <w:rsid w:val="0009132E"/>
    <w:rsid w:val="00095DFE"/>
    <w:rsid w:val="000A1325"/>
    <w:rsid w:val="000A19E4"/>
    <w:rsid w:val="000A7D12"/>
    <w:rsid w:val="000B795C"/>
    <w:rsid w:val="000D6232"/>
    <w:rsid w:val="000E0632"/>
    <w:rsid w:val="000E5FDE"/>
    <w:rsid w:val="000F5679"/>
    <w:rsid w:val="00107A21"/>
    <w:rsid w:val="00111E9E"/>
    <w:rsid w:val="0011250C"/>
    <w:rsid w:val="0012416F"/>
    <w:rsid w:val="00124F5C"/>
    <w:rsid w:val="001302F2"/>
    <w:rsid w:val="00140D5A"/>
    <w:rsid w:val="00157E75"/>
    <w:rsid w:val="00165615"/>
    <w:rsid w:val="00180C71"/>
    <w:rsid w:val="00185307"/>
    <w:rsid w:val="001B5C75"/>
    <w:rsid w:val="001D5F3F"/>
    <w:rsid w:val="001E4968"/>
    <w:rsid w:val="001F5F03"/>
    <w:rsid w:val="00202792"/>
    <w:rsid w:val="00235FEA"/>
    <w:rsid w:val="0024379D"/>
    <w:rsid w:val="002461BF"/>
    <w:rsid w:val="00246D26"/>
    <w:rsid w:val="0025740A"/>
    <w:rsid w:val="00277324"/>
    <w:rsid w:val="00294C54"/>
    <w:rsid w:val="002B1B90"/>
    <w:rsid w:val="002D575F"/>
    <w:rsid w:val="002D6744"/>
    <w:rsid w:val="002E3B7A"/>
    <w:rsid w:val="002F223F"/>
    <w:rsid w:val="00312B32"/>
    <w:rsid w:val="00312F8A"/>
    <w:rsid w:val="00330172"/>
    <w:rsid w:val="00332B3C"/>
    <w:rsid w:val="00333FB9"/>
    <w:rsid w:val="00334BF9"/>
    <w:rsid w:val="00335A6C"/>
    <w:rsid w:val="0034519B"/>
    <w:rsid w:val="0035153F"/>
    <w:rsid w:val="003712FA"/>
    <w:rsid w:val="00387484"/>
    <w:rsid w:val="00396DE9"/>
    <w:rsid w:val="003A0F7A"/>
    <w:rsid w:val="003A2DD8"/>
    <w:rsid w:val="003A3569"/>
    <w:rsid w:val="003F1374"/>
    <w:rsid w:val="004241AC"/>
    <w:rsid w:val="004255B3"/>
    <w:rsid w:val="004277FB"/>
    <w:rsid w:val="00440AB4"/>
    <w:rsid w:val="00444335"/>
    <w:rsid w:val="00452364"/>
    <w:rsid w:val="00457428"/>
    <w:rsid w:val="00465C95"/>
    <w:rsid w:val="00471C38"/>
    <w:rsid w:val="004968DE"/>
    <w:rsid w:val="004A1685"/>
    <w:rsid w:val="004B20A8"/>
    <w:rsid w:val="004B700A"/>
    <w:rsid w:val="004C06B0"/>
    <w:rsid w:val="004C3EC8"/>
    <w:rsid w:val="004D52B7"/>
    <w:rsid w:val="004D5A60"/>
    <w:rsid w:val="004E3915"/>
    <w:rsid w:val="004E4927"/>
    <w:rsid w:val="004E6E04"/>
    <w:rsid w:val="005333AC"/>
    <w:rsid w:val="00550874"/>
    <w:rsid w:val="00554400"/>
    <w:rsid w:val="005577C0"/>
    <w:rsid w:val="005656F8"/>
    <w:rsid w:val="005717FD"/>
    <w:rsid w:val="00584845"/>
    <w:rsid w:val="005B0F78"/>
    <w:rsid w:val="005C0508"/>
    <w:rsid w:val="005D524A"/>
    <w:rsid w:val="005D7592"/>
    <w:rsid w:val="005E762D"/>
    <w:rsid w:val="005F0BD7"/>
    <w:rsid w:val="00601567"/>
    <w:rsid w:val="0060273B"/>
    <w:rsid w:val="00603F0D"/>
    <w:rsid w:val="00603F36"/>
    <w:rsid w:val="00641F44"/>
    <w:rsid w:val="00642334"/>
    <w:rsid w:val="00644F5E"/>
    <w:rsid w:val="00657E62"/>
    <w:rsid w:val="00664BBC"/>
    <w:rsid w:val="00666CCE"/>
    <w:rsid w:val="00666E28"/>
    <w:rsid w:val="00691B5A"/>
    <w:rsid w:val="006A22A9"/>
    <w:rsid w:val="006A55E8"/>
    <w:rsid w:val="006C1988"/>
    <w:rsid w:val="006C22A2"/>
    <w:rsid w:val="006C7F9F"/>
    <w:rsid w:val="006D407A"/>
    <w:rsid w:val="006F3638"/>
    <w:rsid w:val="00720935"/>
    <w:rsid w:val="00730F97"/>
    <w:rsid w:val="0074402F"/>
    <w:rsid w:val="00744FDD"/>
    <w:rsid w:val="0075230D"/>
    <w:rsid w:val="00772797"/>
    <w:rsid w:val="00795801"/>
    <w:rsid w:val="00795A7D"/>
    <w:rsid w:val="007A04C8"/>
    <w:rsid w:val="007C0686"/>
    <w:rsid w:val="007E4CC5"/>
    <w:rsid w:val="00804763"/>
    <w:rsid w:val="00833209"/>
    <w:rsid w:val="00834AD2"/>
    <w:rsid w:val="00847C2D"/>
    <w:rsid w:val="00851AF6"/>
    <w:rsid w:val="00874733"/>
    <w:rsid w:val="00876ED0"/>
    <w:rsid w:val="00897CAF"/>
    <w:rsid w:val="008C0FF2"/>
    <w:rsid w:val="008D0706"/>
    <w:rsid w:val="008E534A"/>
    <w:rsid w:val="00900991"/>
    <w:rsid w:val="0090259E"/>
    <w:rsid w:val="009151A7"/>
    <w:rsid w:val="00916321"/>
    <w:rsid w:val="00916C44"/>
    <w:rsid w:val="009219B1"/>
    <w:rsid w:val="00922A82"/>
    <w:rsid w:val="00924E54"/>
    <w:rsid w:val="00936261"/>
    <w:rsid w:val="00943A5F"/>
    <w:rsid w:val="009465F6"/>
    <w:rsid w:val="00946E79"/>
    <w:rsid w:val="00965AE7"/>
    <w:rsid w:val="00993AF9"/>
    <w:rsid w:val="009A260F"/>
    <w:rsid w:val="009A4251"/>
    <w:rsid w:val="009B03DB"/>
    <w:rsid w:val="009B1761"/>
    <w:rsid w:val="009C05A8"/>
    <w:rsid w:val="009D7E18"/>
    <w:rsid w:val="009F145E"/>
    <w:rsid w:val="00A05212"/>
    <w:rsid w:val="00A05AC7"/>
    <w:rsid w:val="00A1005E"/>
    <w:rsid w:val="00A2566D"/>
    <w:rsid w:val="00A26B8C"/>
    <w:rsid w:val="00A40FF3"/>
    <w:rsid w:val="00A5474B"/>
    <w:rsid w:val="00A55B6F"/>
    <w:rsid w:val="00A748D4"/>
    <w:rsid w:val="00A91B25"/>
    <w:rsid w:val="00AD360B"/>
    <w:rsid w:val="00AE0090"/>
    <w:rsid w:val="00AE16F4"/>
    <w:rsid w:val="00B44402"/>
    <w:rsid w:val="00B51E65"/>
    <w:rsid w:val="00B57031"/>
    <w:rsid w:val="00B80B80"/>
    <w:rsid w:val="00B85E13"/>
    <w:rsid w:val="00B86177"/>
    <w:rsid w:val="00B9266E"/>
    <w:rsid w:val="00BA7D67"/>
    <w:rsid w:val="00BC74C2"/>
    <w:rsid w:val="00BD3508"/>
    <w:rsid w:val="00BD5925"/>
    <w:rsid w:val="00BF1041"/>
    <w:rsid w:val="00BF4465"/>
    <w:rsid w:val="00C00C63"/>
    <w:rsid w:val="00C16190"/>
    <w:rsid w:val="00C201CF"/>
    <w:rsid w:val="00C203B2"/>
    <w:rsid w:val="00C2722D"/>
    <w:rsid w:val="00C3799D"/>
    <w:rsid w:val="00C44C16"/>
    <w:rsid w:val="00C54C2B"/>
    <w:rsid w:val="00C8397C"/>
    <w:rsid w:val="00CA146E"/>
    <w:rsid w:val="00CA2A31"/>
    <w:rsid w:val="00CB2896"/>
    <w:rsid w:val="00CB3303"/>
    <w:rsid w:val="00CC50EE"/>
    <w:rsid w:val="00CC7AFF"/>
    <w:rsid w:val="00CE7F36"/>
    <w:rsid w:val="00D0386B"/>
    <w:rsid w:val="00D04A53"/>
    <w:rsid w:val="00D059F9"/>
    <w:rsid w:val="00D17F4E"/>
    <w:rsid w:val="00D20170"/>
    <w:rsid w:val="00D3096D"/>
    <w:rsid w:val="00D62B94"/>
    <w:rsid w:val="00D775EE"/>
    <w:rsid w:val="00D82857"/>
    <w:rsid w:val="00D9127D"/>
    <w:rsid w:val="00D914C2"/>
    <w:rsid w:val="00D97C7F"/>
    <w:rsid w:val="00DA001E"/>
    <w:rsid w:val="00DA2C01"/>
    <w:rsid w:val="00DB10B2"/>
    <w:rsid w:val="00DB42D6"/>
    <w:rsid w:val="00DE4DC3"/>
    <w:rsid w:val="00DF06EA"/>
    <w:rsid w:val="00E07466"/>
    <w:rsid w:val="00E30FCF"/>
    <w:rsid w:val="00E339A1"/>
    <w:rsid w:val="00E43089"/>
    <w:rsid w:val="00E50EE8"/>
    <w:rsid w:val="00E83F8D"/>
    <w:rsid w:val="00EA49A9"/>
    <w:rsid w:val="00EA5B83"/>
    <w:rsid w:val="00EC06F5"/>
    <w:rsid w:val="00EF062E"/>
    <w:rsid w:val="00F00552"/>
    <w:rsid w:val="00F24EC1"/>
    <w:rsid w:val="00F25A08"/>
    <w:rsid w:val="00F2747E"/>
    <w:rsid w:val="00F3751F"/>
    <w:rsid w:val="00F50EE9"/>
    <w:rsid w:val="00F66767"/>
    <w:rsid w:val="00F72114"/>
    <w:rsid w:val="00F72353"/>
    <w:rsid w:val="00F735B2"/>
    <w:rsid w:val="00F90AA1"/>
    <w:rsid w:val="00FA2702"/>
    <w:rsid w:val="00FA48DF"/>
    <w:rsid w:val="00FA5DB1"/>
    <w:rsid w:val="00FA6B1E"/>
    <w:rsid w:val="00FA6F80"/>
    <w:rsid w:val="00FB053D"/>
    <w:rsid w:val="00FB0C0D"/>
    <w:rsid w:val="00FB1334"/>
    <w:rsid w:val="00FB7B8B"/>
    <w:rsid w:val="00FC2E36"/>
    <w:rsid w:val="00FC46DD"/>
    <w:rsid w:val="00FE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customStyle="1" w:styleId="s1">
    <w:name w:val="s1"/>
    <w:basedOn w:val="Carpredefinitoparagrafo"/>
    <w:rsid w:val="00F0055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F00552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F0055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5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E534A"/>
    <w:rPr>
      <w:rFonts w:ascii="Courier New" w:eastAsia="Times New Roman" w:hAnsi="Courier New" w:cs="Courier New"/>
    </w:rPr>
  </w:style>
  <w:style w:type="character" w:styleId="Enfasicorsivo">
    <w:name w:val="Emphasis"/>
    <w:basedOn w:val="Carpredefinitoparagrafo"/>
    <w:uiPriority w:val="20"/>
    <w:qFormat/>
    <w:rsid w:val="00EC06F5"/>
    <w:rPr>
      <w:b/>
      <w:bCs/>
      <w:i w:val="0"/>
      <w:iCs w:val="0"/>
    </w:rPr>
  </w:style>
  <w:style w:type="character" w:customStyle="1" w:styleId="st1">
    <w:name w:val="st1"/>
    <w:basedOn w:val="Carpredefinitoparagrafo"/>
    <w:rsid w:val="00EC06F5"/>
  </w:style>
  <w:style w:type="character" w:styleId="Rimandocommento">
    <w:name w:val="annotation reference"/>
    <w:basedOn w:val="Carpredefinitoparagrafo"/>
    <w:uiPriority w:val="99"/>
    <w:semiHidden/>
    <w:unhideWhenUsed/>
    <w:rsid w:val="004B70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700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700A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70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700A"/>
    <w:rPr>
      <w:b/>
      <w:bCs/>
      <w:lang w:eastAsia="en-US"/>
    </w:rPr>
  </w:style>
  <w:style w:type="paragraph" w:customStyle="1" w:styleId="Default">
    <w:name w:val="Default"/>
    <w:rsid w:val="00AE16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49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8541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83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134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763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938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46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49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7374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26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334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126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3432</Words>
  <Characters>19565</Characters>
  <Application>Microsoft Office Word</Application>
  <DocSecurity>0</DocSecurity>
  <Lines>163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22952</CharactersWithSpaces>
  <SharedDoc>false</SharedDoc>
  <HLinks>
    <vt:vector size="18" baseType="variant"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4</cp:revision>
  <dcterms:created xsi:type="dcterms:W3CDTF">2016-12-16T13:37:00Z</dcterms:created>
  <dcterms:modified xsi:type="dcterms:W3CDTF">2017-06-21T13:26:00Z</dcterms:modified>
</cp:coreProperties>
</file>