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DB" w:rsidRPr="00EB0EE6" w:rsidRDefault="00247DDB" w:rsidP="00247DDB">
      <w:pPr>
        <w:jc w:val="center"/>
        <w:rPr>
          <w:sz w:val="40"/>
          <w:lang w:val="en-US"/>
        </w:rPr>
      </w:pPr>
      <w:r>
        <w:rPr>
          <w:noProof/>
          <w:sz w:val="40"/>
          <w:lang w:val="it-IT" w:eastAsia="it-IT"/>
        </w:rPr>
        <w:drawing>
          <wp:inline distT="0" distB="0" distL="0" distR="0">
            <wp:extent cx="3692525" cy="16090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525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DDB" w:rsidRPr="00EB0EE6" w:rsidRDefault="00247DDB" w:rsidP="00247DDB">
      <w:pPr>
        <w:jc w:val="center"/>
        <w:rPr>
          <w:b/>
          <w:sz w:val="40"/>
          <w:szCs w:val="40"/>
          <w:lang w:val="en-US"/>
        </w:rPr>
      </w:pPr>
    </w:p>
    <w:p w:rsidR="00247DDB" w:rsidRPr="00EB0EE6" w:rsidRDefault="00247DDB" w:rsidP="00247DDB">
      <w:pPr>
        <w:jc w:val="center"/>
        <w:rPr>
          <w:b/>
          <w:sz w:val="40"/>
          <w:szCs w:val="40"/>
        </w:rPr>
      </w:pPr>
      <w:r w:rsidRPr="00EB0EE6">
        <w:rPr>
          <w:b/>
          <w:sz w:val="40"/>
          <w:szCs w:val="40"/>
        </w:rPr>
        <w:fldChar w:fldCharType="begin"/>
      </w:r>
      <w:r w:rsidRPr="00EB0EE6">
        <w:rPr>
          <w:b/>
          <w:sz w:val="40"/>
          <w:szCs w:val="40"/>
        </w:rPr>
        <w:instrText xml:space="preserve"> FORMTEXT _</w:instrText>
      </w:r>
      <w:r w:rsidRPr="00EB0EE6">
        <w:rPr>
          <w:b/>
          <w:sz w:val="40"/>
          <w:szCs w:val="40"/>
        </w:rPr>
        <w:fldChar w:fldCharType="end"/>
      </w:r>
    </w:p>
    <w:p w:rsidR="00247DDB" w:rsidRPr="00037A39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  <w:r w:rsidRPr="00037A39">
        <w:rPr>
          <w:rFonts w:ascii="Calibri" w:hAnsi="Calibri"/>
          <w:b/>
          <w:sz w:val="40"/>
          <w:szCs w:val="40"/>
          <w:lang w:val="it-IT"/>
        </w:rPr>
        <w:t>Riassunto della relazione di Valutazione</w:t>
      </w:r>
    </w:p>
    <w:p w:rsidR="00247DDB" w:rsidRPr="00037A39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</w:p>
    <w:p w:rsidR="00247DDB" w:rsidRPr="00037A39" w:rsidRDefault="00247DDB" w:rsidP="00247DDB">
      <w:pPr>
        <w:jc w:val="center"/>
        <w:rPr>
          <w:rFonts w:ascii="Calibri" w:hAnsi="Calibri"/>
          <w:b/>
          <w:snapToGrid w:val="0"/>
          <w:sz w:val="40"/>
          <w:szCs w:val="40"/>
          <w:lang w:val="it-IT"/>
        </w:rPr>
      </w:pPr>
      <w:bookmarkStart w:id="0" w:name="Text15"/>
    </w:p>
    <w:p w:rsidR="00247DDB" w:rsidRPr="00247DDB" w:rsidRDefault="00247DDB" w:rsidP="00247DDB">
      <w:pPr>
        <w:autoSpaceDE w:val="0"/>
        <w:autoSpaceDN w:val="0"/>
        <w:adjustRightInd w:val="0"/>
        <w:jc w:val="center"/>
        <w:rPr>
          <w:rFonts w:ascii="Calibri" w:hAnsi="Calibri"/>
          <w:b/>
          <w:sz w:val="40"/>
          <w:szCs w:val="40"/>
          <w:lang w:val="it-IT"/>
        </w:rPr>
      </w:pPr>
      <w:proofErr w:type="spellStart"/>
      <w:r w:rsidRPr="00247DDB">
        <w:rPr>
          <w:rFonts w:ascii="Calibri" w:hAnsi="Calibri"/>
          <w:b/>
          <w:sz w:val="40"/>
          <w:szCs w:val="40"/>
          <w:lang w:val="it-IT"/>
        </w:rPr>
        <w:t>Ciclopirox</w:t>
      </w:r>
      <w:proofErr w:type="spellEnd"/>
      <w:r w:rsidRPr="00247DDB">
        <w:rPr>
          <w:rFonts w:ascii="Calibri" w:hAnsi="Calibri"/>
          <w:b/>
          <w:sz w:val="40"/>
          <w:szCs w:val="40"/>
          <w:lang w:val="it-IT"/>
        </w:rPr>
        <w:t xml:space="preserve"> </w:t>
      </w:r>
      <w:proofErr w:type="spellStart"/>
      <w:r w:rsidRPr="00247DDB">
        <w:rPr>
          <w:rFonts w:ascii="Calibri" w:hAnsi="Calibri"/>
          <w:b/>
          <w:sz w:val="40"/>
          <w:szCs w:val="40"/>
          <w:lang w:val="it-IT"/>
        </w:rPr>
        <w:t>Terix</w:t>
      </w:r>
      <w:proofErr w:type="spellEnd"/>
    </w:p>
    <w:p w:rsidR="00247DDB" w:rsidRPr="00247DDB" w:rsidRDefault="00247DDB" w:rsidP="00247DDB">
      <w:pPr>
        <w:autoSpaceDE w:val="0"/>
        <w:autoSpaceDN w:val="0"/>
        <w:adjustRightInd w:val="0"/>
        <w:jc w:val="center"/>
        <w:rPr>
          <w:rFonts w:ascii="Calibri" w:hAnsi="Calibri"/>
          <w:b/>
          <w:sz w:val="40"/>
          <w:szCs w:val="40"/>
          <w:lang w:val="it-IT"/>
        </w:rPr>
      </w:pPr>
      <w:r w:rsidRPr="00247DDB">
        <w:rPr>
          <w:rFonts w:ascii="Calibri" w:hAnsi="Calibri"/>
          <w:b/>
          <w:sz w:val="40"/>
          <w:szCs w:val="40"/>
          <w:lang w:val="it-IT"/>
        </w:rPr>
        <w:t>8% smalto medicato per unghie</w:t>
      </w:r>
    </w:p>
    <w:p w:rsidR="00247DDB" w:rsidRPr="00037A39" w:rsidRDefault="00247DDB" w:rsidP="00247DDB">
      <w:pPr>
        <w:widowControl w:val="0"/>
        <w:jc w:val="center"/>
        <w:rPr>
          <w:rFonts w:ascii="Calibri" w:hAnsi="Calibri"/>
          <w:b/>
          <w:snapToGrid w:val="0"/>
          <w:sz w:val="40"/>
          <w:lang w:val="it-IT"/>
        </w:rPr>
      </w:pPr>
      <w:r w:rsidRPr="00037A39">
        <w:rPr>
          <w:rFonts w:ascii="Calibri" w:hAnsi="Calibri"/>
          <w:b/>
          <w:snapToGrid w:val="0"/>
          <w:sz w:val="40"/>
          <w:lang w:val="it-IT"/>
        </w:rPr>
        <w:t xml:space="preserve"> (</w:t>
      </w:r>
      <w:proofErr w:type="spellStart"/>
      <w:r>
        <w:rPr>
          <w:rFonts w:ascii="Calibri" w:hAnsi="Calibri"/>
          <w:b/>
          <w:snapToGrid w:val="0"/>
          <w:sz w:val="40"/>
          <w:lang w:val="it-IT"/>
        </w:rPr>
        <w:t>ciclopirox</w:t>
      </w:r>
      <w:proofErr w:type="spellEnd"/>
      <w:r w:rsidRPr="00037A39">
        <w:rPr>
          <w:rFonts w:ascii="Calibri" w:hAnsi="Calibri"/>
          <w:b/>
          <w:snapToGrid w:val="0"/>
          <w:sz w:val="40"/>
          <w:lang w:val="it-IT"/>
        </w:rPr>
        <w:t>)</w:t>
      </w:r>
    </w:p>
    <w:p w:rsidR="00247DDB" w:rsidRPr="00037A39" w:rsidRDefault="00247DDB" w:rsidP="00247DDB">
      <w:pPr>
        <w:widowControl w:val="0"/>
        <w:jc w:val="center"/>
        <w:rPr>
          <w:rFonts w:ascii="Calibri" w:hAnsi="Calibri"/>
          <w:b/>
          <w:snapToGrid w:val="0"/>
          <w:sz w:val="40"/>
          <w:szCs w:val="40"/>
          <w:lang w:val="it-IT"/>
        </w:rPr>
      </w:pPr>
    </w:p>
    <w:p w:rsidR="00247DDB" w:rsidRPr="00037A39" w:rsidRDefault="00247DDB" w:rsidP="00247DDB">
      <w:pPr>
        <w:widowControl w:val="0"/>
        <w:jc w:val="center"/>
        <w:rPr>
          <w:rFonts w:ascii="Calibri" w:hAnsi="Calibri"/>
          <w:b/>
          <w:snapToGrid w:val="0"/>
          <w:sz w:val="40"/>
          <w:szCs w:val="40"/>
          <w:lang w:val="it-IT"/>
        </w:rPr>
      </w:pPr>
    </w:p>
    <w:p w:rsidR="00247DDB" w:rsidRPr="00247DDB" w:rsidRDefault="00247DDB" w:rsidP="00247DDB">
      <w:pPr>
        <w:autoSpaceDE w:val="0"/>
        <w:autoSpaceDN w:val="0"/>
        <w:adjustRightInd w:val="0"/>
        <w:jc w:val="center"/>
        <w:rPr>
          <w:rFonts w:ascii="Calibri" w:hAnsi="Calibri"/>
          <w:b/>
          <w:sz w:val="40"/>
          <w:szCs w:val="40"/>
          <w:lang w:val="it-IT"/>
        </w:rPr>
      </w:pPr>
      <w:proofErr w:type="spellStart"/>
      <w:r w:rsidRPr="00247DDB">
        <w:rPr>
          <w:rFonts w:ascii="Calibri" w:hAnsi="Calibri"/>
          <w:b/>
          <w:sz w:val="40"/>
          <w:szCs w:val="40"/>
          <w:lang w:val="it-IT"/>
        </w:rPr>
        <w:t>Terix</w:t>
      </w:r>
      <w:proofErr w:type="spellEnd"/>
      <w:r w:rsidRPr="00247DDB">
        <w:rPr>
          <w:rFonts w:ascii="Calibri" w:hAnsi="Calibri"/>
          <w:b/>
          <w:sz w:val="40"/>
          <w:szCs w:val="40"/>
          <w:lang w:val="it-IT"/>
        </w:rPr>
        <w:t xml:space="preserve"> Labs. Ltd</w:t>
      </w:r>
    </w:p>
    <w:p w:rsidR="00247DDB" w:rsidRPr="00037A39" w:rsidRDefault="00247DDB" w:rsidP="00247DDB">
      <w:pPr>
        <w:jc w:val="center"/>
        <w:rPr>
          <w:rFonts w:ascii="Calibri" w:hAnsi="Calibri"/>
          <w:b/>
          <w:snapToGrid w:val="0"/>
          <w:sz w:val="40"/>
          <w:szCs w:val="40"/>
          <w:lang w:val="it-IT"/>
        </w:rPr>
      </w:pPr>
      <w:r w:rsidRPr="00037A39">
        <w:rPr>
          <w:rFonts w:ascii="Calibri" w:hAnsi="Calibri"/>
          <w:b/>
          <w:sz w:val="40"/>
          <w:szCs w:val="40"/>
        </w:rPr>
        <w:fldChar w:fldCharType="begin"/>
      </w:r>
      <w:r w:rsidRPr="00037A39">
        <w:rPr>
          <w:rFonts w:ascii="Calibri" w:hAnsi="Calibri"/>
          <w:b/>
          <w:sz w:val="40"/>
          <w:szCs w:val="40"/>
          <w:lang w:val="it-IT"/>
        </w:rPr>
        <w:instrText xml:space="preserve"> FORMTEXT _</w:instrText>
      </w:r>
      <w:r w:rsidRPr="00037A39">
        <w:rPr>
          <w:rFonts w:ascii="Calibri" w:hAnsi="Calibri"/>
          <w:b/>
          <w:sz w:val="40"/>
          <w:szCs w:val="40"/>
        </w:rPr>
        <w:fldChar w:fldCharType="end"/>
      </w:r>
    </w:p>
    <w:p w:rsidR="00247DDB" w:rsidRPr="00247DDB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  <w:r w:rsidRPr="00037A39">
        <w:rPr>
          <w:rFonts w:ascii="Calibri" w:hAnsi="Calibri"/>
          <w:b/>
          <w:sz w:val="40"/>
          <w:szCs w:val="40"/>
          <w:lang w:val="it-IT"/>
        </w:rPr>
        <w:t xml:space="preserve">Numero di AIC: </w:t>
      </w:r>
      <w:r w:rsidRPr="00247DDB">
        <w:rPr>
          <w:rFonts w:ascii="Calibri" w:hAnsi="Calibri"/>
          <w:b/>
          <w:sz w:val="40"/>
          <w:szCs w:val="40"/>
          <w:lang w:val="it-IT"/>
        </w:rPr>
        <w:t>043229</w:t>
      </w:r>
    </w:p>
    <w:p w:rsidR="00247DDB" w:rsidRPr="00037A39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</w:p>
    <w:p w:rsidR="00247DDB" w:rsidRPr="00037A39" w:rsidRDefault="00247DDB" w:rsidP="00247DDB">
      <w:pPr>
        <w:widowControl w:val="0"/>
        <w:jc w:val="center"/>
        <w:rPr>
          <w:rFonts w:ascii="Calibri" w:hAnsi="Calibri"/>
          <w:b/>
          <w:snapToGrid w:val="0"/>
          <w:sz w:val="40"/>
          <w:szCs w:val="40"/>
          <w:lang w:val="it-IT"/>
        </w:rPr>
      </w:pPr>
    </w:p>
    <w:p w:rsidR="00247DDB" w:rsidRPr="00247DDB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  <w:r w:rsidRPr="00037A39">
        <w:rPr>
          <w:rFonts w:ascii="Calibri" w:hAnsi="Calibri"/>
          <w:b/>
          <w:sz w:val="40"/>
          <w:szCs w:val="40"/>
          <w:lang w:val="it-IT"/>
        </w:rPr>
        <w:t xml:space="preserve">Numero di Procedura Europea: </w:t>
      </w:r>
      <w:r w:rsidRPr="00247DDB">
        <w:rPr>
          <w:rFonts w:ascii="Calibri" w:hAnsi="Calibri"/>
          <w:b/>
          <w:sz w:val="40"/>
          <w:szCs w:val="40"/>
          <w:lang w:val="it-IT"/>
        </w:rPr>
        <w:t>IT/H/0385/001/DC</w:t>
      </w:r>
    </w:p>
    <w:bookmarkEnd w:id="0"/>
    <w:p w:rsidR="00247DDB" w:rsidRPr="00037A39" w:rsidRDefault="00247DDB" w:rsidP="00247DDB">
      <w:pPr>
        <w:jc w:val="center"/>
        <w:rPr>
          <w:rFonts w:ascii="Calibri" w:hAnsi="Calibri"/>
          <w:b/>
          <w:sz w:val="40"/>
          <w:szCs w:val="40"/>
          <w:lang w:val="it-IT"/>
        </w:rPr>
      </w:pPr>
    </w:p>
    <w:p w:rsidR="00247DDB" w:rsidRPr="00037A39" w:rsidRDefault="00247DDB" w:rsidP="00247DDB">
      <w:pPr>
        <w:tabs>
          <w:tab w:val="left" w:pos="3119"/>
        </w:tabs>
        <w:jc w:val="center"/>
        <w:rPr>
          <w:rFonts w:ascii="Calibri" w:hAnsi="Calibri"/>
          <w:b/>
          <w:sz w:val="40"/>
          <w:szCs w:val="40"/>
          <w:lang w:val="it-IT"/>
        </w:rPr>
      </w:pPr>
    </w:p>
    <w:p w:rsidR="00247DDB" w:rsidRDefault="00247DDB" w:rsidP="00247DDB">
      <w:pPr>
        <w:tabs>
          <w:tab w:val="left" w:pos="3119"/>
        </w:tabs>
        <w:jc w:val="center"/>
        <w:rPr>
          <w:rFonts w:ascii="Calibri" w:hAnsi="Calibri"/>
          <w:b/>
          <w:sz w:val="40"/>
          <w:szCs w:val="40"/>
          <w:lang w:val="it-IT"/>
        </w:rPr>
      </w:pPr>
      <w:r w:rsidRPr="00E8267F">
        <w:rPr>
          <w:rFonts w:ascii="Calibri" w:hAnsi="Calibri"/>
          <w:b/>
          <w:sz w:val="40"/>
          <w:szCs w:val="40"/>
          <w:lang w:val="it-IT"/>
        </w:rPr>
        <w:t>Data:</w:t>
      </w:r>
      <w:r>
        <w:rPr>
          <w:rFonts w:ascii="Calibri" w:hAnsi="Calibri"/>
          <w:b/>
          <w:sz w:val="40"/>
          <w:szCs w:val="40"/>
          <w:lang w:val="it-IT"/>
        </w:rPr>
        <w:t xml:space="preserve"> 02</w:t>
      </w:r>
      <w:r>
        <w:rPr>
          <w:rFonts w:ascii="Calibri" w:hAnsi="Calibri"/>
          <w:b/>
          <w:sz w:val="40"/>
          <w:szCs w:val="40"/>
          <w:lang w:val="it-IT"/>
        </w:rPr>
        <w:t>/0</w:t>
      </w:r>
      <w:r>
        <w:rPr>
          <w:rFonts w:ascii="Calibri" w:hAnsi="Calibri"/>
          <w:b/>
          <w:sz w:val="40"/>
          <w:szCs w:val="40"/>
          <w:lang w:val="it-IT"/>
        </w:rPr>
        <w:t>3</w:t>
      </w:r>
      <w:r>
        <w:rPr>
          <w:rFonts w:ascii="Calibri" w:hAnsi="Calibri"/>
          <w:b/>
          <w:sz w:val="40"/>
          <w:szCs w:val="40"/>
          <w:lang w:val="it-IT"/>
        </w:rPr>
        <w:t>/2015</w:t>
      </w:r>
    </w:p>
    <w:p w:rsidR="00247DDB" w:rsidRPr="00811A5D" w:rsidRDefault="00247DDB" w:rsidP="00247DDB">
      <w:pPr>
        <w:jc w:val="center"/>
        <w:rPr>
          <w:rFonts w:asciiTheme="minorHAnsi" w:hAnsiTheme="minorHAnsi"/>
          <w:b/>
        </w:rPr>
      </w:pPr>
    </w:p>
    <w:p w:rsidR="00247DDB" w:rsidRPr="00811A5D" w:rsidRDefault="00247DDB" w:rsidP="00247DDB">
      <w:pPr>
        <w:jc w:val="center"/>
        <w:rPr>
          <w:rFonts w:asciiTheme="minorHAnsi" w:hAnsiTheme="minorHAnsi"/>
          <w:b/>
          <w:highlight w:val="yellow"/>
        </w:rPr>
      </w:pPr>
    </w:p>
    <w:p w:rsidR="00247DDB" w:rsidRPr="00247DDB" w:rsidRDefault="00247DDB" w:rsidP="00247DDB">
      <w:pPr>
        <w:tabs>
          <w:tab w:val="left" w:pos="3119"/>
        </w:tabs>
        <w:jc w:val="center"/>
        <w:rPr>
          <w:rFonts w:ascii="Calibri" w:hAnsi="Calibri"/>
          <w:b/>
          <w:sz w:val="40"/>
          <w:szCs w:val="40"/>
        </w:rPr>
      </w:pPr>
    </w:p>
    <w:p w:rsidR="00247DDB" w:rsidRPr="00037A39" w:rsidRDefault="00247DDB" w:rsidP="00247DDB">
      <w:pPr>
        <w:jc w:val="center"/>
        <w:rPr>
          <w:rFonts w:ascii="Calibri" w:hAnsi="Calibri"/>
          <w:b/>
          <w:sz w:val="40"/>
          <w:lang w:val="it-IT"/>
        </w:rPr>
      </w:pPr>
      <w:bookmarkStart w:id="1" w:name="_GoBack"/>
      <w:bookmarkEnd w:id="1"/>
      <w:r w:rsidRPr="00247DDB">
        <w:rPr>
          <w:sz w:val="40"/>
          <w:lang w:val="en-US"/>
        </w:rPr>
        <w:br w:type="page"/>
      </w:r>
      <w:r w:rsidRPr="00037A39">
        <w:rPr>
          <w:rFonts w:ascii="Calibri" w:hAnsi="Calibri"/>
          <w:b/>
          <w:sz w:val="40"/>
          <w:lang w:val="it-IT"/>
        </w:rPr>
        <w:lastRenderedPageBreak/>
        <w:t>Riassunto della relazione di Valutazione</w:t>
      </w:r>
    </w:p>
    <w:p w:rsidR="00247DDB" w:rsidRDefault="00247DDB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</w:pPr>
    </w:p>
    <w:p w:rsidR="00560853" w:rsidRPr="004F64D4" w:rsidRDefault="00AF4454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</w:pP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Ogni ml di soluzione contiene:</w:t>
      </w:r>
    </w:p>
    <w:p w:rsidR="00875175" w:rsidRPr="004F64D4" w:rsidRDefault="00875175" w:rsidP="00875175">
      <w:pPr>
        <w:tabs>
          <w:tab w:val="left" w:pos="0"/>
        </w:tabs>
        <w:spacing w:line="360" w:lineRule="auto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1 g di smalto medicato per unghie contiene 80 mg di </w:t>
      </w:r>
      <w:proofErr w:type="spellStart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. </w:t>
      </w: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Questa è la sintesi del “Public </w:t>
      </w:r>
      <w:proofErr w:type="spellStart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Assessment</w:t>
      </w:r>
      <w:proofErr w:type="spellEnd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Report” (PAR) per</w:t>
      </w:r>
      <w:r w:rsidR="00AF4454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color w:val="000000"/>
          <w:sz w:val="24"/>
          <w:szCs w:val="24"/>
          <w:lang w:val="it-IT" w:eastAsia="it-IT"/>
        </w:rPr>
        <w:t xml:space="preserve"> 8% smalto medicato per unghie</w:t>
      </w:r>
      <w:r w:rsidR="00AF4454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.</w:t>
      </w: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Esso spiega come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è stat</w:t>
      </w:r>
      <w:r w:rsidR="00D84EC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o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valutat</w:t>
      </w:r>
      <w:r w:rsidR="00D84EC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o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, raccomandata la sua autorizzazione così come le condizioni di impiego. Non intende fornire consigli pratici su come utilizzare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unghie.</w:t>
      </w:r>
    </w:p>
    <w:p w:rsidR="00AF4454" w:rsidRPr="004F64D4" w:rsidRDefault="00560853" w:rsidP="00AF4454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Per informazioni pratiche sull'utilizzo di </w:t>
      </w:r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AF4454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i pazienti devono consultare il foglietto illustrativo o contattare il loro medico o farmacista. </w:t>
      </w:r>
    </w:p>
    <w:p w:rsidR="00B1144C" w:rsidRPr="004F64D4" w:rsidRDefault="00B1144C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1) CHE COS’È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8 % smalto medicato per unghie</w:t>
      </w: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e a cosa serve? </w:t>
      </w:r>
    </w:p>
    <w:p w:rsidR="00AF4454" w:rsidRPr="004F64D4" w:rsidRDefault="00AF4454" w:rsidP="004F64D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bCs/>
          <w:sz w:val="24"/>
          <w:szCs w:val="24"/>
          <w:lang w:val="it-IT"/>
        </w:rPr>
      </w:pP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 </w:t>
      </w:r>
      <w:r w:rsidR="00560853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è un medicinale generico d</w:t>
      </w:r>
      <w:r w:rsidR="00D84EC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el </w:t>
      </w:r>
      <w:proofErr w:type="spellStart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Batrafen</w:t>
      </w:r>
      <w:proofErr w:type="spellEnd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</w:t>
      </w:r>
      <w:r w:rsidR="00D84EC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prodotto da </w:t>
      </w:r>
      <w:proofErr w:type="spellStart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Sanofi</w:t>
      </w:r>
      <w:proofErr w:type="spellEnd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-Aventis</w:t>
      </w:r>
      <w:r w:rsidR="00D84EC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, già </w:t>
      </w:r>
      <w:r w:rsidR="00B4233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autorizzato 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in Italia</w:t>
      </w:r>
      <w:r w:rsidR="00560853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 </w:t>
      </w:r>
      <w:r w:rsidR="00B4233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ne</w:t>
      </w:r>
      <w:r w:rsidR="00560853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l 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1995</w:t>
      </w:r>
      <w:r w:rsidR="00B42331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. </w:t>
      </w: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Il medicinale è indicato per il  </w:t>
      </w:r>
      <w:r w:rsidR="004F64D4">
        <w:rPr>
          <w:rFonts w:asciiTheme="minorHAnsi" w:hAnsiTheme="minorHAnsi"/>
          <w:bCs/>
          <w:sz w:val="24"/>
          <w:szCs w:val="24"/>
          <w:lang w:val="it-IT"/>
        </w:rPr>
        <w:t>t</w:t>
      </w:r>
      <w:r w:rsidRPr="004F64D4">
        <w:rPr>
          <w:rFonts w:asciiTheme="minorHAnsi" w:hAnsiTheme="minorHAnsi"/>
          <w:bCs/>
          <w:sz w:val="24"/>
          <w:szCs w:val="24"/>
          <w:lang w:val="it-IT"/>
        </w:rPr>
        <w:t>rattamento delle infezioni fungine delle unghie (</w:t>
      </w:r>
      <w:r w:rsidRPr="004F64D4">
        <w:rPr>
          <w:rFonts w:asciiTheme="minorHAnsi" w:hAnsiTheme="minorHAnsi"/>
          <w:sz w:val="24"/>
          <w:szCs w:val="24"/>
          <w:lang w:val="it-IT"/>
        </w:rPr>
        <w:t>Onicomicosi</w:t>
      </w:r>
      <w:r w:rsidRPr="004F64D4">
        <w:rPr>
          <w:rFonts w:asciiTheme="minorHAnsi" w:hAnsiTheme="minorHAnsi"/>
          <w:iCs/>
          <w:sz w:val="24"/>
          <w:szCs w:val="24"/>
          <w:lang w:val="it-IT"/>
        </w:rPr>
        <w:t>).</w:t>
      </w: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</w:p>
    <w:p w:rsidR="00B1144C" w:rsidRPr="004F64D4" w:rsidRDefault="00B1144C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2) COME E’ PRESCRITTO/USATO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8 % smalto medicato per unghie</w:t>
      </w:r>
      <w:r w:rsidR="00B1144C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?</w:t>
      </w:r>
    </w:p>
    <w:p w:rsidR="00585F77" w:rsidRPr="004F64D4" w:rsidRDefault="00585F77" w:rsidP="00585F77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Il medicinale può essere ottenuto solo dietro prescrizione da parte del medico (ricetta ripetibile).</w:t>
      </w:r>
    </w:p>
    <w:p w:rsidR="00AF4454" w:rsidRPr="004F64D4" w:rsidRDefault="00AF4454" w:rsidP="004F64D4">
      <w:pPr>
        <w:tabs>
          <w:tab w:val="left" w:pos="0"/>
        </w:tabs>
        <w:jc w:val="both"/>
        <w:rPr>
          <w:rFonts w:asciiTheme="minorHAnsi" w:hAnsiTheme="minorHAnsi"/>
          <w:sz w:val="24"/>
          <w:szCs w:val="24"/>
          <w:lang w:val="it-IT"/>
        </w:rPr>
      </w:pPr>
      <w:proofErr w:type="spellStart"/>
      <w:r w:rsidRPr="004F64D4">
        <w:rPr>
          <w:rFonts w:asciiTheme="minorHAnsi" w:hAnsiTheme="minorHAnsi"/>
          <w:sz w:val="24"/>
          <w:szCs w:val="24"/>
          <w:lang w:val="it-IT"/>
        </w:rPr>
        <w:t>Ciclopirox</w:t>
      </w:r>
      <w:proofErr w:type="spellEnd"/>
      <w:r w:rsidR="006B1FC6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="001562CE">
        <w:rPr>
          <w:rFonts w:asciiTheme="minorHAnsi" w:hAnsiTheme="minorHAnsi"/>
          <w:sz w:val="24"/>
          <w:szCs w:val="24"/>
          <w:lang w:val="it-IT"/>
        </w:rPr>
        <w:t>T</w:t>
      </w:r>
      <w:r w:rsidRPr="004F64D4">
        <w:rPr>
          <w:rFonts w:asciiTheme="minorHAnsi" w:hAnsiTheme="minorHAnsi"/>
          <w:sz w:val="24"/>
          <w:szCs w:val="24"/>
          <w:lang w:val="it-IT"/>
        </w:rPr>
        <w:t>erix</w:t>
      </w:r>
      <w:proofErr w:type="spellEnd"/>
      <w:r w:rsidRPr="004F64D4">
        <w:rPr>
          <w:rFonts w:asciiTheme="minorHAnsi" w:hAnsiTheme="minorHAnsi"/>
          <w:sz w:val="24"/>
          <w:szCs w:val="24"/>
          <w:lang w:val="it-IT"/>
        </w:rPr>
        <w:t xml:space="preserve"> va applicato una volta al giorno, in strato sottile, sull’unghia colpita dall’infezione fungina.</w:t>
      </w:r>
    </w:p>
    <w:p w:rsidR="00AF4454" w:rsidRPr="004F64D4" w:rsidRDefault="00AF4454" w:rsidP="004F64D4">
      <w:pPr>
        <w:tabs>
          <w:tab w:val="left" w:pos="0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4F64D4">
        <w:rPr>
          <w:rFonts w:asciiTheme="minorHAnsi" w:hAnsiTheme="minorHAnsi"/>
          <w:sz w:val="24"/>
          <w:szCs w:val="24"/>
          <w:lang w:val="it-IT"/>
        </w:rPr>
        <w:t xml:space="preserve">La durata del trattamento dipende dalla gravità dell’infezione ma comunque non deve superare </w:t>
      </w:r>
      <w:r w:rsidR="005A0ABF">
        <w:rPr>
          <w:rFonts w:asciiTheme="minorHAnsi" w:hAnsiTheme="minorHAnsi"/>
          <w:sz w:val="24"/>
          <w:szCs w:val="24"/>
          <w:lang w:val="it-IT"/>
        </w:rPr>
        <w:t xml:space="preserve">un </w:t>
      </w:r>
      <w:r w:rsidRPr="004F64D4">
        <w:rPr>
          <w:rFonts w:asciiTheme="minorHAnsi" w:hAnsiTheme="minorHAnsi"/>
          <w:sz w:val="24"/>
          <w:szCs w:val="24"/>
          <w:lang w:val="it-IT"/>
        </w:rPr>
        <w:t>periodo di 6 mesi.</w:t>
      </w:r>
    </w:p>
    <w:p w:rsidR="00B42331" w:rsidRPr="004F64D4" w:rsidRDefault="00B42331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Verdana"/>
          <w:color w:val="000000"/>
          <w:sz w:val="24"/>
          <w:szCs w:val="24"/>
          <w:lang w:val="it-IT" w:eastAsia="it-IT"/>
        </w:rPr>
      </w:pPr>
    </w:p>
    <w:p w:rsidR="00560853" w:rsidRPr="004F64D4" w:rsidRDefault="00560853" w:rsidP="004F64D4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3) COME FUNZIONA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8 % smalto medicato per unghie</w:t>
      </w:r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? </w:t>
      </w:r>
    </w:p>
    <w:p w:rsidR="00AF4454" w:rsidRPr="004F64D4" w:rsidRDefault="00AF4454" w:rsidP="004F64D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iCs/>
          <w:sz w:val="24"/>
          <w:szCs w:val="24"/>
          <w:lang w:val="it-IT"/>
        </w:rPr>
      </w:pP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8 % smalto medicato per unghie</w:t>
      </w:r>
      <w:r w:rsid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="00B1144C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contiene </w:t>
      </w:r>
      <w:proofErr w:type="spellStart"/>
      <w:r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>ciclopirox</w:t>
      </w:r>
      <w:proofErr w:type="spellEnd"/>
      <w:r w:rsidR="00B1144C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, una sostanza che </w:t>
      </w:r>
      <w:r w:rsidR="007A73E2" w:rsidRPr="004F64D4">
        <w:rPr>
          <w:rFonts w:asciiTheme="minorHAnsi" w:eastAsia="Calibri" w:hAnsiTheme="minorHAnsi" w:cs="Calibri"/>
          <w:color w:val="000000"/>
          <w:sz w:val="24"/>
          <w:szCs w:val="24"/>
          <w:lang w:val="it-IT" w:eastAsia="it-IT"/>
        </w:rPr>
        <w:t xml:space="preserve">fa </w:t>
      </w:r>
      <w:r w:rsidR="00D84EC1" w:rsidRPr="004F64D4">
        <w:rPr>
          <w:rFonts w:asciiTheme="minorHAnsi" w:hAnsiTheme="minorHAnsi"/>
          <w:sz w:val="24"/>
          <w:szCs w:val="24"/>
          <w:lang w:val="it-IT"/>
        </w:rPr>
        <w:t>parte della categoria farmaco terapeutica</w:t>
      </w:r>
      <w:r w:rsidR="004F64D4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4F64D4">
        <w:rPr>
          <w:rFonts w:asciiTheme="minorHAnsi" w:hAnsiTheme="minorHAnsi"/>
          <w:iCs/>
          <w:sz w:val="24"/>
          <w:szCs w:val="24"/>
          <w:lang w:val="it-IT"/>
        </w:rPr>
        <w:t>degli</w:t>
      </w:r>
      <w:r w:rsidRPr="004F64D4">
        <w:rPr>
          <w:rFonts w:asciiTheme="minorHAnsi" w:hAnsiTheme="minorHAnsi"/>
          <w:iCs/>
          <w:sz w:val="24"/>
          <w:szCs w:val="24"/>
          <w:lang w:val="it-IT"/>
        </w:rPr>
        <w:t xml:space="preserve"> </w:t>
      </w:r>
      <w:r w:rsidRPr="004F64D4">
        <w:rPr>
          <w:rFonts w:asciiTheme="minorHAnsi" w:hAnsiTheme="minorHAnsi"/>
          <w:color w:val="000000"/>
          <w:sz w:val="24"/>
          <w:szCs w:val="24"/>
          <w:lang w:val="it-IT"/>
        </w:rPr>
        <w:t>antimicotici per uso topico, il cui c</w:t>
      </w:r>
      <w:r w:rsidRPr="004F64D4">
        <w:rPr>
          <w:rFonts w:asciiTheme="minorHAnsi" w:hAnsiTheme="minorHAnsi"/>
          <w:iCs/>
          <w:sz w:val="24"/>
          <w:szCs w:val="24"/>
          <w:lang w:val="it-IT"/>
        </w:rPr>
        <w:t xml:space="preserve">odice </w:t>
      </w:r>
      <w:proofErr w:type="spellStart"/>
      <w:r w:rsidRPr="004F64D4">
        <w:rPr>
          <w:rFonts w:asciiTheme="minorHAnsi" w:hAnsiTheme="minorHAnsi"/>
          <w:iCs/>
          <w:sz w:val="24"/>
          <w:szCs w:val="24"/>
          <w:lang w:val="it-IT"/>
        </w:rPr>
        <w:t>ATC</w:t>
      </w:r>
      <w:r w:rsidR="004F64D4">
        <w:rPr>
          <w:rFonts w:asciiTheme="minorHAnsi" w:hAnsiTheme="minorHAnsi"/>
          <w:iCs/>
          <w:sz w:val="24"/>
          <w:szCs w:val="24"/>
          <w:lang w:val="it-IT"/>
        </w:rPr>
        <w:t>è</w:t>
      </w:r>
      <w:proofErr w:type="spellEnd"/>
      <w:r w:rsidRPr="004F64D4">
        <w:rPr>
          <w:rFonts w:asciiTheme="minorHAnsi" w:hAnsiTheme="minorHAnsi"/>
          <w:iCs/>
          <w:sz w:val="24"/>
          <w:szCs w:val="24"/>
          <w:lang w:val="it-IT"/>
        </w:rPr>
        <w:t xml:space="preserve"> D01AE14</w:t>
      </w:r>
      <w:r w:rsidR="004F64D4">
        <w:rPr>
          <w:rFonts w:asciiTheme="minorHAnsi" w:hAnsiTheme="minorHAnsi"/>
          <w:iCs/>
          <w:sz w:val="24"/>
          <w:szCs w:val="24"/>
          <w:lang w:val="it-IT"/>
        </w:rPr>
        <w:t>.</w:t>
      </w:r>
    </w:p>
    <w:p w:rsidR="00C766E4" w:rsidRPr="00C766E4" w:rsidRDefault="00D84EC1" w:rsidP="00C766E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iCs/>
          <w:sz w:val="24"/>
          <w:szCs w:val="24"/>
          <w:lang w:val="it-IT"/>
        </w:rPr>
      </w:pPr>
      <w:r w:rsidRPr="004F64D4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>Ciclopirox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 xml:space="preserve"> </w:t>
      </w:r>
      <w:proofErr w:type="spellStart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>Terix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 xml:space="preserve"> è un farmaco ad azione antimicotica locale. Il principio attivo </w:t>
      </w:r>
      <w:proofErr w:type="spellStart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>ciclopirox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>, un derivato del</w:t>
      </w:r>
      <w:r w:rsidR="00EC5658">
        <w:rPr>
          <w:rFonts w:asciiTheme="minorHAnsi" w:hAnsiTheme="minorHAnsi"/>
          <w:iCs/>
          <w:sz w:val="24"/>
          <w:szCs w:val="24"/>
          <w:lang w:val="it-IT"/>
        </w:rPr>
        <w:t>l’</w:t>
      </w:r>
      <w:proofErr w:type="spellStart"/>
      <w:r w:rsidR="00EC5658">
        <w:rPr>
          <w:rFonts w:asciiTheme="minorHAnsi" w:hAnsiTheme="minorHAnsi"/>
          <w:iCs/>
          <w:sz w:val="24"/>
          <w:szCs w:val="24"/>
          <w:lang w:val="it-IT"/>
        </w:rPr>
        <w:t>idrossipiridone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 xml:space="preserve">, </w:t>
      </w:r>
      <w:r w:rsidR="00491597">
        <w:rPr>
          <w:rFonts w:asciiTheme="minorHAnsi" w:hAnsiTheme="minorHAnsi"/>
          <w:iCs/>
          <w:sz w:val="24"/>
          <w:szCs w:val="24"/>
          <w:lang w:val="it-IT"/>
        </w:rPr>
        <w:t xml:space="preserve">è </w:t>
      </w:r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 xml:space="preserve">caratterizzato da ampio spettro ed attività inibente verso tutte le specie patogene responsabili delle onicomicosi quali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Trichophytum</w:t>
      </w:r>
      <w:proofErr w:type="spellEnd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 xml:space="preserve">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rubrum</w:t>
      </w:r>
      <w:proofErr w:type="spellEnd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 xml:space="preserve">,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Epidermophytum</w:t>
      </w:r>
      <w:proofErr w:type="spellEnd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 xml:space="preserve">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floccosum</w:t>
      </w:r>
      <w:proofErr w:type="spellEnd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 xml:space="preserve">, Candida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albicans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 xml:space="preserve"> e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Scopulariopsis</w:t>
      </w:r>
      <w:proofErr w:type="spellEnd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 xml:space="preserve"> </w:t>
      </w:r>
      <w:proofErr w:type="spellStart"/>
      <w:r w:rsidR="00AF4454" w:rsidRPr="004F64D4">
        <w:rPr>
          <w:rFonts w:asciiTheme="minorHAnsi" w:hAnsiTheme="minorHAnsi"/>
          <w:i/>
          <w:iCs/>
          <w:sz w:val="24"/>
          <w:szCs w:val="24"/>
          <w:lang w:val="it-IT"/>
        </w:rPr>
        <w:t>brevicaulis</w:t>
      </w:r>
      <w:proofErr w:type="spellEnd"/>
      <w:r w:rsidR="00AF4454" w:rsidRPr="004F64D4">
        <w:rPr>
          <w:rFonts w:asciiTheme="minorHAnsi" w:hAnsiTheme="minorHAnsi"/>
          <w:iCs/>
          <w:sz w:val="24"/>
          <w:szCs w:val="24"/>
          <w:lang w:val="it-IT"/>
        </w:rPr>
        <w:t>.</w:t>
      </w:r>
    </w:p>
    <w:p w:rsidR="00C766E4" w:rsidRPr="004F64D4" w:rsidRDefault="00C766E4" w:rsidP="00C766E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sz w:val="24"/>
          <w:szCs w:val="24"/>
          <w:lang w:val="it-IT"/>
        </w:rPr>
      </w:pPr>
      <w:r w:rsidRPr="00C766E4">
        <w:rPr>
          <w:rFonts w:asciiTheme="minorHAnsi" w:hAnsiTheme="minorHAnsi"/>
          <w:sz w:val="24"/>
          <w:szCs w:val="24"/>
          <w:lang w:val="it-IT"/>
        </w:rPr>
        <w:t>Relativamente agli effetti indesiderati, raramente si può verificare, a seguito del contatto del prodotto con la cute adiacente all’unghia, dermatite da contatto allergica; molto raramente si possono verificare arrossamento e desquamazione.</w:t>
      </w:r>
    </w:p>
    <w:p w:rsidR="00C766E4" w:rsidRPr="004F64D4" w:rsidRDefault="00C766E4" w:rsidP="00C766E4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</w:p>
    <w:p w:rsidR="004F64D4" w:rsidRPr="004F64D4" w:rsidRDefault="004F64D4" w:rsidP="004F64D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iCs/>
          <w:sz w:val="24"/>
          <w:szCs w:val="24"/>
          <w:lang w:val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4) COME È STATO STUDIATO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AF445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8 % smalto medicato per unghie</w:t>
      </w: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? </w:t>
      </w:r>
    </w:p>
    <w:p w:rsidR="00D171AA" w:rsidRDefault="00D171AA" w:rsidP="00D171AA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proofErr w:type="spellStart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</w:t>
      </w:r>
      <w:proofErr w:type="spellStart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Terix</w:t>
      </w:r>
      <w:proofErr w:type="spellEnd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 </w:t>
      </w:r>
      <w:r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ha la stessa composizione qualitativa e quantitativa, in termini di principio attivo ed eccipienti, del medicinale di riferimento </w:t>
      </w:r>
      <w:proofErr w:type="spellStart"/>
      <w:r>
        <w:rPr>
          <w:rFonts w:asciiTheme="minorHAnsi" w:eastAsia="Calibri" w:hAnsiTheme="minorHAnsi" w:cs="Calibri"/>
          <w:sz w:val="24"/>
          <w:szCs w:val="24"/>
          <w:lang w:val="it-IT" w:eastAsia="it-IT"/>
        </w:rPr>
        <w:t>Batrafen</w:t>
      </w:r>
      <w:proofErr w:type="spellEnd"/>
      <w:r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. Anche la via di somministrazione ed il dosaggio sono uguali al medicinale di riferimento di conseguenza per dimostrare l’equivalenza terapeutica con il </w:t>
      </w:r>
      <w:proofErr w:type="spellStart"/>
      <w:r>
        <w:rPr>
          <w:rFonts w:asciiTheme="minorHAnsi" w:eastAsia="Calibri" w:hAnsiTheme="minorHAnsi" w:cs="Calibri"/>
          <w:sz w:val="24"/>
          <w:szCs w:val="24"/>
          <w:lang w:val="it-IT" w:eastAsia="it-IT"/>
        </w:rPr>
        <w:t>Batrafen</w:t>
      </w:r>
      <w:proofErr w:type="spellEnd"/>
      <w:r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non è stato necessario presentare studi </w:t>
      </w:r>
      <w:r w:rsidRPr="00C766E4">
        <w:rPr>
          <w:rFonts w:asciiTheme="minorHAnsi" w:eastAsia="Calibri" w:hAnsiTheme="minorHAnsi" w:cs="Calibri"/>
          <w:sz w:val="24"/>
          <w:szCs w:val="24"/>
          <w:lang w:val="it-IT" w:eastAsia="it-IT"/>
        </w:rPr>
        <w:t>aggiuntivi</w:t>
      </w:r>
      <w:r w:rsidR="00EC5658" w:rsidRPr="00C766E4">
        <w:rPr>
          <w:rFonts w:asciiTheme="minorHAnsi" w:eastAsia="Calibri" w:hAnsiTheme="minorHAnsi" w:cs="Calibri"/>
          <w:sz w:val="24"/>
          <w:szCs w:val="24"/>
          <w:lang w:val="it-IT" w:eastAsia="it-IT"/>
        </w:rPr>
        <w:t>, in accordo a quanto stabilito d</w:t>
      </w:r>
      <w:r w:rsidR="00046E77">
        <w:rPr>
          <w:rFonts w:asciiTheme="minorHAnsi" w:eastAsia="Calibri" w:hAnsiTheme="minorHAnsi" w:cs="Calibri"/>
          <w:sz w:val="24"/>
          <w:szCs w:val="24"/>
          <w:lang w:val="it-IT" w:eastAsia="it-IT"/>
        </w:rPr>
        <w:t>a</w:t>
      </w:r>
      <w:r w:rsidR="00EC5658" w:rsidRPr="00C766E4">
        <w:rPr>
          <w:rFonts w:asciiTheme="minorHAnsi" w:eastAsia="Calibri" w:hAnsiTheme="minorHAnsi" w:cs="Calibri"/>
          <w:sz w:val="24"/>
          <w:szCs w:val="24"/>
          <w:lang w:val="it-IT" w:eastAsia="it-IT"/>
        </w:rPr>
        <w:t>lle linee guida vigenti.</w:t>
      </w:r>
    </w:p>
    <w:p w:rsidR="00D171AA" w:rsidRDefault="00D171AA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5) QUAL È IL RAPPORTO BENEFICIO/RISCHIO di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? </w:t>
      </w: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lastRenderedPageBreak/>
        <w:t xml:space="preserve">Il medicinale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237DCC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è un</w:t>
      </w:r>
      <w:r w:rsidR="00237DCC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medicinale generico di </w:t>
      </w:r>
      <w:r w:rsidR="00E063FF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Batrafen</w:t>
      </w:r>
      <w:proofErr w:type="spellEnd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pertanto i benefici e rischi ad esso associati sono</w:t>
      </w:r>
      <w:r w:rsidR="00EC5658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sovrapponibili a quelli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del prodotto di riferimento. </w:t>
      </w:r>
    </w:p>
    <w:p w:rsidR="00B11669" w:rsidRPr="004F64D4" w:rsidRDefault="00B11669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6) PERCHE’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E063FF" w:rsidRPr="004F64D4" w:rsidDel="00E063FF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E’ STATO APPROVATO? </w:t>
      </w: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In accordo ai requisiti previsti dell'UE si è concluso che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E063FF" w:rsidRPr="004F64D4" w:rsidDel="00E063FF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è comparabile al medicinale di riferimento </w:t>
      </w:r>
      <w:proofErr w:type="spellStart"/>
      <w:r w:rsidR="00EC5658">
        <w:rPr>
          <w:rFonts w:asciiTheme="minorHAnsi" w:eastAsia="Calibri" w:hAnsiTheme="minorHAnsi" w:cs="Calibri"/>
          <w:sz w:val="24"/>
          <w:szCs w:val="24"/>
          <w:lang w:val="it-IT" w:eastAsia="it-IT"/>
        </w:rPr>
        <w:t>Batrafe</w:t>
      </w:r>
      <w:r w:rsidR="00B11669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n</w:t>
      </w:r>
      <w:proofErr w:type="spellEnd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. Pertanto la conclusione è che per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E063FF" w:rsidRPr="004F64D4" w:rsidDel="00E063FF">
        <w:rPr>
          <w:rFonts w:asciiTheme="minorHAnsi" w:eastAsia="Calibri" w:hAnsiTheme="minorHAnsi" w:cs="Calibri"/>
          <w:bCs/>
          <w:color w:val="000000"/>
          <w:sz w:val="24"/>
          <w:szCs w:val="24"/>
          <w:lang w:val="it-IT" w:eastAsia="it-IT"/>
        </w:rPr>
        <w:t xml:space="preserve"> </w:t>
      </w:r>
      <w:r w:rsidR="00E063FF" w:rsidRPr="004F64D4">
        <w:rPr>
          <w:rFonts w:asciiTheme="minorHAnsi" w:eastAsia="Calibri" w:hAnsiTheme="minorHAnsi" w:cs="Calibri"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i benefici sono superiori ai rischi identificati. </w:t>
      </w:r>
    </w:p>
    <w:p w:rsidR="00D74B36" w:rsidRPr="004F64D4" w:rsidRDefault="00D74B36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7) QUALI MISURE SONO STATE PRESE PER ASSICURARE LA SICUREZZA E L’EFFICACIA NELL’USO DI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B11669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?</w:t>
      </w:r>
    </w:p>
    <w:p w:rsidR="004F64D4" w:rsidRDefault="00DB02C6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Il richiedente dell’</w:t>
      </w:r>
      <w:r w:rsidR="008D1C84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autorizzazione all’immissione in commercio (AIC)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ha presentato un Piano di Gestione del Rischio</w:t>
      </w:r>
      <w:r w:rsidR="0067580B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(versione autorizzata n. 1.3)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063FF"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Ciclopirox</w:t>
      </w:r>
      <w:proofErr w:type="spellEnd"/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>.</w:t>
      </w:r>
    </w:p>
    <w:p w:rsidR="004F64D4" w:rsidRDefault="004F64D4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</w:p>
    <w:p w:rsidR="00560853" w:rsidRPr="004F64D4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8) ALTRE INFORMAZIONI RELATIVE A </w:t>
      </w:r>
      <w:proofErr w:type="spellStart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</w:p>
    <w:p w:rsidR="00560853" w:rsidRPr="00E829E9" w:rsidRDefault="00560853" w:rsidP="007B6A39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b/>
          <w:bCs/>
          <w:i/>
          <w:iCs/>
          <w:sz w:val="24"/>
          <w:szCs w:val="24"/>
          <w:lang w:val="it-IT" w:eastAsia="it-IT"/>
        </w:rPr>
        <w:t xml:space="preserve">La data di approvazione </w:t>
      </w:r>
      <w:r w:rsidR="007B6A39" w:rsidRPr="004F64D4">
        <w:rPr>
          <w:rFonts w:asciiTheme="minorHAnsi" w:eastAsia="Calibri" w:hAnsiTheme="minorHAnsi" w:cs="Calibri"/>
          <w:b/>
          <w:bCs/>
          <w:i/>
          <w:iCs/>
          <w:sz w:val="24"/>
          <w:szCs w:val="24"/>
          <w:lang w:val="it-IT" w:eastAsia="it-IT"/>
        </w:rPr>
        <w:t xml:space="preserve">europea </w:t>
      </w:r>
      <w:r w:rsidRPr="004F64D4">
        <w:rPr>
          <w:rFonts w:asciiTheme="minorHAnsi" w:eastAsia="Calibri" w:hAnsiTheme="minorHAnsi" w:cs="Calibri"/>
          <w:b/>
          <w:bCs/>
          <w:i/>
          <w:iCs/>
          <w:sz w:val="24"/>
          <w:szCs w:val="24"/>
          <w:lang w:val="it-IT" w:eastAsia="it-IT"/>
        </w:rPr>
        <w:t xml:space="preserve">di </w:t>
      </w:r>
      <w:proofErr w:type="spellStart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4F64D4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4F64D4" w:rsidRPr="004F64D4" w:rsidDel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>è il</w:t>
      </w:r>
      <w:r w:rsidR="004F64D4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  02/02/2015</w:t>
      </w:r>
      <w:r w:rsidRPr="00E829E9">
        <w:rPr>
          <w:rFonts w:asciiTheme="minorHAnsi" w:eastAsia="Calibri" w:hAnsiTheme="minorHAnsi" w:cs="Calibri"/>
          <w:b/>
          <w:bCs/>
          <w:sz w:val="24"/>
          <w:szCs w:val="24"/>
          <w:lang w:val="it-IT" w:eastAsia="it-IT"/>
        </w:rPr>
        <w:t xml:space="preserve">. 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La Co</w:t>
      </w:r>
      <w:r w:rsidR="00DB02C6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mmissione Tecnico Scientifica (CTS) nella seduta del </w:t>
      </w:r>
      <w:r w:rsidR="004F64D4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1</w:t>
      </w:r>
      <w:r w:rsidR="00491597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6</w:t>
      </w:r>
      <w:r w:rsidR="004F64D4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-</w:t>
      </w:r>
      <w:r w:rsidR="00491597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18</w:t>
      </w:r>
      <w:r w:rsidR="004F64D4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/02/2015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, preso atto dell’approvazione Europea ha individuato le modalità di prescrizione di cui </w:t>
      </w:r>
      <w:r w:rsidR="00DB02C6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a</w:t>
      </w:r>
      <w:r w:rsidR="00C766E4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l punto (2) 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e la classe di rimbor</w:t>
      </w:r>
      <w:r w:rsidR="000405D3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sabilità del medicinale (</w:t>
      </w:r>
      <w:r w:rsidR="00E063FF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C</w:t>
      </w:r>
      <w:r w:rsidR="004F64D4"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NN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). A seguito della conclusione della fase nazionale che include la revisione del Riassunto delle caratteriste del prodotto/Fog</w:t>
      </w:r>
      <w:r w:rsidR="00046E77">
        <w:rPr>
          <w:rFonts w:asciiTheme="minorHAnsi" w:eastAsia="Calibri" w:hAnsiTheme="minorHAnsi" w:cs="Calibri"/>
          <w:sz w:val="24"/>
          <w:szCs w:val="24"/>
          <w:lang w:val="it-IT" w:eastAsia="it-IT"/>
        </w:rPr>
        <w:t>lio illustrativo/etichette, AIFA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emanerà la determina di autorizzazione all’immissione in commercio. </w:t>
      </w:r>
    </w:p>
    <w:p w:rsidR="004F64D4" w:rsidRPr="004F64D4" w:rsidRDefault="00560853" w:rsidP="002D0F48">
      <w:pPr>
        <w:autoSpaceDE w:val="0"/>
        <w:autoSpaceDN w:val="0"/>
        <w:adjustRightInd w:val="0"/>
        <w:rPr>
          <w:rFonts w:asciiTheme="minorHAnsi" w:eastAsia="Calibri" w:hAnsiTheme="minorHAnsi"/>
          <w:sz w:val="24"/>
          <w:szCs w:val="24"/>
          <w:lang w:val="it-IT" w:eastAsia="it-IT"/>
        </w:rPr>
      </w:pP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Il PAR completo per </w:t>
      </w:r>
      <w:proofErr w:type="spellStart"/>
      <w:r w:rsidR="00E063FF" w:rsidRPr="00E829E9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E829E9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E829E9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E829E9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4F64D4" w:rsidRPr="00E829E9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r w:rsidRPr="00E829E9">
        <w:rPr>
          <w:rFonts w:asciiTheme="minorHAnsi" w:eastAsia="Calibri" w:hAnsiTheme="minorHAnsi" w:cs="Calibri"/>
          <w:sz w:val="24"/>
          <w:szCs w:val="24"/>
          <w:lang w:val="it-IT" w:eastAsia="it-IT"/>
        </w:rPr>
        <w:t>è reperibile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sul sito </w:t>
      </w:r>
      <w:hyperlink w:history="1">
        <w:r w:rsidR="002D0F48" w:rsidRPr="004F64D4">
          <w:rPr>
            <w:rStyle w:val="Collegamentoipertestuale"/>
            <w:rFonts w:asciiTheme="minorHAnsi" w:eastAsia="Calibri" w:hAnsiTheme="minorHAnsi"/>
            <w:sz w:val="24"/>
            <w:szCs w:val="24"/>
            <w:lang w:val="it-IT" w:eastAsia="it-IT"/>
          </w:rPr>
          <w:t>http://mri.medagencies.org/Human/</w:t>
        </w:r>
      </w:hyperlink>
    </w:p>
    <w:p w:rsidR="00560853" w:rsidRPr="004F64D4" w:rsidRDefault="00560853" w:rsidP="004F64D4">
      <w:pPr>
        <w:autoSpaceDE w:val="0"/>
        <w:autoSpaceDN w:val="0"/>
        <w:adjustRightInd w:val="0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Per maggiori informazioni riguardo il trattamento con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Ciclopirox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</w:t>
      </w:r>
      <w:proofErr w:type="spellStart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>Terix</w:t>
      </w:r>
      <w:proofErr w:type="spellEnd"/>
      <w:r w:rsidR="00E063FF" w:rsidRPr="004F64D4">
        <w:rPr>
          <w:rFonts w:asciiTheme="minorHAnsi" w:eastAsia="Calibri" w:hAnsiTheme="minorHAnsi" w:cs="Calibri"/>
          <w:b/>
          <w:bCs/>
          <w:color w:val="000000"/>
          <w:sz w:val="24"/>
          <w:szCs w:val="24"/>
          <w:lang w:val="it-IT" w:eastAsia="it-IT"/>
        </w:rPr>
        <w:t xml:space="preserve"> 8% smalto medicato per unghie</w:t>
      </w:r>
      <w:r w:rsidR="00963227" w:rsidRPr="004F64D4">
        <w:rPr>
          <w:rFonts w:asciiTheme="minorHAnsi" w:eastAsia="Calibri" w:hAnsiTheme="minorHAnsi" w:cs="Calibri"/>
          <w:bCs/>
          <w:color w:val="000000"/>
          <w:sz w:val="24"/>
          <w:szCs w:val="24"/>
          <w:lang w:val="it-IT" w:eastAsia="it-IT"/>
        </w:rPr>
        <w:t>,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si può leggere il Foglio Illustrativo o contattare il medico o farmacista. </w:t>
      </w:r>
    </w:p>
    <w:p w:rsidR="00560853" w:rsidRPr="004F64D4" w:rsidRDefault="00560853" w:rsidP="007B6A39">
      <w:pPr>
        <w:jc w:val="both"/>
        <w:rPr>
          <w:rFonts w:asciiTheme="minorHAnsi" w:eastAsia="Calibri" w:hAnsiTheme="minorHAnsi" w:cs="Calibri"/>
          <w:sz w:val="24"/>
          <w:szCs w:val="24"/>
          <w:lang w:val="it-IT" w:eastAsia="it-IT"/>
        </w:rPr>
      </w:pP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Questo riassunto è stato </w:t>
      </w:r>
      <w:r w:rsidRPr="00D171AA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redatto in </w:t>
      </w:r>
      <w:r w:rsidRPr="007E1771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data </w:t>
      </w:r>
      <w:r w:rsidR="00E829E9" w:rsidRPr="007E1771">
        <w:rPr>
          <w:rFonts w:asciiTheme="minorHAnsi" w:eastAsia="Calibri" w:hAnsiTheme="minorHAnsi" w:cs="Calibri"/>
          <w:sz w:val="24"/>
          <w:szCs w:val="24"/>
          <w:lang w:val="it-IT" w:eastAsia="it-IT"/>
        </w:rPr>
        <w:t>02/03</w:t>
      </w:r>
      <w:r w:rsidR="00E063FF" w:rsidRPr="007E1771">
        <w:rPr>
          <w:rFonts w:asciiTheme="minorHAnsi" w:eastAsia="Calibri" w:hAnsiTheme="minorHAnsi" w:cs="Calibri"/>
          <w:sz w:val="24"/>
          <w:szCs w:val="24"/>
          <w:lang w:val="it-IT" w:eastAsia="it-IT"/>
        </w:rPr>
        <w:t>/2015</w:t>
      </w:r>
      <w:r w:rsidRPr="007E1771">
        <w:rPr>
          <w:rFonts w:asciiTheme="minorHAnsi" w:eastAsia="Calibri" w:hAnsiTheme="minorHAnsi" w:cs="Calibri"/>
          <w:sz w:val="24"/>
          <w:szCs w:val="24"/>
          <w:lang w:val="it-IT" w:eastAsia="it-IT"/>
        </w:rPr>
        <w:t>.</w:t>
      </w:r>
      <w:r w:rsidRPr="004F64D4">
        <w:rPr>
          <w:rFonts w:asciiTheme="minorHAnsi" w:eastAsia="Calibri" w:hAnsiTheme="minorHAnsi" w:cs="Calibri"/>
          <w:sz w:val="24"/>
          <w:szCs w:val="24"/>
          <w:lang w:val="it-IT" w:eastAsia="it-IT"/>
        </w:rPr>
        <w:t xml:space="preserve"> </w:t>
      </w:r>
    </w:p>
    <w:sectPr w:rsidR="00560853" w:rsidRPr="004F64D4" w:rsidSect="00A47B45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9CB7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597" w:rsidRDefault="00A53597" w:rsidP="00D45471">
      <w:r>
        <w:separator/>
      </w:r>
    </w:p>
  </w:endnote>
  <w:endnote w:type="continuationSeparator" w:id="0">
    <w:p w:rsidR="00A53597" w:rsidRDefault="00A53597" w:rsidP="00D4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71" w:rsidRPr="004A393B" w:rsidRDefault="00D45471">
    <w:pPr>
      <w:pStyle w:val="Pidipagina"/>
      <w:rPr>
        <w:rFonts w:asciiTheme="minorHAnsi" w:hAnsiTheme="minorHAnsi"/>
        <w:sz w:val="20"/>
        <w:lang w:val="it-IT"/>
      </w:rPr>
    </w:pPr>
    <w:r w:rsidRPr="004A393B">
      <w:rPr>
        <w:rFonts w:asciiTheme="minorHAnsi" w:hAnsiTheme="minorHAnsi"/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56" o:spid="_x0000_s2050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<v:textbox style="mso-fit-shape-to-text:t">
            <w:txbxContent>
              <w:p w:rsidR="00D45471" w:rsidRPr="004A393B" w:rsidRDefault="00D45471">
                <w:pPr>
                  <w:pStyle w:val="Pidipagina"/>
                  <w:jc w:val="right"/>
                  <w:rPr>
                    <w:rFonts w:asciiTheme="minorHAnsi" w:hAnsiTheme="minorHAnsi"/>
                    <w:color w:val="000000" w:themeColor="text1"/>
                    <w:sz w:val="20"/>
                  </w:rPr>
                </w:pPr>
                <w:r w:rsidRPr="004A393B">
                  <w:rPr>
                    <w:rFonts w:asciiTheme="minorHAnsi" w:hAnsiTheme="minorHAnsi"/>
                    <w:color w:val="000000" w:themeColor="text1"/>
                    <w:sz w:val="20"/>
                  </w:rPr>
                  <w:fldChar w:fldCharType="begin"/>
                </w:r>
                <w:r w:rsidRPr="004A393B">
                  <w:rPr>
                    <w:rFonts w:asciiTheme="minorHAnsi" w:hAnsiTheme="minorHAnsi"/>
                    <w:color w:val="000000" w:themeColor="text1"/>
                    <w:sz w:val="20"/>
                  </w:rPr>
                  <w:instrText>PAGE  \* Arabic  \* MERGEFORMAT</w:instrText>
                </w:r>
                <w:r w:rsidRPr="004A393B">
                  <w:rPr>
                    <w:rFonts w:asciiTheme="minorHAnsi" w:hAnsiTheme="minorHAnsi"/>
                    <w:color w:val="000000" w:themeColor="text1"/>
                    <w:sz w:val="20"/>
                  </w:rPr>
                  <w:fldChar w:fldCharType="separate"/>
                </w:r>
                <w:r w:rsidR="004A393B" w:rsidRPr="004A393B">
                  <w:rPr>
                    <w:rFonts w:asciiTheme="minorHAnsi" w:hAnsiTheme="minorHAnsi"/>
                    <w:noProof/>
                    <w:color w:val="000000" w:themeColor="text1"/>
                    <w:sz w:val="20"/>
                    <w:lang w:val="it-IT"/>
                  </w:rPr>
                  <w:t>1</w:t>
                </w:r>
                <w:r w:rsidRPr="004A393B">
                  <w:rPr>
                    <w:rFonts w:asciiTheme="minorHAnsi" w:hAnsiTheme="minorHAnsi"/>
                    <w:color w:val="000000" w:themeColor="text1"/>
                    <w:sz w:val="2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Pr="004A393B">
      <w:rPr>
        <w:rFonts w:asciiTheme="minorHAnsi" w:hAnsiTheme="minorHAnsi"/>
        <w:noProof/>
        <w:sz w:val="20"/>
      </w:rPr>
      <w:pict>
        <v:rect id="Rettangolo 58" o:spid="_x0000_s2049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<w10:wrap type="square" anchorx="margin" anchory="margin"/>
        </v:rect>
      </w:pict>
    </w:r>
    <w:proofErr w:type="spellStart"/>
    <w:r w:rsidR="004A393B" w:rsidRPr="004A393B">
      <w:rPr>
        <w:rFonts w:asciiTheme="minorHAnsi" w:hAnsiTheme="minorHAnsi"/>
        <w:sz w:val="20"/>
        <w:lang w:val="it-IT"/>
      </w:rPr>
      <w:t>Ciclopirox</w:t>
    </w:r>
    <w:proofErr w:type="spellEnd"/>
    <w:r w:rsidR="004A393B">
      <w:rPr>
        <w:rFonts w:asciiTheme="minorHAnsi" w:hAnsiTheme="minorHAnsi"/>
        <w:sz w:val="20"/>
        <w:lang w:val="it-IT"/>
      </w:rPr>
      <w:t xml:space="preserve"> </w:t>
    </w:r>
    <w:proofErr w:type="spellStart"/>
    <w:r w:rsidR="004A393B">
      <w:rPr>
        <w:rFonts w:asciiTheme="minorHAnsi" w:hAnsiTheme="minorHAnsi"/>
        <w:sz w:val="20"/>
        <w:lang w:val="it-IT"/>
      </w:rPr>
      <w:t>Terix</w:t>
    </w:r>
    <w:proofErr w:type="spellEnd"/>
    <w:r w:rsidR="004A393B">
      <w:rPr>
        <w:rFonts w:asciiTheme="minorHAnsi" w:hAnsiTheme="minorHAnsi"/>
        <w:sz w:val="20"/>
        <w:lang w:val="it-IT"/>
      </w:rPr>
      <w:t xml:space="preserve">, </w:t>
    </w:r>
    <w:r w:rsidR="004A393B" w:rsidRPr="004A393B">
      <w:rPr>
        <w:rFonts w:asciiTheme="minorHAnsi" w:hAnsiTheme="minorHAnsi"/>
        <w:sz w:val="20"/>
        <w:lang w:val="it-IT"/>
      </w:rPr>
      <w:t xml:space="preserve"> </w:t>
    </w:r>
    <w:r w:rsidR="004A393B">
      <w:rPr>
        <w:rFonts w:asciiTheme="minorHAnsi" w:hAnsiTheme="minorHAnsi"/>
        <w:sz w:val="20"/>
        <w:lang w:val="it-IT"/>
      </w:rPr>
      <w:t xml:space="preserve">8% </w:t>
    </w:r>
    <w:r w:rsidR="004A393B" w:rsidRPr="004A393B">
      <w:rPr>
        <w:rFonts w:asciiTheme="minorHAnsi" w:hAnsiTheme="minorHAnsi"/>
        <w:sz w:val="20"/>
        <w:lang w:val="it-IT"/>
      </w:rPr>
      <w:t xml:space="preserve">smalto medicate per unghie </w:t>
    </w:r>
    <w:r w:rsidR="004A393B">
      <w:rPr>
        <w:rFonts w:asciiTheme="minorHAnsi" w:hAnsiTheme="minorHAnsi"/>
        <w:sz w:val="20"/>
        <w:lang w:val="it-IT"/>
      </w:rPr>
      <w:tab/>
      <w:t xml:space="preserve">         </w:t>
    </w:r>
    <w:r w:rsidR="004A393B" w:rsidRPr="004A393B">
      <w:rPr>
        <w:rFonts w:asciiTheme="minorHAnsi" w:hAnsiTheme="minorHAnsi"/>
        <w:sz w:val="20"/>
        <w:lang w:val="it-IT"/>
      </w:rPr>
      <w:t>IT/H/385/01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597" w:rsidRDefault="00A53597" w:rsidP="00D45471">
      <w:r>
        <w:separator/>
      </w:r>
    </w:p>
  </w:footnote>
  <w:footnote w:type="continuationSeparator" w:id="0">
    <w:p w:rsidR="00A53597" w:rsidRDefault="00A53597" w:rsidP="00D45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64938"/>
    <w:multiLevelType w:val="multilevel"/>
    <w:tmpl w:val="C7941C84"/>
    <w:lvl w:ilvl="0">
      <w:start w:val="1"/>
      <w:numFmt w:val="upperRoman"/>
      <w:pStyle w:val="Titolo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135"/>
        </w:tabs>
        <w:ind w:left="1135" w:hanging="851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uggeri Maria Luisa">
    <w15:presenceInfo w15:providerId="AD" w15:userId="S-1-5-21-73586283-308236825-839522115-1298"/>
  </w15:person>
  <w15:person w15:author="Lizio Chiara">
    <w15:presenceInfo w15:providerId="AD" w15:userId="S-1-5-21-73586283-308236825-839522115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01E"/>
    <w:rsid w:val="00026142"/>
    <w:rsid w:val="000405D3"/>
    <w:rsid w:val="00046E77"/>
    <w:rsid w:val="000717FD"/>
    <w:rsid w:val="001562CE"/>
    <w:rsid w:val="0015727F"/>
    <w:rsid w:val="002048D0"/>
    <w:rsid w:val="00237DCC"/>
    <w:rsid w:val="00247DDB"/>
    <w:rsid w:val="002D0F48"/>
    <w:rsid w:val="002E7909"/>
    <w:rsid w:val="00350E78"/>
    <w:rsid w:val="00364B80"/>
    <w:rsid w:val="003E390A"/>
    <w:rsid w:val="004204AA"/>
    <w:rsid w:val="00430050"/>
    <w:rsid w:val="00491597"/>
    <w:rsid w:val="004A393B"/>
    <w:rsid w:val="004D21C7"/>
    <w:rsid w:val="004F64D4"/>
    <w:rsid w:val="00506A22"/>
    <w:rsid w:val="0051095B"/>
    <w:rsid w:val="005114FD"/>
    <w:rsid w:val="00560853"/>
    <w:rsid w:val="00585F77"/>
    <w:rsid w:val="005A0ABF"/>
    <w:rsid w:val="005C7D5B"/>
    <w:rsid w:val="0067580B"/>
    <w:rsid w:val="0068639E"/>
    <w:rsid w:val="006B1FC6"/>
    <w:rsid w:val="0074101E"/>
    <w:rsid w:val="007A73E2"/>
    <w:rsid w:val="007B6A39"/>
    <w:rsid w:val="007D58A4"/>
    <w:rsid w:val="007E1771"/>
    <w:rsid w:val="007F14BB"/>
    <w:rsid w:val="00875175"/>
    <w:rsid w:val="008D1C84"/>
    <w:rsid w:val="008F6377"/>
    <w:rsid w:val="00917081"/>
    <w:rsid w:val="00963227"/>
    <w:rsid w:val="00A05A0D"/>
    <w:rsid w:val="00A42485"/>
    <w:rsid w:val="00A47B45"/>
    <w:rsid w:val="00A53597"/>
    <w:rsid w:val="00AA1B86"/>
    <w:rsid w:val="00AF4454"/>
    <w:rsid w:val="00B1144C"/>
    <w:rsid w:val="00B11669"/>
    <w:rsid w:val="00B17652"/>
    <w:rsid w:val="00B42331"/>
    <w:rsid w:val="00B50D6E"/>
    <w:rsid w:val="00BA369F"/>
    <w:rsid w:val="00C2434E"/>
    <w:rsid w:val="00C340AA"/>
    <w:rsid w:val="00C766E4"/>
    <w:rsid w:val="00CA3FDC"/>
    <w:rsid w:val="00CB5829"/>
    <w:rsid w:val="00CE56FC"/>
    <w:rsid w:val="00D01743"/>
    <w:rsid w:val="00D10FD8"/>
    <w:rsid w:val="00D171AA"/>
    <w:rsid w:val="00D26F9C"/>
    <w:rsid w:val="00D45471"/>
    <w:rsid w:val="00D74B36"/>
    <w:rsid w:val="00D84EC1"/>
    <w:rsid w:val="00DB02C6"/>
    <w:rsid w:val="00E063FF"/>
    <w:rsid w:val="00E21225"/>
    <w:rsid w:val="00E47201"/>
    <w:rsid w:val="00E829E9"/>
    <w:rsid w:val="00EA5F45"/>
    <w:rsid w:val="00EC5658"/>
    <w:rsid w:val="00ED6F88"/>
    <w:rsid w:val="00F34529"/>
    <w:rsid w:val="00F42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7FD"/>
    <w:rPr>
      <w:rFonts w:ascii="Times New Roman" w:eastAsia="Times New Roman" w:hAnsi="Times New Roman"/>
      <w:sz w:val="22"/>
      <w:lang w:val="en-GB" w:eastAsia="en-US"/>
    </w:rPr>
  </w:style>
  <w:style w:type="paragraph" w:styleId="Titolo1">
    <w:name w:val="heading 1"/>
    <w:aliases w:val="D70AR,Info rubrik 1,titel 1"/>
    <w:basedOn w:val="Normale"/>
    <w:next w:val="Normale"/>
    <w:link w:val="Titolo1Carattere"/>
    <w:uiPriority w:val="99"/>
    <w:qFormat/>
    <w:rsid w:val="00CE56FC"/>
    <w:pPr>
      <w:keepNext/>
      <w:numPr>
        <w:numId w:val="1"/>
      </w:numPr>
      <w:outlineLvl w:val="0"/>
    </w:pPr>
    <w:rPr>
      <w:rFonts w:ascii="Times New Roman Bold" w:hAnsi="Times New Roman Bold"/>
      <w:b/>
      <w:caps/>
      <w:sz w:val="28"/>
    </w:rPr>
  </w:style>
  <w:style w:type="paragraph" w:styleId="Titolo2">
    <w:name w:val="heading 2"/>
    <w:aliases w:val="D70AR2"/>
    <w:basedOn w:val="Normale"/>
    <w:next w:val="Normale"/>
    <w:link w:val="Titolo2Carattere"/>
    <w:uiPriority w:val="99"/>
    <w:qFormat/>
    <w:rsid w:val="00CE56FC"/>
    <w:pPr>
      <w:keepNext/>
      <w:numPr>
        <w:ilvl w:val="1"/>
        <w:numId w:val="1"/>
      </w:numPr>
      <w:outlineLvl w:val="1"/>
    </w:pPr>
    <w:rPr>
      <w:rFonts w:ascii="Times New Roman Bold" w:hAnsi="Times New Roman Bold"/>
      <w:b/>
      <w:sz w:val="24"/>
    </w:rPr>
  </w:style>
  <w:style w:type="paragraph" w:styleId="Titolo3">
    <w:name w:val="heading 3"/>
    <w:aliases w:val="D70AR3,titel 3,OLD Heading 3"/>
    <w:basedOn w:val="Normale"/>
    <w:next w:val="Normale"/>
    <w:link w:val="Titolo3Carattere"/>
    <w:uiPriority w:val="99"/>
    <w:qFormat/>
    <w:rsid w:val="00CE56FC"/>
    <w:pPr>
      <w:keepNext/>
      <w:numPr>
        <w:ilvl w:val="2"/>
        <w:numId w:val="1"/>
      </w:numPr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aliases w:val="D70AR4,titel 4"/>
    <w:basedOn w:val="Normale"/>
    <w:next w:val="Normale"/>
    <w:link w:val="Titolo4Carattere"/>
    <w:uiPriority w:val="99"/>
    <w:qFormat/>
    <w:rsid w:val="00CE56FC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aliases w:val="D70AR5,titel 5"/>
    <w:basedOn w:val="Normale"/>
    <w:next w:val="Normale"/>
    <w:link w:val="Titolo5Carattere"/>
    <w:uiPriority w:val="99"/>
    <w:qFormat/>
    <w:rsid w:val="00CE56FC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6F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6F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6F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6FC"/>
    <w:pPr>
      <w:keepNext/>
      <w:numPr>
        <w:ilvl w:val="8"/>
        <w:numId w:val="1"/>
      </w:numPr>
      <w:outlineLvl w:val="8"/>
    </w:pPr>
    <w:rPr>
      <w:rFonts w:ascii="Cambria" w:hAnsi="Cambria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345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45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4529"/>
    <w:rPr>
      <w:rFonts w:ascii="Tahoma" w:eastAsia="Times New Roman" w:hAnsi="Tahoma" w:cs="Tahoma"/>
      <w:sz w:val="16"/>
      <w:szCs w:val="16"/>
      <w:lang w:val="en-GB"/>
    </w:rPr>
  </w:style>
  <w:style w:type="character" w:customStyle="1" w:styleId="Titolo1Carattere">
    <w:name w:val="Titolo 1 Carattere"/>
    <w:aliases w:val="D70AR Carattere,Info rubrik 1 Carattere,titel 1 Carattere"/>
    <w:basedOn w:val="Carpredefinitoparagrafo"/>
    <w:link w:val="Titolo1"/>
    <w:uiPriority w:val="99"/>
    <w:rsid w:val="00CE56FC"/>
    <w:rPr>
      <w:rFonts w:ascii="Times New Roman Bold" w:eastAsia="Times New Roman" w:hAnsi="Times New Roman Bold" w:cs="Times New Roman"/>
      <w:b/>
      <w:caps/>
      <w:sz w:val="28"/>
      <w:szCs w:val="20"/>
      <w:lang w:val="en-GB"/>
    </w:rPr>
  </w:style>
  <w:style w:type="character" w:customStyle="1" w:styleId="Titolo2Carattere">
    <w:name w:val="Titolo 2 Carattere"/>
    <w:aliases w:val="D70AR2 Carattere"/>
    <w:basedOn w:val="Carpredefinitoparagrafo"/>
    <w:link w:val="Titolo2"/>
    <w:uiPriority w:val="99"/>
    <w:rsid w:val="00CE56FC"/>
    <w:rPr>
      <w:rFonts w:ascii="Times New Roman Bold" w:eastAsia="Times New Roman" w:hAnsi="Times New Roman Bold" w:cs="Times New Roman"/>
      <w:b/>
      <w:sz w:val="24"/>
      <w:szCs w:val="20"/>
      <w:lang w:val="en-GB"/>
    </w:rPr>
  </w:style>
  <w:style w:type="character" w:customStyle="1" w:styleId="Titolo3Carattere">
    <w:name w:val="Titolo 3 Carattere"/>
    <w:aliases w:val="D70AR3 Carattere,titel 3 Carattere,OLD Heading 3 Carattere"/>
    <w:basedOn w:val="Carpredefinitoparagrafo"/>
    <w:link w:val="Titolo3"/>
    <w:uiPriority w:val="99"/>
    <w:rsid w:val="00CE56FC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Titolo4Carattere">
    <w:name w:val="Titolo 4 Carattere"/>
    <w:aliases w:val="D70AR4 Carattere,titel 4 Carattere"/>
    <w:basedOn w:val="Carpredefinitoparagrafo"/>
    <w:link w:val="Titolo4"/>
    <w:uiPriority w:val="99"/>
    <w:rsid w:val="00CE56FC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olo5Carattere">
    <w:name w:val="Titolo 5 Carattere"/>
    <w:aliases w:val="D70AR5 Carattere,titel 5 Carattere"/>
    <w:basedOn w:val="Carpredefinitoparagrafo"/>
    <w:link w:val="Titolo5"/>
    <w:uiPriority w:val="99"/>
    <w:rsid w:val="00CE56FC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E56FC"/>
    <w:rPr>
      <w:rFonts w:ascii="Calibri" w:eastAsia="Times New Roman" w:hAnsi="Calibri" w:cs="Times New Roman"/>
      <w:b/>
      <w:bCs/>
      <w:sz w:val="20"/>
      <w:szCs w:val="20"/>
      <w:lang w:val="en-GB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E56FC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CE56FC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E56FC"/>
    <w:rPr>
      <w:rFonts w:ascii="Cambria" w:eastAsia="Times New Roman" w:hAnsi="Cambria" w:cs="Times New Roman"/>
      <w:sz w:val="20"/>
      <w:szCs w:val="20"/>
      <w:lang w:val="en-GB"/>
    </w:rPr>
  </w:style>
  <w:style w:type="paragraph" w:customStyle="1" w:styleId="Sarkain2">
    <w:name w:val="Sarkain2"/>
    <w:basedOn w:val="Normale"/>
    <w:rsid w:val="00CE56FC"/>
    <w:pPr>
      <w:ind w:left="851"/>
    </w:pPr>
    <w:rPr>
      <w:b/>
      <w:sz w:val="24"/>
      <w:lang w:val="fi-FI" w:eastAsia="fi-FI"/>
    </w:rPr>
  </w:style>
  <w:style w:type="character" w:styleId="Collegamentoipertestuale">
    <w:name w:val="Hyperlink"/>
    <w:basedOn w:val="Carpredefinitoparagrafo"/>
    <w:uiPriority w:val="99"/>
    <w:unhideWhenUsed/>
    <w:rsid w:val="007B6A3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D1C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D1C8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D1C84"/>
    <w:rPr>
      <w:rFonts w:ascii="Times New Roman" w:eastAsia="Times New Roman" w:hAnsi="Times New Roman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1C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1C84"/>
    <w:rPr>
      <w:rFonts w:ascii="Times New Roman" w:eastAsia="Times New Roman" w:hAnsi="Times New Roman"/>
      <w:b/>
      <w:bCs/>
      <w:lang w:val="en-GB" w:eastAsia="en-US"/>
    </w:rPr>
  </w:style>
  <w:style w:type="paragraph" w:styleId="Revisione">
    <w:name w:val="Revision"/>
    <w:hidden/>
    <w:uiPriority w:val="99"/>
    <w:semiHidden/>
    <w:rsid w:val="008D1C84"/>
    <w:rPr>
      <w:rFonts w:ascii="Times New Roman" w:eastAsia="Times New Roman" w:hAnsi="Times New Roman"/>
      <w:sz w:val="22"/>
      <w:lang w:val="en-GB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454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71"/>
    <w:rPr>
      <w:rFonts w:ascii="Times New Roman" w:eastAsia="Times New Roman" w:hAnsi="Times New Roman"/>
      <w:sz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454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71"/>
    <w:rPr>
      <w:rFonts w:ascii="Times New Roman" w:eastAsia="Times New Roman" w:hAnsi="Times New Roman"/>
      <w:sz w:val="22"/>
      <w:lang w:val="en-GB" w:eastAsia="en-US"/>
    </w:rPr>
  </w:style>
  <w:style w:type="paragraph" w:customStyle="1" w:styleId="869F5D86A0724688A234C6CC24B6A76E">
    <w:name w:val="869F5D86A0724688A234C6CC24B6A76E"/>
    <w:rsid w:val="00D4547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B4B17-08BD-4FAA-87B7-26A0FD48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marconip</dc:creator>
  <cp:lastModifiedBy>Braghiroli Laura</cp:lastModifiedBy>
  <cp:revision>10</cp:revision>
  <dcterms:created xsi:type="dcterms:W3CDTF">2015-02-25T11:45:00Z</dcterms:created>
  <dcterms:modified xsi:type="dcterms:W3CDTF">2015-03-17T12:45:00Z</dcterms:modified>
</cp:coreProperties>
</file>