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0337B" w:rsidP="0030337B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 w:rsidRPr="0030337B"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1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91A20" w:rsidRDefault="00591A20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30337B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DESADOC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F93FE1">
        <w:rPr>
          <w:snapToGrid w:val="0"/>
        </w:rPr>
        <w:t>D</w:t>
      </w:r>
      <w:r w:rsidR="007B5980">
        <w:rPr>
          <w:snapToGrid w:val="0"/>
        </w:rPr>
        <w:t>esametasone</w:t>
      </w:r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83E39" w:rsidRDefault="00FE7260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E7260">
        <w:rPr>
          <w:b/>
          <w:lang w:bidi="it-IT"/>
        </w:rPr>
        <w:t>DOC Generici Srl</w:t>
      </w: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E52E2" w:rsidRPr="002E52E2">
        <w:rPr>
          <w:b/>
          <w:lang w:bidi="it-IT"/>
        </w:rPr>
        <w:t>04526</w:t>
      </w:r>
      <w:r w:rsidR="002E52E2" w:rsidRPr="008E5AD1">
        <w:rPr>
          <w:b/>
          <w:lang w:bidi="it-IT"/>
        </w:rPr>
        <w:t>4</w:t>
      </w:r>
    </w:p>
    <w:bookmarkEnd w:id="1"/>
    <w:p w:rsidR="00417C92" w:rsidRPr="00062636" w:rsidRDefault="00417C92" w:rsidP="00BE2A16">
      <w:pPr>
        <w:spacing w:after="0" w:line="240" w:lineRule="auto"/>
        <w:jc w:val="center"/>
        <w:rPr>
          <w:b/>
        </w:rPr>
      </w:pPr>
    </w:p>
    <w:p w:rsidR="004241AC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30337B">
        <w:rPr>
          <w:rFonts w:eastAsia="Calibri" w:cs="Calibri"/>
          <w:color w:val="000000"/>
          <w:lang w:eastAsia="it-IT"/>
        </w:rPr>
        <w:t>DESADOC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30337B">
        <w:rPr>
          <w:rFonts w:eastAsia="Calibri" w:cs="Calibri"/>
          <w:color w:val="000000"/>
          <w:lang w:eastAsia="it-IT"/>
        </w:rPr>
        <w:t>DESADOC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="002E52E2">
        <w:rPr>
          <w:rFonts w:eastAsia="Calibri" w:cs="Calibri"/>
          <w:color w:val="000000"/>
          <w:lang w:eastAsia="it-IT"/>
        </w:rPr>
        <w:t xml:space="preserve">è stato valutato </w:t>
      </w:r>
      <w:r w:rsidR="008A601D">
        <w:rPr>
          <w:rFonts w:eastAsia="Calibri" w:cs="Calibri"/>
          <w:color w:val="000000"/>
          <w:lang w:eastAsia="it-IT"/>
        </w:rPr>
        <w:t xml:space="preserve">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r w:rsidR="0030337B">
        <w:rPr>
          <w:rFonts w:eastAsia="Calibri" w:cs="Calibri"/>
          <w:color w:val="000000"/>
          <w:lang w:eastAsia="it-IT"/>
        </w:rPr>
        <w:t>DESADOC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30337B">
        <w:rPr>
          <w:rFonts w:eastAsia="Calibri" w:cs="Calibri"/>
          <w:color w:val="000000"/>
          <w:lang w:eastAsia="it-IT"/>
        </w:rPr>
        <w:t>DESADOC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0337B">
        <w:rPr>
          <w:rFonts w:eastAsia="Calibri" w:cs="Calibri"/>
          <w:b/>
          <w:bCs/>
          <w:color w:val="000000"/>
          <w:lang w:eastAsia="it-IT"/>
        </w:rPr>
        <w:t>DESADOC</w:t>
      </w:r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30337B" w:rsidP="00BE2A16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DESADOC</w:t>
      </w:r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F93FE1">
        <w:rPr>
          <w:rFonts w:eastAsia="Calibri" w:cs="Calibri"/>
          <w:color w:val="000000"/>
          <w:lang w:eastAsia="it-IT"/>
        </w:rPr>
        <w:t>l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attiv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 xml:space="preserve">desametasone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 w:rsidR="008748A5" w:rsidRPr="00583E39">
        <w:rPr>
          <w:rFonts w:eastAsia="Calibri" w:cs="Calibri"/>
          <w:color w:val="000000"/>
          <w:lang w:eastAsia="it-IT"/>
        </w:rPr>
        <w:t>collirio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 w:rsidR="008748A5" w:rsidRPr="00583E39">
        <w:rPr>
          <w:rFonts w:eastAsia="Calibri" w:cs="Calibri"/>
          <w:color w:val="000000"/>
          <w:lang w:eastAsia="it-IT"/>
        </w:rPr>
        <w:t>(</w:t>
      </w:r>
      <w:r w:rsidR="00FB053D" w:rsidRPr="00583E39">
        <w:rPr>
          <w:rFonts w:eastAsia="Calibri" w:cs="Calibri"/>
          <w:color w:val="000000"/>
          <w:lang w:eastAsia="it-IT"/>
        </w:rPr>
        <w:t xml:space="preserve">soluzione </w:t>
      </w:r>
      <w:r w:rsidR="008748A5" w:rsidRPr="00583E39">
        <w:rPr>
          <w:rFonts w:eastAsia="Calibri" w:cs="Calibri"/>
          <w:color w:val="000000"/>
          <w:lang w:eastAsia="it-IT"/>
        </w:rPr>
        <w:t xml:space="preserve">oftalmica) </w:t>
      </w:r>
      <w:r w:rsidR="00FB053D" w:rsidRPr="00583E39">
        <w:rPr>
          <w:rFonts w:eastAsia="Calibri" w:cs="Calibri"/>
          <w:color w:val="000000"/>
          <w:lang w:eastAsia="it-IT"/>
        </w:rPr>
        <w:t xml:space="preserve">ad una concentrazione di </w:t>
      </w:r>
      <w:r w:rsidR="00F93FE1">
        <w:rPr>
          <w:rFonts w:eastAsia="Calibri" w:cs="Calibri"/>
          <w:color w:val="000000"/>
          <w:lang w:eastAsia="it-IT"/>
        </w:rPr>
        <w:t>principio attivo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di 1,5mg/ml</w:t>
      </w:r>
      <w:r w:rsidR="004241AC" w:rsidRPr="00583E39">
        <w:t>.</w:t>
      </w:r>
    </w:p>
    <w:p w:rsidR="00BE2A16" w:rsidRPr="00502DE9" w:rsidRDefault="0030337B" w:rsidP="00BE2A16">
      <w:pPr>
        <w:tabs>
          <w:tab w:val="left" w:pos="284"/>
        </w:tabs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  <w:color w:val="000000"/>
          <w:lang w:eastAsia="it-IT"/>
        </w:rPr>
        <w:t>DESADOC</w:t>
      </w:r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e nei bambini da </w:t>
      </w:r>
      <w:r w:rsidR="00BE2A16">
        <w:rPr>
          <w:rFonts w:eastAsia="Calibri" w:cs="Calibri"/>
          <w:color w:val="000000"/>
          <w:lang w:eastAsia="it-IT"/>
        </w:rPr>
        <w:t>tre</w:t>
      </w:r>
      <w:r w:rsidR="007B5980" w:rsidRPr="00583E39">
        <w:rPr>
          <w:rFonts w:eastAsia="Calibri" w:cs="Calibri"/>
          <w:color w:val="000000"/>
          <w:lang w:eastAsia="it-IT"/>
        </w:rPr>
        <w:t xml:space="preserve"> anni di età in poi </w:t>
      </w:r>
      <w:r w:rsidR="00257BC5" w:rsidRPr="00583E39">
        <w:t xml:space="preserve">nel trattamento </w:t>
      </w:r>
      <w:r w:rsidR="00BE2A16">
        <w:t>di c</w:t>
      </w:r>
      <w:r w:rsidR="00BE2A16" w:rsidRPr="00502DE9">
        <w:rPr>
          <w:rFonts w:ascii="Calibri" w:hAnsi="Calibri" w:cs="Arial"/>
        </w:rPr>
        <w:t>ongiuntiviti primaverili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r w:rsidR="00BE2A16">
        <w:rPr>
          <w:rFonts w:ascii="Calibri" w:hAnsi="Calibri" w:cs="Arial"/>
        </w:rPr>
        <w:t>b</w:t>
      </w:r>
      <w:r w:rsidR="00BE2A16" w:rsidRPr="00502DE9">
        <w:rPr>
          <w:rFonts w:ascii="Calibri" w:hAnsi="Calibri" w:cs="Arial"/>
        </w:rPr>
        <w:t>lefariti e blefarocongiuntiviti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</w:t>
      </w:r>
      <w:r w:rsidR="00BE2A16">
        <w:rPr>
          <w:rFonts w:ascii="Calibri" w:hAnsi="Calibri" w:cs="Arial"/>
        </w:rPr>
        <w:t>c</w:t>
      </w:r>
      <w:r w:rsidR="00BE2A16" w:rsidRPr="00502DE9">
        <w:rPr>
          <w:rFonts w:ascii="Calibri" w:hAnsi="Calibri" w:cs="Arial"/>
        </w:rPr>
        <w:t>heratocongiuntiviti allergiche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scleriti, episcleriti</w:t>
      </w:r>
      <w:r w:rsidR="00BE2A16">
        <w:rPr>
          <w:rFonts w:ascii="Calibri" w:hAnsi="Calibri" w:cs="Arial"/>
        </w:rPr>
        <w:t>,</w:t>
      </w:r>
      <w:r w:rsidR="00BE2A16" w:rsidRPr="00502DE9">
        <w:rPr>
          <w:rFonts w:ascii="Calibri" w:hAnsi="Calibri" w:cs="Arial"/>
        </w:rPr>
        <w:t xml:space="preserve"> uveiti.</w:t>
      </w:r>
    </w:p>
    <w:p w:rsidR="004241AC" w:rsidRPr="00583E39" w:rsidRDefault="004241AC" w:rsidP="00BE2A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30337B">
        <w:rPr>
          <w:rFonts w:eastAsia="Calibri" w:cs="Calibri"/>
          <w:b/>
          <w:bCs/>
          <w:color w:val="000000"/>
          <w:lang w:eastAsia="it-IT"/>
        </w:rPr>
        <w:t>DESADOC</w:t>
      </w:r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30337B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DESADOC</w:t>
      </w:r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583E39" w:rsidRDefault="00257BC5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583E39">
        <w:t>negli</w:t>
      </w:r>
      <w:r w:rsidRPr="00583E39">
        <w:t xml:space="preserve"> adulti </w:t>
      </w:r>
      <w:r w:rsidR="007B5980" w:rsidRPr="00583E39">
        <w:t xml:space="preserve">e nei bambini da </w:t>
      </w:r>
      <w:r w:rsidR="00BE2A16">
        <w:t>tre</w:t>
      </w:r>
      <w:r w:rsidR="007B5980" w:rsidRPr="00583E39">
        <w:t xml:space="preserve"> anni di età in poi </w:t>
      </w:r>
      <w:r w:rsidRPr="00583E39">
        <w:t>è di</w:t>
      </w:r>
      <w:r w:rsidR="00874733" w:rsidRPr="00583E39">
        <w:t xml:space="preserve"> </w:t>
      </w:r>
      <w:r w:rsidR="007B5980" w:rsidRPr="00583E39">
        <w:rPr>
          <w:rFonts w:cs="Arial"/>
        </w:rPr>
        <w:t>1 gocc</w:t>
      </w:r>
      <w:r w:rsidR="00BE2A16">
        <w:rPr>
          <w:rFonts w:cs="Arial"/>
        </w:rPr>
        <w:t>ia</w:t>
      </w:r>
      <w:r w:rsidR="007B5980" w:rsidRPr="00583E39">
        <w:rPr>
          <w:rFonts w:cs="Arial"/>
        </w:rPr>
        <w:t xml:space="preserve"> </w:t>
      </w:r>
      <w:r w:rsidR="008A601D">
        <w:rPr>
          <w:rFonts w:cs="Arial"/>
        </w:rPr>
        <w:t xml:space="preserve">di collirio </w:t>
      </w:r>
      <w:r w:rsidR="00BE2A16">
        <w:rPr>
          <w:rFonts w:cs="Arial"/>
        </w:rPr>
        <w:t>3-4</w:t>
      </w:r>
      <w:r w:rsidR="007B5980" w:rsidRPr="00583E39">
        <w:rPr>
          <w:rFonts w:cs="Arial"/>
        </w:rPr>
        <w:t xml:space="preserve"> volte al giorno.</w:t>
      </w:r>
    </w:p>
    <w:p w:rsidR="00894CF1" w:rsidRDefault="00894CF1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9C3B7A" w:rsidRDefault="00583E39" w:rsidP="009C3B7A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C3B7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0337B">
        <w:rPr>
          <w:rFonts w:eastAsia="Calibri" w:cs="Calibri"/>
          <w:b/>
          <w:bCs/>
          <w:color w:val="000000"/>
          <w:lang w:eastAsia="it-IT"/>
        </w:rPr>
        <w:t>DESADOC</w:t>
      </w:r>
      <w:r w:rsidRPr="009C3B7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9C3B7A" w:rsidRDefault="0030337B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bCs/>
          <w:color w:val="000000"/>
          <w:lang w:eastAsia="it-IT"/>
        </w:rPr>
        <w:t>DESADOC</w:t>
      </w:r>
      <w:r w:rsidR="003A4849" w:rsidRPr="009C3B7A">
        <w:rPr>
          <w:rFonts w:eastAsia="Calibri" w:cs="Calibri"/>
          <w:bCs/>
          <w:color w:val="000000"/>
          <w:lang w:eastAsia="it-IT"/>
        </w:rPr>
        <w:t>,</w:t>
      </w:r>
      <w:r w:rsidR="00E43089" w:rsidRPr="009C3B7A">
        <w:rPr>
          <w:rFonts w:eastAsia="DejaVuSans" w:cs="DejaVuSans"/>
        </w:rPr>
        <w:t xml:space="preserve"> </w:t>
      </w:r>
      <w:r w:rsidR="00894CF1" w:rsidRPr="009C3B7A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E2A16" w:rsidRPr="009C3B7A">
        <w:rPr>
          <w:rFonts w:ascii="Calibri" w:hAnsi="Calibri" w:cs="Arial"/>
        </w:rPr>
        <w:t>S01BA01</w:t>
      </w:r>
      <w:r w:rsidR="00894CF1" w:rsidRPr="009C3B7A">
        <w:rPr>
          <w:rFonts w:ascii="Calibri" w:hAnsi="Calibri"/>
          <w:iCs/>
        </w:rPr>
        <w:t>,</w:t>
      </w:r>
      <w:r w:rsidR="00894CF1" w:rsidRPr="009C3B7A">
        <w:rPr>
          <w:rFonts w:eastAsia="DejaVuSans" w:cs="DejaVuSans"/>
        </w:rPr>
        <w:t xml:space="preserve"> </w:t>
      </w:r>
      <w:r w:rsidR="007B5980" w:rsidRPr="009C3B7A">
        <w:rPr>
          <w:rFonts w:eastAsia="Calibri" w:cs="Calibri"/>
          <w:color w:val="000000"/>
          <w:lang w:eastAsia="it-IT"/>
        </w:rPr>
        <w:t>contiene i</w:t>
      </w:r>
      <w:r w:rsidR="00BE2A16" w:rsidRPr="009C3B7A">
        <w:rPr>
          <w:rFonts w:eastAsia="Calibri" w:cs="Calibri"/>
          <w:color w:val="000000"/>
          <w:lang w:eastAsia="it-IT"/>
        </w:rPr>
        <w:t>l</w:t>
      </w:r>
      <w:r w:rsidR="007B5980" w:rsidRPr="009C3B7A">
        <w:rPr>
          <w:rFonts w:eastAsia="Calibri" w:cs="Calibri"/>
          <w:color w:val="000000"/>
          <w:lang w:eastAsia="it-IT"/>
        </w:rPr>
        <w:t xml:space="preserve"> principi</w:t>
      </w:r>
      <w:r w:rsidR="00BE2A16" w:rsidRPr="009C3B7A">
        <w:rPr>
          <w:rFonts w:eastAsia="Calibri" w:cs="Calibri"/>
          <w:color w:val="000000"/>
          <w:lang w:eastAsia="it-IT"/>
        </w:rPr>
        <w:t xml:space="preserve">o </w:t>
      </w:r>
      <w:r w:rsidR="007B5980" w:rsidRPr="009C3B7A">
        <w:rPr>
          <w:rFonts w:eastAsia="Calibri" w:cs="Calibri"/>
          <w:color w:val="000000"/>
          <w:lang w:eastAsia="it-IT"/>
        </w:rPr>
        <w:t>attiv</w:t>
      </w:r>
      <w:r w:rsidR="00BE2A16" w:rsidRPr="009C3B7A">
        <w:rPr>
          <w:rFonts w:eastAsia="Calibri" w:cs="Calibri"/>
          <w:color w:val="000000"/>
          <w:lang w:eastAsia="it-IT"/>
        </w:rPr>
        <w:t>o</w:t>
      </w:r>
      <w:r w:rsidR="00894CF1" w:rsidRPr="009C3B7A">
        <w:rPr>
          <w:rFonts w:eastAsia="Calibri" w:cs="Calibri"/>
          <w:color w:val="000000"/>
          <w:lang w:eastAsia="it-IT"/>
        </w:rPr>
        <w:t xml:space="preserve"> </w:t>
      </w:r>
      <w:r w:rsidR="007B5980" w:rsidRPr="009C3B7A">
        <w:rPr>
          <w:rFonts w:eastAsia="Calibri" w:cs="Calibri"/>
          <w:color w:val="000000"/>
          <w:lang w:eastAsia="it-IT"/>
        </w:rPr>
        <w:t>desametasone</w:t>
      </w:r>
      <w:r w:rsidR="00351E32" w:rsidRPr="009C3B7A">
        <w:rPr>
          <w:rFonts w:eastAsia="Calibri" w:cs="Calibri"/>
          <w:color w:val="000000"/>
          <w:lang w:eastAsia="it-IT"/>
        </w:rPr>
        <w:t xml:space="preserve"> </w:t>
      </w:r>
      <w:r w:rsidR="00BE2A16" w:rsidRPr="009C3B7A">
        <w:rPr>
          <w:rFonts w:eastAsia="Calibri" w:cs="Calibri"/>
          <w:color w:val="000000"/>
          <w:lang w:eastAsia="it-IT"/>
        </w:rPr>
        <w:t>che</w:t>
      </w:r>
      <w:r w:rsidR="00351E32" w:rsidRPr="009C3B7A">
        <w:rPr>
          <w:rFonts w:eastAsia="Calibri" w:cs="Calibri"/>
          <w:color w:val="000000"/>
          <w:lang w:eastAsia="it-IT"/>
        </w:rPr>
        <w:t xml:space="preserve"> è un corticosteroide moderatamente potente che sopprime la risposta infiammatoria e</w:t>
      </w:r>
      <w:r w:rsidR="008E4718">
        <w:rPr>
          <w:rFonts w:eastAsia="Calibri" w:cs="Calibri"/>
          <w:color w:val="000000"/>
          <w:lang w:eastAsia="it-IT"/>
        </w:rPr>
        <w:t>d</w:t>
      </w:r>
      <w:r w:rsidR="00351E32" w:rsidRPr="009C3B7A">
        <w:rPr>
          <w:rFonts w:eastAsia="Calibri" w:cs="Calibri"/>
          <w:color w:val="000000"/>
          <w:lang w:eastAsia="it-IT"/>
        </w:rPr>
        <w:t xml:space="preserve"> i sintomi associati</w:t>
      </w:r>
      <w:r w:rsidR="00894CF1" w:rsidRPr="009C3B7A">
        <w:rPr>
          <w:rFonts w:eastAsia="DejaVuSans" w:cs="DejaVuSans"/>
        </w:rPr>
        <w:t>.</w:t>
      </w:r>
    </w:p>
    <w:p w:rsidR="00BE2A16" w:rsidRPr="009C3B7A" w:rsidRDefault="00BE2A16" w:rsidP="009C3B7A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Pr="009C3B7A" w:rsidRDefault="00417C92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C3B7A">
        <w:rPr>
          <w:rFonts w:eastAsia="Calibri" w:cs="Calibri"/>
          <w:b/>
          <w:bCs/>
          <w:lang w:eastAsia="it-IT"/>
        </w:rPr>
        <w:t xml:space="preserve">4) COME È STATO STUDIATO </w:t>
      </w:r>
      <w:r w:rsidR="0030337B">
        <w:rPr>
          <w:rFonts w:eastAsia="Calibri" w:cs="Calibri"/>
          <w:b/>
          <w:bCs/>
          <w:color w:val="000000"/>
          <w:lang w:eastAsia="it-IT"/>
        </w:rPr>
        <w:t>DESADOC</w:t>
      </w:r>
      <w:r w:rsidRPr="009C3B7A">
        <w:rPr>
          <w:rFonts w:eastAsia="Calibri" w:cs="Calibri"/>
          <w:b/>
          <w:bCs/>
          <w:lang w:eastAsia="it-IT"/>
        </w:rPr>
        <w:t xml:space="preserve">? </w:t>
      </w:r>
    </w:p>
    <w:p w:rsidR="00B92E24" w:rsidRDefault="00872FE3" w:rsidP="009C3B7A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 w:rsidRPr="00F42150">
        <w:t>DESADOC 1,5 mg/ml collirio</w:t>
      </w:r>
      <w:r w:rsidR="00B92E24" w:rsidRPr="00F42150">
        <w:t>,</w:t>
      </w:r>
      <w:r w:rsidRPr="00F42150">
        <w:t xml:space="preserve"> </w:t>
      </w:r>
      <w:r w:rsidR="00B92E24" w:rsidRPr="00F42150">
        <w:t>la cui procedura di nuova AIC è stata presentata</w:t>
      </w:r>
      <w:r w:rsidRPr="00F42150">
        <w:t xml:space="preserve"> </w:t>
      </w:r>
      <w:r w:rsidR="00B92E24" w:rsidRPr="00F42150">
        <w:t>ai sensi dell’art.10(3)</w:t>
      </w:r>
      <w:r w:rsidRPr="00F42150">
        <w:t xml:space="preserve"> “hybrid application”</w:t>
      </w:r>
      <w:r w:rsidR="00B92E24" w:rsidRPr="00F42150">
        <w:t>,</w:t>
      </w:r>
      <w:r w:rsidRPr="00F42150">
        <w:t xml:space="preserve"> è considerato terapeuticamente equivalente al medicinale di riferimento Etacortilen 1,5 mg/ml collirio, </w:t>
      </w:r>
      <w:r w:rsidR="00B92E24" w:rsidRPr="00F42150">
        <w:t>con identici</w:t>
      </w:r>
      <w:r w:rsidRPr="00F42150">
        <w:t xml:space="preserve"> </w:t>
      </w:r>
      <w:r w:rsidR="00B92E24" w:rsidRPr="00F42150">
        <w:t xml:space="preserve">rischi e </w:t>
      </w:r>
      <w:r w:rsidRPr="00F42150">
        <w:t>benefici</w:t>
      </w:r>
      <w:r w:rsidR="00B92E24" w:rsidRPr="00F42150">
        <w:t>.</w:t>
      </w:r>
    </w:p>
    <w:p w:rsidR="008A601D" w:rsidRPr="009C3B7A" w:rsidRDefault="009C3B7A" w:rsidP="009C3B7A">
      <w:p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left" w:pos="9216"/>
          <w:tab w:val="left" w:pos="10368"/>
          <w:tab w:val="left" w:pos="11520"/>
        </w:tabs>
        <w:spacing w:after="0" w:line="240" w:lineRule="auto"/>
        <w:jc w:val="both"/>
      </w:pPr>
      <w:r>
        <w:t>Diversi studi hanno dimostrato che i</w:t>
      </w:r>
      <w:r w:rsidR="008A601D" w:rsidRPr="009C3B7A">
        <w:t xml:space="preserve">l </w:t>
      </w:r>
      <w:r>
        <w:t>d</w:t>
      </w:r>
      <w:r w:rsidR="008A601D" w:rsidRPr="009C3B7A">
        <w:t xml:space="preserve">esametasone è un corticosteroide dotato di attività </w:t>
      </w:r>
      <w:r>
        <w:t>antinfiammatoria</w:t>
      </w:r>
      <w:r w:rsidR="008A601D" w:rsidRPr="009C3B7A">
        <w:t xml:space="preserve"> </w:t>
      </w:r>
      <w:r>
        <w:t>che si</w:t>
      </w:r>
      <w:r w:rsidR="008A601D" w:rsidRPr="009C3B7A">
        <w:t xml:space="preserve"> esplica principalmente per inibizione della liberazione</w:t>
      </w:r>
      <w:r>
        <w:t xml:space="preserve"> nell’organismo di diverse sostanze</w:t>
      </w:r>
      <w:r w:rsidR="008A601D" w:rsidRPr="009C3B7A">
        <w:t xml:space="preserve"> </w:t>
      </w:r>
      <w:r>
        <w:t xml:space="preserve">(ad esempio, </w:t>
      </w:r>
      <w:r w:rsidR="008A601D" w:rsidRPr="009C3B7A">
        <w:t>l’acido arachidonico, le prostaglandine</w:t>
      </w:r>
      <w:r>
        <w:t>,</w:t>
      </w:r>
      <w:r w:rsidR="008A601D" w:rsidRPr="009C3B7A">
        <w:t xml:space="preserve"> i leucotrieni</w:t>
      </w:r>
      <w:r>
        <w:t>)</w:t>
      </w:r>
      <w:r w:rsidR="008A601D" w:rsidRPr="009C3B7A">
        <w:t>.</w:t>
      </w:r>
      <w:r>
        <w:t xml:space="preserve"> Queste sostanze vengono rilasciat</w:t>
      </w:r>
      <w:r w:rsidR="000F02C8">
        <w:t>e</w:t>
      </w:r>
      <w:r>
        <w:t xml:space="preserve"> a seguito di uno stimolo infiammatorio e sono responsabili dei segni e dei sintomi che ne conseguono (dolore, arrossamento, gonfiore).</w:t>
      </w:r>
      <w:r w:rsidR="008A601D" w:rsidRPr="009C3B7A">
        <w:t xml:space="preserve"> </w:t>
      </w:r>
    </w:p>
    <w:p w:rsidR="003A4849" w:rsidRPr="009C3B7A" w:rsidRDefault="003A4849" w:rsidP="009C3B7A">
      <w:pPr>
        <w:spacing w:after="0" w:line="240" w:lineRule="auto"/>
        <w:jc w:val="both"/>
        <w:rPr>
          <w:rFonts w:cs="Arial"/>
          <w:highlight w:val="yellow"/>
        </w:rPr>
      </w:pPr>
    </w:p>
    <w:p w:rsidR="00257BC5" w:rsidRPr="009C3B7A" w:rsidRDefault="00257BC5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C3B7A" w:rsidRPr="0012532E" w:rsidRDefault="009C3B7A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 xml:space="preserve">5) QUALI SONO I RISCHI ASSOCIATI A </w:t>
      </w:r>
      <w:r w:rsidR="0030337B">
        <w:rPr>
          <w:rFonts w:eastAsia="Calibri" w:cs="Calibri"/>
          <w:b/>
          <w:bCs/>
          <w:color w:val="000000"/>
          <w:lang w:eastAsia="it-IT"/>
        </w:rPr>
        <w:t>DESADOC</w:t>
      </w:r>
      <w:r w:rsidRPr="0012532E">
        <w:rPr>
          <w:rFonts w:eastAsia="Calibri" w:cs="Calibri"/>
          <w:b/>
          <w:lang w:eastAsia="it-IT"/>
        </w:rPr>
        <w:t>?</w:t>
      </w:r>
      <w:r w:rsidRPr="0012532E">
        <w:rPr>
          <w:rFonts w:eastAsia="Calibri" w:cs="Calibri"/>
          <w:lang w:eastAsia="it-IT"/>
        </w:rPr>
        <w:t xml:space="preserve"> </w:t>
      </w:r>
    </w:p>
    <w:p w:rsidR="00375B44" w:rsidRDefault="000F02C8" w:rsidP="000F02C8">
      <w:pPr>
        <w:tabs>
          <w:tab w:val="left" w:pos="567"/>
        </w:tabs>
        <w:spacing w:after="0" w:line="240" w:lineRule="auto"/>
        <w:jc w:val="both"/>
      </w:pPr>
      <w:r w:rsidRPr="0012532E">
        <w:t xml:space="preserve">Gli effetti indesiderati più comunemente associati all’uso di </w:t>
      </w:r>
      <w:r w:rsidR="0030337B">
        <w:t>DESADOC</w:t>
      </w:r>
      <w:r w:rsidRPr="0012532E">
        <w:t xml:space="preserve"> sono</w:t>
      </w:r>
      <w:r w:rsidR="001245F0">
        <w:t>:</w:t>
      </w:r>
      <w:r w:rsidRPr="0012532E">
        <w:t xml:space="preserve"> </w:t>
      </w:r>
    </w:p>
    <w:p w:rsidR="00375B44" w:rsidRDefault="00C7285B" w:rsidP="000F02C8">
      <w:pPr>
        <w:pStyle w:val="Paragrafoelenco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Arial"/>
        </w:rPr>
      </w:pPr>
      <w:r>
        <w:t>o</w:t>
      </w:r>
      <w:r w:rsidR="005D29BC">
        <w:t xml:space="preserve">ccasionalmente </w:t>
      </w:r>
      <w:r w:rsidR="000D4B04">
        <w:t xml:space="preserve">lieve </w:t>
      </w:r>
      <w:r w:rsidR="000D4B04" w:rsidRPr="00375B44">
        <w:rPr>
          <w:rFonts w:cs="Arial"/>
        </w:rPr>
        <w:t>prurito o bruciore ocu</w:t>
      </w:r>
      <w:r w:rsidR="00375B44" w:rsidRPr="00375B44">
        <w:rPr>
          <w:rFonts w:cs="Arial"/>
        </w:rPr>
        <w:t>lare;</w:t>
      </w:r>
    </w:p>
    <w:p w:rsidR="00375B44" w:rsidRDefault="00CC141E" w:rsidP="000F02C8">
      <w:pPr>
        <w:pStyle w:val="Paragrafoelenco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375B44">
        <w:rPr>
          <w:rFonts w:cs="Arial"/>
        </w:rPr>
        <w:t>aumento della pressione intra</w:t>
      </w:r>
      <w:r w:rsidR="000F02C8" w:rsidRPr="00375B44">
        <w:rPr>
          <w:rFonts w:cs="Arial"/>
        </w:rPr>
        <w:t>ocula</w:t>
      </w:r>
      <w:r w:rsidR="001245F0" w:rsidRPr="00375B44">
        <w:rPr>
          <w:rFonts w:cs="Arial"/>
        </w:rPr>
        <w:t>re</w:t>
      </w:r>
      <w:r w:rsidR="000D4B04" w:rsidRPr="00375B44">
        <w:rPr>
          <w:rFonts w:cs="Arial"/>
        </w:rPr>
        <w:t xml:space="preserve"> (dopo 15-20 giorni in soggetti predisposti o glaucomatosi)</w:t>
      </w:r>
      <w:r w:rsidR="00375B44">
        <w:rPr>
          <w:rFonts w:cs="Arial"/>
        </w:rPr>
        <w:t>;</w:t>
      </w:r>
    </w:p>
    <w:p w:rsidR="00375B44" w:rsidRDefault="000F02C8" w:rsidP="000F02C8">
      <w:pPr>
        <w:pStyle w:val="Paragrafoelenco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375B44">
        <w:rPr>
          <w:rFonts w:cs="Arial"/>
        </w:rPr>
        <w:t xml:space="preserve"> formazione di cataratta (solo in se</w:t>
      </w:r>
      <w:r w:rsidR="00375B44">
        <w:rPr>
          <w:rFonts w:cs="Arial"/>
        </w:rPr>
        <w:t>guito a trattamenti prolungati);</w:t>
      </w:r>
    </w:p>
    <w:p w:rsidR="00375B44" w:rsidRDefault="000F02C8" w:rsidP="00375B44">
      <w:pPr>
        <w:pStyle w:val="Paragrafoelenco"/>
        <w:numPr>
          <w:ilvl w:val="0"/>
          <w:numId w:val="6"/>
        </w:numPr>
        <w:tabs>
          <w:tab w:val="left" w:pos="567"/>
        </w:tabs>
        <w:spacing w:after="0" w:line="240" w:lineRule="auto"/>
        <w:rPr>
          <w:rFonts w:cs="Arial"/>
        </w:rPr>
      </w:pPr>
      <w:r w:rsidRPr="00375B44">
        <w:rPr>
          <w:rFonts w:cs="Arial"/>
        </w:rPr>
        <w:t xml:space="preserve"> sviluppo o aggravamento di infezioni </w:t>
      </w:r>
      <w:r w:rsidR="005E1897">
        <w:rPr>
          <w:rFonts w:cs="Arial"/>
        </w:rPr>
        <w:t xml:space="preserve">da </w:t>
      </w:r>
      <w:r w:rsidR="005E1897" w:rsidRPr="005E1897">
        <w:rPr>
          <w:rFonts w:cs="Arial"/>
          <w:i/>
        </w:rPr>
        <w:t>Herpes simplex</w:t>
      </w:r>
      <w:r w:rsidR="005E1897" w:rsidRPr="005E1897">
        <w:rPr>
          <w:rFonts w:cs="Arial"/>
        </w:rPr>
        <w:t xml:space="preserve"> </w:t>
      </w:r>
      <w:r w:rsidR="000D4B04" w:rsidRPr="00375B44">
        <w:rPr>
          <w:rFonts w:cs="Arial"/>
        </w:rPr>
        <w:t>o fungine</w:t>
      </w:r>
      <w:r w:rsidR="00375B44">
        <w:rPr>
          <w:rFonts w:cs="Arial"/>
        </w:rPr>
        <w:t>;</w:t>
      </w:r>
      <w:r w:rsidRPr="00375B44">
        <w:rPr>
          <w:rFonts w:cs="Arial"/>
        </w:rPr>
        <w:t xml:space="preserve"> </w:t>
      </w:r>
    </w:p>
    <w:p w:rsidR="000F02C8" w:rsidRDefault="000F02C8" w:rsidP="00375B44">
      <w:pPr>
        <w:pStyle w:val="Paragrafoelenco"/>
        <w:numPr>
          <w:ilvl w:val="0"/>
          <w:numId w:val="6"/>
        </w:numPr>
        <w:tabs>
          <w:tab w:val="left" w:pos="567"/>
        </w:tabs>
        <w:spacing w:after="0" w:line="240" w:lineRule="auto"/>
        <w:rPr>
          <w:rFonts w:cs="Arial"/>
        </w:rPr>
      </w:pPr>
      <w:r w:rsidRPr="00375B44">
        <w:rPr>
          <w:rFonts w:cs="Arial"/>
        </w:rPr>
        <w:t xml:space="preserve">ritardo nella cicatrizzazione. </w:t>
      </w:r>
    </w:p>
    <w:p w:rsidR="00375B44" w:rsidRPr="00375B44" w:rsidRDefault="00375B44" w:rsidP="00375B44">
      <w:pPr>
        <w:pStyle w:val="Paragrafoelenco"/>
        <w:tabs>
          <w:tab w:val="left" w:pos="567"/>
        </w:tabs>
        <w:spacing w:after="0" w:line="240" w:lineRule="auto"/>
        <w:rPr>
          <w:rFonts w:cs="Arial"/>
        </w:rPr>
      </w:pPr>
    </w:p>
    <w:p w:rsidR="000F02C8" w:rsidRPr="0012532E" w:rsidRDefault="000F02C8" w:rsidP="000F02C8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Per l’elenco completo degli effetti indesiderati rilevati con </w:t>
      </w:r>
      <w:r w:rsidR="0030337B">
        <w:rPr>
          <w:rFonts w:eastAsia="Calibri" w:cs="Calibri"/>
          <w:lang w:eastAsia="it-IT"/>
        </w:rPr>
        <w:t>DESADOC</w:t>
      </w:r>
      <w:r w:rsidRPr="0012532E">
        <w:rPr>
          <w:rFonts w:eastAsia="Calibri" w:cs="Calibri"/>
          <w:lang w:eastAsia="it-IT"/>
        </w:rPr>
        <w:t xml:space="preserve"> si rimanda al foglio illustrativo.</w:t>
      </w: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C3B7A" w:rsidRDefault="004241AC" w:rsidP="009C3B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052B6">
        <w:rPr>
          <w:rFonts w:eastAsia="Calibri" w:cs="Calibri"/>
          <w:b/>
          <w:bCs/>
          <w:lang w:eastAsia="it-IT"/>
        </w:rPr>
        <w:t xml:space="preserve">6) PERCHE’ </w:t>
      </w:r>
      <w:r w:rsidR="0030337B" w:rsidRPr="002052B6">
        <w:rPr>
          <w:rFonts w:eastAsia="Calibri" w:cs="Calibri"/>
          <w:b/>
          <w:bCs/>
          <w:color w:val="000000"/>
          <w:lang w:eastAsia="it-IT"/>
        </w:rPr>
        <w:t>DESADOC</w:t>
      </w:r>
      <w:r w:rsidR="009B03DB" w:rsidRPr="002052B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052B6">
        <w:rPr>
          <w:rFonts w:eastAsia="Calibri" w:cs="Calibri"/>
          <w:b/>
          <w:bCs/>
          <w:lang w:eastAsia="it-IT"/>
        </w:rPr>
        <w:t>E’ STATO APPROVATO?</w:t>
      </w:r>
      <w:r w:rsidRPr="009C3B7A">
        <w:rPr>
          <w:rFonts w:eastAsia="Calibri" w:cs="Calibri"/>
          <w:b/>
          <w:bCs/>
          <w:lang w:eastAsia="it-IT"/>
        </w:rPr>
        <w:t xml:space="preserve"> </w:t>
      </w:r>
    </w:p>
    <w:p w:rsidR="004241AC" w:rsidRPr="00490D93" w:rsidRDefault="00490D93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14/15/16.01.</w:t>
      </w:r>
      <w:r w:rsidRPr="00490D93">
        <w:rPr>
          <w:rFonts w:eastAsia="Calibri" w:cs="Calibri"/>
          <w:lang w:eastAsia="it-IT"/>
        </w:rPr>
        <w:t>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>
        <w:rPr>
          <w:rFonts w:eastAsia="Calibri" w:cs="Calibri"/>
          <w:color w:val="000000"/>
          <w:lang w:eastAsia="it-IT"/>
        </w:rPr>
        <w:t>DESADOC</w:t>
      </w:r>
      <w:r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 è la classificazione</w:t>
      </w:r>
      <w:r>
        <w:rPr>
          <w:rFonts w:eastAsia="Calibri" w:cs="Calibri"/>
          <w:lang w:eastAsia="it-IT"/>
        </w:rPr>
        <w:t xml:space="preserve"> provvisoria </w:t>
      </w:r>
      <w:r w:rsidRPr="008F3AE9">
        <w:rPr>
          <w:rFonts w:eastAsia="Calibri" w:cs="Calibri"/>
          <w:lang w:eastAsia="it-IT"/>
        </w:rPr>
        <w:t>C</w:t>
      </w:r>
      <w:r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017E6F">
      <w:pPr>
        <w:spacing w:after="0" w:line="240" w:lineRule="auto"/>
        <w:jc w:val="both"/>
      </w:pPr>
    </w:p>
    <w:p w:rsidR="005B12B7" w:rsidRDefault="005B12B7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02EBA" w:rsidRPr="002A3F14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>
        <w:rPr>
          <w:rFonts w:eastAsia="Calibri" w:cs="Calibri"/>
          <w:b/>
          <w:color w:val="000000"/>
          <w:lang w:eastAsia="it-IT"/>
        </w:rPr>
        <w:t>DESADOC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02EBA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color w:val="000000"/>
          <w:lang w:eastAsia="it-IT"/>
        </w:rPr>
        <w:t>DESADOC</w:t>
      </w:r>
      <w:r w:rsidRPr="007170D7">
        <w:rPr>
          <w:rFonts w:eastAsia="Calibri" w:cs="Calibri"/>
          <w:lang w:eastAsia="it-IT"/>
        </w:rPr>
        <w:t>.</w:t>
      </w:r>
    </w:p>
    <w:p w:rsidR="00402EBA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B12B7" w:rsidRPr="002A3F14" w:rsidRDefault="005B12B7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02EBA" w:rsidRPr="002A3F14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>
        <w:rPr>
          <w:rFonts w:eastAsia="Calibri" w:cs="Calibri"/>
          <w:b/>
          <w:color w:val="000000"/>
          <w:lang w:eastAsia="it-IT"/>
        </w:rPr>
        <w:t>ROSETEM</w:t>
      </w:r>
    </w:p>
    <w:p w:rsidR="00402EBA" w:rsidRPr="00CA3A1E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3800AE">
        <w:rPr>
          <w:rFonts w:eastAsia="Calibri" w:cs="Calibri"/>
          <w:bCs/>
          <w:iCs/>
          <w:lang w:eastAsia="it-IT"/>
        </w:rPr>
        <w:t xml:space="preserve">18/03/2019 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>
        <w:rPr>
          <w:rFonts w:eastAsia="Calibri" w:cs="Calibri"/>
          <w:color w:val="000000"/>
          <w:lang w:eastAsia="it-IT"/>
        </w:rPr>
        <w:t>DESADOC.</w:t>
      </w:r>
    </w:p>
    <w:p w:rsidR="00402EBA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02EBA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B12B7">
        <w:rPr>
          <w:rFonts w:eastAsia="Calibri" w:cs="Calibri"/>
          <w:lang w:eastAsia="it-IT"/>
        </w:rPr>
        <w:t>La Relazione Pubblica di Valutazione completa segue questo Riassunto.</w:t>
      </w:r>
      <w:r>
        <w:rPr>
          <w:rFonts w:eastAsia="Calibri" w:cs="Calibri"/>
          <w:lang w:eastAsia="it-IT"/>
        </w:rPr>
        <w:t xml:space="preserve"> </w:t>
      </w:r>
    </w:p>
    <w:p w:rsidR="00402EBA" w:rsidRPr="002A3F14" w:rsidRDefault="00402EBA" w:rsidP="00402E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>
        <w:rPr>
          <w:rFonts w:eastAsia="Calibri" w:cs="Calibri"/>
          <w:color w:val="000000"/>
          <w:lang w:eastAsia="it-IT"/>
        </w:rPr>
        <w:t xml:space="preserve">ROSETEM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6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02EBA" w:rsidRDefault="00402EBA" w:rsidP="00402EBA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02EBA" w:rsidRDefault="00402EBA" w:rsidP="00402EBA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02EBA" w:rsidRPr="002A3F14" w:rsidRDefault="00402EBA" w:rsidP="00402EBA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Pr="00F42150">
        <w:rPr>
          <w:rFonts w:eastAsia="Calibri" w:cs="Calibri"/>
          <w:lang w:eastAsia="it-IT"/>
        </w:rPr>
        <w:t>d</w:t>
      </w:r>
      <w:r w:rsidR="007E6693" w:rsidRPr="00F42150">
        <w:rPr>
          <w:rFonts w:eastAsia="Calibri" w:cs="Calibri"/>
          <w:lang w:eastAsia="it-IT"/>
        </w:rPr>
        <w:t>ata 28</w:t>
      </w:r>
      <w:r w:rsidRPr="00F42150">
        <w:rPr>
          <w:rFonts w:eastAsia="Calibri" w:cs="Calibri"/>
          <w:lang w:eastAsia="it-IT"/>
        </w:rPr>
        <w:t>/02</w:t>
      </w:r>
      <w:r w:rsidRPr="00D77B36">
        <w:rPr>
          <w:rFonts w:eastAsia="Calibri" w:cs="Calibri"/>
          <w:lang w:eastAsia="it-IT"/>
        </w:rPr>
        <w:t>/2019</w:t>
      </w:r>
      <w:r>
        <w:rPr>
          <w:rFonts w:eastAsia="Calibri" w:cs="Calibri"/>
          <w:lang w:eastAsia="it-IT"/>
        </w:rPr>
        <w:t xml:space="preserve">. </w:t>
      </w: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5B12B7" w:rsidRDefault="005B12B7" w:rsidP="0078342C">
      <w:pPr>
        <w:spacing w:after="0" w:line="240" w:lineRule="auto"/>
        <w:jc w:val="center"/>
        <w:rPr>
          <w:b/>
          <w:sz w:val="28"/>
        </w:rPr>
      </w:pPr>
    </w:p>
    <w:p w:rsidR="0078342C" w:rsidRDefault="0078342C" w:rsidP="0078342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:rsidR="0078342C" w:rsidRDefault="0078342C" w:rsidP="0078342C">
      <w:pPr>
        <w:spacing w:after="0" w:line="240" w:lineRule="auto"/>
        <w:jc w:val="center"/>
        <w:rPr>
          <w:b/>
        </w:rPr>
      </w:pPr>
    </w:p>
    <w:p w:rsidR="0078342C" w:rsidRDefault="0078342C" w:rsidP="0078342C">
      <w:pPr>
        <w:spacing w:after="0" w:line="240" w:lineRule="auto"/>
        <w:jc w:val="center"/>
        <w:rPr>
          <w:b/>
        </w:rPr>
      </w:pPr>
    </w:p>
    <w:p w:rsidR="0078342C" w:rsidRDefault="0078342C" w:rsidP="0078342C">
      <w:pPr>
        <w:spacing w:after="0" w:line="240" w:lineRule="auto"/>
        <w:jc w:val="center"/>
        <w:rPr>
          <w:b/>
        </w:rPr>
      </w:pPr>
    </w:p>
    <w:p w:rsidR="0078342C" w:rsidRDefault="0078342C" w:rsidP="0078342C">
      <w:pPr>
        <w:spacing w:after="0" w:line="240" w:lineRule="auto"/>
        <w:jc w:val="center"/>
        <w:rPr>
          <w:b/>
        </w:rPr>
      </w:pPr>
    </w:p>
    <w:p w:rsidR="0078342C" w:rsidRPr="0033523E" w:rsidRDefault="0078342C" w:rsidP="0078342C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78342C" w:rsidRDefault="0078342C" w:rsidP="0078342C">
      <w:pPr>
        <w:spacing w:after="0" w:line="240" w:lineRule="auto"/>
        <w:jc w:val="both"/>
      </w:pPr>
    </w:p>
    <w:p w:rsidR="0078342C" w:rsidRDefault="0078342C" w:rsidP="0078342C">
      <w:pPr>
        <w:spacing w:after="0" w:line="240" w:lineRule="auto"/>
        <w:jc w:val="both"/>
      </w:pPr>
    </w:p>
    <w:p w:rsidR="0078342C" w:rsidRDefault="0078342C" w:rsidP="0078342C">
      <w:pPr>
        <w:spacing w:after="0" w:line="240" w:lineRule="auto"/>
        <w:jc w:val="both"/>
      </w:pPr>
    </w:p>
    <w:p w:rsidR="0078342C" w:rsidRPr="008206E7" w:rsidRDefault="0078342C" w:rsidP="0078342C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78342C" w:rsidRPr="002A3F14" w:rsidRDefault="0078342C" w:rsidP="0078342C">
      <w:pPr>
        <w:spacing w:after="0" w:line="240" w:lineRule="auto"/>
        <w:jc w:val="both"/>
      </w:pPr>
    </w:p>
    <w:p w:rsidR="0078342C" w:rsidRDefault="0078342C" w:rsidP="0078342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78342C" w:rsidRPr="0033523E" w:rsidRDefault="0078342C" w:rsidP="0078342C">
      <w:pPr>
        <w:pStyle w:val="Paragrafoelenco"/>
        <w:rPr>
          <w:b/>
        </w:rPr>
      </w:pPr>
    </w:p>
    <w:p w:rsidR="0078342C" w:rsidRDefault="0078342C" w:rsidP="0078342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78342C" w:rsidRPr="0033523E" w:rsidRDefault="0078342C" w:rsidP="0078342C">
      <w:pPr>
        <w:pStyle w:val="Paragrafoelenco"/>
        <w:rPr>
          <w:b/>
        </w:rPr>
      </w:pPr>
    </w:p>
    <w:p w:rsidR="0078342C" w:rsidRDefault="0078342C" w:rsidP="0078342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78342C" w:rsidRPr="0033523E" w:rsidRDefault="0078342C" w:rsidP="0078342C">
      <w:pPr>
        <w:pStyle w:val="Paragrafoelenco"/>
        <w:rPr>
          <w:b/>
        </w:rPr>
      </w:pPr>
    </w:p>
    <w:p w:rsidR="0078342C" w:rsidRPr="002E4DCB" w:rsidRDefault="0078342C" w:rsidP="0078342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78342C" w:rsidRDefault="0078342C" w:rsidP="0078342C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8342C" w:rsidRPr="00BC23ED" w:rsidRDefault="0078342C" w:rsidP="0078342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Default="0078342C" w:rsidP="0078342C"/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78342C" w:rsidRPr="0078342C" w:rsidRDefault="0078342C" w:rsidP="00402BB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F6711">
        <w:t xml:space="preserve">Sulla base dei dati di qualità, sicurezza ed efficacia, l’AIFA ha rilasciato a </w:t>
      </w:r>
      <w:r w:rsidRPr="0078342C">
        <w:rPr>
          <w:lang w:bidi="it-IT"/>
        </w:rPr>
        <w:t>DOC Generici Srl</w:t>
      </w:r>
      <w:r>
        <w:rPr>
          <w:b/>
        </w:rPr>
        <w:t xml:space="preserve"> </w:t>
      </w:r>
      <w:r w:rsidRPr="00EF6711">
        <w:t xml:space="preserve">l’autorizzazione all’immissione in commercio (AIC) per il medicinale </w:t>
      </w:r>
      <w:r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3800AE">
        <w:rPr>
          <w:rFonts w:eastAsia="Calibri" w:cs="Calibri"/>
          <w:bCs/>
          <w:iCs/>
          <w:lang w:eastAsia="it-IT"/>
        </w:rPr>
        <w:t>18/03/2019</w:t>
      </w:r>
      <w:r w:rsidRPr="00EF6711">
        <w:t xml:space="preserve">  </w:t>
      </w:r>
    </w:p>
    <w:p w:rsidR="0078342C" w:rsidRPr="00EF6711" w:rsidRDefault="0078342C" w:rsidP="00402BBC">
      <w:pPr>
        <w:spacing w:after="0" w:line="240" w:lineRule="auto"/>
        <w:jc w:val="both"/>
      </w:pPr>
    </w:p>
    <w:p w:rsidR="0078342C" w:rsidRDefault="0078342C" w:rsidP="00402B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bCs/>
          <w:iCs/>
          <w:lang w:eastAsia="it-IT"/>
        </w:rPr>
        <w:t xml:space="preserve"> </w:t>
      </w:r>
      <w:r w:rsidRPr="00B7597D">
        <w:rPr>
          <w:rFonts w:eastAsia="Calibri" w:cs="Calibri"/>
          <w:color w:val="000000"/>
          <w:lang w:eastAsia="it-IT"/>
        </w:rPr>
        <w:t xml:space="preserve">può essere ottenuto solo </w:t>
      </w:r>
      <w:r>
        <w:rPr>
          <w:rFonts w:eastAsia="Calibri" w:cs="Calibri"/>
          <w:color w:val="000000"/>
          <w:lang w:eastAsia="it-IT"/>
        </w:rPr>
        <w:t>su</w:t>
      </w:r>
      <w:r w:rsidRPr="001C15DF">
        <w:rPr>
          <w:rFonts w:eastAsia="Calibri" w:cs="Calibri"/>
          <w:color w:val="000000"/>
        </w:rPr>
        <w:t xml:space="preserve"> pr</w:t>
      </w:r>
      <w:r>
        <w:rPr>
          <w:rFonts w:eastAsia="Calibri" w:cs="Calibri"/>
          <w:color w:val="000000"/>
        </w:rPr>
        <w:t>escrizione da parte del medico (</w:t>
      </w:r>
      <w:r w:rsidRPr="001C15DF">
        <w:rPr>
          <w:rFonts w:eastAsia="Calibri" w:cs="Calibri"/>
          <w:color w:val="000000"/>
        </w:rPr>
        <w:t>ricetta ripetibile</w:t>
      </w:r>
      <w:r>
        <w:rPr>
          <w:rFonts w:eastAsia="Calibri" w:cs="Calibri"/>
          <w:color w:val="000000"/>
        </w:rPr>
        <w:t>).</w:t>
      </w:r>
    </w:p>
    <w:p w:rsidR="0078342C" w:rsidRPr="00EF6711" w:rsidRDefault="0078342C" w:rsidP="00402BBC">
      <w:pPr>
        <w:autoSpaceDE w:val="0"/>
        <w:autoSpaceDN w:val="0"/>
        <w:adjustRightInd w:val="0"/>
        <w:spacing w:after="0" w:line="240" w:lineRule="auto"/>
        <w:jc w:val="both"/>
      </w:pPr>
    </w:p>
    <w:p w:rsidR="0078342C" w:rsidRPr="00EF6711" w:rsidRDefault="0078342C" w:rsidP="00402BBC">
      <w:pPr>
        <w:spacing w:after="0" w:line="240" w:lineRule="auto"/>
        <w:jc w:val="both"/>
      </w:pPr>
      <w:r w:rsidRPr="00EF6711">
        <w:t>Questa procedura è stat</w:t>
      </w:r>
      <w:r>
        <w:t>a presentata ai sensi dell’art.10(3)</w:t>
      </w:r>
      <w:r w:rsidRPr="00EF6711">
        <w:t xml:space="preserve"> della Direttiva 2001/83/EU s.m.i.</w:t>
      </w:r>
    </w:p>
    <w:p w:rsidR="0078342C" w:rsidRDefault="0078342C" w:rsidP="00402BBC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78342C" w:rsidRPr="00EF6711" w:rsidRDefault="0078342C" w:rsidP="00402BBC">
      <w:pPr>
        <w:spacing w:after="0" w:line="240" w:lineRule="auto"/>
        <w:jc w:val="both"/>
        <w:rPr>
          <w:highlight w:val="yellow"/>
        </w:rPr>
      </w:pPr>
    </w:p>
    <w:p w:rsidR="0078342C" w:rsidRDefault="0078342C" w:rsidP="00402BBC">
      <w:pPr>
        <w:pStyle w:val="Corpodeltesto"/>
        <w:jc w:val="both"/>
      </w:pPr>
      <w:r>
        <w:rPr>
          <w:rFonts w:eastAsia="Calibri" w:cs="Calibri"/>
          <w:color w:val="000000"/>
          <w:lang w:eastAsia="it-IT"/>
        </w:rPr>
        <w:t>DESADOC</w:t>
      </w:r>
      <w:r w:rsidRPr="00EF6711">
        <w:rPr>
          <w:rFonts w:eastAsia="Calibri" w:cs="Calibri"/>
          <w:bCs/>
          <w:lang w:eastAsia="it-IT"/>
        </w:rPr>
        <w:t xml:space="preserve">, </w:t>
      </w:r>
      <w:r w:rsidRPr="00EF6711">
        <w:t>il cui c</w:t>
      </w:r>
      <w:r w:rsidRPr="00EF6711">
        <w:rPr>
          <w:iCs/>
        </w:rPr>
        <w:t>odice ATC è</w:t>
      </w:r>
      <w:r>
        <w:t xml:space="preserve"> </w:t>
      </w:r>
      <w:r w:rsidRPr="0078342C">
        <w:rPr>
          <w:rFonts w:ascii="Calibri" w:eastAsia="Calibri" w:hAnsi="Calibri" w:cs="Times New Roman"/>
        </w:rPr>
        <w:t>S01BA01</w:t>
      </w:r>
      <w:r w:rsidRPr="00EF6711">
        <w:rPr>
          <w:rFonts w:eastAsia="DejaVuSans" w:cs="DejaVuSans"/>
        </w:rPr>
        <w:t>,</w:t>
      </w:r>
      <w:r w:rsidRPr="00EF6711">
        <w:rPr>
          <w:rFonts w:eastAsia="Calibri" w:cs="Calibri"/>
          <w:bCs/>
          <w:lang w:eastAsia="it-IT"/>
        </w:rPr>
        <w:t xml:space="preserve"> </w:t>
      </w:r>
      <w:r w:rsidRPr="00EF6711">
        <w:rPr>
          <w:rFonts w:eastAsia="Calibri" w:cs="Calibri"/>
          <w:lang w:eastAsia="it-IT"/>
        </w:rPr>
        <w:t>contiene il principio attivo</w:t>
      </w:r>
      <w:r>
        <w:rPr>
          <w:rFonts w:eastAsia="Calibri" w:cs="Calibri"/>
          <w:lang w:eastAsia="it-IT"/>
        </w:rPr>
        <w:t xml:space="preserve"> Desametasone </w:t>
      </w:r>
      <w:r>
        <w:rPr>
          <w:rFonts w:ascii="Calibri" w:eastAsia="Calibri" w:hAnsi="Calibri" w:cs="Times New Roman"/>
        </w:rPr>
        <w:t>sodio fosfato</w:t>
      </w:r>
      <w:r w:rsidRPr="00EF6711">
        <w:rPr>
          <w:rFonts w:eastAsia="Calibri" w:cs="Calibri"/>
          <w:bCs/>
          <w:lang w:eastAsia="it-IT"/>
        </w:rPr>
        <w:t xml:space="preserve">, </w:t>
      </w:r>
      <w:r>
        <w:t>un</w:t>
      </w:r>
      <w:r w:rsidR="00402BBC">
        <w:t xml:space="preserve"> </w:t>
      </w:r>
      <w:r>
        <w:t>corticosteroide dotato di una intensa attività antinfiammatoria pari a 25 volte quella dell'Idrocortisone. Come tutti i farmaci corticosteroidi l'attività antiflogistica  si esplica principalmente per inibizione della liberazione dell'acido arachidonico precursore dei più importanti mediatori della flogosi, le prostaglandine ed i leucotrieni. Lo steroide agisce inducendo la sintesi di una proteina, la lipomodulina che inibisce a sua volta l'azione dell'enzima deputato alla liberazione dell'acido arachidonico, la fosfolipasi</w:t>
      </w:r>
      <w:r>
        <w:rPr>
          <w:spacing w:val="-6"/>
        </w:rPr>
        <w:t xml:space="preserve"> </w:t>
      </w:r>
      <w:r>
        <w:t>A2.</w:t>
      </w:r>
    </w:p>
    <w:p w:rsidR="0078342C" w:rsidRDefault="0078342C" w:rsidP="007834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78342C" w:rsidRPr="00402BBC" w:rsidRDefault="0078342C" w:rsidP="00402BBC">
      <w:pPr>
        <w:pStyle w:val="Corpodeltesto"/>
        <w:ind w:right="88"/>
      </w:pPr>
      <w:r>
        <w:rPr>
          <w:rFonts w:eastAsia="Calibri" w:cs="Calibri"/>
          <w:color w:val="000000"/>
          <w:lang w:eastAsia="it-IT"/>
        </w:rPr>
        <w:t xml:space="preserve">DESADOC </w:t>
      </w:r>
      <w:r>
        <w:t xml:space="preserve">è utilizzato </w:t>
      </w:r>
      <w:r w:rsidR="00402BBC" w:rsidRPr="00402BBC">
        <w:t>nel trattamento di congiuntiviti primaverili allergiche, blefariti e blefarocongiuntiviti allergiche, cheratocongiuntiviti allergiche, scleriti, episcleriti, uveiti.</w:t>
      </w:r>
    </w:p>
    <w:p w:rsidR="0078342C" w:rsidRPr="00900C91" w:rsidRDefault="0078342C" w:rsidP="0078342C">
      <w:pPr>
        <w:spacing w:after="0" w:line="240" w:lineRule="auto"/>
        <w:jc w:val="both"/>
      </w:pPr>
    </w:p>
    <w:p w:rsidR="0078342C" w:rsidRPr="00EF6711" w:rsidRDefault="00197940" w:rsidP="0078342C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>
        <w:rPr>
          <w:rFonts w:eastAsia="Calibri" w:cs="Calibri"/>
          <w:color w:val="000000"/>
          <w:lang w:eastAsia="it-IT"/>
        </w:rPr>
        <w:t xml:space="preserve">DESADOC </w:t>
      </w:r>
      <w:r w:rsidRPr="00EF6711">
        <w:t xml:space="preserve">contiene un principio attivo noto, non sono stati forniti nuovi dati non clinici e clinici: questo approccio è accettabile poiché il medicinale di riferimento </w:t>
      </w:r>
      <w:r>
        <w:rPr>
          <w:rFonts w:eastAsia="Calibri" w:cs="Calibri"/>
          <w:lang w:eastAsia="it-IT"/>
        </w:rPr>
        <w:t>Etacortilen</w:t>
      </w:r>
      <w:r w:rsidRPr="00EF6711">
        <w:t xml:space="preserve"> è autorizzato in Italia da oltre 10 anni;</w:t>
      </w:r>
      <w:r>
        <w:t xml:space="preserve"> p</w:t>
      </w:r>
      <w:r w:rsidR="0078342C" w:rsidRPr="00EF6711">
        <w:t xml:space="preserve">oiché </w:t>
      </w:r>
      <w:r w:rsidR="00402BBC">
        <w:rPr>
          <w:rFonts w:eastAsia="Calibri" w:cs="Calibri"/>
          <w:color w:val="000000"/>
          <w:lang w:eastAsia="it-IT"/>
        </w:rPr>
        <w:t>DESADOC</w:t>
      </w:r>
      <w:r w:rsidR="0078342C">
        <w:rPr>
          <w:rFonts w:eastAsia="Calibri" w:cs="Calibri"/>
          <w:color w:val="000000"/>
          <w:lang w:eastAsia="it-IT"/>
        </w:rPr>
        <w:t xml:space="preserve"> </w:t>
      </w:r>
      <w:r w:rsidR="0078342C" w:rsidRPr="00EF6711">
        <w:rPr>
          <w:rFonts w:cs="Arial"/>
        </w:rPr>
        <w:t xml:space="preserve">è somministrato come </w:t>
      </w:r>
      <w:r w:rsidR="007E6693">
        <w:rPr>
          <w:rFonts w:ascii="Calibri" w:hAnsi="Calibri" w:cs="Arial"/>
        </w:rPr>
        <w:t>collirio (</w:t>
      </w:r>
      <w:r w:rsidR="0078342C" w:rsidRPr="007E6693">
        <w:rPr>
          <w:rFonts w:ascii="Calibri" w:hAnsi="Calibri" w:cs="Arial"/>
        </w:rPr>
        <w:t>soluzione oftalmica</w:t>
      </w:r>
      <w:r w:rsidR="007E6693">
        <w:rPr>
          <w:rFonts w:ascii="Calibri" w:hAnsi="Calibri" w:cs="Arial"/>
        </w:rPr>
        <w:t>)</w:t>
      </w:r>
      <w:r w:rsidR="0078342C" w:rsidRPr="007E6693">
        <w:rPr>
          <w:rFonts w:cs="Arial"/>
        </w:rPr>
        <w:t>,</w:t>
      </w:r>
      <w:r w:rsidR="0078342C" w:rsidRPr="00EF6711">
        <w:rPr>
          <w:rFonts w:cs="Arial"/>
        </w:rPr>
        <w:t xml:space="preserve"> è stat</w:t>
      </w:r>
      <w:r w:rsidR="0078342C">
        <w:rPr>
          <w:rFonts w:cs="Arial"/>
        </w:rPr>
        <w:t>o possibile</w:t>
      </w:r>
      <w:r w:rsidR="0078342C" w:rsidRPr="00EF6711">
        <w:rPr>
          <w:rFonts w:cs="Arial"/>
        </w:rPr>
        <w:t xml:space="preserve"> conce</w:t>
      </w:r>
      <w:r w:rsidR="0078342C">
        <w:rPr>
          <w:rFonts w:cs="Arial"/>
        </w:rPr>
        <w:t>dere</w:t>
      </w:r>
      <w:r w:rsidR="0078342C" w:rsidRPr="00EF6711">
        <w:rPr>
          <w:rFonts w:cs="Arial"/>
        </w:rPr>
        <w:t xml:space="preserve"> l’esenzione dalla conduzione di studi clinici di confronto con il medicinale di riferimento.</w:t>
      </w:r>
    </w:p>
    <w:p w:rsidR="00CD6D9A" w:rsidRDefault="00CD6D9A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78342C" w:rsidRPr="00EF6711" w:rsidRDefault="0078342C" w:rsidP="0078342C">
      <w:pPr>
        <w:spacing w:after="0" w:line="240" w:lineRule="auto"/>
        <w:jc w:val="both"/>
        <w:rPr>
          <w:highlight w:val="yellow"/>
        </w:rPr>
      </w:pPr>
    </w:p>
    <w:p w:rsidR="0078342C" w:rsidRPr="00EF6711" w:rsidRDefault="0078342C" w:rsidP="0078342C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  <w:r w:rsidRPr="00EF6711">
        <w:t xml:space="preserve">Il titolare di AIC ha presentato una adeguata giustificazione della </w:t>
      </w:r>
      <w:r w:rsidRPr="00705788">
        <w:t>non presentazione</w:t>
      </w:r>
      <w:r w:rsidRPr="00EF6711">
        <w:t xml:space="preserve"> della Valutazione del Rischio ambientale; questo approccio è accettabile in quanto </w:t>
      </w:r>
      <w:r w:rsidR="00402BBC">
        <w:rPr>
          <w:rFonts w:eastAsia="Calibri" w:cs="Calibri"/>
          <w:color w:val="000000"/>
          <w:lang w:eastAsia="it-IT"/>
        </w:rPr>
        <w:t xml:space="preserve">DESADOC </w:t>
      </w:r>
      <w:r w:rsidRPr="00EF6711">
        <w:t xml:space="preserve">contiene </w:t>
      </w:r>
      <w:r>
        <w:t xml:space="preserve">un </w:t>
      </w:r>
      <w:r w:rsidRPr="00EF6711">
        <w:t>principi</w:t>
      </w:r>
      <w:r>
        <w:t>o</w:t>
      </w:r>
      <w:r w:rsidRPr="00EF6711">
        <w:t xml:space="preserve"> attiv</w:t>
      </w:r>
      <w:r>
        <w:t>o</w:t>
      </w:r>
      <w:r w:rsidRPr="00EF6711">
        <w:t xml:space="preserve"> not</w:t>
      </w:r>
      <w:r>
        <w:t>o</w:t>
      </w:r>
      <w:r w:rsidRPr="00EF6711">
        <w:t xml:space="preserve"> present</w:t>
      </w:r>
      <w:r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884B09">
        <w:rPr>
          <w:b/>
        </w:rPr>
        <w:t>DESAMETASONE SODIO FOSFATO</w:t>
      </w:r>
    </w:p>
    <w:p w:rsidR="00884B09" w:rsidRPr="00884B09" w:rsidRDefault="0078342C" w:rsidP="00884B09">
      <w:pPr>
        <w:autoSpaceDE w:val="0"/>
        <w:autoSpaceDN w:val="0"/>
        <w:adjustRightInd w:val="0"/>
        <w:spacing w:after="0" w:line="240" w:lineRule="auto"/>
        <w:rPr>
          <w:i/>
          <w:iCs/>
          <w:lang w:bidi="en-US"/>
        </w:rPr>
      </w:pPr>
      <w:r w:rsidRPr="00EF6711">
        <w:rPr>
          <w:u w:val="single"/>
        </w:rPr>
        <w:t>Nome chimico</w:t>
      </w:r>
      <w:r w:rsidR="00884B09">
        <w:rPr>
          <w:u w:val="single"/>
        </w:rPr>
        <w:t>:</w:t>
      </w:r>
      <w:r w:rsidRPr="00EF6711">
        <w:rPr>
          <w:i/>
          <w:iCs/>
        </w:rPr>
        <w:t xml:space="preserve"> </w:t>
      </w:r>
      <w:r w:rsidR="00884B09" w:rsidRPr="00884B09">
        <w:rPr>
          <w:i/>
          <w:iCs/>
          <w:lang w:bidi="en-US"/>
        </w:rPr>
        <w:t>9-fluoro-11β,17 dihydroxy-16α-methyl-3,20-dioxopregna-1</w:t>
      </w:r>
      <w:r w:rsidR="00884B09">
        <w:rPr>
          <w:i/>
          <w:iCs/>
          <w:lang w:bidi="en-US"/>
        </w:rPr>
        <w:t>,4-dien-21yl disodium phosphate</w:t>
      </w:r>
    </w:p>
    <w:p w:rsidR="0078342C" w:rsidRPr="00CC52A3" w:rsidRDefault="0078342C" w:rsidP="0078342C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78342C" w:rsidRDefault="0078342C" w:rsidP="0078342C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042418" w:rsidRDefault="00042418" w:rsidP="0078342C">
      <w:pPr>
        <w:spacing w:after="0" w:line="240" w:lineRule="auto"/>
        <w:jc w:val="both"/>
      </w:pPr>
    </w:p>
    <w:p w:rsidR="00042418" w:rsidRDefault="00042418" w:rsidP="0078342C">
      <w:pPr>
        <w:spacing w:after="0" w:line="240" w:lineRule="auto"/>
        <w:jc w:val="both"/>
      </w:pPr>
    </w:p>
    <w:p w:rsidR="00042418" w:rsidRDefault="00042418" w:rsidP="0078342C">
      <w:pPr>
        <w:spacing w:after="0" w:line="240" w:lineRule="auto"/>
        <w:jc w:val="both"/>
      </w:pPr>
    </w:p>
    <w:p w:rsidR="00042418" w:rsidRDefault="00042418" w:rsidP="0078342C">
      <w:pPr>
        <w:spacing w:after="0" w:line="240" w:lineRule="auto"/>
        <w:jc w:val="both"/>
      </w:pPr>
      <w:r>
        <w:rPr>
          <w:noProof/>
          <w:lang w:eastAsia="it-IT"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2994025</wp:posOffset>
            </wp:positionH>
            <wp:positionV relativeFrom="paragraph">
              <wp:posOffset>-267970</wp:posOffset>
            </wp:positionV>
            <wp:extent cx="2343785" cy="1153160"/>
            <wp:effectExtent l="1905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2418" w:rsidRPr="00EF6711" w:rsidRDefault="00042418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center"/>
        <w:rPr>
          <w:highlight w:val="yellow"/>
        </w:rPr>
      </w:pPr>
    </w:p>
    <w:p w:rsidR="0078342C" w:rsidRPr="00EF6711" w:rsidRDefault="0078342C" w:rsidP="0078342C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884B09">
        <w:t>C</w:t>
      </w:r>
      <w:r w:rsidR="00884B09">
        <w:rPr>
          <w:vertAlign w:val="subscript"/>
        </w:rPr>
        <w:t>22</w:t>
      </w:r>
      <w:r w:rsidR="00884B09">
        <w:t>H</w:t>
      </w:r>
      <w:r w:rsidR="00884B09">
        <w:rPr>
          <w:vertAlign w:val="subscript"/>
        </w:rPr>
        <w:t>28</w:t>
      </w:r>
      <w:r w:rsidR="00884B09">
        <w:t>FNa</w:t>
      </w:r>
      <w:r w:rsidR="00884B09">
        <w:rPr>
          <w:vertAlign w:val="subscript"/>
        </w:rPr>
        <w:t>2</w:t>
      </w:r>
      <w:r w:rsidR="00884B09">
        <w:t>O</w:t>
      </w:r>
      <w:r w:rsidR="00884B09">
        <w:rPr>
          <w:vertAlign w:val="subscript"/>
        </w:rPr>
        <w:t>8</w:t>
      </w:r>
      <w:r w:rsidR="00884B09">
        <w:t>P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042418">
        <w:t>516.4 g/mol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>
        <w:t>[</w:t>
      </w:r>
      <w:r w:rsidR="00042418">
        <w:t>2392-39-4</w:t>
      </w:r>
      <w:r>
        <w:t>]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="00042418">
        <w:t>:</w:t>
      </w:r>
      <w:r w:rsidR="00042418" w:rsidRPr="00042418">
        <w:t xml:space="preserve"> polvere igroscopica bianca o quasi bianca.</w:t>
      </w:r>
    </w:p>
    <w:p w:rsidR="0078342C" w:rsidRPr="00EF6711" w:rsidRDefault="0078342C" w:rsidP="0078342C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042418">
        <w:t>f</w:t>
      </w:r>
      <w:r w:rsidR="00042418" w:rsidRPr="00042418">
        <w:t>acilmente solubile in acqua, leggermente solubile in etanolo e praticamente insolubile in cloruro di metilene</w:t>
      </w:r>
      <w:r w:rsidR="00042418">
        <w:t>.</w:t>
      </w:r>
    </w:p>
    <w:p w:rsidR="000312CC" w:rsidRDefault="000312CC" w:rsidP="0078342C">
      <w:pPr>
        <w:spacing w:after="0" w:line="240" w:lineRule="auto"/>
        <w:jc w:val="both"/>
        <w:rPr>
          <w:b/>
          <w:i/>
          <w:sz w:val="20"/>
        </w:rPr>
      </w:pPr>
    </w:p>
    <w:p w:rsidR="0078342C" w:rsidRPr="009D201B" w:rsidRDefault="0078342C" w:rsidP="0078342C">
      <w:pPr>
        <w:spacing w:after="0" w:line="240" w:lineRule="auto"/>
        <w:jc w:val="both"/>
      </w:pPr>
      <w:r w:rsidRPr="009D201B">
        <w:t>Il principio attivo è presente in Farmacopea Europea e il Direttorato Europeo per la Qualità dei Medicinali (European Directorate for Quality of Medicnals – EDQM) ha rilasciato al produttore il certificato di conformità alla Farmacopea Europea (CEP).</w:t>
      </w:r>
    </w:p>
    <w:p w:rsidR="0078342C" w:rsidRDefault="0078342C" w:rsidP="0078342C">
      <w:pPr>
        <w:spacing w:after="0" w:line="240" w:lineRule="auto"/>
        <w:jc w:val="both"/>
      </w:pPr>
      <w:r w:rsidRPr="009D201B">
        <w:t xml:space="preserve">Tutti gli aspetti di produzione e controllo, ad eccezione </w:t>
      </w:r>
      <w:r w:rsidR="0090480E">
        <w:t>della stabilità</w:t>
      </w:r>
      <w:r w:rsidRPr="009D201B">
        <w:t xml:space="preserve">, sono coperti dal certificato di conformità alla Farmacopea Europea. </w:t>
      </w:r>
    </w:p>
    <w:p w:rsidR="0078342C" w:rsidRPr="009D201B" w:rsidRDefault="0078342C" w:rsidP="0078342C">
      <w:pPr>
        <w:spacing w:after="0" w:line="240" w:lineRule="auto"/>
        <w:jc w:val="both"/>
      </w:pPr>
      <w:r w:rsidRPr="009D201B">
        <w:t>Sono stati forniti adeguati studi di stabilità per il principio attivo conservato nel confezionamento proposto per il commercio</w:t>
      </w:r>
      <w:r w:rsidR="000312CC">
        <w:t xml:space="preserve"> (</w:t>
      </w:r>
      <w:r w:rsidR="000312CC" w:rsidRPr="000312CC">
        <w:rPr>
          <w:rFonts w:ascii="Calibri" w:eastAsia="Calibri" w:hAnsi="Calibri" w:cs="Times New Roman"/>
        </w:rPr>
        <w:t>buste a doppio strato di polietilene collocati in fusti di polietilene e conservati a +2/+8 ºC con essiccante al gel di silice</w:t>
      </w:r>
      <w:r>
        <w:t>)</w:t>
      </w:r>
      <w:r w:rsidRPr="009D201B">
        <w:t xml:space="preserve">. Sulla base di questi dati, è stato approvato un periodo di retest di </w:t>
      </w:r>
      <w:r w:rsidR="000312CC">
        <w:t>24</w:t>
      </w:r>
      <w:r w:rsidRPr="009D201B">
        <w:t xml:space="preserve"> mesi</w:t>
      </w:r>
      <w:r w:rsidR="000312CC">
        <w:t>.</w:t>
      </w:r>
    </w:p>
    <w:p w:rsidR="0078342C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0312CC" w:rsidRPr="00583E39" w:rsidRDefault="000312CC" w:rsidP="000312CC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DESADOC</w:t>
      </w:r>
      <w:r w:rsidR="0078342C">
        <w:rPr>
          <w:rFonts w:eastAsia="Calibri" w:cs="Calibri"/>
          <w:color w:val="000000"/>
          <w:lang w:eastAsia="it-IT"/>
        </w:rPr>
        <w:t xml:space="preserve"> è disponibile in </w:t>
      </w:r>
      <w:r w:rsidRPr="00583E39">
        <w:rPr>
          <w:rFonts w:eastAsia="Calibri" w:cs="Calibri"/>
          <w:color w:val="000000"/>
          <w:lang w:eastAsia="it-IT"/>
        </w:rPr>
        <w:t xml:space="preserve">collirio (soluzione oftalmica) ad una concentrazione di </w:t>
      </w:r>
      <w:r>
        <w:rPr>
          <w:rFonts w:eastAsia="Calibri" w:cs="Calibri"/>
          <w:color w:val="000000"/>
          <w:lang w:eastAsia="it-IT"/>
        </w:rPr>
        <w:t>principio attivo</w:t>
      </w:r>
      <w:r w:rsidRPr="00583E3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desametasone sodio fosfato di 1,5mg/ml</w:t>
      </w:r>
      <w:r w:rsidRPr="00583E39">
        <w:t>.</w:t>
      </w:r>
    </w:p>
    <w:p w:rsidR="000312CC" w:rsidRDefault="000312CC" w:rsidP="0078342C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312CC" w:rsidRPr="000312CC" w:rsidRDefault="0078342C" w:rsidP="000312CC">
      <w:pPr>
        <w:spacing w:after="0" w:line="240" w:lineRule="auto"/>
        <w:jc w:val="both"/>
        <w:rPr>
          <w:lang w:bidi="it-IT"/>
        </w:rPr>
      </w:pPr>
      <w:r w:rsidRPr="00EF6711">
        <w:t>Gli eccipienti sono</w:t>
      </w:r>
      <w:r w:rsidR="000312CC">
        <w:t>:</w:t>
      </w:r>
      <w:r w:rsidRPr="00EF6711">
        <w:t xml:space="preserve"> </w:t>
      </w:r>
      <w:r w:rsidR="000312CC" w:rsidRPr="000312CC">
        <w:rPr>
          <w:lang w:bidi="it-IT"/>
        </w:rPr>
        <w:t>sodio citrato tribasico diidrato</w:t>
      </w:r>
      <w:r w:rsidR="000312CC">
        <w:rPr>
          <w:lang w:bidi="it-IT"/>
        </w:rPr>
        <w:t xml:space="preserve">, </w:t>
      </w:r>
      <w:r w:rsidR="000312CC" w:rsidRPr="000312CC">
        <w:rPr>
          <w:lang w:bidi="it-IT"/>
        </w:rPr>
        <w:t>sodio fosfato monobasico monoidrato</w:t>
      </w:r>
      <w:r w:rsidR="000312CC">
        <w:rPr>
          <w:lang w:bidi="it-IT"/>
        </w:rPr>
        <w:t>,</w:t>
      </w:r>
      <w:r w:rsidR="000312CC" w:rsidRPr="000312CC">
        <w:rPr>
          <w:lang w:bidi="it-IT"/>
        </w:rPr>
        <w:t xml:space="preserve"> sodio fosfato bibasico dodecaidrato</w:t>
      </w:r>
      <w:r w:rsidR="000312CC">
        <w:rPr>
          <w:lang w:bidi="it-IT"/>
        </w:rPr>
        <w:t>,</w:t>
      </w:r>
      <w:r w:rsidR="000312CC" w:rsidRPr="000312CC">
        <w:rPr>
          <w:lang w:bidi="it-IT"/>
        </w:rPr>
        <w:t xml:space="preserve"> acqua per preparazioni iniettabili</w:t>
      </w:r>
      <w:r w:rsidR="000312CC">
        <w:rPr>
          <w:lang w:bidi="it-IT"/>
        </w:rPr>
        <w:t>.</w:t>
      </w:r>
    </w:p>
    <w:p w:rsidR="0078342C" w:rsidRPr="00EF6711" w:rsidRDefault="0078342C" w:rsidP="0078342C">
      <w:pPr>
        <w:spacing w:after="0" w:line="240" w:lineRule="auto"/>
        <w:jc w:val="both"/>
        <w:rPr>
          <w:b/>
          <w:bCs/>
        </w:rPr>
      </w:pPr>
    </w:p>
    <w:p w:rsidR="0078342C" w:rsidRDefault="0078342C" w:rsidP="0078342C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DA11E0" w:rsidRPr="000312CC">
        <w:rPr>
          <w:lang w:bidi="it-IT"/>
        </w:rPr>
        <w:t>sodio fosfato monobasico monoidrato</w:t>
      </w:r>
      <w:r>
        <w:t xml:space="preserve"> per i quali i produttore ha proposto spec</w:t>
      </w:r>
      <w:r w:rsidR="00DA11E0">
        <w:t xml:space="preserve">ifiche di controllo accettabili </w:t>
      </w:r>
      <w:r>
        <w:t>conformi alla monografia della Farmacopea Americana – USP</w:t>
      </w:r>
      <w:r w:rsidR="00DA11E0">
        <w:t>.</w:t>
      </w:r>
    </w:p>
    <w:p w:rsidR="0078342C" w:rsidRPr="00EF6711" w:rsidRDefault="0078342C" w:rsidP="0078342C">
      <w:pPr>
        <w:spacing w:after="0" w:line="240" w:lineRule="auto"/>
        <w:ind w:right="13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78342C" w:rsidRPr="00EF6711" w:rsidRDefault="0078342C" w:rsidP="0078342C">
      <w:pPr>
        <w:spacing w:after="0" w:line="240" w:lineRule="auto"/>
        <w:jc w:val="both"/>
      </w:pPr>
      <w:r w:rsidRPr="0041266C">
        <w:t>Sono stati forniti dati comparativi relativi al profilo di impurezze rispetto al medicinale di riferimento</w:t>
      </w:r>
      <w:r w:rsidRPr="0041266C">
        <w:rPr>
          <w:rFonts w:eastAsia="Calibri" w:cs="Calibri"/>
          <w:lang w:eastAsia="it-IT"/>
        </w:rPr>
        <w:t xml:space="preserve"> </w:t>
      </w:r>
      <w:r w:rsidR="00AE03C6" w:rsidRPr="0041266C">
        <w:rPr>
          <w:rFonts w:eastAsia="Calibri" w:cs="Calibri"/>
          <w:lang w:eastAsia="it-IT"/>
        </w:rPr>
        <w:t>Etacortilen.</w:t>
      </w:r>
      <w:r w:rsidRPr="0041266C">
        <w:t xml:space="preserve"> I dati sono soddisfacenti.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il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78342C" w:rsidRPr="00EF6711" w:rsidRDefault="000A1283" w:rsidP="00AF0501">
      <w:pPr>
        <w:spacing w:after="0" w:line="240" w:lineRule="auto"/>
        <w:jc w:val="both"/>
      </w:pPr>
      <w:r w:rsidRPr="003A2CA2">
        <w:rPr>
          <w:rFonts w:eastAsia="Calibri" w:cs="Calibri"/>
          <w:color w:val="000000"/>
          <w:lang w:eastAsia="it-IT"/>
        </w:rPr>
        <w:t>DESADOC</w:t>
      </w:r>
      <w:r w:rsidR="0078342C" w:rsidRPr="003A2CA2">
        <w:rPr>
          <w:rFonts w:eastAsia="Calibri" w:cs="Calibri"/>
          <w:color w:val="000000"/>
          <w:lang w:eastAsia="it-IT"/>
        </w:rPr>
        <w:t xml:space="preserve"> </w:t>
      </w:r>
      <w:r w:rsidR="0078342C" w:rsidRPr="003A2CA2">
        <w:t xml:space="preserve">è confezionato in </w:t>
      </w:r>
      <w:r w:rsidR="00AF0501" w:rsidRPr="003A2CA2">
        <w:t xml:space="preserve">contenitori monodose </w:t>
      </w:r>
      <w:r w:rsidR="00AF0501" w:rsidRPr="003A2CA2">
        <w:rPr>
          <w:rFonts w:ascii="Calibri" w:eastAsia="Calibri" w:hAnsi="Calibri" w:cs="Times New Roman"/>
        </w:rPr>
        <w:t>in polietilene a bassa densità</w:t>
      </w:r>
      <w:r w:rsidR="00AF0501" w:rsidRPr="003A2CA2">
        <w:t xml:space="preserve"> (confezionamento primario). Cinque contenitori </w:t>
      </w:r>
      <w:r w:rsidR="003A2CA2" w:rsidRPr="003A2CA2">
        <w:t xml:space="preserve">monodose </w:t>
      </w:r>
      <w:r w:rsidR="00AF0501" w:rsidRPr="003A2CA2">
        <w:t>formano uno strip</w:t>
      </w:r>
      <w:r w:rsidR="00AF0501" w:rsidRPr="003A2CA2">
        <w:rPr>
          <w:rFonts w:ascii="Arial" w:eastAsia="Times New Roman" w:hAnsi="Arial" w:cs="Arial"/>
          <w:sz w:val="20"/>
          <w:szCs w:val="20"/>
        </w:rPr>
        <w:t xml:space="preserve"> </w:t>
      </w:r>
      <w:r w:rsidR="00AF0501" w:rsidRPr="003A2CA2">
        <w:t>posto a sua volta</w:t>
      </w:r>
      <w:r w:rsidR="00AF0501" w:rsidRPr="003A2CA2">
        <w:rPr>
          <w:rFonts w:ascii="Calibri" w:eastAsia="Calibri" w:hAnsi="Calibri" w:cs="Times New Roman"/>
        </w:rPr>
        <w:t xml:space="preserve"> in una busta PET/Al/PE</w:t>
      </w:r>
      <w:r w:rsidR="00AF0501" w:rsidRPr="003A2CA2">
        <w:t xml:space="preserve"> (confezionamento secondario).</w:t>
      </w:r>
      <w:r w:rsidR="0078342C" w:rsidRPr="003A2CA2">
        <w:t xml:space="preserve"> Sono</w:t>
      </w:r>
      <w:r w:rsidR="0078342C" w:rsidRPr="00EF6711">
        <w:t xml:space="preserve"> state fornite specifiche e certificati analitici per tutti i componenti del confezionamento primario, che è adeguato per il medicinale.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  <w:r w:rsidR="007A0794">
        <w:rPr>
          <w:b/>
        </w:rPr>
        <w:t xml:space="preserve"> </w:t>
      </w:r>
    </w:p>
    <w:p w:rsidR="00BC2AB1" w:rsidRDefault="0078342C" w:rsidP="004F48B3">
      <w:pPr>
        <w:pStyle w:val="Corpodeltesto"/>
        <w:spacing w:after="0" w:line="240" w:lineRule="auto"/>
        <w:ind w:right="103"/>
        <w:jc w:val="both"/>
      </w:pPr>
      <w:r w:rsidRPr="00EF6711">
        <w:t>Studi di stabilità sul prodotto finito sono stati condotti in accordo alle correnti linee guida e i risultati sono entro i limiti delle specifiche autorizzate. Sulla base di questi risultati, è stato autorizzato un periodo di validità</w:t>
      </w:r>
      <w:r w:rsidR="00BC2AB1">
        <w:t xml:space="preserve"> a confezionamento integro</w:t>
      </w:r>
      <w:r w:rsidRPr="00EF6711">
        <w:t xml:space="preserve"> di </w:t>
      </w:r>
      <w:r w:rsidR="00BC2AB1">
        <w:t>2</w:t>
      </w:r>
      <w:r>
        <w:t xml:space="preserve"> anni</w:t>
      </w:r>
      <w:r w:rsidRPr="00EF6711">
        <w:t xml:space="preserve"> </w:t>
      </w:r>
      <w:r>
        <w:t>con conservazione a</w:t>
      </w:r>
      <w:r w:rsidR="00BC2AB1">
        <w:t xml:space="preserve"> temperatura non superiore a 25 ˚C</w:t>
      </w:r>
      <w:r w:rsidRPr="00EF6711">
        <w:t xml:space="preserve">. </w:t>
      </w:r>
    </w:p>
    <w:p w:rsidR="00BC2AB1" w:rsidRDefault="00BC2AB1" w:rsidP="004F48B3">
      <w:pPr>
        <w:pStyle w:val="Corpodeltesto"/>
        <w:spacing w:after="0" w:line="240" w:lineRule="auto"/>
        <w:ind w:right="103"/>
        <w:jc w:val="both"/>
      </w:pPr>
      <w:r>
        <w:t>Dopo l'apertura della bustina i flaconcini rimanenti devono essere conservati dentro la busta aperta  e nella scatola di cartone per proteggere il medicinale dalla luce e dovranno essere utilizzati entro 28 giorni: trascorso tale periodo i contenitori residui devono essere</w:t>
      </w:r>
      <w:r>
        <w:rPr>
          <w:spacing w:val="-11"/>
        </w:rPr>
        <w:t xml:space="preserve"> </w:t>
      </w:r>
      <w:r>
        <w:t>eliminati.</w:t>
      </w:r>
    </w:p>
    <w:p w:rsidR="00BC2AB1" w:rsidRDefault="00BC2AB1" w:rsidP="004F48B3">
      <w:pPr>
        <w:pStyle w:val="Corpodeltesto"/>
        <w:spacing w:after="0" w:line="240" w:lineRule="auto"/>
        <w:ind w:right="88"/>
      </w:pPr>
      <w:r>
        <w:t>Il prodotto non contiene conservanti: dopo la somministrazione il flaconcino andrà eliminato anche se solo parzialmente utilizzato.</w:t>
      </w:r>
    </w:p>
    <w:p w:rsidR="0078342C" w:rsidRDefault="0078342C" w:rsidP="0078342C">
      <w:pPr>
        <w:spacing w:after="0" w:line="240" w:lineRule="auto"/>
        <w:jc w:val="both"/>
      </w:pPr>
    </w:p>
    <w:p w:rsidR="004F48B3" w:rsidRPr="00EF6711" w:rsidRDefault="004F48B3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4F48B3"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4F48B3">
        <w:rPr>
          <w:rFonts w:eastAsia="Calibri" w:cs="Calibri"/>
          <w:color w:val="000000"/>
          <w:lang w:eastAsia="it-IT"/>
        </w:rPr>
        <w:t>DESADOC</w:t>
      </w:r>
      <w:r w:rsidRPr="00EF6711">
        <w:t xml:space="preserve"> dal punto di vista chimico-farmaceutico.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78342C" w:rsidRPr="00EF6711" w:rsidRDefault="0078342C" w:rsidP="0078342C">
      <w:pPr>
        <w:spacing w:after="0" w:line="240" w:lineRule="auto"/>
        <w:jc w:val="both"/>
      </w:pPr>
      <w:r w:rsidRPr="003A2CA2">
        <w:t xml:space="preserve">Le proprietà farmacodinamiche, farmacocinetiche e tossicologiche di </w:t>
      </w:r>
      <w:r w:rsidR="000E7501" w:rsidRPr="003A2CA2">
        <w:t>desametasone sodio fosfato</w:t>
      </w:r>
      <w:r w:rsidRPr="003A2CA2"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0E7501" w:rsidRPr="003A2CA2">
        <w:t xml:space="preserve"> desametasone sodio fosfato</w:t>
      </w:r>
      <w:r w:rsidRPr="003A2CA2">
        <w:t>.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E7501" w:rsidRDefault="000E7501" w:rsidP="000E7501">
      <w:pPr>
        <w:pStyle w:val="Corpodeltesto"/>
        <w:ind w:right="88"/>
      </w:pPr>
      <w:r>
        <w:rPr>
          <w:rFonts w:eastAsia="Calibri" w:cs="Calibri"/>
          <w:color w:val="000000"/>
          <w:lang w:eastAsia="it-IT"/>
        </w:rPr>
        <w:t>DESADOC</w:t>
      </w:r>
      <w:r w:rsidR="0078342C">
        <w:rPr>
          <w:rFonts w:eastAsia="Calibri" w:cs="Calibri"/>
          <w:color w:val="000000"/>
          <w:lang w:eastAsia="it-IT"/>
        </w:rPr>
        <w:t xml:space="preserve"> </w:t>
      </w:r>
      <w:r w:rsidR="0078342C">
        <w:t>è utilizzato per</w:t>
      </w:r>
      <w:r w:rsidR="0049213D">
        <w:t xml:space="preserve"> </w:t>
      </w:r>
      <w:r w:rsidR="0078342C">
        <w:t xml:space="preserve"> </w:t>
      </w:r>
      <w:r w:rsidR="0049213D">
        <w:t>c</w:t>
      </w:r>
      <w:r>
        <w:t>ongiu</w:t>
      </w:r>
      <w:r w:rsidR="0049213D">
        <w:t>ntiviti primaverili, allergiche; b</w:t>
      </w:r>
      <w:r>
        <w:t xml:space="preserve">lefariti e </w:t>
      </w:r>
      <w:r w:rsidR="0049213D">
        <w:t>blefarocongiuntiviti allergiche; c</w:t>
      </w:r>
      <w:r>
        <w:t>heratocongiuntiviti allergiche; scleriti, episcleriti; uveiti.</w:t>
      </w:r>
    </w:p>
    <w:p w:rsidR="0078342C" w:rsidRDefault="0078342C" w:rsidP="0078342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78342C" w:rsidRPr="00EF6711" w:rsidRDefault="0078342C" w:rsidP="0078342C">
      <w:pPr>
        <w:spacing w:after="0" w:line="240" w:lineRule="auto"/>
        <w:ind w:right="6"/>
        <w:jc w:val="both"/>
      </w:pPr>
    </w:p>
    <w:p w:rsidR="0078342C" w:rsidRPr="00EF6711" w:rsidRDefault="0078342C" w:rsidP="0078342C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78342C" w:rsidRPr="00EF6711" w:rsidRDefault="0078342C" w:rsidP="0078342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78342C" w:rsidRPr="00EF6711" w:rsidRDefault="0078342C" w:rsidP="0078342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8342C" w:rsidRPr="00EF6711" w:rsidRDefault="0078342C" w:rsidP="0078342C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78342C" w:rsidRPr="00EF6711" w:rsidRDefault="0078342C" w:rsidP="0078342C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0E7501" w:rsidRPr="000E7501">
        <w:t xml:space="preserve">desametasone sodio fosfato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78342C" w:rsidRDefault="0078342C" w:rsidP="0078342C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:rsidR="0078342C" w:rsidRPr="006727BD" w:rsidRDefault="0078342C" w:rsidP="0078342C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78342C" w:rsidRPr="006727BD" w:rsidRDefault="0078342C" w:rsidP="0078342C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0E7501">
        <w:rPr>
          <w:rFonts w:eastAsia="Calibri" w:cs="Calibri"/>
          <w:color w:val="000000"/>
          <w:lang w:eastAsia="it-IT"/>
        </w:rPr>
        <w:t>DESADOC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r w:rsidR="000E7501">
        <w:rPr>
          <w:rFonts w:eastAsia="Calibri" w:cs="Calibri"/>
          <w:color w:val="000000"/>
          <w:lang w:eastAsia="it-IT"/>
        </w:rPr>
        <w:t>DESADOC</w:t>
      </w:r>
      <w:r w:rsidR="000E7501">
        <w:rPr>
          <w:rFonts w:cs="Arial"/>
        </w:rPr>
        <w:t xml:space="preserve"> </w:t>
      </w:r>
      <w:r>
        <w:rPr>
          <w:rFonts w:cs="Arial"/>
        </w:rPr>
        <w:t xml:space="preserve">è stato possibile concedere l’esenzione </w:t>
      </w:r>
      <w:r>
        <w:rPr>
          <w:rFonts w:cs="Arial"/>
        </w:rPr>
        <w:lastRenderedPageBreak/>
        <w:t xml:space="preserve">dalla conduzione di studi clinici di confronto con il medicinale di riferimento in quanto </w:t>
      </w:r>
      <w:r w:rsidR="000E7501">
        <w:rPr>
          <w:rFonts w:eastAsia="Calibri" w:cs="Calibri"/>
          <w:color w:val="000000"/>
          <w:lang w:eastAsia="it-IT"/>
        </w:rPr>
        <w:t>DESADOC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somministrato come </w:t>
      </w:r>
      <w:r w:rsidRPr="003A2CA2">
        <w:rPr>
          <w:rFonts w:cs="Arial"/>
        </w:rPr>
        <w:t xml:space="preserve">soluzione </w:t>
      </w:r>
      <w:r w:rsidR="000E7501" w:rsidRPr="003A2CA2">
        <w:rPr>
          <w:rFonts w:cs="Arial"/>
        </w:rPr>
        <w:t>oftalmica</w:t>
      </w:r>
      <w:r w:rsidR="003A2CA2" w:rsidRPr="003A2CA2">
        <w:rPr>
          <w:rFonts w:cs="Arial"/>
        </w:rPr>
        <w:t>.</w:t>
      </w:r>
    </w:p>
    <w:p w:rsidR="0078342C" w:rsidRDefault="0078342C" w:rsidP="0078342C">
      <w:pPr>
        <w:spacing w:after="0" w:line="240" w:lineRule="auto"/>
        <w:jc w:val="both"/>
        <w:rPr>
          <w:highlight w:val="cyan"/>
        </w:rPr>
      </w:pP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0E7501">
        <w:rPr>
          <w:rFonts w:eastAsia="Calibri" w:cs="Calibri"/>
          <w:color w:val="000000"/>
          <w:lang w:eastAsia="it-IT"/>
        </w:rPr>
        <w:t>DESADOC.</w:t>
      </w:r>
    </w:p>
    <w:p w:rsidR="0078342C" w:rsidRDefault="0078342C" w:rsidP="0078342C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78342C" w:rsidRPr="008E4526" w:rsidRDefault="0078342C" w:rsidP="0078342C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78342C" w:rsidRPr="00246B1A" w:rsidTr="008D1CF1">
        <w:trPr>
          <w:jc w:val="center"/>
        </w:trPr>
        <w:tc>
          <w:tcPr>
            <w:tcW w:w="1560" w:type="pct"/>
            <w:shd w:val="clear" w:color="auto" w:fill="auto"/>
          </w:tcPr>
          <w:p w:rsidR="0078342C" w:rsidRPr="0049213D" w:rsidRDefault="0078342C" w:rsidP="008D1CF1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49213D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:rsidR="006B4C1A" w:rsidRDefault="0049213D" w:rsidP="006B4C1A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</w:rPr>
            </w:pPr>
            <w:r w:rsidRPr="006B4C1A">
              <w:rPr>
                <w:sz w:val="20"/>
              </w:rPr>
              <w:t xml:space="preserve"> </w:t>
            </w:r>
            <w:r w:rsidR="0010417F">
              <w:rPr>
                <w:sz w:val="20"/>
              </w:rPr>
              <w:t xml:space="preserve">Ipertensione </w:t>
            </w:r>
            <w:r w:rsidRPr="006B4C1A">
              <w:rPr>
                <w:sz w:val="20"/>
              </w:rPr>
              <w:t>oculare</w:t>
            </w:r>
            <w:r w:rsidR="006F04FB">
              <w:rPr>
                <w:sz w:val="20"/>
              </w:rPr>
              <w:t>/</w:t>
            </w:r>
            <w:r w:rsidRPr="006B4C1A">
              <w:rPr>
                <w:sz w:val="20"/>
              </w:rPr>
              <w:t>glaucoma</w:t>
            </w:r>
          </w:p>
          <w:p w:rsidR="0049213D" w:rsidRDefault="006F04FB" w:rsidP="006B4C1A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Cataratta</w:t>
            </w:r>
          </w:p>
          <w:p w:rsidR="006F04FB" w:rsidRDefault="006F04FB" w:rsidP="006B4C1A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</w:rPr>
            </w:pPr>
            <w:r w:rsidRPr="006F04FB">
              <w:rPr>
                <w:sz w:val="20"/>
              </w:rPr>
              <w:t>Soppressione surrenale (associata all'uso a lungo termine nei bambini)</w:t>
            </w:r>
          </w:p>
          <w:p w:rsidR="006F04FB" w:rsidRPr="006B4C1A" w:rsidRDefault="006F04FB" w:rsidP="006B4C1A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sz w:val="20"/>
              </w:rPr>
            </w:pPr>
            <w:r w:rsidRPr="006F04FB">
              <w:rPr>
                <w:sz w:val="20"/>
              </w:rPr>
              <w:t>Perforazione corneale e ulcerazione</w:t>
            </w:r>
          </w:p>
          <w:p w:rsidR="0049213D" w:rsidRPr="0049213D" w:rsidRDefault="0049213D" w:rsidP="0049213D">
            <w:pPr>
              <w:spacing w:after="0" w:line="240" w:lineRule="auto"/>
              <w:rPr>
                <w:sz w:val="20"/>
              </w:rPr>
            </w:pPr>
          </w:p>
        </w:tc>
      </w:tr>
      <w:tr w:rsidR="0078342C" w:rsidRPr="00246B1A" w:rsidTr="008D1CF1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42C" w:rsidRPr="006B4C1A" w:rsidRDefault="0078342C" w:rsidP="008D1CF1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6B4C1A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0417F" w:rsidRDefault="00AE7484" w:rsidP="0010417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AE7484">
              <w:rPr>
                <w:sz w:val="20"/>
                <w:szCs w:val="20"/>
                <w:lang w:eastAsia="en-GB"/>
              </w:rPr>
              <w:t>Infezioni oculari opportunistiche, promozione, mascheramento o</w:t>
            </w:r>
            <w:r>
              <w:rPr>
                <w:sz w:val="20"/>
                <w:szCs w:val="20"/>
                <w:lang w:eastAsia="en-GB"/>
              </w:rPr>
              <w:t xml:space="preserve"> </w:t>
            </w:r>
            <w:r w:rsidR="006F79A4">
              <w:rPr>
                <w:sz w:val="20"/>
                <w:szCs w:val="20"/>
                <w:lang w:eastAsia="en-GB"/>
              </w:rPr>
              <w:t>peggioramento</w:t>
            </w:r>
          </w:p>
          <w:p w:rsidR="0010417F" w:rsidRDefault="00AE7484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10417F">
              <w:rPr>
                <w:sz w:val="20"/>
                <w:szCs w:val="20"/>
                <w:lang w:eastAsia="en-GB"/>
              </w:rPr>
              <w:t xml:space="preserve">Calcificazione corneale (compresa l'interazione con </w:t>
            </w:r>
            <w:r w:rsidR="005D29BC" w:rsidRPr="0010417F">
              <w:rPr>
                <w:sz w:val="20"/>
                <w:szCs w:val="20"/>
                <w:lang w:eastAsia="en-GB"/>
              </w:rPr>
              <w:t xml:space="preserve">betabloccanti </w:t>
            </w:r>
            <w:r w:rsidRPr="0010417F">
              <w:rPr>
                <w:sz w:val="20"/>
                <w:szCs w:val="20"/>
                <w:lang w:eastAsia="en-GB"/>
              </w:rPr>
              <w:t>topici e altri medicinali contenenti fosfati</w:t>
            </w:r>
          </w:p>
          <w:p w:rsidR="006B4C1A" w:rsidRPr="006B4C1A" w:rsidRDefault="006B4C1A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B4C1A">
              <w:rPr>
                <w:sz w:val="20"/>
                <w:szCs w:val="20"/>
                <w:lang w:eastAsia="en-GB"/>
              </w:rPr>
              <w:t>Ritardato tempo di guarigione d</w:t>
            </w:r>
            <w:r w:rsidR="005D29BC">
              <w:rPr>
                <w:sz w:val="20"/>
                <w:szCs w:val="20"/>
                <w:lang w:eastAsia="en-GB"/>
              </w:rPr>
              <w:t>ell</w:t>
            </w:r>
            <w:r w:rsidR="0010417F">
              <w:rPr>
                <w:sz w:val="20"/>
                <w:szCs w:val="20"/>
                <w:lang w:eastAsia="en-GB"/>
              </w:rPr>
              <w:t>a</w:t>
            </w:r>
            <w:r w:rsidRPr="006B4C1A">
              <w:rPr>
                <w:sz w:val="20"/>
                <w:szCs w:val="20"/>
                <w:lang w:eastAsia="en-GB"/>
              </w:rPr>
              <w:t xml:space="preserve"> ferit</w:t>
            </w:r>
            <w:r w:rsidR="0010417F">
              <w:rPr>
                <w:sz w:val="20"/>
                <w:szCs w:val="20"/>
                <w:lang w:eastAsia="en-GB"/>
              </w:rPr>
              <w:t>a</w:t>
            </w:r>
            <w:r w:rsidRPr="006B4C1A">
              <w:rPr>
                <w:sz w:val="20"/>
                <w:szCs w:val="20"/>
                <w:lang w:eastAsia="en-GB"/>
              </w:rPr>
              <w:t xml:space="preserve"> </w:t>
            </w:r>
          </w:p>
          <w:p w:rsidR="00AE7484" w:rsidRDefault="00AE7484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AE7484">
              <w:rPr>
                <w:sz w:val="20"/>
                <w:szCs w:val="20"/>
                <w:lang w:eastAsia="en-GB"/>
              </w:rPr>
              <w:t>Infezione o lesioni agli occhi</w:t>
            </w:r>
            <w:r w:rsidRPr="00AE7484" w:rsidDel="00AE7484">
              <w:rPr>
                <w:sz w:val="20"/>
                <w:szCs w:val="20"/>
                <w:lang w:eastAsia="en-GB"/>
              </w:rPr>
              <w:t xml:space="preserve"> </w:t>
            </w:r>
          </w:p>
          <w:p w:rsidR="00AE7484" w:rsidRDefault="00E37E3A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Errore terapeutico</w:t>
            </w:r>
          </w:p>
          <w:p w:rsidR="006B4C1A" w:rsidRPr="006B4C1A" w:rsidRDefault="006B4C1A" w:rsidP="006B4C1A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</w:p>
        </w:tc>
      </w:tr>
      <w:tr w:rsidR="0078342C" w:rsidRPr="00474E7B" w:rsidTr="008D1CF1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8342C" w:rsidRPr="006B4C1A" w:rsidRDefault="0078342C" w:rsidP="008D1CF1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6B4C1A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42C" w:rsidRPr="006B4C1A" w:rsidRDefault="006B4C1A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</w:rPr>
            </w:pPr>
            <w:r w:rsidRPr="006B4C1A">
              <w:rPr>
                <w:sz w:val="20"/>
              </w:rPr>
              <w:t>Uso in gravidanza e allattamento</w:t>
            </w:r>
          </w:p>
          <w:p w:rsidR="006B4C1A" w:rsidRDefault="00D65A77" w:rsidP="006B4C1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Effetti sulla fertilità</w:t>
            </w:r>
          </w:p>
          <w:p w:rsidR="0010417F" w:rsidRPr="006B4C1A" w:rsidRDefault="0010417F" w:rsidP="0010417F">
            <w:pPr>
              <w:pStyle w:val="Paragrafoelenco"/>
              <w:spacing w:after="0" w:line="240" w:lineRule="auto"/>
              <w:rPr>
                <w:sz w:val="20"/>
              </w:rPr>
            </w:pPr>
          </w:p>
        </w:tc>
      </w:tr>
    </w:tbl>
    <w:p w:rsidR="0078342C" w:rsidRPr="007C482D" w:rsidRDefault="0078342C" w:rsidP="0078342C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246B1A"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246B1A"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</w:p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78342C" w:rsidRPr="00EF6711" w:rsidRDefault="0078342C" w:rsidP="0078342C">
      <w:pPr>
        <w:spacing w:after="0" w:line="240" w:lineRule="auto"/>
        <w:jc w:val="both"/>
      </w:pPr>
      <w:r w:rsidRPr="00EF6711">
        <w:t xml:space="preserve">Il foglio illustrativo è stato sottoposto </w:t>
      </w:r>
      <w:r w:rsidRPr="00885086">
        <w:t>al test di leggibilità</w:t>
      </w:r>
      <w:r w:rsidRPr="00EF6711">
        <w:t xml:space="preserve">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8342C" w:rsidRPr="00EF6711" w:rsidRDefault="0078342C" w:rsidP="0078342C">
      <w:pPr>
        <w:pStyle w:val="Paragrafoelenco"/>
        <w:spacing w:after="0" w:line="240" w:lineRule="auto"/>
        <w:ind w:left="0"/>
        <w:jc w:val="both"/>
      </w:pPr>
    </w:p>
    <w:p w:rsidR="0078342C" w:rsidRPr="00EF6711" w:rsidRDefault="0078342C" w:rsidP="0078342C">
      <w:pPr>
        <w:spacing w:after="0" w:line="240" w:lineRule="auto"/>
        <w:jc w:val="both"/>
      </w:pPr>
    </w:p>
    <w:p w:rsidR="0078342C" w:rsidRPr="00EF6711" w:rsidRDefault="0078342C" w:rsidP="0078342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78342C" w:rsidRDefault="0078342C" w:rsidP="0078342C">
      <w:pPr>
        <w:spacing w:after="0" w:line="240" w:lineRule="auto"/>
        <w:jc w:val="both"/>
      </w:pPr>
      <w:r w:rsidRPr="00EF6711">
        <w:t xml:space="preserve">La qualità di </w:t>
      </w:r>
      <w:r w:rsidR="00246B1A">
        <w:rPr>
          <w:rFonts w:eastAsia="Calibri" w:cs="Calibri"/>
          <w:color w:val="000000"/>
          <w:lang w:eastAsia="it-IT"/>
        </w:rPr>
        <w:t>DESADOC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8342C" w:rsidRDefault="0078342C" w:rsidP="0078342C">
      <w:pPr>
        <w:spacing w:after="0" w:line="240" w:lineRule="auto"/>
        <w:jc w:val="both"/>
      </w:pPr>
      <w:r w:rsidRPr="00EF6711">
        <w:t>Il rapporto beneficio/rischio è considerato positivo.</w:t>
      </w:r>
    </w:p>
    <w:p w:rsidR="00246B1A" w:rsidRPr="00EF6711" w:rsidRDefault="00246B1A" w:rsidP="0078342C">
      <w:pPr>
        <w:spacing w:after="0" w:line="240" w:lineRule="auto"/>
        <w:jc w:val="both"/>
      </w:pPr>
    </w:p>
    <w:p w:rsidR="0078342C" w:rsidRDefault="0078342C" w:rsidP="0078342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78342C" w:rsidRDefault="0078342C" w:rsidP="0078342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110"/>
    <w:multiLevelType w:val="hybridMultilevel"/>
    <w:tmpl w:val="DA28D2F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D60BD"/>
    <w:multiLevelType w:val="hybridMultilevel"/>
    <w:tmpl w:val="DA98B974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9C4E88"/>
    <w:multiLevelType w:val="hybridMultilevel"/>
    <w:tmpl w:val="3190AC4E"/>
    <w:lvl w:ilvl="0" w:tplc="C994D3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A00DB"/>
    <w:multiLevelType w:val="hybridMultilevel"/>
    <w:tmpl w:val="F05CBF34"/>
    <w:lvl w:ilvl="0" w:tplc="2D7C537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54EA6"/>
    <w:multiLevelType w:val="hybridMultilevel"/>
    <w:tmpl w:val="198EE17C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9A3201"/>
    <w:multiLevelType w:val="hybridMultilevel"/>
    <w:tmpl w:val="FA68FFD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0397D"/>
    <w:multiLevelType w:val="hybridMultilevel"/>
    <w:tmpl w:val="5B7AB4CC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63504B"/>
    <w:multiLevelType w:val="hybridMultilevel"/>
    <w:tmpl w:val="9350FB7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7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312CC"/>
    <w:rsid w:val="00037F9B"/>
    <w:rsid w:val="00042418"/>
    <w:rsid w:val="00042B96"/>
    <w:rsid w:val="00062636"/>
    <w:rsid w:val="000639D0"/>
    <w:rsid w:val="00066928"/>
    <w:rsid w:val="00077016"/>
    <w:rsid w:val="0008174F"/>
    <w:rsid w:val="000955DE"/>
    <w:rsid w:val="000A1283"/>
    <w:rsid w:val="000D4B04"/>
    <w:rsid w:val="000D69CD"/>
    <w:rsid w:val="000E7501"/>
    <w:rsid w:val="000F02C8"/>
    <w:rsid w:val="000F1057"/>
    <w:rsid w:val="0010417F"/>
    <w:rsid w:val="00106267"/>
    <w:rsid w:val="00111E9E"/>
    <w:rsid w:val="0011250C"/>
    <w:rsid w:val="00114E49"/>
    <w:rsid w:val="0011670E"/>
    <w:rsid w:val="001245F0"/>
    <w:rsid w:val="00146423"/>
    <w:rsid w:val="001617CE"/>
    <w:rsid w:val="00180C71"/>
    <w:rsid w:val="00182391"/>
    <w:rsid w:val="00197940"/>
    <w:rsid w:val="001D5612"/>
    <w:rsid w:val="002052B6"/>
    <w:rsid w:val="002132D5"/>
    <w:rsid w:val="0023693E"/>
    <w:rsid w:val="00246B1A"/>
    <w:rsid w:val="00246D26"/>
    <w:rsid w:val="00257BC5"/>
    <w:rsid w:val="00266FBD"/>
    <w:rsid w:val="002A0377"/>
    <w:rsid w:val="002C0350"/>
    <w:rsid w:val="002C28EC"/>
    <w:rsid w:val="002E127B"/>
    <w:rsid w:val="002E1AB2"/>
    <w:rsid w:val="002E2BD3"/>
    <w:rsid w:val="002E52E2"/>
    <w:rsid w:val="002E6A3E"/>
    <w:rsid w:val="002F223F"/>
    <w:rsid w:val="0030337B"/>
    <w:rsid w:val="00336B62"/>
    <w:rsid w:val="00351E32"/>
    <w:rsid w:val="00375B44"/>
    <w:rsid w:val="00375CAA"/>
    <w:rsid w:val="003800AE"/>
    <w:rsid w:val="003A2CA2"/>
    <w:rsid w:val="003A4849"/>
    <w:rsid w:val="003C5F22"/>
    <w:rsid w:val="003D51BE"/>
    <w:rsid w:val="003F0212"/>
    <w:rsid w:val="003F270A"/>
    <w:rsid w:val="00402BBC"/>
    <w:rsid w:val="00402EBA"/>
    <w:rsid w:val="0041266C"/>
    <w:rsid w:val="00417C92"/>
    <w:rsid w:val="004241AC"/>
    <w:rsid w:val="00452364"/>
    <w:rsid w:val="00465F70"/>
    <w:rsid w:val="00490D93"/>
    <w:rsid w:val="0049213D"/>
    <w:rsid w:val="004A1685"/>
    <w:rsid w:val="004B20A8"/>
    <w:rsid w:val="004F48B3"/>
    <w:rsid w:val="00505444"/>
    <w:rsid w:val="00583E39"/>
    <w:rsid w:val="00591A20"/>
    <w:rsid w:val="005B0185"/>
    <w:rsid w:val="005B12B7"/>
    <w:rsid w:val="005C14E6"/>
    <w:rsid w:val="005D29BC"/>
    <w:rsid w:val="005E1897"/>
    <w:rsid w:val="005F41F7"/>
    <w:rsid w:val="005F6F6F"/>
    <w:rsid w:val="005F7DEE"/>
    <w:rsid w:val="00616E43"/>
    <w:rsid w:val="00670E38"/>
    <w:rsid w:val="006737C1"/>
    <w:rsid w:val="006B4C1A"/>
    <w:rsid w:val="006F04FB"/>
    <w:rsid w:val="006F4207"/>
    <w:rsid w:val="006F79A4"/>
    <w:rsid w:val="00702312"/>
    <w:rsid w:val="0070441F"/>
    <w:rsid w:val="00705788"/>
    <w:rsid w:val="00725DCD"/>
    <w:rsid w:val="00744E80"/>
    <w:rsid w:val="0078342C"/>
    <w:rsid w:val="00791BC7"/>
    <w:rsid w:val="007A0794"/>
    <w:rsid w:val="007B5980"/>
    <w:rsid w:val="007E6693"/>
    <w:rsid w:val="007F7D27"/>
    <w:rsid w:val="008068A5"/>
    <w:rsid w:val="00823C7F"/>
    <w:rsid w:val="008422F7"/>
    <w:rsid w:val="00872FE3"/>
    <w:rsid w:val="00874733"/>
    <w:rsid w:val="008748A5"/>
    <w:rsid w:val="00884B09"/>
    <w:rsid w:val="00885086"/>
    <w:rsid w:val="00894CF1"/>
    <w:rsid w:val="008A601D"/>
    <w:rsid w:val="008E4718"/>
    <w:rsid w:val="008E5AD1"/>
    <w:rsid w:val="008F006E"/>
    <w:rsid w:val="008F6138"/>
    <w:rsid w:val="0090480E"/>
    <w:rsid w:val="00910137"/>
    <w:rsid w:val="0093186E"/>
    <w:rsid w:val="00950FE0"/>
    <w:rsid w:val="0096663A"/>
    <w:rsid w:val="00970F45"/>
    <w:rsid w:val="009A260F"/>
    <w:rsid w:val="009A3D16"/>
    <w:rsid w:val="009B03DB"/>
    <w:rsid w:val="009C3B7A"/>
    <w:rsid w:val="00A05212"/>
    <w:rsid w:val="00A1005E"/>
    <w:rsid w:val="00A163E6"/>
    <w:rsid w:val="00A32D65"/>
    <w:rsid w:val="00A40FF3"/>
    <w:rsid w:val="00A60455"/>
    <w:rsid w:val="00A76B57"/>
    <w:rsid w:val="00A9053A"/>
    <w:rsid w:val="00A976DE"/>
    <w:rsid w:val="00AA58C6"/>
    <w:rsid w:val="00AB09ED"/>
    <w:rsid w:val="00AE03C6"/>
    <w:rsid w:val="00AE7484"/>
    <w:rsid w:val="00AF0501"/>
    <w:rsid w:val="00B35507"/>
    <w:rsid w:val="00B92E24"/>
    <w:rsid w:val="00B97317"/>
    <w:rsid w:val="00BA43B9"/>
    <w:rsid w:val="00BA7D67"/>
    <w:rsid w:val="00BC2AB1"/>
    <w:rsid w:val="00BC74C2"/>
    <w:rsid w:val="00BD3508"/>
    <w:rsid w:val="00BD35A9"/>
    <w:rsid w:val="00BE2A16"/>
    <w:rsid w:val="00BE3201"/>
    <w:rsid w:val="00BE43FC"/>
    <w:rsid w:val="00BF1041"/>
    <w:rsid w:val="00BF12EE"/>
    <w:rsid w:val="00C10B2E"/>
    <w:rsid w:val="00C32A17"/>
    <w:rsid w:val="00C7285B"/>
    <w:rsid w:val="00CC141E"/>
    <w:rsid w:val="00CC677B"/>
    <w:rsid w:val="00CC7AFF"/>
    <w:rsid w:val="00CD6D9A"/>
    <w:rsid w:val="00D0448B"/>
    <w:rsid w:val="00D06401"/>
    <w:rsid w:val="00D20170"/>
    <w:rsid w:val="00D23ADB"/>
    <w:rsid w:val="00D35182"/>
    <w:rsid w:val="00D578E3"/>
    <w:rsid w:val="00D61114"/>
    <w:rsid w:val="00D65A77"/>
    <w:rsid w:val="00DA11E0"/>
    <w:rsid w:val="00DB10B2"/>
    <w:rsid w:val="00DC3FBC"/>
    <w:rsid w:val="00DD3614"/>
    <w:rsid w:val="00DE6FC2"/>
    <w:rsid w:val="00DF4C50"/>
    <w:rsid w:val="00E37E3A"/>
    <w:rsid w:val="00E43089"/>
    <w:rsid w:val="00E57A25"/>
    <w:rsid w:val="00E83F8D"/>
    <w:rsid w:val="00E87FD2"/>
    <w:rsid w:val="00E94D00"/>
    <w:rsid w:val="00EA50EF"/>
    <w:rsid w:val="00EB2FA2"/>
    <w:rsid w:val="00EB590B"/>
    <w:rsid w:val="00EC0AF0"/>
    <w:rsid w:val="00EC7C6D"/>
    <w:rsid w:val="00ED175B"/>
    <w:rsid w:val="00ED641F"/>
    <w:rsid w:val="00EF062E"/>
    <w:rsid w:val="00F12477"/>
    <w:rsid w:val="00F25566"/>
    <w:rsid w:val="00F30260"/>
    <w:rsid w:val="00F33944"/>
    <w:rsid w:val="00F42150"/>
    <w:rsid w:val="00F66767"/>
    <w:rsid w:val="00F93FE1"/>
    <w:rsid w:val="00F94B58"/>
    <w:rsid w:val="00FA2702"/>
    <w:rsid w:val="00FB053D"/>
    <w:rsid w:val="00FD0500"/>
    <w:rsid w:val="00FE1BDE"/>
    <w:rsid w:val="00FE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78342C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Corpodeltesto">
    <w:name w:val="Body Text"/>
    <w:basedOn w:val="Normale"/>
    <w:link w:val="CorpodeltestoCarattere"/>
    <w:uiPriority w:val="99"/>
    <w:unhideWhenUsed/>
    <w:rsid w:val="0078342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783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2287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2019-03-13T09:56:00Z</dcterms:created>
  <dcterms:modified xsi:type="dcterms:W3CDTF">2019-05-03T12:33:00Z</dcterms:modified>
</cp:coreProperties>
</file>