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326548" w:rsidP="004241AC">
      <w:pPr>
        <w:spacing w:after="0" w:line="240" w:lineRule="auto"/>
        <w:jc w:val="center"/>
        <w:rPr>
          <w:lang w:val="en-US"/>
        </w:rPr>
      </w:pPr>
      <w:r w:rsidRPr="00326548">
        <w:rPr>
          <w:noProof/>
          <w:lang w:eastAsia="it-IT"/>
        </w:rPr>
        <w:drawing>
          <wp:inline distT="0" distB="0" distL="0" distR="0">
            <wp:extent cx="3485385" cy="1322324"/>
            <wp:effectExtent l="19050" t="0" r="76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95375" cy="1326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4241AC" w:rsidRPr="001C7AD0" w:rsidRDefault="00B32D81" w:rsidP="00B32D81">
      <w:pPr>
        <w:spacing w:after="0" w:line="240" w:lineRule="auto"/>
        <w:jc w:val="center"/>
        <w:rPr>
          <w:b/>
          <w:sz w:val="28"/>
        </w:rPr>
      </w:pPr>
      <w:r w:rsidRPr="001C7AD0">
        <w:rPr>
          <w:b/>
          <w:sz w:val="28"/>
        </w:rPr>
        <w:t>R</w:t>
      </w:r>
      <w:r w:rsidR="004241AC" w:rsidRPr="001C7AD0">
        <w:rPr>
          <w:b/>
          <w:sz w:val="28"/>
        </w:rPr>
        <w:t>elazione di Valutazione</w:t>
      </w:r>
    </w:p>
    <w:p w:rsidR="00B32D81" w:rsidRDefault="00B32D81" w:rsidP="00B32D81">
      <w:pPr>
        <w:spacing w:after="0" w:line="240" w:lineRule="auto"/>
        <w:jc w:val="center"/>
        <w:rPr>
          <w:b/>
        </w:rPr>
      </w:pPr>
    </w:p>
    <w:p w:rsidR="001C7AD0" w:rsidRPr="00B32D81" w:rsidRDefault="001C7AD0" w:rsidP="00B32D81">
      <w:pPr>
        <w:spacing w:after="0" w:line="240" w:lineRule="auto"/>
        <w:jc w:val="center"/>
        <w:rPr>
          <w:b/>
        </w:rPr>
      </w:pPr>
    </w:p>
    <w:p w:rsidR="004241AC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  <w:bookmarkStart w:id="0" w:name="Text15"/>
    </w:p>
    <w:p w:rsidR="009F0F0B" w:rsidRPr="00B32D81" w:rsidRDefault="009F0F0B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DA1945" w:rsidRPr="00C051DB" w:rsidRDefault="00326548" w:rsidP="00B32D81">
      <w:pPr>
        <w:widowControl w:val="0"/>
        <w:spacing w:after="0" w:line="240" w:lineRule="auto"/>
        <w:jc w:val="center"/>
        <w:rPr>
          <w:b/>
          <w:sz w:val="32"/>
        </w:rPr>
      </w:pPr>
      <w:r w:rsidRPr="00C051DB">
        <w:rPr>
          <w:b/>
          <w:sz w:val="32"/>
        </w:rPr>
        <w:t>LICLORACT</w:t>
      </w:r>
    </w:p>
    <w:p w:rsidR="00502AB1" w:rsidRPr="00C051DB" w:rsidRDefault="00502AB1" w:rsidP="00B32D81">
      <w:pPr>
        <w:widowControl w:val="0"/>
        <w:spacing w:after="0" w:line="240" w:lineRule="auto"/>
        <w:jc w:val="center"/>
        <w:rPr>
          <w:snapToGrid w:val="0"/>
        </w:rPr>
      </w:pPr>
    </w:p>
    <w:p w:rsidR="004241AC" w:rsidRPr="00C051DB" w:rsidRDefault="00DA1945" w:rsidP="00B32D81">
      <w:pPr>
        <w:widowControl w:val="0"/>
        <w:spacing w:after="0" w:line="240" w:lineRule="auto"/>
        <w:jc w:val="center"/>
        <w:rPr>
          <w:snapToGrid w:val="0"/>
        </w:rPr>
      </w:pPr>
      <w:r w:rsidRPr="00C051DB">
        <w:rPr>
          <w:snapToGrid w:val="0"/>
        </w:rPr>
        <w:t>(</w:t>
      </w:r>
      <w:r w:rsidR="00326548" w:rsidRPr="00C051DB">
        <w:rPr>
          <w:snapToGrid w:val="0"/>
        </w:rPr>
        <w:t xml:space="preserve">PHARMACARE </w:t>
      </w:r>
      <w:proofErr w:type="spellStart"/>
      <w:r w:rsidR="00326548" w:rsidRPr="00C051DB">
        <w:rPr>
          <w:snapToGrid w:val="0"/>
        </w:rPr>
        <w:t>S.R.L.</w:t>
      </w:r>
      <w:proofErr w:type="spellEnd"/>
      <w:r w:rsidR="004241AC" w:rsidRPr="00C051DB">
        <w:rPr>
          <w:snapToGrid w:val="0"/>
        </w:rPr>
        <w:t>)</w:t>
      </w:r>
    </w:p>
    <w:p w:rsidR="004241AC" w:rsidRPr="00C051DB" w:rsidRDefault="004241AC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00DAA" w:rsidRPr="00C051DB" w:rsidRDefault="00900DAA" w:rsidP="00B32D81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F0F0B" w:rsidRDefault="009F0F0B" w:rsidP="00B32D81">
      <w:pPr>
        <w:spacing w:after="0" w:line="240" w:lineRule="auto"/>
        <w:jc w:val="center"/>
        <w:rPr>
          <w:b/>
        </w:rPr>
      </w:pPr>
    </w:p>
    <w:p w:rsidR="004241AC" w:rsidRPr="00B32D81" w:rsidRDefault="004241AC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 xml:space="preserve">Numero di AIC: </w:t>
      </w:r>
      <w:r w:rsidR="00310B73">
        <w:rPr>
          <w:b/>
        </w:rPr>
        <w:t>044629</w:t>
      </w:r>
    </w:p>
    <w:bookmarkEnd w:id="0"/>
    <w:p w:rsidR="004241AC" w:rsidRPr="00B32D81" w:rsidRDefault="004241AC" w:rsidP="00B32D81">
      <w:pPr>
        <w:spacing w:after="0" w:line="240" w:lineRule="auto"/>
        <w:jc w:val="center"/>
        <w:rPr>
          <w:b/>
        </w:rPr>
      </w:pPr>
    </w:p>
    <w:p w:rsidR="00B32D81" w:rsidRPr="00B32D81" w:rsidRDefault="00B32D81" w:rsidP="00B32D81">
      <w:pPr>
        <w:spacing w:after="0" w:line="240" w:lineRule="auto"/>
        <w:jc w:val="center"/>
        <w:rPr>
          <w:b/>
        </w:rPr>
      </w:pPr>
    </w:p>
    <w:p w:rsidR="00B32D81" w:rsidRPr="00B32D81" w:rsidRDefault="00B32D81" w:rsidP="00B32D81">
      <w:pPr>
        <w:autoSpaceDE w:val="0"/>
        <w:autoSpaceDN w:val="0"/>
        <w:adjustRightInd w:val="0"/>
        <w:spacing w:after="0" w:line="240" w:lineRule="auto"/>
        <w:jc w:val="center"/>
        <w:rPr>
          <w:rFonts w:eastAsia="Calibri" w:cs="Calibri"/>
          <w:b/>
          <w:color w:val="000000"/>
          <w:lang w:eastAsia="it-IT"/>
        </w:rPr>
      </w:pPr>
      <w:r w:rsidRPr="00B32D81">
        <w:rPr>
          <w:rFonts w:eastAsia="Calibri" w:cs="Calibri"/>
          <w:b/>
          <w:color w:val="000000"/>
          <w:lang w:eastAsia="it-IT"/>
        </w:rPr>
        <w:t>RIASSUNTO DELLA RELAZIONE PUBBLICA DI VALUTAZIONE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widowControl w:val="0"/>
        <w:spacing w:after="0" w:line="240" w:lineRule="auto"/>
        <w:jc w:val="both"/>
        <w:rPr>
          <w:rFonts w:cs="Times New Roman"/>
          <w:b/>
          <w:bCs/>
          <w:color w:val="000000"/>
        </w:rPr>
      </w:pPr>
      <w:r w:rsidRPr="00B32D81">
        <w:rPr>
          <w:rFonts w:eastAsia="Calibri" w:cs="Calibri"/>
          <w:color w:val="000000"/>
          <w:lang w:eastAsia="it-IT"/>
        </w:rPr>
        <w:t xml:space="preserve">Questa è la sintesi del </w:t>
      </w:r>
      <w:r w:rsidR="00322BF5" w:rsidRPr="00B32D81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="00322BF5" w:rsidRPr="00B32D81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="00322BF5" w:rsidRPr="00B32D81">
        <w:rPr>
          <w:rFonts w:eastAsia="Calibri" w:cs="Calibri"/>
          <w:i/>
          <w:color w:val="000000"/>
          <w:lang w:eastAsia="it-IT"/>
        </w:rPr>
        <w:t xml:space="preserve"> Report</w:t>
      </w:r>
      <w:r w:rsidRPr="00B32D81">
        <w:rPr>
          <w:rFonts w:eastAsia="Calibri" w:cs="Calibri"/>
          <w:color w:val="000000"/>
          <w:lang w:eastAsia="it-IT"/>
        </w:rPr>
        <w:t xml:space="preserve"> (PAR) per </w:t>
      </w:r>
      <w:r w:rsidR="00310B73">
        <w:rPr>
          <w:rFonts w:cs="Times New Roman"/>
          <w:bCs/>
          <w:color w:val="000000"/>
        </w:rPr>
        <w:t>LICLORACT</w:t>
      </w:r>
      <w:r w:rsidRPr="00B32D81">
        <w:rPr>
          <w:rFonts w:eastAsia="Calibri" w:cs="Calibri"/>
          <w:color w:val="000000"/>
          <w:lang w:eastAsia="it-IT"/>
        </w:rPr>
        <w:t>.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Esso spiega come </w:t>
      </w:r>
      <w:r w:rsidR="00310B73">
        <w:rPr>
          <w:rFonts w:eastAsia="Calibri" w:cs="Calibri"/>
          <w:color w:val="000000"/>
          <w:lang w:eastAsia="it-IT"/>
        </w:rPr>
        <w:t>LICLORACT</w:t>
      </w:r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è stato valutato dalla Commissione Tecnico-Scientifica (CTS) e sue le condizioni </w:t>
      </w:r>
      <w:r w:rsidR="005D53B9" w:rsidRPr="00B32D81">
        <w:rPr>
          <w:rFonts w:eastAsia="Calibri" w:cs="Calibri"/>
          <w:color w:val="000000"/>
          <w:lang w:eastAsia="it-IT"/>
        </w:rPr>
        <w:t xml:space="preserve">di impiego. Non intende fornire </w:t>
      </w:r>
      <w:r w:rsidRPr="00B32D81">
        <w:rPr>
          <w:rFonts w:eastAsia="Calibri" w:cs="Calibri"/>
          <w:color w:val="000000"/>
          <w:lang w:eastAsia="it-IT"/>
        </w:rPr>
        <w:t xml:space="preserve">consigli pratici su come utilizzare </w:t>
      </w:r>
      <w:r w:rsidR="00310B73">
        <w:rPr>
          <w:rFonts w:eastAsia="Calibri" w:cs="Calibri"/>
          <w:color w:val="000000"/>
          <w:lang w:eastAsia="it-IT"/>
        </w:rPr>
        <w:t>LICLORACT</w:t>
      </w:r>
      <w:r w:rsidRPr="00B32D81">
        <w:rPr>
          <w:rFonts w:eastAsia="Calibri" w:cs="Calibri"/>
          <w:bCs/>
          <w:color w:val="000000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color w:val="000000"/>
          <w:lang w:eastAsia="it-IT"/>
        </w:rPr>
        <w:t>Per informazioni pratiche sull'utilizzo di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310B73">
        <w:rPr>
          <w:rFonts w:eastAsia="Calibri" w:cs="Calibri"/>
          <w:color w:val="000000"/>
          <w:lang w:eastAsia="it-IT"/>
        </w:rPr>
        <w:t>LICLORACT</w:t>
      </w:r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color w:val="000000"/>
          <w:lang w:eastAsia="it-IT"/>
        </w:rPr>
        <w:t xml:space="preserve">i pazienti devono consultare il foglio illustrativo o contattare il loro medico o </w:t>
      </w:r>
      <w:r w:rsidR="00FA55B0" w:rsidRPr="00B32D81">
        <w:rPr>
          <w:rFonts w:eastAsia="Calibri" w:cs="Calibri"/>
          <w:color w:val="000000"/>
          <w:lang w:eastAsia="it-IT"/>
        </w:rPr>
        <w:t xml:space="preserve">il </w:t>
      </w:r>
      <w:r w:rsidRPr="00B32D81">
        <w:rPr>
          <w:rFonts w:eastAsia="Calibri" w:cs="Calibri"/>
          <w:color w:val="000000"/>
          <w:lang w:eastAsia="it-IT"/>
        </w:rPr>
        <w:t xml:space="preserve">farmacista.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B32D81">
        <w:rPr>
          <w:rFonts w:eastAsia="Calibri" w:cs="Calibri"/>
          <w:b/>
          <w:bCs/>
          <w:color w:val="000000"/>
          <w:lang w:eastAsia="it-IT"/>
        </w:rPr>
        <w:t xml:space="preserve">1) CHE COS’È </w:t>
      </w:r>
      <w:r w:rsidR="00310B73">
        <w:rPr>
          <w:rFonts w:eastAsia="Calibri" w:cs="Calibri"/>
          <w:b/>
          <w:color w:val="000000"/>
          <w:lang w:eastAsia="it-IT"/>
        </w:rPr>
        <w:t>LICLORACT</w:t>
      </w:r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3A0AA5" w:rsidRPr="00B32D81">
        <w:rPr>
          <w:rFonts w:eastAsia="Calibri" w:cs="Calibri"/>
          <w:b/>
          <w:bCs/>
          <w:color w:val="000000"/>
          <w:lang w:eastAsia="it-IT"/>
        </w:rPr>
        <w:t>E A COSA SERVE</w:t>
      </w:r>
      <w:r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D8197E" w:rsidRDefault="00310B73" w:rsidP="00D8197E">
      <w:pPr>
        <w:contextualSpacing/>
        <w:jc w:val="both"/>
        <w:rPr>
          <w:rFonts w:ascii="Calibri" w:eastAsia="Times New Roman" w:hAnsi="Calibri" w:cs="Times New Roman"/>
        </w:rPr>
      </w:pPr>
      <w:r>
        <w:rPr>
          <w:rFonts w:eastAsia="Calibri" w:cs="Calibri"/>
          <w:color w:val="000000"/>
          <w:lang w:eastAsia="it-IT"/>
        </w:rPr>
        <w:t>LICLORACT</w:t>
      </w:r>
      <w:r w:rsidR="00520FDC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color w:val="000000"/>
          <w:lang w:eastAsia="it-IT"/>
        </w:rPr>
        <w:t xml:space="preserve">è un medicinale contenente </w:t>
      </w:r>
      <w:r w:rsidR="00062636" w:rsidRPr="00B32D81">
        <w:rPr>
          <w:rFonts w:eastAsia="Calibri" w:cs="Calibri"/>
          <w:color w:val="000000"/>
          <w:lang w:eastAsia="it-IT"/>
        </w:rPr>
        <w:t>i</w:t>
      </w:r>
      <w:r w:rsidR="004241AC" w:rsidRPr="00B32D81">
        <w:rPr>
          <w:rFonts w:eastAsia="Calibri" w:cs="Calibri"/>
          <w:color w:val="000000"/>
          <w:lang w:eastAsia="it-IT"/>
        </w:rPr>
        <w:t xml:space="preserve"> principi attiv</w:t>
      </w:r>
      <w:r w:rsidR="00D8197E">
        <w:rPr>
          <w:rFonts w:eastAsia="Calibri" w:cs="Calibri"/>
          <w:color w:val="000000"/>
          <w:lang w:eastAsia="it-IT"/>
        </w:rPr>
        <w:t xml:space="preserve">i </w:t>
      </w:r>
      <w:proofErr w:type="spellStart"/>
      <w:r w:rsidR="00D8197E" w:rsidRPr="006E58E6">
        <w:rPr>
          <w:rFonts w:ascii="Calibri" w:eastAsia="Times New Roman" w:hAnsi="Calibri" w:cs="Times New Roman"/>
        </w:rPr>
        <w:t>clodronato</w:t>
      </w:r>
      <w:proofErr w:type="spellEnd"/>
      <w:r w:rsidR="00D8197E" w:rsidRPr="006E58E6">
        <w:rPr>
          <w:rFonts w:ascii="Calibri" w:eastAsia="Times New Roman" w:hAnsi="Calibri" w:cs="Times New Roman"/>
        </w:rPr>
        <w:t xml:space="preserve"> </w:t>
      </w:r>
      <w:proofErr w:type="spellStart"/>
      <w:r w:rsidR="00D8197E" w:rsidRPr="006E58E6">
        <w:rPr>
          <w:rFonts w:ascii="Calibri" w:eastAsia="Times New Roman" w:hAnsi="Calibri" w:cs="Times New Roman"/>
        </w:rPr>
        <w:t>disodico</w:t>
      </w:r>
      <w:proofErr w:type="spellEnd"/>
      <w:r w:rsidR="00D8197E" w:rsidRPr="006E58E6">
        <w:rPr>
          <w:rFonts w:ascii="Calibri" w:eastAsia="Times New Roman" w:hAnsi="Calibri" w:cs="Times New Roman"/>
        </w:rPr>
        <w:t xml:space="preserve"> </w:t>
      </w:r>
      <w:proofErr w:type="spellStart"/>
      <w:r w:rsidR="00D8197E" w:rsidRPr="006E58E6">
        <w:rPr>
          <w:rFonts w:ascii="Calibri" w:eastAsia="Times New Roman" w:hAnsi="Calibri" w:cs="Times New Roman"/>
        </w:rPr>
        <w:t>tetraidrato</w:t>
      </w:r>
      <w:proofErr w:type="spellEnd"/>
      <w:r w:rsidR="00D8197E" w:rsidRPr="006E58E6">
        <w:rPr>
          <w:rFonts w:ascii="Calibri" w:eastAsia="Times New Roman" w:hAnsi="Calibri" w:cs="Times New Roman"/>
        </w:rPr>
        <w:t xml:space="preserve"> </w:t>
      </w:r>
      <w:r w:rsidR="00D8197E">
        <w:rPr>
          <w:rFonts w:ascii="Calibri" w:eastAsia="Times New Roman" w:hAnsi="Calibri" w:cs="Times New Roman"/>
        </w:rPr>
        <w:t>e</w:t>
      </w:r>
      <w:r w:rsidR="00D8197E" w:rsidRPr="006E58E6">
        <w:rPr>
          <w:rFonts w:ascii="Calibri" w:eastAsia="Times New Roman" w:hAnsi="Calibri" w:cs="Times New Roman"/>
        </w:rPr>
        <w:t xml:space="preserve"> lidocaina cloridrato.</w:t>
      </w:r>
    </w:p>
    <w:p w:rsidR="009A3BA6" w:rsidRPr="006E58E6" w:rsidRDefault="009A3BA6" w:rsidP="00D8197E">
      <w:pPr>
        <w:contextualSpacing/>
        <w:jc w:val="both"/>
        <w:rPr>
          <w:rFonts w:ascii="Calibri" w:eastAsia="Times New Roman" w:hAnsi="Calibri" w:cs="Times New Roman"/>
        </w:rPr>
      </w:pPr>
      <w:r>
        <w:rPr>
          <w:rFonts w:ascii="Calibri" w:eastAsia="Times New Roman" w:hAnsi="Calibri" w:cs="Times New Roman"/>
        </w:rPr>
        <w:t xml:space="preserve">Il </w:t>
      </w:r>
      <w:proofErr w:type="spellStart"/>
      <w:r w:rsidRPr="009A3BA6">
        <w:rPr>
          <w:rFonts w:eastAsia="Calibri" w:cs="Calibri"/>
          <w:color w:val="000000"/>
          <w:lang w:eastAsia="it-IT"/>
        </w:rPr>
        <w:t>clodronato</w:t>
      </w:r>
      <w:proofErr w:type="spellEnd"/>
      <w:r w:rsidRPr="009A3BA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9A3BA6">
        <w:rPr>
          <w:rFonts w:eastAsia="Calibri" w:cs="Calibri"/>
          <w:color w:val="000000"/>
          <w:lang w:eastAsia="it-IT"/>
        </w:rPr>
        <w:t>disodico</w:t>
      </w:r>
      <w:proofErr w:type="spellEnd"/>
      <w:r>
        <w:rPr>
          <w:rFonts w:eastAsia="Calibri" w:cs="Calibri"/>
          <w:color w:val="000000"/>
          <w:lang w:eastAsia="it-IT"/>
        </w:rPr>
        <w:t xml:space="preserve"> è</w:t>
      </w:r>
      <w:r w:rsidRPr="009A3BA6">
        <w:rPr>
          <w:rFonts w:eastAsia="Calibri" w:cs="Calibri"/>
          <w:color w:val="000000"/>
          <w:lang w:eastAsia="it-IT"/>
        </w:rPr>
        <w:t xml:space="preserve"> un principio attivo che appartiene ad un gruppo di farmaci per il trattamento delle malattie delle ossa, chiamati </w:t>
      </w:r>
      <w:proofErr w:type="spellStart"/>
      <w:r w:rsidRPr="009A3BA6">
        <w:rPr>
          <w:rFonts w:eastAsia="Calibri" w:cs="Calibri"/>
          <w:color w:val="000000"/>
          <w:lang w:eastAsia="it-IT"/>
        </w:rPr>
        <w:t>bifosfonati</w:t>
      </w:r>
      <w:proofErr w:type="spellEnd"/>
      <w:r w:rsidRPr="009A3BA6">
        <w:rPr>
          <w:rFonts w:eastAsia="Calibri" w:cs="Calibri"/>
          <w:color w:val="000000"/>
          <w:lang w:eastAsia="it-IT"/>
        </w:rPr>
        <w:t>.</w:t>
      </w:r>
    </w:p>
    <w:p w:rsidR="00364C44" w:rsidRDefault="00D8197E" w:rsidP="00D8197E">
      <w:pPr>
        <w:widowControl w:val="0"/>
        <w:spacing w:after="0" w:line="240" w:lineRule="auto"/>
        <w:contextualSpacing/>
        <w:jc w:val="both"/>
        <w:rPr>
          <w:rFonts w:ascii="Calibri" w:hAnsi="Calibri" w:cs="Arial"/>
          <w:bCs/>
        </w:rPr>
      </w:pPr>
      <w:r>
        <w:rPr>
          <w:rFonts w:eastAsia="Calibri" w:cs="Calibri"/>
          <w:color w:val="000000"/>
          <w:lang w:eastAsia="it-IT"/>
        </w:rPr>
        <w:t xml:space="preserve">LICLORACT </w:t>
      </w:r>
      <w:r w:rsidR="004241AC" w:rsidRPr="00B32D81">
        <w:rPr>
          <w:rFonts w:eastAsia="Calibri" w:cs="Calibri"/>
          <w:color w:val="000000"/>
          <w:lang w:eastAsia="it-IT"/>
        </w:rPr>
        <w:t xml:space="preserve">è disponibile in </w:t>
      </w:r>
      <w:r w:rsidRPr="00F64ED6">
        <w:rPr>
          <w:rFonts w:ascii="Calibri" w:eastAsia="Calibri" w:hAnsi="Calibri" w:cs="Arial"/>
          <w:bCs/>
        </w:rPr>
        <w:t>soluzione iniettabile per uso intramuscolare</w:t>
      </w:r>
      <w:r w:rsidR="00364C44">
        <w:rPr>
          <w:rFonts w:ascii="Calibri" w:hAnsi="Calibri" w:cs="Arial"/>
          <w:bCs/>
        </w:rPr>
        <w:t xml:space="preserve">. </w:t>
      </w:r>
    </w:p>
    <w:p w:rsidR="00D8197E" w:rsidRDefault="00364C44" w:rsidP="00D8197E">
      <w:pPr>
        <w:widowControl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  <w:r>
        <w:rPr>
          <w:rFonts w:ascii="Calibri" w:hAnsi="Calibri" w:cs="Arial"/>
          <w:bCs/>
        </w:rPr>
        <w:t>Una fiala</w:t>
      </w:r>
      <w:r w:rsidR="00D8197E" w:rsidRPr="00F64ED6">
        <w:rPr>
          <w:rFonts w:ascii="Calibri" w:eastAsia="Calibri" w:hAnsi="Calibri" w:cs="Arial"/>
          <w:bCs/>
        </w:rPr>
        <w:t xml:space="preserve"> </w:t>
      </w:r>
      <w:r>
        <w:rPr>
          <w:rFonts w:ascii="Calibri" w:hAnsi="Calibri" w:cs="Arial"/>
          <w:bCs/>
        </w:rPr>
        <w:t xml:space="preserve">da 3,3 ml </w:t>
      </w:r>
      <w:r>
        <w:rPr>
          <w:rFonts w:eastAsia="Calibri" w:cs="Calibri"/>
          <w:color w:val="000000"/>
          <w:lang w:eastAsia="it-IT"/>
        </w:rPr>
        <w:t>contiene</w:t>
      </w:r>
      <w:r w:rsidR="00D8197E" w:rsidRPr="00B32D81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100 mg del principio attivo</w:t>
      </w:r>
      <w:r w:rsidR="00D8197E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8197E" w:rsidRPr="00D8197E">
        <w:rPr>
          <w:rFonts w:eastAsia="Calibri" w:cs="Calibri"/>
          <w:color w:val="000000"/>
          <w:lang w:eastAsia="it-IT"/>
        </w:rPr>
        <w:t>clodronato</w:t>
      </w:r>
      <w:proofErr w:type="spellEnd"/>
      <w:r w:rsidR="00D8197E" w:rsidRPr="00D8197E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8197E" w:rsidRPr="00D8197E">
        <w:rPr>
          <w:rFonts w:eastAsia="Calibri" w:cs="Calibri"/>
          <w:color w:val="000000"/>
          <w:lang w:eastAsia="it-IT"/>
        </w:rPr>
        <w:t>disodico</w:t>
      </w:r>
      <w:proofErr w:type="spellEnd"/>
      <w:r w:rsidR="00D8197E" w:rsidRPr="00D8197E">
        <w:rPr>
          <w:rFonts w:eastAsia="Calibri" w:cs="Calibri"/>
          <w:color w:val="000000"/>
          <w:lang w:eastAsia="it-IT"/>
        </w:rPr>
        <w:t xml:space="preserve"> </w:t>
      </w:r>
      <w:r w:rsidR="00D8197E">
        <w:rPr>
          <w:rFonts w:eastAsia="Calibri" w:cs="Calibri"/>
          <w:color w:val="000000"/>
          <w:lang w:eastAsia="it-IT"/>
        </w:rPr>
        <w:t xml:space="preserve">e </w:t>
      </w:r>
      <w:r>
        <w:rPr>
          <w:rFonts w:eastAsia="Calibri" w:cs="Calibri"/>
          <w:color w:val="000000"/>
          <w:lang w:eastAsia="it-IT"/>
        </w:rPr>
        <w:t xml:space="preserve">33 mg del principio attivo </w:t>
      </w:r>
      <w:r w:rsidR="00D8197E">
        <w:rPr>
          <w:rFonts w:eastAsia="Calibri" w:cs="Calibri"/>
          <w:color w:val="000000"/>
          <w:lang w:eastAsia="it-IT"/>
        </w:rPr>
        <w:t xml:space="preserve">lidocaina cloridrato </w:t>
      </w:r>
      <w:r>
        <w:rPr>
          <w:rFonts w:eastAsia="Calibri" w:cs="Calibri"/>
          <w:color w:val="000000"/>
          <w:lang w:eastAsia="it-IT"/>
        </w:rPr>
        <w:t>(</w:t>
      </w:r>
      <w:r w:rsidR="00D8197E">
        <w:rPr>
          <w:rFonts w:eastAsia="Calibri" w:cs="Calibri"/>
          <w:color w:val="000000"/>
          <w:lang w:eastAsia="it-IT"/>
        </w:rPr>
        <w:t>1%</w:t>
      </w:r>
      <w:r>
        <w:rPr>
          <w:rFonts w:eastAsia="Calibri" w:cs="Calibri"/>
          <w:color w:val="000000"/>
          <w:lang w:eastAsia="it-IT"/>
        </w:rPr>
        <w:t>)</w:t>
      </w:r>
      <w:r w:rsidR="00D8197E">
        <w:rPr>
          <w:rFonts w:eastAsia="Calibri" w:cs="Calibri"/>
          <w:color w:val="000000"/>
          <w:lang w:eastAsia="it-IT"/>
        </w:rPr>
        <w:t>.</w:t>
      </w:r>
    </w:p>
    <w:p w:rsidR="00364C44" w:rsidRPr="00364C44" w:rsidRDefault="00364C44" w:rsidP="00364C44">
      <w:pPr>
        <w:widowControl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  <w:r w:rsidRPr="00364C44">
        <w:rPr>
          <w:rFonts w:eastAsia="Calibri" w:cs="Calibri"/>
          <w:bCs/>
          <w:color w:val="000000"/>
          <w:lang w:eastAsia="it-IT"/>
        </w:rPr>
        <w:t>Una fiala</w:t>
      </w:r>
      <w:r w:rsidRPr="00364C44">
        <w:rPr>
          <w:rFonts w:ascii="Calibri" w:eastAsia="Calibri" w:hAnsi="Calibri" w:cs="Calibri"/>
          <w:bCs/>
          <w:color w:val="000000"/>
          <w:lang w:eastAsia="it-IT"/>
        </w:rPr>
        <w:t xml:space="preserve"> </w:t>
      </w:r>
      <w:r w:rsidRPr="00364C44">
        <w:rPr>
          <w:rFonts w:eastAsia="Calibri" w:cs="Calibri"/>
          <w:bCs/>
          <w:color w:val="000000"/>
          <w:lang w:eastAsia="it-IT"/>
        </w:rPr>
        <w:t xml:space="preserve">da </w:t>
      </w:r>
      <w:r>
        <w:rPr>
          <w:rFonts w:eastAsia="Calibri" w:cs="Calibri"/>
          <w:bCs/>
          <w:color w:val="000000"/>
          <w:lang w:eastAsia="it-IT"/>
        </w:rPr>
        <w:t>4</w:t>
      </w:r>
      <w:r w:rsidRPr="00364C44">
        <w:rPr>
          <w:rFonts w:eastAsia="Calibri" w:cs="Calibri"/>
          <w:bCs/>
          <w:color w:val="000000"/>
          <w:lang w:eastAsia="it-IT"/>
        </w:rPr>
        <w:t xml:space="preserve"> ml </w:t>
      </w:r>
      <w:r w:rsidRPr="00364C44">
        <w:rPr>
          <w:rFonts w:eastAsia="Calibri" w:cs="Calibri"/>
          <w:color w:val="000000"/>
          <w:lang w:eastAsia="it-IT"/>
        </w:rPr>
        <w:t xml:space="preserve">contiene </w:t>
      </w:r>
      <w:r>
        <w:rPr>
          <w:rFonts w:eastAsia="Calibri" w:cs="Calibri"/>
          <w:color w:val="000000"/>
          <w:lang w:eastAsia="it-IT"/>
        </w:rPr>
        <w:t>2</w:t>
      </w:r>
      <w:r w:rsidRPr="00364C44">
        <w:rPr>
          <w:rFonts w:eastAsia="Calibri" w:cs="Calibri"/>
          <w:color w:val="000000"/>
          <w:lang w:eastAsia="it-IT"/>
        </w:rPr>
        <w:t xml:space="preserve">00 mg del principio attivo </w:t>
      </w:r>
      <w:proofErr w:type="spellStart"/>
      <w:r w:rsidRPr="00364C44">
        <w:rPr>
          <w:rFonts w:eastAsia="Calibri" w:cs="Calibri"/>
          <w:color w:val="000000"/>
          <w:lang w:eastAsia="it-IT"/>
        </w:rPr>
        <w:t>clodronato</w:t>
      </w:r>
      <w:proofErr w:type="spellEnd"/>
      <w:r w:rsidRPr="00364C44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364C44">
        <w:rPr>
          <w:rFonts w:eastAsia="Calibri" w:cs="Calibri"/>
          <w:color w:val="000000"/>
          <w:lang w:eastAsia="it-IT"/>
        </w:rPr>
        <w:t>disodico</w:t>
      </w:r>
      <w:proofErr w:type="spellEnd"/>
      <w:r w:rsidRPr="00364C44">
        <w:rPr>
          <w:rFonts w:eastAsia="Calibri" w:cs="Calibri"/>
          <w:color w:val="000000"/>
          <w:lang w:eastAsia="it-IT"/>
        </w:rPr>
        <w:t xml:space="preserve"> e </w:t>
      </w:r>
      <w:r>
        <w:rPr>
          <w:rFonts w:eastAsia="Calibri" w:cs="Calibri"/>
          <w:color w:val="000000"/>
          <w:lang w:eastAsia="it-IT"/>
        </w:rPr>
        <w:t>40</w:t>
      </w:r>
      <w:r w:rsidRPr="00364C44">
        <w:rPr>
          <w:rFonts w:eastAsia="Calibri" w:cs="Calibri"/>
          <w:color w:val="000000"/>
          <w:lang w:eastAsia="it-IT"/>
        </w:rPr>
        <w:t xml:space="preserve"> mg del principio attivo lidocaina cloridrato (1%).</w:t>
      </w:r>
    </w:p>
    <w:p w:rsidR="00B32D81" w:rsidRPr="003A0AA5" w:rsidRDefault="00310B73" w:rsidP="00D8197E">
      <w:pPr>
        <w:widowControl w:val="0"/>
        <w:spacing w:after="0" w:line="240" w:lineRule="auto"/>
        <w:contextualSpacing/>
        <w:jc w:val="both"/>
        <w:rPr>
          <w:rFonts w:eastAsia="Calibri" w:cs="Calibri"/>
          <w:bCs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LICLORACT</w:t>
      </w:r>
      <w:r w:rsidR="00520FDC" w:rsidRPr="003A0AA5">
        <w:rPr>
          <w:rFonts w:eastAsia="Calibri" w:cs="Calibri"/>
          <w:color w:val="000000"/>
          <w:lang w:eastAsia="it-IT"/>
        </w:rPr>
        <w:t xml:space="preserve"> </w:t>
      </w:r>
      <w:r w:rsidR="003A0AA5" w:rsidRPr="003A0AA5">
        <w:rPr>
          <w:rFonts w:eastAsia="Calibri" w:cs="Calibri"/>
          <w:color w:val="000000"/>
          <w:lang w:eastAsia="it-IT"/>
        </w:rPr>
        <w:t xml:space="preserve">è un “medicinale generico”, cioè è analogo ad un “medicinale di riferimento”, già autorizzato in Italia, </w:t>
      </w:r>
      <w:proofErr w:type="spellStart"/>
      <w:r w:rsidR="00364C44">
        <w:rPr>
          <w:rFonts w:eastAsia="Calibri" w:cs="Calibri"/>
          <w:color w:val="000000"/>
          <w:lang w:eastAsia="it-IT"/>
        </w:rPr>
        <w:t>Clasteon</w:t>
      </w:r>
      <w:proofErr w:type="spellEnd"/>
      <w:r w:rsidR="003A0AA5" w:rsidRPr="003A0AA5">
        <w:rPr>
          <w:rFonts w:eastAsia="Calibri" w:cs="Calibri"/>
          <w:color w:val="000000"/>
          <w:lang w:eastAsia="it-IT"/>
        </w:rPr>
        <w:t>.</w:t>
      </w:r>
    </w:p>
    <w:p w:rsidR="009A3BA6" w:rsidRPr="009A3BA6" w:rsidRDefault="009A3BA6" w:rsidP="009A3BA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  <w:r w:rsidRPr="009A3BA6">
        <w:rPr>
          <w:rFonts w:eastAsia="Calibri" w:cs="Calibri"/>
          <w:color w:val="000000"/>
          <w:lang w:eastAsia="it-IT"/>
        </w:rPr>
        <w:t>LICLORACT è utilizzato negli adulti per il trattamento:</w:t>
      </w:r>
    </w:p>
    <w:p w:rsidR="009A3BA6" w:rsidRPr="009A3BA6" w:rsidRDefault="009A3BA6" w:rsidP="009A3BA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  <w:r w:rsidRPr="009A3BA6">
        <w:rPr>
          <w:rFonts w:eastAsia="Calibri" w:cs="Calibri"/>
          <w:color w:val="000000"/>
          <w:lang w:eastAsia="it-IT"/>
        </w:rPr>
        <w:t>della perdita di consistenza delle ossa in seguito a tumore (</w:t>
      </w:r>
      <w:proofErr w:type="spellStart"/>
      <w:r w:rsidRPr="009A3BA6">
        <w:rPr>
          <w:rFonts w:eastAsia="Calibri" w:cs="Calibri"/>
          <w:color w:val="000000"/>
          <w:lang w:eastAsia="it-IT"/>
        </w:rPr>
        <w:t>osteolisi</w:t>
      </w:r>
      <w:proofErr w:type="spellEnd"/>
      <w:r w:rsidRPr="009A3BA6">
        <w:rPr>
          <w:rFonts w:eastAsia="Calibri" w:cs="Calibri"/>
          <w:color w:val="000000"/>
          <w:lang w:eastAsia="it-IT"/>
        </w:rPr>
        <w:t xml:space="preserve"> tumorali);</w:t>
      </w:r>
    </w:p>
    <w:p w:rsidR="009A3BA6" w:rsidRPr="009A3BA6" w:rsidRDefault="009A3BA6" w:rsidP="009A3BA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  <w:r w:rsidRPr="009A3BA6">
        <w:rPr>
          <w:rFonts w:eastAsia="Calibri" w:cs="Calibri"/>
          <w:color w:val="000000"/>
          <w:lang w:eastAsia="it-IT"/>
        </w:rPr>
        <w:t>di tumore del midollo osseo (mieloma multiplo);</w:t>
      </w:r>
    </w:p>
    <w:p w:rsidR="009A3BA6" w:rsidRPr="009A3BA6" w:rsidRDefault="009A3BA6" w:rsidP="009A3BA6">
      <w:pPr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  <w:r w:rsidRPr="009A3BA6">
        <w:rPr>
          <w:rFonts w:eastAsia="Calibri" w:cs="Calibri"/>
          <w:color w:val="000000"/>
          <w:lang w:eastAsia="it-IT"/>
        </w:rPr>
        <w:t>dell’eccessiva funzionalità delle paratiroidi (</w:t>
      </w:r>
      <w:proofErr w:type="spellStart"/>
      <w:r w:rsidRPr="009A3BA6">
        <w:rPr>
          <w:rFonts w:eastAsia="Calibri" w:cs="Calibri"/>
          <w:color w:val="000000"/>
          <w:lang w:eastAsia="it-IT"/>
        </w:rPr>
        <w:t>iperparatiroidismo</w:t>
      </w:r>
      <w:proofErr w:type="spellEnd"/>
      <w:r w:rsidRPr="009A3BA6">
        <w:rPr>
          <w:rFonts w:eastAsia="Calibri" w:cs="Calibri"/>
          <w:color w:val="000000"/>
          <w:lang w:eastAsia="it-IT"/>
        </w:rPr>
        <w:t xml:space="preserve"> primario).</w:t>
      </w:r>
    </w:p>
    <w:p w:rsidR="009A3BA6" w:rsidRPr="009A3BA6" w:rsidRDefault="009A3BA6" w:rsidP="009A3BA6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  <w:r w:rsidRPr="009A3BA6">
        <w:rPr>
          <w:rFonts w:eastAsia="Calibri" w:cs="Calibri"/>
          <w:color w:val="000000"/>
          <w:lang w:eastAsia="it-IT"/>
        </w:rPr>
        <w:t>È inoltre utilizzato nelle donne per la prevenzione e il trattamento della perdita di consistenza delle ossa (osteoporosi) dopo la menopausa (periodo di interruzione permanente del ciclo mestruale).</w:t>
      </w:r>
    </w:p>
    <w:p w:rsidR="009F0F0B" w:rsidRPr="00502AB1" w:rsidRDefault="009F0F0B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7678AB" w:rsidRDefault="007678AB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7678AB" w:rsidRDefault="007678AB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lastRenderedPageBreak/>
        <w:t xml:space="preserve">2) COME E’ PRESCRITTO/USATO </w:t>
      </w:r>
      <w:r w:rsidR="00310B73">
        <w:rPr>
          <w:rFonts w:eastAsia="Calibri" w:cs="Calibri"/>
          <w:b/>
          <w:color w:val="000000"/>
          <w:lang w:eastAsia="it-IT"/>
        </w:rPr>
        <w:t>LICLORACT</w:t>
      </w:r>
      <w:r w:rsidRPr="00502AB1">
        <w:rPr>
          <w:rFonts w:eastAsia="Calibri" w:cs="Calibri"/>
          <w:b/>
          <w:bCs/>
          <w:color w:val="000000"/>
          <w:lang w:eastAsia="it-IT"/>
        </w:rPr>
        <w:t>?</w:t>
      </w:r>
    </w:p>
    <w:p w:rsidR="007935FE" w:rsidRPr="00502AB1" w:rsidRDefault="00310B73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LICLORACT</w:t>
      </w:r>
      <w:r w:rsidR="005A2741" w:rsidRPr="00502AB1">
        <w:rPr>
          <w:rFonts w:eastAsia="Calibri" w:cs="Calibri"/>
          <w:color w:val="000000"/>
          <w:lang w:eastAsia="it-IT"/>
        </w:rPr>
        <w:t xml:space="preserve"> </w:t>
      </w:r>
      <w:r w:rsidR="007935FE" w:rsidRPr="00502AB1">
        <w:rPr>
          <w:rFonts w:eastAsia="Calibri" w:cs="Calibri"/>
          <w:color w:val="000000"/>
          <w:lang w:eastAsia="it-IT"/>
        </w:rPr>
        <w:t>può essere ottenuto solo dietro prescrizione da parte del medico (ricetta ripetibile).</w:t>
      </w:r>
    </w:p>
    <w:p w:rsidR="009A3BA6" w:rsidRPr="009A3BA6" w:rsidRDefault="009A3BA6" w:rsidP="009A3B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b/>
          <w:bCs/>
          <w:color w:val="000000"/>
          <w:lang w:eastAsia="it-IT"/>
        </w:rPr>
      </w:pPr>
      <w:r w:rsidRPr="009A3BA6">
        <w:rPr>
          <w:rFonts w:eastAsia="Calibri" w:cs="Verdana"/>
          <w:bCs/>
          <w:color w:val="000000"/>
          <w:lang w:eastAsia="it-IT"/>
        </w:rPr>
        <w:t xml:space="preserve">Il medicinale è solo per uso intramuscolare (da iniettare cioè in un muscolo) e </w:t>
      </w:r>
      <w:r w:rsidRPr="009A3BA6">
        <w:rPr>
          <w:rFonts w:eastAsia="Calibri" w:cs="Verdana"/>
          <w:b/>
          <w:bCs/>
          <w:color w:val="000000"/>
          <w:lang w:eastAsia="it-IT"/>
        </w:rPr>
        <w:t>non deve</w:t>
      </w:r>
      <w:r w:rsidRPr="009A3BA6">
        <w:rPr>
          <w:rFonts w:eastAsia="Calibri" w:cs="Verdana"/>
          <w:bCs/>
          <w:color w:val="000000"/>
          <w:lang w:eastAsia="it-IT"/>
        </w:rPr>
        <w:t xml:space="preserve"> essere somministrato all’interno di un vaso sanguigno (per via endovenosa). L’iniezione accidentale in una vena aumenta il rischio che si verifichino reazioni avverse gravi dovute all’elevata quantità nel s</w:t>
      </w:r>
      <w:r>
        <w:rPr>
          <w:rFonts w:eastAsia="Calibri" w:cs="Verdana"/>
          <w:bCs/>
          <w:color w:val="000000"/>
          <w:lang w:eastAsia="it-IT"/>
        </w:rPr>
        <w:t>angue dell’anestetico lidocaina.</w:t>
      </w:r>
      <w:r w:rsidRPr="009A3BA6">
        <w:rPr>
          <w:rFonts w:ascii="Times New Roman" w:hAnsi="Times New Roman"/>
        </w:rPr>
        <w:t xml:space="preserve"> </w:t>
      </w:r>
    </w:p>
    <w:p w:rsidR="009A3BA6" w:rsidRPr="009A3BA6" w:rsidRDefault="009A3BA6" w:rsidP="009A3B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bCs/>
          <w:color w:val="000000"/>
          <w:lang w:eastAsia="it-IT"/>
        </w:rPr>
      </w:pPr>
      <w:r w:rsidRPr="009A3BA6">
        <w:rPr>
          <w:rFonts w:eastAsia="Calibri" w:cs="Verdana"/>
          <w:bCs/>
          <w:color w:val="000000"/>
          <w:u w:val="single"/>
          <w:lang w:eastAsia="it-IT"/>
        </w:rPr>
        <w:t xml:space="preserve">Per </w:t>
      </w:r>
      <w:r>
        <w:rPr>
          <w:rFonts w:eastAsia="Calibri" w:cs="Verdana"/>
          <w:bCs/>
          <w:color w:val="000000"/>
          <w:u w:val="single"/>
          <w:lang w:eastAsia="it-IT"/>
        </w:rPr>
        <w:t xml:space="preserve">il trattamento dell’ </w:t>
      </w:r>
      <w:proofErr w:type="spellStart"/>
      <w:r w:rsidRPr="00D419A0">
        <w:rPr>
          <w:rFonts w:eastAsia="Calibri" w:cs="Verdana"/>
          <w:bCs/>
          <w:color w:val="000000"/>
          <w:u w:val="single"/>
          <w:lang w:eastAsia="it-IT"/>
        </w:rPr>
        <w:t>Osteolisi</w:t>
      </w:r>
      <w:proofErr w:type="spellEnd"/>
      <w:r w:rsidRPr="00D419A0">
        <w:rPr>
          <w:rFonts w:eastAsia="Calibri" w:cs="Verdana"/>
          <w:bCs/>
          <w:color w:val="000000"/>
          <w:u w:val="single"/>
          <w:lang w:eastAsia="it-IT"/>
        </w:rPr>
        <w:t xml:space="preserve"> tumorali, mieloma multiplo e </w:t>
      </w:r>
      <w:proofErr w:type="spellStart"/>
      <w:r w:rsidRPr="00D419A0">
        <w:rPr>
          <w:rFonts w:eastAsia="Calibri" w:cs="Verdana"/>
          <w:bCs/>
          <w:color w:val="000000"/>
          <w:u w:val="single"/>
          <w:lang w:eastAsia="it-IT"/>
        </w:rPr>
        <w:t>iperparatiroidismo</w:t>
      </w:r>
      <w:proofErr w:type="spellEnd"/>
      <w:r w:rsidRPr="00D419A0">
        <w:rPr>
          <w:rFonts w:eastAsia="Calibri" w:cs="Verdana"/>
          <w:bCs/>
          <w:color w:val="000000"/>
          <w:u w:val="single"/>
          <w:lang w:eastAsia="it-IT"/>
        </w:rPr>
        <w:t xml:space="preserve"> primario</w:t>
      </w:r>
      <w:r>
        <w:rPr>
          <w:rFonts w:eastAsia="Calibri" w:cs="Verdana"/>
          <w:bCs/>
          <w:color w:val="000000"/>
          <w:lang w:eastAsia="it-IT"/>
        </w:rPr>
        <w:t xml:space="preserve"> LICLORACT viene utilizzato </w:t>
      </w:r>
      <w:r w:rsidRPr="00D419A0">
        <w:rPr>
          <w:rFonts w:eastAsia="Calibri" w:cs="Verdana"/>
          <w:b/>
          <w:bCs/>
          <w:color w:val="000000"/>
          <w:lang w:eastAsia="it-IT"/>
        </w:rPr>
        <w:t xml:space="preserve">solo </w:t>
      </w:r>
      <w:r>
        <w:rPr>
          <w:rFonts w:eastAsia="Calibri" w:cs="Verdana"/>
          <w:bCs/>
          <w:color w:val="000000"/>
          <w:lang w:eastAsia="it-IT"/>
        </w:rPr>
        <w:t>nella fase di mantenimento</w:t>
      </w:r>
      <w:r w:rsidR="00D419A0">
        <w:rPr>
          <w:rFonts w:eastAsia="Calibri" w:cs="Verdana"/>
          <w:bCs/>
          <w:color w:val="000000"/>
          <w:lang w:eastAsia="it-IT"/>
        </w:rPr>
        <w:t xml:space="preserve"> (per la fase di attacco</w:t>
      </w:r>
      <w:r w:rsidR="00D419A0" w:rsidRPr="00D419A0">
        <w:rPr>
          <w:rFonts w:eastAsia="Calibri" w:cs="Verdana"/>
          <w:bCs/>
          <w:color w:val="000000"/>
          <w:lang w:eastAsia="it-IT"/>
        </w:rPr>
        <w:t xml:space="preserve"> deve essere somministrato un </w:t>
      </w:r>
      <w:r w:rsidR="00D419A0">
        <w:rPr>
          <w:rFonts w:eastAsia="Calibri" w:cs="Verdana"/>
          <w:bCs/>
          <w:color w:val="000000"/>
          <w:lang w:eastAsia="it-IT"/>
        </w:rPr>
        <w:t xml:space="preserve">altro </w:t>
      </w:r>
      <w:r w:rsidR="00D419A0" w:rsidRPr="00D419A0">
        <w:rPr>
          <w:rFonts w:eastAsia="Calibri" w:cs="Verdana"/>
          <w:bCs/>
          <w:color w:val="000000"/>
          <w:lang w:eastAsia="it-IT"/>
        </w:rPr>
        <w:t xml:space="preserve">medicinale a base di </w:t>
      </w:r>
      <w:proofErr w:type="spellStart"/>
      <w:r w:rsidR="00D419A0" w:rsidRPr="00D419A0">
        <w:rPr>
          <w:rFonts w:eastAsia="Calibri" w:cs="Verdana"/>
          <w:bCs/>
          <w:color w:val="000000"/>
          <w:lang w:eastAsia="it-IT"/>
        </w:rPr>
        <w:t>clodron</w:t>
      </w:r>
      <w:r w:rsidR="00D419A0">
        <w:rPr>
          <w:rFonts w:eastAsia="Calibri" w:cs="Verdana"/>
          <w:bCs/>
          <w:color w:val="000000"/>
          <w:lang w:eastAsia="it-IT"/>
        </w:rPr>
        <w:t>ato</w:t>
      </w:r>
      <w:proofErr w:type="spellEnd"/>
      <w:r w:rsidR="00D419A0" w:rsidRPr="00D419A0">
        <w:rPr>
          <w:rFonts w:eastAsia="Calibri" w:cs="Verdana"/>
          <w:bCs/>
          <w:color w:val="000000"/>
          <w:lang w:eastAsia="it-IT"/>
        </w:rPr>
        <w:t xml:space="preserve"> per infusione endovenosa</w:t>
      </w:r>
      <w:r w:rsidR="00D419A0">
        <w:rPr>
          <w:rFonts w:eastAsia="Calibri" w:cs="Verdana"/>
          <w:bCs/>
          <w:color w:val="000000"/>
          <w:lang w:eastAsia="it-IT"/>
        </w:rPr>
        <w:t xml:space="preserve">). </w:t>
      </w:r>
    </w:p>
    <w:p w:rsidR="009A3BA6" w:rsidRPr="009A3BA6" w:rsidRDefault="00D419A0" w:rsidP="009A3B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rPr>
          <w:rFonts w:eastAsia="Calibri" w:cs="Verdana"/>
          <w:color w:val="000000"/>
          <w:lang w:eastAsia="it-IT"/>
        </w:rPr>
        <w:t>Sono previsti</w:t>
      </w:r>
      <w:r w:rsidR="009A3BA6" w:rsidRPr="009A3BA6">
        <w:rPr>
          <w:rFonts w:eastAsia="Calibri" w:cs="Verdana"/>
          <w:color w:val="000000"/>
          <w:lang w:eastAsia="it-IT"/>
        </w:rPr>
        <w:t xml:space="preserve"> cicli di trattamento </w:t>
      </w:r>
      <w:r>
        <w:rPr>
          <w:rFonts w:eastAsia="Calibri" w:cs="Verdana"/>
          <w:color w:val="000000"/>
          <w:lang w:eastAsia="it-IT"/>
        </w:rPr>
        <w:t xml:space="preserve">di </w:t>
      </w:r>
      <w:r w:rsidRPr="00D419A0">
        <w:rPr>
          <w:rFonts w:eastAsia="Calibri" w:cs="Verdana"/>
          <w:color w:val="000000"/>
          <w:lang w:eastAsia="it-IT"/>
        </w:rPr>
        <w:t xml:space="preserve">una fiala al giorno per 2-3 settimane </w:t>
      </w:r>
      <w:r>
        <w:rPr>
          <w:rFonts w:eastAsia="Calibri" w:cs="Verdana"/>
          <w:color w:val="000000"/>
          <w:lang w:eastAsia="it-IT"/>
        </w:rPr>
        <w:t xml:space="preserve">che </w:t>
      </w:r>
      <w:r w:rsidR="009A3BA6" w:rsidRPr="009A3BA6">
        <w:rPr>
          <w:rFonts w:eastAsia="Calibri" w:cs="Verdana"/>
          <w:color w:val="000000"/>
          <w:lang w:eastAsia="it-IT"/>
        </w:rPr>
        <w:t>possono essere ripetuti ad intervalli variabili a seconda dell’evoluzione della malattia.</w:t>
      </w:r>
    </w:p>
    <w:p w:rsidR="00D419A0" w:rsidRPr="00D419A0" w:rsidRDefault="00D419A0" w:rsidP="00D419A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  <w:r>
        <w:rPr>
          <w:rFonts w:eastAsia="Calibri" w:cs="Verdana"/>
          <w:bCs/>
          <w:color w:val="000000"/>
          <w:u w:val="single"/>
          <w:lang w:eastAsia="it-IT"/>
        </w:rPr>
        <w:t>Per la p</w:t>
      </w:r>
      <w:r w:rsidR="009A3BA6" w:rsidRPr="00D419A0">
        <w:rPr>
          <w:rFonts w:eastAsia="Calibri" w:cs="Verdana"/>
          <w:bCs/>
          <w:color w:val="000000"/>
          <w:u w:val="single"/>
          <w:lang w:eastAsia="it-IT"/>
        </w:rPr>
        <w:t xml:space="preserve">revenzione e trattamento dell'osteoporosi post </w:t>
      </w:r>
      <w:proofErr w:type="spellStart"/>
      <w:r w:rsidR="009A3BA6" w:rsidRPr="00D419A0">
        <w:rPr>
          <w:rFonts w:eastAsia="Calibri" w:cs="Verdana"/>
          <w:bCs/>
          <w:color w:val="000000"/>
          <w:u w:val="single"/>
          <w:lang w:eastAsia="it-IT"/>
        </w:rPr>
        <w:t>menopausale</w:t>
      </w:r>
      <w:proofErr w:type="spellEnd"/>
      <w:r w:rsidR="00070A74">
        <w:rPr>
          <w:rFonts w:eastAsia="Calibri" w:cs="Verdana"/>
          <w:bCs/>
          <w:color w:val="000000"/>
          <w:u w:val="single"/>
          <w:lang w:eastAsia="it-IT"/>
        </w:rPr>
        <w:t xml:space="preserve"> </w:t>
      </w:r>
      <w:r w:rsidRPr="00D419A0">
        <w:rPr>
          <w:rFonts w:eastAsia="Calibri" w:cs="Verdana"/>
          <w:color w:val="000000"/>
          <w:lang w:eastAsia="it-IT"/>
        </w:rPr>
        <w:t>è prevista una fiala da 100 mg</w:t>
      </w:r>
      <w:r w:rsidR="009A3BA6" w:rsidRPr="00D419A0">
        <w:rPr>
          <w:rFonts w:eastAsia="Calibri" w:cs="Verdana"/>
          <w:color w:val="000000"/>
          <w:lang w:eastAsia="it-IT"/>
        </w:rPr>
        <w:t xml:space="preserve"> ogni 7-14 giorni, per 1 a</w:t>
      </w:r>
      <w:r w:rsidR="009A3BA6" w:rsidRPr="009A3BA6">
        <w:rPr>
          <w:rFonts w:eastAsia="Calibri" w:cs="Verdana"/>
          <w:color w:val="000000"/>
          <w:lang w:eastAsia="it-IT"/>
        </w:rPr>
        <w:t>nno o più a second</w:t>
      </w:r>
      <w:r>
        <w:rPr>
          <w:rFonts w:eastAsia="Calibri" w:cs="Verdana"/>
          <w:color w:val="000000"/>
          <w:lang w:eastAsia="it-IT"/>
        </w:rPr>
        <w:t>a delle condizioni del paziente oppure una fiala da</w:t>
      </w:r>
      <w:r w:rsidRPr="00D419A0">
        <w:rPr>
          <w:rFonts w:eastAsia="Calibri" w:cs="Verdana"/>
          <w:color w:val="000000"/>
          <w:lang w:eastAsia="it-IT"/>
        </w:rPr>
        <w:t xml:space="preserve"> 200 mg ogni 14-28 giorni, per 1 anno o più a seconda delle condizioni del paziente.</w:t>
      </w:r>
    </w:p>
    <w:p w:rsidR="009A3BA6" w:rsidRPr="009A3BA6" w:rsidRDefault="009A3BA6" w:rsidP="009A3BA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587D0E" w:rsidRPr="00502AB1" w:rsidRDefault="00587D0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color w:val="000000"/>
          <w:lang w:eastAsia="it-IT"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502AB1">
        <w:rPr>
          <w:rFonts w:eastAsia="Calibri" w:cs="Calibri"/>
          <w:b/>
          <w:bCs/>
          <w:color w:val="000000"/>
          <w:lang w:eastAsia="it-IT"/>
        </w:rPr>
        <w:t xml:space="preserve">3) COME FUNZIONA </w:t>
      </w:r>
      <w:r w:rsidR="00310B73">
        <w:rPr>
          <w:rFonts w:eastAsia="Calibri" w:cs="Calibri"/>
          <w:b/>
          <w:color w:val="000000"/>
          <w:lang w:eastAsia="it-IT"/>
        </w:rPr>
        <w:t>LICLORACT</w:t>
      </w:r>
      <w:r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6B5DF8" w:rsidRPr="006B5DF8" w:rsidRDefault="00310B73" w:rsidP="006B5DF8">
      <w:pPr>
        <w:autoSpaceDE w:val="0"/>
        <w:autoSpaceDN w:val="0"/>
        <w:adjustRightInd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LICLORACT</w:t>
      </w:r>
      <w:r w:rsidR="00502AB1" w:rsidRPr="00502AB1">
        <w:rPr>
          <w:snapToGrid w:val="0"/>
        </w:rPr>
        <w:t xml:space="preserve">, il cui codice ATC è </w:t>
      </w:r>
      <w:r w:rsidR="00D419A0" w:rsidRPr="00D419A0">
        <w:t>M05BA02</w:t>
      </w:r>
      <w:r w:rsidR="00502AB1" w:rsidRPr="00502AB1">
        <w:t>,</w:t>
      </w:r>
      <w:r w:rsidR="005A2741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4241AC" w:rsidRPr="00502AB1">
        <w:rPr>
          <w:rFonts w:eastAsia="Calibri" w:cs="Calibri"/>
          <w:color w:val="000000"/>
          <w:lang w:eastAsia="it-IT"/>
        </w:rPr>
        <w:t>contiene i principi attiv</w:t>
      </w:r>
      <w:r w:rsidR="00D419A0">
        <w:rPr>
          <w:rFonts w:eastAsia="Calibri" w:cs="Calibri"/>
          <w:color w:val="000000"/>
          <w:lang w:eastAsia="it-IT"/>
        </w:rPr>
        <w:t>i</w:t>
      </w:r>
      <w:r w:rsidR="004241AC" w:rsidRPr="00502AB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419A0">
        <w:rPr>
          <w:rFonts w:eastAsia="Calibri" w:cs="Calibri"/>
          <w:color w:val="000000"/>
          <w:lang w:eastAsia="it-IT"/>
        </w:rPr>
        <w:t>clodronato</w:t>
      </w:r>
      <w:proofErr w:type="spellEnd"/>
      <w:r w:rsidR="00D419A0">
        <w:rPr>
          <w:rFonts w:eastAsia="Calibri" w:cs="Calibri"/>
          <w:color w:val="000000"/>
          <w:lang w:eastAsia="it-IT"/>
        </w:rPr>
        <w:t xml:space="preserve"> sodico e lidocaina. </w:t>
      </w:r>
      <w:r w:rsidR="00D419A0">
        <w:t xml:space="preserve"> Il </w:t>
      </w:r>
      <w:proofErr w:type="spellStart"/>
      <w:r w:rsidR="00D419A0">
        <w:t>clodronato</w:t>
      </w:r>
      <w:proofErr w:type="spellEnd"/>
      <w:r w:rsidR="00D419A0">
        <w:t xml:space="preserve"> sodico </w:t>
      </w:r>
      <w:r w:rsidR="006B5DF8" w:rsidRPr="006B5DF8">
        <w:t xml:space="preserve">appartiene ad un gruppo di farmaci per il trattamento delle malattie delle ossa, chiamati </w:t>
      </w:r>
      <w:proofErr w:type="spellStart"/>
      <w:r w:rsidR="006B5DF8" w:rsidRPr="006B5DF8">
        <w:t>bifosfonati</w:t>
      </w:r>
      <w:proofErr w:type="spellEnd"/>
      <w:r w:rsidR="006B5DF8" w:rsidRPr="006B5DF8">
        <w:t>.</w:t>
      </w:r>
    </w:p>
    <w:p w:rsidR="00F01FB3" w:rsidRPr="006B5DF8" w:rsidRDefault="00D419A0" w:rsidP="00D419A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6B5DF8">
        <w:rPr>
          <w:rFonts w:eastAsia="Calibri" w:cs="Calibri"/>
          <w:color w:val="000000"/>
          <w:lang w:eastAsia="it-IT"/>
        </w:rPr>
        <w:t xml:space="preserve">La lidocaina </w:t>
      </w:r>
      <w:r w:rsidR="006B5DF8" w:rsidRPr="006B5DF8">
        <w:rPr>
          <w:rFonts w:eastAsia="Calibri" w:cs="Calibri"/>
          <w:color w:val="000000"/>
          <w:lang w:eastAsia="it-IT"/>
        </w:rPr>
        <w:t>è un anestetico locale che consente di ridurre i sintomi dolorifici associati alla somministrazione del medicinale.</w:t>
      </w:r>
      <w:r w:rsidR="00594CD5" w:rsidRPr="006B5DF8">
        <w:rPr>
          <w:rFonts w:eastAsia="Calibri" w:cs="Calibri"/>
          <w:color w:val="000000"/>
          <w:lang w:eastAsia="it-IT"/>
        </w:rPr>
        <w:t xml:space="preserve"> </w:t>
      </w:r>
      <w:r w:rsidRPr="006B5DF8">
        <w:rPr>
          <w:rFonts w:eastAsia="Calibri" w:cs="Calibri"/>
          <w:color w:val="000000"/>
          <w:lang w:eastAsia="it-IT"/>
        </w:rPr>
        <w:t xml:space="preserve"> </w:t>
      </w:r>
    </w:p>
    <w:p w:rsidR="00594CD5" w:rsidRPr="00502AB1" w:rsidRDefault="00594CD5" w:rsidP="00B32D81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4241AC" w:rsidRPr="00502AB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502AB1">
        <w:rPr>
          <w:rFonts w:eastAsia="Calibri" w:cs="Calibri"/>
          <w:b/>
          <w:bCs/>
          <w:lang w:eastAsia="it-IT"/>
        </w:rPr>
        <w:t xml:space="preserve">4) COME È STATO STUDIATO </w:t>
      </w:r>
      <w:r w:rsidR="00310B73">
        <w:rPr>
          <w:rFonts w:eastAsia="Calibri" w:cs="Calibri"/>
          <w:b/>
          <w:color w:val="000000"/>
          <w:lang w:eastAsia="it-IT"/>
        </w:rPr>
        <w:t>LICLORACT</w:t>
      </w:r>
      <w:r w:rsidR="005A2741" w:rsidRPr="00502AB1">
        <w:rPr>
          <w:rFonts w:eastAsia="Calibri" w:cs="Calibri"/>
          <w:b/>
          <w:bCs/>
          <w:color w:val="000000"/>
          <w:lang w:eastAsia="it-IT"/>
        </w:rPr>
        <w:t xml:space="preserve">? </w:t>
      </w:r>
      <w:r w:rsidRPr="00502AB1">
        <w:rPr>
          <w:rFonts w:eastAsia="Calibri" w:cs="Calibri"/>
          <w:b/>
          <w:bCs/>
          <w:lang w:eastAsia="it-IT"/>
        </w:rPr>
        <w:t xml:space="preserve"> </w:t>
      </w:r>
    </w:p>
    <w:p w:rsidR="00F01FB3" w:rsidRDefault="004241AC" w:rsidP="00F01FB3">
      <w:pPr>
        <w:spacing w:after="0" w:line="240" w:lineRule="auto"/>
        <w:jc w:val="both"/>
        <w:rPr>
          <w:rFonts w:cs="Arial"/>
        </w:rPr>
      </w:pPr>
      <w:r w:rsidRPr="00B32D81">
        <w:rPr>
          <w:rFonts w:cs="Arial"/>
        </w:rPr>
        <w:t xml:space="preserve">Poiché </w:t>
      </w:r>
      <w:r w:rsidR="00310B73">
        <w:rPr>
          <w:rFonts w:eastAsia="Calibri" w:cs="Calibri"/>
          <w:color w:val="000000"/>
          <w:lang w:eastAsia="it-IT"/>
        </w:rPr>
        <w:t>LICLORACT</w:t>
      </w:r>
      <w:r w:rsidR="005A2741"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="00013020" w:rsidRPr="00B32D81">
        <w:rPr>
          <w:rFonts w:cs="Arial"/>
        </w:rPr>
        <w:t>è un medicinale generico</w:t>
      </w:r>
      <w:r w:rsidRPr="00B32D81">
        <w:rPr>
          <w:rFonts w:cs="Arial"/>
        </w:rPr>
        <w:t xml:space="preserve"> </w:t>
      </w:r>
      <w:r w:rsidR="00F01FB3" w:rsidRPr="0023693E">
        <w:rPr>
          <w:rFonts w:cs="Arial"/>
        </w:rPr>
        <w:t>ed è somministrato</w:t>
      </w:r>
      <w:r w:rsidR="006B5DF8">
        <w:rPr>
          <w:rFonts w:cs="Arial"/>
        </w:rPr>
        <w:t xml:space="preserve"> come soluzione iniettabile </w:t>
      </w:r>
      <w:r w:rsidR="006B5DF8" w:rsidRPr="006B5DF8">
        <w:rPr>
          <w:rFonts w:cs="Arial"/>
        </w:rPr>
        <w:t xml:space="preserve">per via </w:t>
      </w:r>
      <w:r w:rsidR="006B5DF8">
        <w:rPr>
          <w:rFonts w:cs="Arial"/>
        </w:rPr>
        <w:t>intra</w:t>
      </w:r>
      <w:r w:rsidR="006B5DF8" w:rsidRPr="006B5DF8">
        <w:rPr>
          <w:rFonts w:cs="Arial"/>
        </w:rPr>
        <w:t>muscolare</w:t>
      </w:r>
      <w:r w:rsidR="00F01FB3" w:rsidRPr="00B21EAE">
        <w:rPr>
          <w:rFonts w:cs="Arial"/>
        </w:rPr>
        <w:t>, non è stato necessario effettuare ulteriori studi clinici.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310B73">
        <w:rPr>
          <w:rFonts w:eastAsia="Calibri" w:cs="Calibri"/>
          <w:b/>
          <w:color w:val="000000"/>
          <w:lang w:eastAsia="it-IT"/>
        </w:rPr>
        <w:t>LICLORACT</w:t>
      </w:r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? </w:t>
      </w:r>
    </w:p>
    <w:p w:rsidR="004241AC" w:rsidRPr="00B32D81" w:rsidRDefault="00310B73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color w:val="000000"/>
          <w:lang w:eastAsia="it-IT"/>
        </w:rPr>
        <w:t>LICLORACT</w:t>
      </w:r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="004241AC" w:rsidRPr="00B32D81">
        <w:rPr>
          <w:rFonts w:eastAsia="Calibri" w:cs="Calibri"/>
          <w:lang w:eastAsia="it-IT"/>
        </w:rPr>
        <w:t xml:space="preserve">è un medicinale </w:t>
      </w:r>
      <w:r w:rsidR="00013020" w:rsidRPr="00B32D81">
        <w:rPr>
          <w:rFonts w:eastAsia="Calibri" w:cs="Calibri"/>
          <w:lang w:eastAsia="it-IT"/>
        </w:rPr>
        <w:t>generico</w:t>
      </w:r>
      <w:r w:rsidR="004349A2" w:rsidRPr="00B32D81">
        <w:rPr>
          <w:rFonts w:eastAsia="Calibri" w:cs="Calibri"/>
          <w:lang w:eastAsia="it-IT"/>
        </w:rPr>
        <w:t>; pertanto,</w:t>
      </w:r>
      <w:r w:rsidR="004241AC" w:rsidRPr="00B32D81">
        <w:rPr>
          <w:rFonts w:eastAsia="Calibri" w:cs="Calibri"/>
          <w:lang w:eastAsia="it-IT"/>
        </w:rPr>
        <w:t xml:space="preserve"> </w:t>
      </w:r>
      <w:r w:rsidR="00013020" w:rsidRPr="00B32D81">
        <w:rPr>
          <w:rFonts w:eastAsia="Calibri" w:cs="Calibri"/>
          <w:lang w:eastAsia="it-IT"/>
        </w:rPr>
        <w:t>i suoi</w:t>
      </w:r>
      <w:r w:rsidR="004241AC" w:rsidRPr="00B32D81">
        <w:rPr>
          <w:rFonts w:eastAsia="Calibri" w:cs="Calibri"/>
          <w:lang w:eastAsia="it-IT"/>
        </w:rPr>
        <w:t xml:space="preserve"> benefici e rischi sono sovrapponibili a quelli de</w:t>
      </w:r>
      <w:r w:rsidR="00013020" w:rsidRPr="00B32D81">
        <w:rPr>
          <w:rFonts w:eastAsia="Calibri" w:cs="Calibri"/>
          <w:lang w:eastAsia="it-IT"/>
        </w:rPr>
        <w:t>l</w:t>
      </w:r>
      <w:r w:rsidR="004241AC" w:rsidRPr="00B32D81">
        <w:rPr>
          <w:rFonts w:eastAsia="Calibri" w:cs="Calibri"/>
          <w:lang w:eastAsia="it-IT"/>
        </w:rPr>
        <w:t xml:space="preserve"> medicinal</w:t>
      </w:r>
      <w:r w:rsidR="00013020" w:rsidRPr="00B32D81">
        <w:rPr>
          <w:rFonts w:eastAsia="Calibri" w:cs="Calibri"/>
          <w:lang w:eastAsia="it-IT"/>
        </w:rPr>
        <w:t>e</w:t>
      </w:r>
      <w:r w:rsidR="004241AC" w:rsidRPr="00B32D81">
        <w:rPr>
          <w:rFonts w:eastAsia="Calibri" w:cs="Calibri"/>
          <w:lang w:eastAsia="it-IT"/>
        </w:rPr>
        <w:t xml:space="preserve"> di riferimento.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6) PERCHE’ </w:t>
      </w:r>
      <w:r w:rsidR="00310B73">
        <w:rPr>
          <w:rFonts w:eastAsia="Calibri" w:cs="Calibri"/>
          <w:b/>
          <w:color w:val="000000"/>
          <w:lang w:eastAsia="it-IT"/>
        </w:rPr>
        <w:t>LICLORACT</w:t>
      </w:r>
      <w:r w:rsidR="005A2741" w:rsidRPr="00B32D81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b/>
          <w:bCs/>
          <w:lang w:eastAsia="it-IT"/>
        </w:rPr>
        <w:t xml:space="preserve">E’ STATO APPROVATO?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312EE">
        <w:rPr>
          <w:rFonts w:eastAsia="Calibri" w:cs="Calibri"/>
          <w:lang w:eastAsia="it-IT"/>
        </w:rPr>
        <w:t xml:space="preserve">La Commissione Tecnico Scientifica (CTS), nella seduta del </w:t>
      </w:r>
      <w:r w:rsidR="00C55B9A">
        <w:rPr>
          <w:rFonts w:ascii="Calibri" w:eastAsia="Calibri" w:hAnsi="Calibri" w:cs="Times New Roman"/>
        </w:rPr>
        <w:t>17, 18 e 19 gennaio 2018</w:t>
      </w:r>
      <w:r w:rsidR="005B446C" w:rsidRPr="006312EE">
        <w:rPr>
          <w:rFonts w:eastAsia="Calibri" w:cs="Calibri"/>
          <w:lang w:eastAsia="it-IT"/>
        </w:rPr>
        <w:t xml:space="preserve"> </w:t>
      </w:r>
      <w:r w:rsidRPr="006312EE">
        <w:rPr>
          <w:rFonts w:eastAsia="Calibri" w:cs="Calibri"/>
          <w:lang w:eastAsia="it-IT"/>
        </w:rPr>
        <w:t>ha concluso che,</w:t>
      </w:r>
      <w:r w:rsidRPr="00B32D81">
        <w:rPr>
          <w:rFonts w:eastAsia="Calibri" w:cs="Calibri"/>
          <w:lang w:eastAsia="it-IT"/>
        </w:rPr>
        <w:t xml:space="preserve"> conformemente ai requisiti della normativa vigente, come nel caso </w:t>
      </w:r>
      <w:r w:rsidR="00D20170" w:rsidRPr="00B32D81">
        <w:rPr>
          <w:rFonts w:eastAsia="Calibri" w:cs="Calibri"/>
          <w:lang w:eastAsia="it-IT"/>
        </w:rPr>
        <w:t>del</w:t>
      </w:r>
      <w:r w:rsidRPr="00B32D81">
        <w:rPr>
          <w:rFonts w:eastAsia="Calibri" w:cs="Calibri"/>
          <w:lang w:eastAsia="it-IT"/>
        </w:rPr>
        <w:t xml:space="preserve"> medicinal</w:t>
      </w:r>
      <w:r w:rsidR="00D20170" w:rsidRPr="00B32D81">
        <w:rPr>
          <w:rFonts w:eastAsia="Calibri" w:cs="Calibri"/>
          <w:lang w:eastAsia="it-IT"/>
        </w:rPr>
        <w:t>e</w:t>
      </w:r>
      <w:r w:rsidRPr="00B32D81">
        <w:rPr>
          <w:rFonts w:eastAsia="Calibri" w:cs="Calibri"/>
          <w:lang w:eastAsia="it-IT"/>
        </w:rPr>
        <w:t xml:space="preserve"> di riferimento </w:t>
      </w:r>
      <w:proofErr w:type="spellStart"/>
      <w:r w:rsidR="006B5DF8">
        <w:rPr>
          <w:rFonts w:eastAsia="Calibri" w:cs="Calibri"/>
          <w:lang w:eastAsia="it-IT"/>
        </w:rPr>
        <w:t>Clasteon</w:t>
      </w:r>
      <w:proofErr w:type="spellEnd"/>
      <w:r w:rsidR="00156285" w:rsidRPr="00B32D81">
        <w:rPr>
          <w:rFonts w:eastAsia="Calibri" w:cs="Calibri"/>
          <w:color w:val="000000"/>
          <w:lang w:eastAsia="it-IT"/>
        </w:rPr>
        <w:t>,</w:t>
      </w:r>
      <w:r w:rsidRPr="00B32D81">
        <w:rPr>
          <w:rFonts w:eastAsia="Calibri" w:cs="Calibri"/>
          <w:lang w:eastAsia="it-IT"/>
        </w:rPr>
        <w:t xml:space="preserve"> i benefici di </w:t>
      </w:r>
      <w:r w:rsidR="00310B73">
        <w:rPr>
          <w:rFonts w:eastAsia="Calibri" w:cs="Calibri"/>
          <w:color w:val="000000"/>
          <w:lang w:eastAsia="it-IT"/>
        </w:rPr>
        <w:t>LICLORACT</w:t>
      </w:r>
      <w:r w:rsidR="005A2741" w:rsidRPr="00B32D81">
        <w:rPr>
          <w:rFonts w:eastAsia="Calibri" w:cs="Calibri"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 xml:space="preserve">siano superiori ai rischi individuati. La CTS ha, inoltre, definito le modalità di prescrizione di cui al punto 2) di questo Riassunto e la classe di rimborsabilità del </w:t>
      </w:r>
      <w:r w:rsidRPr="00D57567">
        <w:rPr>
          <w:rFonts w:eastAsia="Calibri" w:cs="Calibri"/>
          <w:lang w:eastAsia="it-IT"/>
        </w:rPr>
        <w:t>medicinale</w:t>
      </w:r>
      <w:r w:rsidR="00D20170" w:rsidRPr="00D57567">
        <w:rPr>
          <w:rFonts w:eastAsia="Calibri" w:cs="Calibri"/>
          <w:lang w:eastAsia="it-IT"/>
        </w:rPr>
        <w:t xml:space="preserve"> </w:t>
      </w:r>
      <w:r w:rsidR="007935FE" w:rsidRPr="00590665">
        <w:rPr>
          <w:rFonts w:eastAsia="Calibri" w:cs="Calibri"/>
          <w:lang w:eastAsia="it-IT"/>
        </w:rPr>
        <w:t>(</w:t>
      </w:r>
      <w:r w:rsidR="00070A74">
        <w:rPr>
          <w:rFonts w:eastAsia="Calibri" w:cs="Calibri"/>
          <w:lang w:eastAsia="it-IT"/>
        </w:rPr>
        <w:t>C</w:t>
      </w:r>
      <w:r w:rsidR="007935FE" w:rsidRPr="00590665">
        <w:rPr>
          <w:rFonts w:eastAsia="Calibri" w:cs="Calibri"/>
          <w:lang w:eastAsia="it-IT"/>
        </w:rPr>
        <w:t>)</w:t>
      </w:r>
      <w:r w:rsidRPr="00590665">
        <w:rPr>
          <w:rFonts w:eastAsia="Calibri" w:cs="Calibri"/>
          <w:lang w:eastAsia="it-IT"/>
        </w:rPr>
        <w:t>.</w:t>
      </w:r>
      <w:r w:rsidRPr="00B32D81">
        <w:rPr>
          <w:rFonts w:eastAsia="Calibri" w:cs="Calibri"/>
          <w:lang w:eastAsia="it-IT"/>
        </w:rPr>
        <w:t xml:space="preserve">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B32D81">
        <w:rPr>
          <w:rFonts w:eastAsia="Calibri" w:cs="Calibri"/>
          <w:b/>
          <w:bCs/>
          <w:lang w:eastAsia="it-IT"/>
        </w:rPr>
        <w:t>DI</w:t>
      </w:r>
      <w:proofErr w:type="spellEnd"/>
      <w:r w:rsidRPr="00B32D81">
        <w:rPr>
          <w:rFonts w:eastAsia="Calibri" w:cs="Calibri"/>
          <w:b/>
          <w:bCs/>
          <w:lang w:eastAsia="it-IT"/>
        </w:rPr>
        <w:t xml:space="preserve"> </w:t>
      </w:r>
      <w:r w:rsidR="00310B73">
        <w:rPr>
          <w:rFonts w:eastAsia="Calibri" w:cs="Calibri"/>
          <w:b/>
          <w:color w:val="000000"/>
          <w:lang w:eastAsia="it-IT"/>
        </w:rPr>
        <w:t>LICLORACT</w:t>
      </w:r>
      <w:r w:rsidR="005A2741" w:rsidRPr="00B32D81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Pr="00B32D81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Il </w:t>
      </w:r>
      <w:r>
        <w:rPr>
          <w:rFonts w:eastAsia="Calibri" w:cs="Calibri"/>
          <w:lang w:eastAsia="it-IT"/>
        </w:rPr>
        <w:t>titolare</w:t>
      </w:r>
      <w:r w:rsidRPr="002A3F14">
        <w:rPr>
          <w:rFonts w:eastAsia="Calibri" w:cs="Calibri"/>
          <w:lang w:eastAsia="it-IT"/>
        </w:rPr>
        <w:t xml:space="preserve"> dell’autorizzazione all’immissione in commercio (AIC) ha presentato u</w:t>
      </w:r>
      <w:r>
        <w:rPr>
          <w:rFonts w:eastAsia="Calibri" w:cs="Calibri"/>
          <w:lang w:eastAsia="it-IT"/>
        </w:rPr>
        <w:t>n Piano di Gestione del Rischio</w:t>
      </w:r>
      <w:r w:rsidRPr="002A3F14">
        <w:rPr>
          <w:rFonts w:eastAsia="Calibri" w:cs="Calibri"/>
          <w:lang w:eastAsia="it-IT"/>
        </w:rPr>
        <w:t xml:space="preserve">, in accordo con quanto richiesto dalla Direttiva 2001/83/CE e successivi emendamenti, descrivendo le attività di Farmacovigilanza e gli interventi finalizzati ad identificare, caratterizzare, prevenire o minimizzare i rischi correlati </w:t>
      </w:r>
      <w:r w:rsidR="004241AC" w:rsidRPr="00B32D81">
        <w:rPr>
          <w:rFonts w:eastAsia="Calibri" w:cs="Calibri"/>
          <w:lang w:eastAsia="it-IT"/>
        </w:rPr>
        <w:t xml:space="preserve">a </w:t>
      </w:r>
      <w:r w:rsidR="00310B73">
        <w:rPr>
          <w:rFonts w:eastAsia="Calibri" w:cs="Calibri"/>
          <w:color w:val="000000"/>
          <w:lang w:eastAsia="it-IT"/>
        </w:rPr>
        <w:t>LICLORACT</w:t>
      </w:r>
      <w:r w:rsidR="004241AC" w:rsidRPr="00B32D81">
        <w:rPr>
          <w:rFonts w:eastAsia="Calibri" w:cs="Calibri"/>
          <w:lang w:eastAsia="it-IT"/>
        </w:rPr>
        <w:t>.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5A2741" w:rsidRPr="00B32D81" w:rsidRDefault="00092BAB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color w:val="000000"/>
          <w:lang w:eastAsia="it-IT"/>
        </w:rPr>
      </w:pPr>
      <w:r>
        <w:rPr>
          <w:rFonts w:eastAsia="Calibri" w:cs="Calibri"/>
          <w:b/>
          <w:bCs/>
          <w:lang w:eastAsia="it-IT"/>
        </w:rPr>
        <w:t>8) ALTRE INFORMAZIONI RELATIVE A</w:t>
      </w:r>
      <w:r w:rsidR="004241AC" w:rsidRPr="00B32D81">
        <w:rPr>
          <w:rFonts w:eastAsia="Calibri" w:cs="Calibri"/>
          <w:b/>
          <w:bCs/>
          <w:lang w:eastAsia="it-IT"/>
        </w:rPr>
        <w:t xml:space="preserve"> </w:t>
      </w:r>
      <w:r w:rsidR="00310B73">
        <w:rPr>
          <w:rFonts w:eastAsia="Calibri" w:cs="Calibri"/>
          <w:b/>
          <w:color w:val="000000"/>
          <w:lang w:eastAsia="it-IT"/>
        </w:rPr>
        <w:t>LICLORACT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lang w:eastAsia="it-IT"/>
        </w:rPr>
      </w:pPr>
      <w:r w:rsidRPr="00B32D81">
        <w:rPr>
          <w:rFonts w:eastAsia="Calibri" w:cs="Calibri"/>
          <w:bCs/>
          <w:iCs/>
          <w:lang w:eastAsia="it-IT"/>
        </w:rPr>
        <w:t xml:space="preserve"> </w:t>
      </w:r>
      <w:r w:rsidR="00C26E2A">
        <w:rPr>
          <w:rFonts w:eastAsia="Calibri" w:cs="Calibri"/>
          <w:bCs/>
          <w:iCs/>
          <w:lang w:eastAsia="it-IT"/>
        </w:rPr>
        <w:t>Il 06/06/2018 l</w:t>
      </w:r>
      <w:r w:rsidRPr="00B32D81">
        <w:rPr>
          <w:rFonts w:eastAsia="Calibri" w:cs="Calibri"/>
          <w:bCs/>
          <w:iCs/>
          <w:lang w:eastAsia="it-IT"/>
        </w:rPr>
        <w:t xml:space="preserve">’AIFA ha rilasciato l’autorizzazione all’immissione in commercio di </w:t>
      </w:r>
      <w:r w:rsidR="00310B73">
        <w:rPr>
          <w:rFonts w:eastAsia="Calibri" w:cs="Calibri"/>
          <w:color w:val="000000"/>
          <w:lang w:eastAsia="it-IT"/>
        </w:rPr>
        <w:t>LICLORACT</w:t>
      </w:r>
      <w:r w:rsidRPr="00B32D81">
        <w:rPr>
          <w:rFonts w:eastAsia="Calibri" w:cs="Calibri"/>
          <w:bCs/>
          <w:lang w:eastAsia="it-IT"/>
        </w:rPr>
        <w:t xml:space="preserve">. </w:t>
      </w:r>
    </w:p>
    <w:p w:rsidR="007935FE" w:rsidRDefault="007935FE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7935FE" w:rsidRDefault="007935FE" w:rsidP="007935FE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 xml:space="preserve">La Relazione Pubblica di Valutazione completa segue questo Riassunto. </w:t>
      </w:r>
    </w:p>
    <w:p w:rsidR="004241AC" w:rsidRPr="00B32D81" w:rsidRDefault="004241AC" w:rsidP="00B32D8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 xml:space="preserve">Per maggiori informazioni riguardo il trattamento con </w:t>
      </w:r>
      <w:r w:rsidR="00310B73">
        <w:rPr>
          <w:rFonts w:eastAsia="Calibri" w:cs="Calibri"/>
          <w:color w:val="000000"/>
          <w:lang w:eastAsia="it-IT"/>
        </w:rPr>
        <w:t>LICLORACT</w:t>
      </w:r>
      <w:r w:rsidRPr="00B32D81">
        <w:rPr>
          <w:rFonts w:eastAsia="Calibri" w:cs="Calibri"/>
          <w:bCs/>
          <w:color w:val="000000"/>
          <w:lang w:eastAsia="it-IT"/>
        </w:rPr>
        <w:t xml:space="preserve"> </w:t>
      </w:r>
      <w:r w:rsidRPr="00B32D81">
        <w:rPr>
          <w:rFonts w:eastAsia="Calibri" w:cs="Calibri"/>
          <w:lang w:eastAsia="it-IT"/>
        </w:rPr>
        <w:t>si può leggere il foglio illustrativo</w:t>
      </w:r>
      <w:r w:rsidR="00D20170" w:rsidRPr="00B32D81">
        <w:rPr>
          <w:rFonts w:eastAsia="Calibri" w:cs="Calibri"/>
          <w:lang w:eastAsia="it-IT"/>
        </w:rPr>
        <w:t xml:space="preserve"> </w:t>
      </w:r>
      <w:r w:rsidR="00B75EA4" w:rsidRPr="00B32D81">
        <w:rPr>
          <w:rFonts w:eastAsia="Calibri" w:cs="Calibri"/>
          <w:lang w:eastAsia="it-IT"/>
        </w:rPr>
        <w:t>(</w:t>
      </w:r>
      <w:hyperlink r:id="rId6" w:history="1">
        <w:r w:rsidR="00B75EA4" w:rsidRPr="00B32D81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75EA4" w:rsidRPr="00B32D81">
        <w:rPr>
          <w:rFonts w:eastAsia="Calibri" w:cs="Calibri"/>
          <w:lang w:eastAsia="it-IT"/>
        </w:rPr>
        <w:t xml:space="preserve">) </w:t>
      </w:r>
      <w:r w:rsidRPr="00B32D81">
        <w:rPr>
          <w:rFonts w:eastAsia="Calibri" w:cs="Calibri"/>
          <w:lang w:eastAsia="it-IT"/>
        </w:rPr>
        <w:t xml:space="preserve">o contattare il medico o </w:t>
      </w:r>
      <w:r w:rsidR="00FA55B0" w:rsidRPr="00B32D81">
        <w:rPr>
          <w:rFonts w:eastAsia="Calibri" w:cs="Calibri"/>
          <w:lang w:eastAsia="it-IT"/>
        </w:rPr>
        <w:t xml:space="preserve">il </w:t>
      </w:r>
      <w:r w:rsidRPr="00B32D81">
        <w:rPr>
          <w:rFonts w:eastAsia="Calibri" w:cs="Calibri"/>
          <w:lang w:eastAsia="it-IT"/>
        </w:rPr>
        <w:t xml:space="preserve">farmacista. </w:t>
      </w:r>
    </w:p>
    <w:p w:rsidR="004241AC" w:rsidRPr="00B32D81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B32D81">
      <w:pPr>
        <w:spacing w:after="0" w:line="240" w:lineRule="auto"/>
        <w:jc w:val="both"/>
        <w:rPr>
          <w:rFonts w:eastAsia="Calibri" w:cs="Calibri"/>
          <w:lang w:eastAsia="it-IT"/>
        </w:rPr>
      </w:pPr>
      <w:r w:rsidRPr="00B32D81">
        <w:rPr>
          <w:rFonts w:eastAsia="Calibri" w:cs="Calibri"/>
          <w:lang w:eastAsia="it-IT"/>
        </w:rPr>
        <w:t>Questo riassunto è stato redatto in dat</w:t>
      </w:r>
      <w:r w:rsidRPr="009F0F0B">
        <w:rPr>
          <w:rFonts w:eastAsia="Calibri" w:cs="Calibri"/>
          <w:lang w:eastAsia="it-IT"/>
        </w:rPr>
        <w:t xml:space="preserve">a </w:t>
      </w:r>
      <w:r w:rsidR="00070A74">
        <w:rPr>
          <w:rFonts w:eastAsia="Calibri" w:cs="Calibri"/>
          <w:lang w:eastAsia="it-IT"/>
        </w:rPr>
        <w:t>20</w:t>
      </w:r>
      <w:r w:rsidR="00C55B9A">
        <w:rPr>
          <w:rFonts w:eastAsia="Calibri" w:cs="Calibri"/>
          <w:lang w:eastAsia="it-IT"/>
        </w:rPr>
        <w:t>/12/2018.</w:t>
      </w:r>
    </w:p>
    <w:p w:rsidR="00070A74" w:rsidRPr="00B32D81" w:rsidRDefault="00070A74" w:rsidP="00B32D81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7C68D2" w:rsidRPr="007935FE" w:rsidRDefault="007C68D2" w:rsidP="00B32D81">
      <w:pPr>
        <w:spacing w:after="0" w:line="240" w:lineRule="auto"/>
        <w:jc w:val="center"/>
        <w:rPr>
          <w:b/>
          <w:sz w:val="28"/>
        </w:rPr>
      </w:pPr>
      <w:r w:rsidRPr="007935FE">
        <w:rPr>
          <w:b/>
          <w:sz w:val="28"/>
        </w:rPr>
        <w:t xml:space="preserve">RELAZIONE PUBBLICA </w:t>
      </w:r>
      <w:proofErr w:type="spellStart"/>
      <w:r w:rsidRPr="007935FE">
        <w:rPr>
          <w:b/>
          <w:sz w:val="28"/>
        </w:rPr>
        <w:t>DI</w:t>
      </w:r>
      <w:proofErr w:type="spellEnd"/>
      <w:r w:rsidRPr="007935FE">
        <w:rPr>
          <w:b/>
          <w:sz w:val="28"/>
        </w:rPr>
        <w:t xml:space="preserve"> VALUTAZIONE</w:t>
      </w: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</w:p>
    <w:p w:rsidR="007C68D2" w:rsidRPr="00B32D81" w:rsidRDefault="007C68D2" w:rsidP="00B32D81">
      <w:pPr>
        <w:spacing w:after="0" w:line="240" w:lineRule="auto"/>
        <w:jc w:val="center"/>
        <w:rPr>
          <w:b/>
        </w:rPr>
      </w:pPr>
      <w:r w:rsidRPr="00B32D81">
        <w:rPr>
          <w:b/>
        </w:rPr>
        <w:t>INDICE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DI QUALITA’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7C68D2" w:rsidRPr="00B32D81" w:rsidRDefault="007C68D2" w:rsidP="00B32D81">
      <w:pPr>
        <w:pStyle w:val="Paragrafoelenco"/>
        <w:spacing w:after="0" w:line="240" w:lineRule="auto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7C68D2" w:rsidRPr="00B32D81" w:rsidRDefault="007C68D2" w:rsidP="00B32D81">
      <w:pPr>
        <w:pStyle w:val="Paragrafoelenco"/>
        <w:numPr>
          <w:ilvl w:val="0"/>
          <w:numId w:val="1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B35BAB" w:rsidRDefault="00B35BAB" w:rsidP="00B32D81">
      <w:pPr>
        <w:spacing w:after="0" w:line="240" w:lineRule="auto"/>
      </w:pPr>
    </w:p>
    <w:p w:rsidR="00B35BAB" w:rsidRDefault="00B35BAB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Default="007935FE" w:rsidP="00B32D81">
      <w:pPr>
        <w:spacing w:after="0" w:line="240" w:lineRule="auto"/>
      </w:pPr>
    </w:p>
    <w:p w:rsidR="007935FE" w:rsidRPr="00B32D81" w:rsidRDefault="007935FE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Default="007C68D2" w:rsidP="00B32D81">
      <w:pPr>
        <w:spacing w:after="0" w:line="240" w:lineRule="auto"/>
      </w:pPr>
    </w:p>
    <w:p w:rsidR="001C7AD0" w:rsidRPr="00B32D81" w:rsidRDefault="001C7AD0" w:rsidP="00B32D81">
      <w:pPr>
        <w:spacing w:after="0" w:line="240" w:lineRule="auto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rPr>
          <w:b/>
        </w:rPr>
      </w:pPr>
      <w:r w:rsidRPr="00B32D81">
        <w:rPr>
          <w:b/>
        </w:rPr>
        <w:t>INTRODUZIONE</w:t>
      </w:r>
    </w:p>
    <w:p w:rsidR="007C68D2" w:rsidRPr="00B32D81" w:rsidRDefault="007C68D2" w:rsidP="00502AB1">
      <w:pPr>
        <w:autoSpaceDE w:val="0"/>
        <w:autoSpaceDN w:val="0"/>
        <w:adjustRightInd w:val="0"/>
        <w:spacing w:after="0" w:line="240" w:lineRule="auto"/>
        <w:jc w:val="both"/>
      </w:pPr>
      <w:r w:rsidRPr="00B32D81">
        <w:t xml:space="preserve">Sulla base dei dati di qualità, sicurezza ed efficacia, </w:t>
      </w:r>
      <w:r w:rsidR="00EB15F8">
        <w:t xml:space="preserve">il 06/06/2018 </w:t>
      </w:r>
      <w:r w:rsidRPr="00B32D81">
        <w:t xml:space="preserve">l’AIFA ha rilasciato </w:t>
      </w:r>
      <w:r w:rsidRPr="00293095">
        <w:t xml:space="preserve">a </w:t>
      </w:r>
      <w:r w:rsidR="00B35BAB" w:rsidRPr="00B35BAB">
        <w:t xml:space="preserve">PHARMACARE </w:t>
      </w:r>
      <w:proofErr w:type="spellStart"/>
      <w:r w:rsidR="00B35BAB" w:rsidRPr="00B35BAB">
        <w:t>S.R.L.</w:t>
      </w:r>
      <w:proofErr w:type="spellEnd"/>
      <w:r w:rsidR="00B35BAB">
        <w:t xml:space="preserve"> </w:t>
      </w:r>
      <w:r w:rsidRPr="00293095">
        <w:t>l’autorizzazione</w:t>
      </w:r>
      <w:r w:rsidRPr="00B32D81">
        <w:t xml:space="preserve"> </w:t>
      </w:r>
      <w:r w:rsidRPr="00CA29BF">
        <w:t xml:space="preserve">all’immissione in commercio (AIC) per il medicinale </w:t>
      </w:r>
      <w:r w:rsidR="00310B73">
        <w:t>LICLORACT</w:t>
      </w:r>
      <w:r w:rsidR="00A719C2">
        <w:t>.</w:t>
      </w:r>
      <w:r w:rsidRPr="00B32D81">
        <w:t xml:space="preserve">  </w:t>
      </w:r>
    </w:p>
    <w:p w:rsidR="007C68D2" w:rsidRPr="00502AB1" w:rsidRDefault="007C68D2" w:rsidP="00502AB1">
      <w:pPr>
        <w:spacing w:after="0" w:line="240" w:lineRule="auto"/>
        <w:jc w:val="both"/>
      </w:pPr>
    </w:p>
    <w:p w:rsidR="007935FE" w:rsidRPr="00502AB1" w:rsidRDefault="00310B73" w:rsidP="00502AB1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LICLORACT</w:t>
      </w:r>
      <w:r w:rsidR="007935FE" w:rsidRPr="00502AB1">
        <w:rPr>
          <w:rFonts w:eastAsia="Calibri"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7C68D2" w:rsidRPr="00502AB1" w:rsidRDefault="007C68D2" w:rsidP="00502AB1">
      <w:pPr>
        <w:spacing w:after="0" w:line="240" w:lineRule="auto"/>
        <w:jc w:val="both"/>
      </w:pPr>
    </w:p>
    <w:p w:rsidR="007C68D2" w:rsidRPr="00502AB1" w:rsidRDefault="007C68D2" w:rsidP="00502AB1">
      <w:pPr>
        <w:spacing w:after="0" w:line="240" w:lineRule="auto"/>
        <w:jc w:val="both"/>
      </w:pPr>
      <w:r w:rsidRPr="00502AB1">
        <w:t xml:space="preserve">Questa procedura è stata presentata ai sensi </w:t>
      </w:r>
      <w:r w:rsidRPr="00293095">
        <w:t xml:space="preserve">dell’art. </w:t>
      </w:r>
      <w:r w:rsidR="00FF53CA" w:rsidRPr="00293095">
        <w:t>10(1)</w:t>
      </w:r>
      <w:r w:rsidRPr="00293095">
        <w:t xml:space="preserve"> della Direttiva</w:t>
      </w:r>
      <w:r w:rsidRPr="00502AB1">
        <w:t xml:space="preserve"> 2001/83/EU </w:t>
      </w:r>
      <w:proofErr w:type="spellStart"/>
      <w:r w:rsidRPr="00502AB1">
        <w:t>s.m.i.</w:t>
      </w:r>
      <w:proofErr w:type="spellEnd"/>
    </w:p>
    <w:p w:rsidR="007C68D2" w:rsidRPr="00502AB1" w:rsidRDefault="007C68D2" w:rsidP="00502AB1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512522" w:rsidRPr="00512522" w:rsidRDefault="00310B73" w:rsidP="00512522">
      <w:pPr>
        <w:widowControl w:val="0"/>
        <w:spacing w:after="0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>LICLORACT</w:t>
      </w:r>
      <w:r w:rsidR="00D97736">
        <w:rPr>
          <w:rFonts w:eastAsia="Calibri" w:cs="Calibri"/>
          <w:bCs/>
          <w:color w:val="000000"/>
          <w:lang w:eastAsia="it-IT"/>
        </w:rPr>
        <w:t xml:space="preserve"> 1</w:t>
      </w:r>
      <w:r w:rsidR="00D97736" w:rsidRPr="00D97736">
        <w:rPr>
          <w:rFonts w:eastAsia="Calibri" w:cs="Calibri"/>
          <w:bCs/>
          <w:i/>
          <w:color w:val="000000"/>
          <w:lang w:eastAsia="it-IT"/>
        </w:rPr>
        <w:t xml:space="preserve">00 </w:t>
      </w:r>
      <w:r w:rsidR="00D97736">
        <w:rPr>
          <w:rFonts w:eastAsia="Calibri" w:cs="Calibri"/>
          <w:bCs/>
          <w:i/>
          <w:color w:val="000000"/>
          <w:lang w:eastAsia="it-IT"/>
        </w:rPr>
        <w:t>mg/3,3</w:t>
      </w:r>
      <w:r w:rsidR="00D97736" w:rsidRPr="00D97736">
        <w:rPr>
          <w:rFonts w:eastAsia="Calibri" w:cs="Calibri"/>
          <w:bCs/>
          <w:i/>
          <w:color w:val="000000"/>
          <w:lang w:eastAsia="it-IT"/>
        </w:rPr>
        <w:t xml:space="preserve"> ml soluzione iniettabile per uso intramuscolare</w:t>
      </w:r>
      <w:r w:rsidR="00D97736" w:rsidRPr="00D97736">
        <w:rPr>
          <w:rFonts w:eastAsia="Calibri" w:cs="Calibri"/>
          <w:b/>
          <w:bCs/>
          <w:i/>
          <w:color w:val="000000"/>
          <w:lang w:eastAsia="it-IT"/>
        </w:rPr>
        <w:t xml:space="preserve"> </w:t>
      </w:r>
      <w:r w:rsidR="00D97736" w:rsidRPr="00D97736">
        <w:rPr>
          <w:rFonts w:eastAsia="Calibri" w:cs="Calibri"/>
          <w:bCs/>
          <w:i/>
          <w:color w:val="000000"/>
          <w:lang w:eastAsia="it-IT"/>
        </w:rPr>
        <w:t xml:space="preserve">con lidocaina 1 % </w:t>
      </w:r>
      <w:r w:rsidR="007C68D2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7C68D2" w:rsidRPr="00502AB1">
        <w:rPr>
          <w:rFonts w:eastAsia="Calibri" w:cs="Calibri"/>
          <w:color w:val="000000"/>
          <w:lang w:eastAsia="it-IT"/>
        </w:rPr>
        <w:t>è un m</w:t>
      </w:r>
      <w:r w:rsidR="00B35BAB">
        <w:rPr>
          <w:rFonts w:eastAsia="Calibri" w:cs="Calibri"/>
          <w:color w:val="000000"/>
          <w:lang w:eastAsia="it-IT"/>
        </w:rPr>
        <w:t>edicinale generico contenente i principi</w:t>
      </w:r>
      <w:r w:rsidR="007C68D2" w:rsidRPr="00502AB1">
        <w:rPr>
          <w:rFonts w:eastAsia="Calibri" w:cs="Calibri"/>
          <w:color w:val="000000"/>
          <w:lang w:eastAsia="it-IT"/>
        </w:rPr>
        <w:t xml:space="preserve"> attiv</w:t>
      </w:r>
      <w:r w:rsidR="00B35BAB">
        <w:rPr>
          <w:rFonts w:eastAsia="Calibri" w:cs="Calibri"/>
          <w:color w:val="000000"/>
          <w:lang w:eastAsia="it-IT"/>
        </w:rPr>
        <w:t>i</w:t>
      </w:r>
      <w:r w:rsidR="00512522" w:rsidRPr="00512522">
        <w:rPr>
          <w:rFonts w:ascii="Calibri" w:hAnsi="Calibri"/>
          <w:b/>
          <w:i/>
          <w:spacing w:val="-1"/>
        </w:rPr>
        <w:t xml:space="preserve"> </w:t>
      </w:r>
      <w:proofErr w:type="spellStart"/>
      <w:r w:rsidR="00512522" w:rsidRPr="00512522">
        <w:rPr>
          <w:rFonts w:eastAsia="Calibri" w:cs="Calibri"/>
          <w:color w:val="000000"/>
          <w:lang w:eastAsia="it-IT"/>
        </w:rPr>
        <w:t>clodronato</w:t>
      </w:r>
      <w:proofErr w:type="spellEnd"/>
      <w:r w:rsidR="00512522" w:rsidRPr="0051252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12522" w:rsidRPr="00512522">
        <w:rPr>
          <w:rFonts w:eastAsia="Calibri" w:cs="Calibri"/>
          <w:color w:val="000000"/>
          <w:lang w:eastAsia="it-IT"/>
        </w:rPr>
        <w:t>disodico</w:t>
      </w:r>
      <w:proofErr w:type="spellEnd"/>
      <w:r w:rsidR="00512522" w:rsidRPr="0051252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12522" w:rsidRPr="00512522">
        <w:rPr>
          <w:rFonts w:eastAsia="Calibri" w:cs="Calibri"/>
          <w:color w:val="000000"/>
          <w:lang w:eastAsia="it-IT"/>
        </w:rPr>
        <w:t>tetraidrato</w:t>
      </w:r>
      <w:proofErr w:type="spellEnd"/>
      <w:r w:rsidR="00512522">
        <w:rPr>
          <w:rFonts w:eastAsia="Calibri" w:cs="Calibri"/>
          <w:color w:val="000000"/>
          <w:lang w:eastAsia="it-IT"/>
        </w:rPr>
        <w:t xml:space="preserve"> (equivalente</w:t>
      </w:r>
      <w:r w:rsidR="00512522" w:rsidRPr="00512522">
        <w:rPr>
          <w:rFonts w:eastAsia="Calibri" w:cs="Calibri"/>
          <w:color w:val="000000"/>
          <w:lang w:eastAsia="it-IT"/>
        </w:rPr>
        <w:t xml:space="preserve"> a 100 mg di </w:t>
      </w:r>
      <w:proofErr w:type="spellStart"/>
      <w:r w:rsidR="00512522" w:rsidRPr="00512522">
        <w:rPr>
          <w:rFonts w:eastAsia="Calibri" w:cs="Calibri"/>
          <w:color w:val="000000"/>
          <w:lang w:eastAsia="it-IT"/>
        </w:rPr>
        <w:t>clodronato</w:t>
      </w:r>
      <w:proofErr w:type="spellEnd"/>
      <w:r w:rsidR="00512522" w:rsidRPr="00512522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512522" w:rsidRPr="00512522">
        <w:rPr>
          <w:rFonts w:eastAsia="Calibri" w:cs="Calibri"/>
          <w:color w:val="000000"/>
          <w:lang w:eastAsia="it-IT"/>
        </w:rPr>
        <w:t>disodico</w:t>
      </w:r>
      <w:proofErr w:type="spellEnd"/>
      <w:r w:rsidR="00512522" w:rsidRPr="00512522">
        <w:rPr>
          <w:rFonts w:eastAsia="Calibri" w:cs="Calibri"/>
          <w:color w:val="000000"/>
          <w:lang w:eastAsia="it-IT"/>
        </w:rPr>
        <w:t>) e 33 mg di lidocaina cloridrato.</w:t>
      </w:r>
    </w:p>
    <w:p w:rsidR="00512522" w:rsidRPr="00512522" w:rsidRDefault="00512522" w:rsidP="00512522">
      <w:pPr>
        <w:widowControl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D97736">
        <w:rPr>
          <w:rFonts w:eastAsia="Calibri" w:cs="Calibri"/>
          <w:bCs/>
          <w:color w:val="000000"/>
          <w:lang w:eastAsia="it-IT"/>
        </w:rPr>
        <w:t>LICLORACT</w:t>
      </w:r>
      <w:r w:rsidRPr="00512522">
        <w:rPr>
          <w:rFonts w:eastAsia="Calibri" w:cs="Calibri"/>
          <w:bCs/>
          <w:i/>
          <w:color w:val="000000"/>
          <w:lang w:eastAsia="it-IT"/>
        </w:rPr>
        <w:t xml:space="preserve"> 200 mg/4 ml soluzione iniettabile per uso intramuscolare</w:t>
      </w:r>
      <w:r w:rsidRPr="00512522">
        <w:rPr>
          <w:rFonts w:eastAsia="Calibri" w:cs="Calibri"/>
          <w:b/>
          <w:bCs/>
          <w:i/>
          <w:color w:val="000000"/>
          <w:lang w:eastAsia="it-IT"/>
        </w:rPr>
        <w:t xml:space="preserve"> </w:t>
      </w:r>
      <w:r w:rsidRPr="00512522">
        <w:rPr>
          <w:rFonts w:eastAsia="Calibri" w:cs="Calibri"/>
          <w:bCs/>
          <w:i/>
          <w:color w:val="000000"/>
          <w:lang w:eastAsia="it-IT"/>
        </w:rPr>
        <w:t xml:space="preserve">con lidocaina 1 % </w:t>
      </w:r>
      <w:r w:rsidR="00D97736" w:rsidRPr="00D97736">
        <w:rPr>
          <w:rFonts w:eastAsia="Calibri" w:cs="Calibri"/>
          <w:bCs/>
          <w:color w:val="000000"/>
          <w:lang w:eastAsia="it-IT"/>
        </w:rPr>
        <w:t>è un medicinale generico contenente i principi attivi</w:t>
      </w:r>
      <w:r w:rsidRPr="00512522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512522">
        <w:rPr>
          <w:rFonts w:eastAsia="Calibri" w:cs="Calibri"/>
          <w:bCs/>
          <w:color w:val="000000"/>
          <w:lang w:eastAsia="it-IT"/>
        </w:rPr>
        <w:t>clodronato</w:t>
      </w:r>
      <w:proofErr w:type="spellEnd"/>
      <w:r w:rsidRPr="00512522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512522">
        <w:rPr>
          <w:rFonts w:eastAsia="Calibri" w:cs="Calibri"/>
          <w:bCs/>
          <w:color w:val="000000"/>
          <w:lang w:eastAsia="it-IT"/>
        </w:rPr>
        <w:t>disodico</w:t>
      </w:r>
      <w:proofErr w:type="spellEnd"/>
      <w:r w:rsidRPr="00512522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512522">
        <w:rPr>
          <w:rFonts w:eastAsia="Calibri" w:cs="Calibri"/>
          <w:bCs/>
          <w:color w:val="000000"/>
          <w:lang w:eastAsia="it-IT"/>
        </w:rPr>
        <w:t>tetraidrato</w:t>
      </w:r>
      <w:proofErr w:type="spellEnd"/>
      <w:r w:rsidRPr="00512522">
        <w:rPr>
          <w:rFonts w:eastAsia="Calibri" w:cs="Calibri"/>
          <w:bCs/>
          <w:color w:val="000000"/>
          <w:lang w:eastAsia="it-IT"/>
        </w:rPr>
        <w:t xml:space="preserve"> (equivalenti a 200 mg di </w:t>
      </w:r>
      <w:proofErr w:type="spellStart"/>
      <w:r w:rsidRPr="00512522">
        <w:rPr>
          <w:rFonts w:eastAsia="Calibri" w:cs="Calibri"/>
          <w:bCs/>
          <w:color w:val="000000"/>
          <w:lang w:eastAsia="it-IT"/>
        </w:rPr>
        <w:t>clodronato</w:t>
      </w:r>
      <w:proofErr w:type="spellEnd"/>
      <w:r w:rsidRPr="00512522">
        <w:rPr>
          <w:rFonts w:eastAsia="Calibri" w:cs="Calibri"/>
          <w:bCs/>
          <w:color w:val="000000"/>
          <w:lang w:eastAsia="it-IT"/>
        </w:rPr>
        <w:t xml:space="preserve"> </w:t>
      </w:r>
      <w:proofErr w:type="spellStart"/>
      <w:r w:rsidRPr="00512522">
        <w:rPr>
          <w:rFonts w:eastAsia="Calibri" w:cs="Calibri"/>
          <w:bCs/>
          <w:color w:val="000000"/>
          <w:lang w:eastAsia="it-IT"/>
        </w:rPr>
        <w:t>disodico</w:t>
      </w:r>
      <w:proofErr w:type="spellEnd"/>
      <w:r w:rsidRPr="00512522">
        <w:rPr>
          <w:rFonts w:eastAsia="Calibri" w:cs="Calibri"/>
          <w:bCs/>
          <w:color w:val="000000"/>
          <w:lang w:eastAsia="it-IT"/>
        </w:rPr>
        <w:t>) e 40 mg di lidocaina cloridrato.</w:t>
      </w:r>
    </w:p>
    <w:p w:rsidR="00D97736" w:rsidRDefault="00310B73" w:rsidP="00594CD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LICLORACT</w:t>
      </w:r>
      <w:r w:rsidR="00594CD5" w:rsidRPr="00502AB1">
        <w:rPr>
          <w:snapToGrid w:val="0"/>
        </w:rPr>
        <w:t xml:space="preserve">, il cui codice ATC è </w:t>
      </w:r>
      <w:r w:rsidR="00D97736" w:rsidRPr="006E58E6">
        <w:rPr>
          <w:rFonts w:ascii="Calibri" w:hAnsi="Calibri" w:cs="Times New Roman"/>
          <w:spacing w:val="-1"/>
        </w:rPr>
        <w:t>M05BA02</w:t>
      </w:r>
      <w:r w:rsidR="00D97736">
        <w:rPr>
          <w:rFonts w:ascii="Calibri" w:hAnsi="Calibri" w:cs="Times New Roman"/>
          <w:spacing w:val="-1"/>
        </w:rPr>
        <w:t>,</w:t>
      </w:r>
      <w:r w:rsidR="00594CD5" w:rsidRPr="00502AB1">
        <w:rPr>
          <w:rFonts w:eastAsia="Calibri" w:cs="Calibri"/>
          <w:bCs/>
          <w:color w:val="000000"/>
          <w:lang w:eastAsia="it-IT"/>
        </w:rPr>
        <w:t xml:space="preserve"> </w:t>
      </w:r>
      <w:r w:rsidR="00594CD5" w:rsidRPr="00502AB1">
        <w:rPr>
          <w:rFonts w:eastAsia="Calibri" w:cs="Calibri"/>
          <w:color w:val="000000"/>
          <w:lang w:eastAsia="it-IT"/>
        </w:rPr>
        <w:t>contiene i principi attiv</w:t>
      </w:r>
      <w:r w:rsidR="00B35BAB">
        <w:rPr>
          <w:rFonts w:eastAsia="Calibri" w:cs="Calibri"/>
          <w:color w:val="000000"/>
          <w:lang w:eastAsia="it-IT"/>
        </w:rPr>
        <w:t>i</w:t>
      </w:r>
      <w:r w:rsidR="00594CD5" w:rsidRPr="00502AB1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97736">
        <w:rPr>
          <w:rFonts w:eastAsia="Calibri" w:cs="Calibri"/>
          <w:color w:val="000000"/>
          <w:lang w:eastAsia="it-IT"/>
        </w:rPr>
        <w:t>clodronato</w:t>
      </w:r>
      <w:proofErr w:type="spellEnd"/>
      <w:r w:rsidR="00D97736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D97736">
        <w:rPr>
          <w:rFonts w:eastAsia="Calibri" w:cs="Calibri"/>
          <w:color w:val="000000"/>
          <w:lang w:eastAsia="it-IT"/>
        </w:rPr>
        <w:t>disodico</w:t>
      </w:r>
      <w:proofErr w:type="spellEnd"/>
      <w:r w:rsidR="00D97736">
        <w:rPr>
          <w:rFonts w:eastAsia="Calibri" w:cs="Calibri"/>
          <w:color w:val="000000"/>
          <w:lang w:eastAsia="it-IT"/>
        </w:rPr>
        <w:t xml:space="preserve"> e lidocaina.</w:t>
      </w:r>
    </w:p>
    <w:p w:rsidR="00D97736" w:rsidRDefault="00D97736" w:rsidP="00D9773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Il </w:t>
      </w:r>
      <w:proofErr w:type="spellStart"/>
      <w:r>
        <w:rPr>
          <w:rFonts w:eastAsia="Calibri" w:cs="Calibri"/>
          <w:color w:val="000000"/>
          <w:lang w:eastAsia="it-IT"/>
        </w:rPr>
        <w:t>clodronato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proofErr w:type="spellStart"/>
      <w:r>
        <w:rPr>
          <w:rFonts w:eastAsia="Calibri" w:cs="Calibri"/>
          <w:color w:val="000000"/>
          <w:lang w:eastAsia="it-IT"/>
        </w:rPr>
        <w:t>disodico</w:t>
      </w:r>
      <w:proofErr w:type="spellEnd"/>
      <w:r>
        <w:rPr>
          <w:rFonts w:eastAsia="Calibri" w:cs="Calibri"/>
          <w:color w:val="000000"/>
          <w:lang w:eastAsia="it-IT"/>
        </w:rPr>
        <w:t xml:space="preserve"> </w:t>
      </w:r>
      <w:r w:rsidRPr="00D97736">
        <w:rPr>
          <w:rFonts w:eastAsia="Calibri" w:cs="Calibri"/>
          <w:color w:val="000000"/>
          <w:lang w:eastAsia="it-IT"/>
        </w:rPr>
        <w:t xml:space="preserve">appartiene alla categoria dei </w:t>
      </w:r>
      <w:proofErr w:type="spellStart"/>
      <w:r w:rsidRPr="00D97736">
        <w:rPr>
          <w:rFonts w:eastAsia="Calibri" w:cs="Calibri"/>
          <w:color w:val="000000"/>
          <w:lang w:eastAsia="it-IT"/>
        </w:rPr>
        <w:t>bifosfonati</w:t>
      </w:r>
      <w:proofErr w:type="spellEnd"/>
      <w:r w:rsidRPr="00D97736">
        <w:rPr>
          <w:rFonts w:eastAsia="Calibri" w:cs="Calibri"/>
          <w:color w:val="000000"/>
          <w:lang w:eastAsia="it-IT"/>
        </w:rPr>
        <w:t xml:space="preserve">, farmaci in grado di inibire la formazione e la dissoluzione dei cristalli di </w:t>
      </w:r>
      <w:proofErr w:type="spellStart"/>
      <w:r w:rsidRPr="00D97736">
        <w:rPr>
          <w:rFonts w:eastAsia="Calibri" w:cs="Calibri"/>
          <w:color w:val="000000"/>
          <w:lang w:eastAsia="it-IT"/>
        </w:rPr>
        <w:t>idrossiapatite</w:t>
      </w:r>
      <w:proofErr w:type="spellEnd"/>
      <w:r w:rsidRPr="00D97736">
        <w:rPr>
          <w:rFonts w:eastAsia="Calibri" w:cs="Calibri"/>
          <w:color w:val="000000"/>
          <w:lang w:eastAsia="it-IT"/>
        </w:rPr>
        <w:t xml:space="preserve">. </w:t>
      </w:r>
      <w:r>
        <w:rPr>
          <w:rFonts w:eastAsia="Calibri" w:cs="Calibri"/>
          <w:color w:val="000000"/>
          <w:lang w:eastAsia="it-IT"/>
        </w:rPr>
        <w:t xml:space="preserve">Il </w:t>
      </w:r>
      <w:proofErr w:type="spellStart"/>
      <w:r w:rsidRPr="00D97736">
        <w:rPr>
          <w:rFonts w:eastAsia="Calibri" w:cs="Calibri"/>
          <w:color w:val="000000"/>
          <w:lang w:eastAsia="it-IT"/>
        </w:rPr>
        <w:t>clodronato</w:t>
      </w:r>
      <w:proofErr w:type="spellEnd"/>
      <w:r w:rsidRPr="00D97736">
        <w:rPr>
          <w:rFonts w:eastAsia="Calibri" w:cs="Calibri"/>
          <w:color w:val="000000"/>
          <w:lang w:eastAsia="it-IT"/>
        </w:rPr>
        <w:t xml:space="preserve"> </w:t>
      </w:r>
      <w:r>
        <w:rPr>
          <w:rFonts w:eastAsia="Calibri" w:cs="Calibri"/>
          <w:color w:val="000000"/>
          <w:lang w:eastAsia="it-IT"/>
        </w:rPr>
        <w:t>ha un</w:t>
      </w:r>
      <w:r w:rsidRPr="00D97736">
        <w:rPr>
          <w:rFonts w:eastAsia="Calibri" w:cs="Calibri"/>
          <w:color w:val="000000"/>
          <w:lang w:eastAsia="it-IT"/>
        </w:rPr>
        <w:t xml:space="preserve"> effetto inibitorio sul riassorbimento osseo, conseguente alla inibizione</w:t>
      </w:r>
      <w:r>
        <w:rPr>
          <w:rFonts w:eastAsia="Calibri" w:cs="Calibri"/>
          <w:color w:val="000000"/>
          <w:lang w:eastAsia="it-IT"/>
        </w:rPr>
        <w:t xml:space="preserve"> </w:t>
      </w:r>
      <w:r w:rsidRPr="00D97736">
        <w:rPr>
          <w:rFonts w:eastAsia="Calibri" w:cs="Calibri"/>
          <w:color w:val="000000"/>
          <w:lang w:eastAsia="it-IT"/>
        </w:rPr>
        <w:t xml:space="preserve">dell'attività </w:t>
      </w:r>
      <w:proofErr w:type="spellStart"/>
      <w:r w:rsidRPr="00D97736">
        <w:rPr>
          <w:rFonts w:eastAsia="Calibri" w:cs="Calibri"/>
          <w:color w:val="000000"/>
          <w:lang w:eastAsia="it-IT"/>
        </w:rPr>
        <w:t>osteoclastica</w:t>
      </w:r>
      <w:proofErr w:type="spellEnd"/>
      <w:r w:rsidRPr="00D97736">
        <w:rPr>
          <w:rFonts w:eastAsia="Calibri" w:cs="Calibri"/>
          <w:color w:val="000000"/>
          <w:lang w:eastAsia="it-IT"/>
        </w:rPr>
        <w:t xml:space="preserve">, in tutte le condizioni sperimentali e cliniche nelle quali questo risulti esageratamente aumentato. Tra queste condizioni vanno annoverate affezioni di tipo neoplastico quali le metastasi ossee e il mieloma multiplo, </w:t>
      </w:r>
      <w:proofErr w:type="spellStart"/>
      <w:r w:rsidRPr="00D97736">
        <w:rPr>
          <w:rFonts w:eastAsia="Calibri" w:cs="Calibri"/>
          <w:color w:val="000000"/>
          <w:lang w:eastAsia="it-IT"/>
        </w:rPr>
        <w:t>endocrinopatie</w:t>
      </w:r>
      <w:proofErr w:type="spellEnd"/>
      <w:r w:rsidRPr="00D97736">
        <w:rPr>
          <w:rFonts w:eastAsia="Calibri" w:cs="Calibri"/>
          <w:color w:val="000000"/>
          <w:lang w:eastAsia="it-IT"/>
        </w:rPr>
        <w:t xml:space="preserve"> quali l'</w:t>
      </w:r>
      <w:proofErr w:type="spellStart"/>
      <w:r w:rsidRPr="00D97736">
        <w:rPr>
          <w:rFonts w:eastAsia="Calibri" w:cs="Calibri"/>
          <w:color w:val="000000"/>
          <w:lang w:eastAsia="it-IT"/>
        </w:rPr>
        <w:t>iperparatiroidismo</w:t>
      </w:r>
      <w:proofErr w:type="spellEnd"/>
      <w:r w:rsidRPr="00D97736">
        <w:rPr>
          <w:rFonts w:eastAsia="Calibri" w:cs="Calibri"/>
          <w:color w:val="000000"/>
          <w:lang w:eastAsia="it-IT"/>
        </w:rPr>
        <w:t xml:space="preserve"> primario, nonché le osteopatie metaboliche quali l'</w:t>
      </w:r>
      <w:proofErr w:type="spellStart"/>
      <w:r w:rsidRPr="00D97736">
        <w:rPr>
          <w:rFonts w:eastAsia="Calibri" w:cs="Calibri"/>
          <w:color w:val="000000"/>
          <w:lang w:eastAsia="it-IT"/>
        </w:rPr>
        <w:t>osteopenia</w:t>
      </w:r>
      <w:proofErr w:type="spellEnd"/>
      <w:r w:rsidRPr="00D97736">
        <w:rPr>
          <w:rFonts w:eastAsia="Calibri" w:cs="Calibri"/>
          <w:color w:val="000000"/>
          <w:lang w:eastAsia="it-IT"/>
        </w:rPr>
        <w:t xml:space="preserve"> da immobilizzazione e, in particolar modo, l'osteoporosi post </w:t>
      </w:r>
      <w:proofErr w:type="spellStart"/>
      <w:r w:rsidRPr="00D97736">
        <w:rPr>
          <w:rFonts w:eastAsia="Calibri" w:cs="Calibri"/>
          <w:color w:val="000000"/>
          <w:lang w:eastAsia="it-IT"/>
        </w:rPr>
        <w:t>menopausale</w:t>
      </w:r>
      <w:proofErr w:type="spellEnd"/>
      <w:r w:rsidRPr="00D97736">
        <w:rPr>
          <w:rFonts w:eastAsia="Calibri" w:cs="Calibri"/>
          <w:color w:val="000000"/>
          <w:lang w:eastAsia="it-IT"/>
        </w:rPr>
        <w:t>.</w:t>
      </w:r>
      <w:r>
        <w:rPr>
          <w:rFonts w:eastAsia="Calibri" w:cs="Calibri"/>
          <w:color w:val="000000"/>
          <w:lang w:eastAsia="it-IT"/>
        </w:rPr>
        <w:t xml:space="preserve"> </w:t>
      </w:r>
    </w:p>
    <w:p w:rsidR="00D97736" w:rsidRPr="00D97736" w:rsidRDefault="00D97736" w:rsidP="00D9773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 xml:space="preserve">La lidocaina cloridrato è un anestetico locale e ha l’effetto di ridurre la sintomatologia dolorosa associata alla somministrazione del medicinale.  </w:t>
      </w:r>
    </w:p>
    <w:p w:rsidR="007935FE" w:rsidRPr="00502AB1" w:rsidRDefault="007935FE" w:rsidP="00502AB1">
      <w:pPr>
        <w:spacing w:after="0" w:line="240" w:lineRule="auto"/>
        <w:jc w:val="both"/>
        <w:rPr>
          <w:iCs/>
          <w:highlight w:val="yellow"/>
        </w:rPr>
      </w:pPr>
    </w:p>
    <w:p w:rsidR="00CE5C72" w:rsidRDefault="00310B73" w:rsidP="00502AB1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eastAsia="Calibri" w:cs="Calibri"/>
          <w:color w:val="000000"/>
          <w:lang w:eastAsia="it-IT"/>
        </w:rPr>
        <w:t>LICLORACT</w:t>
      </w:r>
      <w:r w:rsidR="007C68D2" w:rsidRPr="00502AB1">
        <w:rPr>
          <w:rFonts w:eastAsia="Calibri" w:cs="Calibri"/>
          <w:color w:val="000000"/>
          <w:lang w:eastAsia="it-IT"/>
        </w:rPr>
        <w:t xml:space="preserve"> </w:t>
      </w:r>
      <w:r w:rsidR="00502AB1" w:rsidRPr="00502AB1">
        <w:rPr>
          <w:rFonts w:eastAsia="Calibri" w:cs="Calibri"/>
          <w:color w:val="000000"/>
          <w:lang w:eastAsia="it-IT"/>
        </w:rPr>
        <w:t>è utilizzato per</w:t>
      </w:r>
      <w:r w:rsidR="00CE5C72">
        <w:rPr>
          <w:rFonts w:eastAsia="Calibri" w:cs="Calibri"/>
          <w:color w:val="000000"/>
          <w:lang w:eastAsia="it-IT"/>
        </w:rPr>
        <w:t>:</w:t>
      </w:r>
    </w:p>
    <w:p w:rsidR="00512522" w:rsidRPr="00512522" w:rsidRDefault="00512522" w:rsidP="00512522">
      <w:pPr>
        <w:pStyle w:val="Paragrafoelenco"/>
        <w:numPr>
          <w:ilvl w:val="0"/>
          <w:numId w:val="10"/>
        </w:numPr>
      </w:pPr>
      <w:proofErr w:type="spellStart"/>
      <w:r w:rsidRPr="00512522">
        <w:t>Osteolisi</w:t>
      </w:r>
      <w:proofErr w:type="spellEnd"/>
      <w:r w:rsidRPr="00512522">
        <w:t xml:space="preserve"> tumorali.</w:t>
      </w:r>
    </w:p>
    <w:p w:rsidR="00512522" w:rsidRPr="00512522" w:rsidRDefault="00512522" w:rsidP="00512522">
      <w:pPr>
        <w:pStyle w:val="Paragrafoelenco"/>
        <w:numPr>
          <w:ilvl w:val="0"/>
          <w:numId w:val="10"/>
        </w:numPr>
      </w:pPr>
      <w:r w:rsidRPr="00512522">
        <w:t>Mieloma multiplo.</w:t>
      </w:r>
    </w:p>
    <w:p w:rsidR="00512522" w:rsidRPr="00512522" w:rsidRDefault="00512522" w:rsidP="00512522">
      <w:pPr>
        <w:pStyle w:val="Paragrafoelenco"/>
        <w:numPr>
          <w:ilvl w:val="0"/>
          <w:numId w:val="10"/>
        </w:numPr>
      </w:pPr>
      <w:proofErr w:type="spellStart"/>
      <w:r w:rsidRPr="00512522">
        <w:t>Iperparatiroidismo</w:t>
      </w:r>
      <w:proofErr w:type="spellEnd"/>
      <w:r w:rsidRPr="00512522">
        <w:t xml:space="preserve"> primario.</w:t>
      </w:r>
    </w:p>
    <w:p w:rsidR="00512522" w:rsidRPr="00512522" w:rsidRDefault="00512522" w:rsidP="00512522">
      <w:pPr>
        <w:pStyle w:val="Paragrafoelenco"/>
        <w:numPr>
          <w:ilvl w:val="0"/>
          <w:numId w:val="10"/>
        </w:numPr>
      </w:pPr>
      <w:r w:rsidRPr="00512522">
        <w:t xml:space="preserve">Prevenzione e trattamento dell'osteoporosi post </w:t>
      </w:r>
      <w:proofErr w:type="spellStart"/>
      <w:r w:rsidRPr="00512522">
        <w:t>menopausale</w:t>
      </w:r>
      <w:proofErr w:type="spellEnd"/>
      <w:r w:rsidRPr="00512522">
        <w:t>.</w:t>
      </w:r>
    </w:p>
    <w:p w:rsidR="001C7AD0" w:rsidRPr="00502AB1" w:rsidRDefault="001C7AD0" w:rsidP="001C7AD0">
      <w:pPr>
        <w:pStyle w:val="Paragrafoelenco"/>
        <w:spacing w:after="0" w:line="240" w:lineRule="auto"/>
        <w:ind w:left="142"/>
        <w:jc w:val="both"/>
      </w:pPr>
    </w:p>
    <w:p w:rsidR="007935FE" w:rsidRPr="00502AB1" w:rsidRDefault="007C68D2" w:rsidP="00502AB1">
      <w:pPr>
        <w:spacing w:after="0" w:line="240" w:lineRule="auto"/>
        <w:jc w:val="both"/>
        <w:rPr>
          <w:rFonts w:cs="Arial"/>
        </w:rPr>
      </w:pPr>
      <w:r w:rsidRPr="00502AB1">
        <w:t xml:space="preserve">Poiché </w:t>
      </w:r>
      <w:r w:rsidR="00310B73">
        <w:t>LICLORACT</w:t>
      </w:r>
      <w:r w:rsidRPr="00502AB1">
        <w:t xml:space="preserve"> contiene un principio attivo noto</w:t>
      </w:r>
      <w:r w:rsidR="00DC0AB6">
        <w:t>,</w:t>
      </w:r>
      <w:r w:rsidRPr="00502AB1">
        <w:t xml:space="preserve"> non sono stati forniti nuovi dati non clinici e clinici: questo approccio è accettabile poiché il medicinale di riferimento </w:t>
      </w:r>
      <w:proofErr w:type="spellStart"/>
      <w:r w:rsidR="00B35BAB">
        <w:t>Clasteon</w:t>
      </w:r>
      <w:proofErr w:type="spellEnd"/>
      <w:r w:rsidRPr="00502AB1">
        <w:t xml:space="preserve"> è autorizzato in Italia da oltre 10 anni</w:t>
      </w:r>
      <w:r w:rsidR="007935FE" w:rsidRPr="00502AB1">
        <w:t xml:space="preserve">; poiché </w:t>
      </w:r>
      <w:r w:rsidR="00310B73">
        <w:t>LICLORACT</w:t>
      </w:r>
      <w:r w:rsidR="007935FE" w:rsidRPr="00502AB1">
        <w:t xml:space="preserve"> </w:t>
      </w:r>
      <w:r w:rsidR="007935FE" w:rsidRPr="00502AB1">
        <w:rPr>
          <w:rFonts w:cs="Arial"/>
        </w:rPr>
        <w:t xml:space="preserve">è somministrato </w:t>
      </w:r>
      <w:r w:rsidR="007935FE" w:rsidRPr="00032587">
        <w:rPr>
          <w:rFonts w:cs="Arial"/>
        </w:rPr>
        <w:t xml:space="preserve">come </w:t>
      </w:r>
      <w:r w:rsidR="00B35BAB">
        <w:rPr>
          <w:rFonts w:cs="Arial"/>
        </w:rPr>
        <w:t>soluzione iniettabile per via intramuscolare</w:t>
      </w:r>
      <w:r w:rsidR="00FF53CA" w:rsidRPr="00032587">
        <w:rPr>
          <w:rFonts w:cs="Arial"/>
        </w:rPr>
        <w:t>,</w:t>
      </w:r>
      <w:r w:rsidR="007935FE" w:rsidRPr="00032587">
        <w:rPr>
          <w:rFonts w:cs="Arial"/>
        </w:rPr>
        <w:t xml:space="preserve"> è stata concessa</w:t>
      </w:r>
      <w:r w:rsidR="007935FE" w:rsidRPr="00502AB1">
        <w:rPr>
          <w:rFonts w:cs="Arial"/>
        </w:rPr>
        <w:t xml:space="preserve"> l’esenzione dalla conduzione di studi clinici di confronto con il medicinale di riferimento.</w:t>
      </w:r>
    </w:p>
    <w:p w:rsidR="007C68D2" w:rsidRPr="00502AB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Le officine coinvolte nella produzione sono conformi alle linee guida di Buona Pratica di Fabbricazione (</w:t>
      </w:r>
      <w:proofErr w:type="spellStart"/>
      <w:r w:rsidRPr="00B32D81">
        <w:rPr>
          <w:i/>
        </w:rPr>
        <w:t>Good</w:t>
      </w:r>
      <w:proofErr w:type="spellEnd"/>
      <w:r w:rsidRPr="00B32D81">
        <w:rPr>
          <w:i/>
        </w:rPr>
        <w:t xml:space="preserve"> Manufacturing </w:t>
      </w:r>
      <w:proofErr w:type="spellStart"/>
      <w:r w:rsidRPr="00B32D81">
        <w:rPr>
          <w:i/>
        </w:rPr>
        <w:t>Practice</w:t>
      </w:r>
      <w:proofErr w:type="spellEnd"/>
      <w:r w:rsidRPr="00B32D81">
        <w:t xml:space="preserve"> - GMP). Le autorità </w:t>
      </w:r>
      <w:proofErr w:type="spellStart"/>
      <w:r w:rsidRPr="00B32D81">
        <w:t>regolator</w:t>
      </w:r>
      <w:r w:rsidR="002C389F" w:rsidRPr="00B32D81">
        <w:t>i</w:t>
      </w:r>
      <w:r w:rsidRPr="00B32D81">
        <w:t>e</w:t>
      </w:r>
      <w:proofErr w:type="spellEnd"/>
      <w:r w:rsidRPr="00B32D81">
        <w:t xml:space="preserve"> competenti hanno rilasciato i certificati GMP per i siti di produzione sul territorio dell’Unione Europea.</w:t>
      </w:r>
    </w:p>
    <w:p w:rsidR="007C68D2" w:rsidRPr="00B32D81" w:rsidRDefault="007C68D2" w:rsidP="00B32D81">
      <w:pPr>
        <w:spacing w:after="0" w:line="240" w:lineRule="auto"/>
        <w:jc w:val="both"/>
        <w:rPr>
          <w:highlight w:val="yellow"/>
        </w:rPr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B32D81">
        <w:rPr>
          <w:i/>
        </w:rPr>
        <w:t>Risk</w:t>
      </w:r>
      <w:proofErr w:type="spellEnd"/>
      <w:r w:rsidRPr="00B32D81">
        <w:rPr>
          <w:i/>
        </w:rPr>
        <w:t xml:space="preserve"> Management </w:t>
      </w:r>
      <w:proofErr w:type="spellStart"/>
      <w:r w:rsidRPr="00B32D81">
        <w:rPr>
          <w:i/>
        </w:rPr>
        <w:t>Plan</w:t>
      </w:r>
      <w:proofErr w:type="spellEnd"/>
      <w:r w:rsidRPr="00B32D81">
        <w:t xml:space="preserve"> – RMP) accettabile.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titolare di AIC ha presentato una adeguata giustificazione della non presentazione della Valutazione del Rischio ambientale; questo approccio è accettabile in quanto </w:t>
      </w:r>
      <w:r w:rsidR="00310B73">
        <w:t>LICLORACT</w:t>
      </w:r>
      <w:r w:rsidRPr="00B32D81">
        <w:t xml:space="preserve"> contiene un principio attivo noto presente in medicinali autorizzati; inoltre, non sono presenti componenti geneticamente modificati; il metodo di produzione e la formulazione del medicinale non presentano problematiche di carattere ambientale.</w:t>
      </w:r>
    </w:p>
    <w:p w:rsidR="007C68D2" w:rsidRPr="006312EE" w:rsidRDefault="007C68D2" w:rsidP="00B32D81">
      <w:pPr>
        <w:spacing w:after="0" w:line="240" w:lineRule="auto"/>
        <w:jc w:val="both"/>
      </w:pPr>
    </w:p>
    <w:p w:rsidR="007C68D2" w:rsidRPr="006312EE" w:rsidRDefault="007C68D2" w:rsidP="00B32D81">
      <w:pPr>
        <w:spacing w:after="0" w:line="240" w:lineRule="auto"/>
        <w:jc w:val="both"/>
      </w:pPr>
    </w:p>
    <w:p w:rsidR="007678AB" w:rsidRDefault="007678AB" w:rsidP="007678AB">
      <w:pPr>
        <w:spacing w:after="0" w:line="240" w:lineRule="auto"/>
        <w:ind w:left="1080"/>
        <w:jc w:val="both"/>
        <w:rPr>
          <w:b/>
        </w:rPr>
      </w:pPr>
    </w:p>
    <w:p w:rsidR="007678AB" w:rsidRDefault="007678AB" w:rsidP="007678AB">
      <w:pPr>
        <w:spacing w:after="0" w:line="240" w:lineRule="auto"/>
        <w:ind w:left="1080"/>
        <w:jc w:val="both"/>
        <w:rPr>
          <w:b/>
        </w:rPr>
      </w:pPr>
    </w:p>
    <w:p w:rsidR="007C68D2" w:rsidRPr="007678AB" w:rsidRDefault="007C68D2" w:rsidP="007678AB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7678AB">
        <w:rPr>
          <w:b/>
        </w:rPr>
        <w:lastRenderedPageBreak/>
        <w:t xml:space="preserve">ASPETTI </w:t>
      </w:r>
      <w:proofErr w:type="spellStart"/>
      <w:r w:rsidRPr="007678AB">
        <w:rPr>
          <w:b/>
        </w:rPr>
        <w:t>DI</w:t>
      </w:r>
      <w:proofErr w:type="spellEnd"/>
      <w:r w:rsidRPr="007678AB">
        <w:rPr>
          <w:b/>
        </w:rPr>
        <w:t xml:space="preserve"> QUALITA’</w:t>
      </w:r>
    </w:p>
    <w:p w:rsidR="007678AB" w:rsidRDefault="007678AB" w:rsidP="00B32D81">
      <w:pPr>
        <w:spacing w:after="0" w:line="240" w:lineRule="auto"/>
        <w:jc w:val="both"/>
        <w:rPr>
          <w:b/>
        </w:rPr>
      </w:pPr>
    </w:p>
    <w:p w:rsidR="007C68D2" w:rsidRPr="006312EE" w:rsidRDefault="007C68D2" w:rsidP="00B32D81">
      <w:pPr>
        <w:spacing w:after="0" w:line="240" w:lineRule="auto"/>
        <w:jc w:val="both"/>
      </w:pPr>
      <w:r w:rsidRPr="006312EE">
        <w:rPr>
          <w:b/>
        </w:rPr>
        <w:t xml:space="preserve">II.1 PRINCIPIO ATTIVO </w:t>
      </w:r>
      <w:r w:rsidR="00E752F3">
        <w:rPr>
          <w:b/>
        </w:rPr>
        <w:t>CLODRONATO DISODICO TETRAIDRATO</w:t>
      </w:r>
    </w:p>
    <w:p w:rsidR="00700F7D" w:rsidRDefault="007C68D2" w:rsidP="00700F7D">
      <w:pPr>
        <w:autoSpaceDE w:val="0"/>
        <w:autoSpaceDN w:val="0"/>
        <w:adjustRightInd w:val="0"/>
        <w:spacing w:after="0" w:line="240" w:lineRule="auto"/>
        <w:rPr>
          <w:rFonts w:ascii="Segoe UI" w:hAnsi="Segoe UI" w:cs="Segoe UI"/>
          <w:color w:val="212121"/>
          <w:sz w:val="18"/>
          <w:szCs w:val="18"/>
          <w:shd w:val="clear" w:color="auto" w:fill="FFFFFF"/>
        </w:rPr>
      </w:pPr>
      <w:r w:rsidRPr="006312EE">
        <w:rPr>
          <w:u w:val="single"/>
        </w:rPr>
        <w:t>Nome chimico</w:t>
      </w:r>
      <w:r w:rsidRPr="006312EE">
        <w:t xml:space="preserve">: </w:t>
      </w:r>
      <w:r w:rsidR="00700F7D">
        <w:rPr>
          <w:rFonts w:ascii="Segoe UI" w:hAnsi="Segoe UI" w:cs="Segoe UI"/>
          <w:color w:val="212121"/>
          <w:sz w:val="18"/>
          <w:szCs w:val="18"/>
          <w:shd w:val="clear" w:color="auto" w:fill="FFFFFF"/>
        </w:rPr>
        <w:t>disodium;[dichloro-[hydroxy(oxido)phosphoryl]methyl]-hydroxyphosphinate;tetrahydrate</w:t>
      </w:r>
    </w:p>
    <w:p w:rsidR="00700F7D" w:rsidRDefault="007C68D2" w:rsidP="00700F7D">
      <w:pPr>
        <w:autoSpaceDE w:val="0"/>
        <w:autoSpaceDN w:val="0"/>
        <w:adjustRightInd w:val="0"/>
        <w:spacing w:after="0" w:line="240" w:lineRule="auto"/>
        <w:rPr>
          <w:b/>
        </w:rPr>
      </w:pPr>
      <w:r w:rsidRPr="006312EE">
        <w:rPr>
          <w:u w:val="single"/>
        </w:rPr>
        <w:t>Struttura</w:t>
      </w:r>
      <w:r w:rsidRPr="006312EE">
        <w:t>:</w:t>
      </w:r>
      <w:r w:rsidR="00700F7D" w:rsidRPr="00700F7D">
        <w:rPr>
          <w:b/>
        </w:rPr>
        <w:t xml:space="preserve"> </w:t>
      </w:r>
    </w:p>
    <w:p w:rsidR="00B12DF7" w:rsidRDefault="00B12DF7" w:rsidP="00700F7D">
      <w:pPr>
        <w:autoSpaceDE w:val="0"/>
        <w:autoSpaceDN w:val="0"/>
        <w:adjustRightInd w:val="0"/>
        <w:spacing w:after="0" w:line="240" w:lineRule="auto"/>
        <w:rPr>
          <w:b/>
        </w:rPr>
      </w:pPr>
    </w:p>
    <w:p w:rsidR="00B12DF7" w:rsidRPr="00B12DF7" w:rsidRDefault="00B12DF7" w:rsidP="00B12DF7">
      <w:pPr>
        <w:spacing w:after="0" w:line="320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Arial" w:eastAsia="Times New Roman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1720215" cy="667385"/>
            <wp:effectExtent l="19050" t="0" r="0" b="0"/>
            <wp:docPr id="9" name="Immagine 9" descr="P:\_dp\905\XML-IN\Images\CF1777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P:\_dp\905\XML-IN\Images\CF1777-B.t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215" cy="6673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14380" w:rsidRPr="006312EE" w:rsidRDefault="00E14380" w:rsidP="00700F7D">
      <w:pPr>
        <w:pStyle w:val="Titolo1"/>
        <w:shd w:val="clear" w:color="auto" w:fill="FFFFFF"/>
        <w:spacing w:before="0" w:beforeAutospacing="0" w:after="0" w:afterAutospacing="0"/>
        <w:contextualSpacing/>
        <w:jc w:val="center"/>
        <w:rPr>
          <w:rStyle w:val="s1"/>
          <w:rFonts w:asciiTheme="minorHAnsi" w:hAnsiTheme="minorHAnsi"/>
          <w:b w:val="0"/>
          <w:sz w:val="22"/>
          <w:szCs w:val="22"/>
        </w:rPr>
      </w:pPr>
    </w:p>
    <w:p w:rsidR="00B12DF7" w:rsidRDefault="00700F7D" w:rsidP="00B12DF7">
      <w:pPr>
        <w:pStyle w:val="Titolo1"/>
        <w:contextualSpacing/>
        <w:rPr>
          <w:rFonts w:asciiTheme="minorHAnsi" w:hAnsiTheme="minorHAnsi" w:cs="Arial"/>
          <w:b w:val="0"/>
          <w:sz w:val="22"/>
          <w:szCs w:val="22"/>
        </w:rPr>
      </w:pPr>
      <w:r>
        <w:rPr>
          <w:rFonts w:asciiTheme="minorHAnsi" w:hAnsiTheme="minorHAnsi"/>
          <w:b w:val="0"/>
          <w:sz w:val="22"/>
          <w:szCs w:val="22"/>
          <w:u w:val="single"/>
        </w:rPr>
        <w:t>F</w:t>
      </w:r>
      <w:r w:rsidR="00E14380" w:rsidRPr="006312EE">
        <w:rPr>
          <w:rFonts w:asciiTheme="minorHAnsi" w:hAnsiTheme="minorHAnsi"/>
          <w:b w:val="0"/>
          <w:sz w:val="22"/>
          <w:szCs w:val="22"/>
          <w:u w:val="single"/>
        </w:rPr>
        <w:t>ormula molecolare</w:t>
      </w:r>
      <w:r w:rsidR="00E14380" w:rsidRPr="006312EE">
        <w:rPr>
          <w:rFonts w:asciiTheme="minorHAnsi" w:hAnsiTheme="minorHAnsi"/>
          <w:b w:val="0"/>
          <w:sz w:val="22"/>
          <w:szCs w:val="22"/>
        </w:rPr>
        <w:t>:</w:t>
      </w:r>
      <w:r w:rsidR="00E14380" w:rsidRPr="006312EE">
        <w:rPr>
          <w:rStyle w:val="s1"/>
          <w:rFonts w:asciiTheme="minorHAnsi" w:hAnsiTheme="minorHAnsi"/>
          <w:b w:val="0"/>
          <w:sz w:val="22"/>
          <w:szCs w:val="22"/>
        </w:rPr>
        <w:t xml:space="preserve"> </w:t>
      </w:r>
      <w:r w:rsidR="00E752F3">
        <w:rPr>
          <w:rStyle w:val="s1"/>
          <w:rFonts w:asciiTheme="minorHAnsi" w:hAnsiTheme="minorHAnsi"/>
          <w:b w:val="0"/>
          <w:sz w:val="22"/>
          <w:szCs w:val="22"/>
        </w:rPr>
        <w:t xml:space="preserve"> </w:t>
      </w:r>
      <w:r w:rsidR="00B12DF7">
        <w:rPr>
          <w:rFonts w:asciiTheme="minorHAnsi" w:hAnsiTheme="minorHAnsi" w:cs="Arial"/>
          <w:b w:val="0"/>
          <w:sz w:val="22"/>
          <w:szCs w:val="22"/>
        </w:rPr>
        <w:t>CH₂Cl₂O₆P₂Na₂,</w:t>
      </w:r>
      <w:r w:rsidR="0032701C" w:rsidRPr="0032701C">
        <w:rPr>
          <w:rFonts w:asciiTheme="minorHAnsi" w:hAnsiTheme="minorHAnsi" w:cs="Arial"/>
          <w:b w:val="0"/>
          <w:sz w:val="22"/>
          <w:szCs w:val="22"/>
        </w:rPr>
        <w:t xml:space="preserve"> 4H₂O</w:t>
      </w:r>
    </w:p>
    <w:p w:rsidR="00E14380" w:rsidRPr="00B12DF7" w:rsidRDefault="00E14380" w:rsidP="00B12DF7">
      <w:pPr>
        <w:pStyle w:val="Titolo1"/>
        <w:shd w:val="clear" w:color="auto" w:fill="FFFFFF"/>
        <w:spacing w:before="0" w:beforeAutospacing="0" w:after="0" w:afterAutospacing="0"/>
        <w:contextualSpacing/>
        <w:rPr>
          <w:rFonts w:asciiTheme="minorHAnsi" w:hAnsiTheme="minorHAnsi"/>
          <w:b w:val="0"/>
          <w:sz w:val="22"/>
          <w:szCs w:val="22"/>
          <w:u w:val="single"/>
        </w:rPr>
      </w:pPr>
      <w:r w:rsidRPr="00B12DF7">
        <w:rPr>
          <w:rFonts w:asciiTheme="minorHAnsi" w:hAnsiTheme="minorHAnsi"/>
          <w:b w:val="0"/>
          <w:sz w:val="22"/>
          <w:szCs w:val="22"/>
          <w:u w:val="single"/>
        </w:rPr>
        <w:t xml:space="preserve">Peso molecolare: </w:t>
      </w:r>
      <w:r w:rsidR="00E752F3" w:rsidRPr="00B12DF7">
        <w:rPr>
          <w:b w:val="0"/>
          <w:sz w:val="22"/>
          <w:szCs w:val="22"/>
          <w:u w:val="single"/>
        </w:rPr>
        <w:t xml:space="preserve"> </w:t>
      </w:r>
      <w:r w:rsidR="00700F7D" w:rsidRPr="00B12DF7">
        <w:rPr>
          <w:rFonts w:asciiTheme="minorHAnsi" w:hAnsiTheme="minorHAnsi"/>
          <w:b w:val="0"/>
          <w:sz w:val="22"/>
          <w:szCs w:val="22"/>
          <w:u w:val="single"/>
        </w:rPr>
        <w:t>360.908g/mol  </w:t>
      </w:r>
    </w:p>
    <w:p w:rsidR="007C68D2" w:rsidRPr="00F2215C" w:rsidRDefault="007C68D2" w:rsidP="00B12DF7">
      <w:pPr>
        <w:pStyle w:val="Titolo1"/>
        <w:shd w:val="clear" w:color="auto" w:fill="FFFFFF"/>
        <w:spacing w:before="0" w:beforeAutospacing="0" w:after="0" w:afterAutospacing="0"/>
        <w:contextualSpacing/>
        <w:rPr>
          <w:rFonts w:asciiTheme="minorHAnsi" w:hAnsiTheme="minorHAnsi"/>
          <w:b w:val="0"/>
          <w:sz w:val="22"/>
          <w:szCs w:val="22"/>
        </w:rPr>
      </w:pPr>
      <w:r w:rsidRPr="00F2215C">
        <w:rPr>
          <w:rFonts w:asciiTheme="minorHAnsi" w:hAnsiTheme="minorHAnsi"/>
          <w:b w:val="0"/>
          <w:sz w:val="22"/>
          <w:szCs w:val="22"/>
          <w:u w:val="single"/>
        </w:rPr>
        <w:t>CAS</w:t>
      </w:r>
      <w:r w:rsidRPr="00F2215C">
        <w:rPr>
          <w:rFonts w:asciiTheme="minorHAnsi" w:hAnsiTheme="minorHAnsi"/>
          <w:b w:val="0"/>
          <w:sz w:val="22"/>
          <w:szCs w:val="22"/>
        </w:rPr>
        <w:t xml:space="preserve">: </w:t>
      </w:r>
      <w:r w:rsidR="00E752F3">
        <w:rPr>
          <w:rStyle w:val="s1"/>
          <w:rFonts w:asciiTheme="minorHAnsi" w:hAnsiTheme="minorHAnsi"/>
          <w:b w:val="0"/>
          <w:sz w:val="22"/>
          <w:szCs w:val="22"/>
        </w:rPr>
        <w:t xml:space="preserve"> </w:t>
      </w:r>
      <w:r w:rsidR="0032701C" w:rsidRPr="0032701C">
        <w:rPr>
          <w:rFonts w:asciiTheme="minorHAnsi" w:hAnsiTheme="minorHAnsi" w:cs="Arial"/>
          <w:b w:val="0"/>
          <w:sz w:val="22"/>
          <w:szCs w:val="22"/>
        </w:rPr>
        <w:t>88416-50-6</w:t>
      </w:r>
    </w:p>
    <w:p w:rsidR="007C68D2" w:rsidRPr="00032587" w:rsidRDefault="007C68D2" w:rsidP="00B12DF7">
      <w:pPr>
        <w:spacing w:after="0" w:line="240" w:lineRule="auto"/>
        <w:contextualSpacing/>
        <w:jc w:val="both"/>
      </w:pPr>
      <w:r w:rsidRPr="00F2215C">
        <w:rPr>
          <w:u w:val="single"/>
        </w:rPr>
        <w:t>Aspetto</w:t>
      </w:r>
      <w:r w:rsidRPr="00F2215C">
        <w:t>:</w:t>
      </w:r>
      <w:r w:rsidR="00E14380" w:rsidRPr="00F2215C">
        <w:t xml:space="preserve"> </w:t>
      </w:r>
      <w:r w:rsidR="00E752F3">
        <w:t xml:space="preserve"> </w:t>
      </w:r>
      <w:r w:rsidR="00700F7D">
        <w:t>polvere cristallina bianca o biancastra</w:t>
      </w:r>
    </w:p>
    <w:p w:rsidR="007C68D2" w:rsidRPr="00032587" w:rsidRDefault="007C68D2" w:rsidP="00B12DF7">
      <w:pPr>
        <w:spacing w:after="0" w:line="240" w:lineRule="auto"/>
        <w:contextualSpacing/>
        <w:jc w:val="both"/>
      </w:pPr>
      <w:r w:rsidRPr="00032587">
        <w:rPr>
          <w:u w:val="single"/>
        </w:rPr>
        <w:t>Solubilità</w:t>
      </w:r>
      <w:r w:rsidRPr="00032587">
        <w:t xml:space="preserve">: </w:t>
      </w:r>
      <w:r w:rsidR="00E752F3">
        <w:rPr>
          <w:rStyle w:val="s1"/>
          <w:rFonts w:asciiTheme="minorHAnsi" w:hAnsiTheme="minorHAnsi"/>
        </w:rPr>
        <w:t xml:space="preserve"> </w:t>
      </w:r>
      <w:r w:rsidR="00700F7D">
        <w:rPr>
          <w:rStyle w:val="s1"/>
          <w:rFonts w:asciiTheme="minorHAnsi" w:hAnsiTheme="minorHAnsi"/>
        </w:rPr>
        <w:t>molto solubile in acqua, praticamente insolubile in etanolo (96%), lievemente solubile in metanolo.</w:t>
      </w:r>
    </w:p>
    <w:p w:rsidR="006312EE" w:rsidRPr="00032587" w:rsidRDefault="006312EE" w:rsidP="00700F7D">
      <w:pPr>
        <w:spacing w:after="0" w:line="240" w:lineRule="auto"/>
        <w:contextualSpacing/>
        <w:jc w:val="both"/>
      </w:pPr>
    </w:p>
    <w:p w:rsidR="00502AB1" w:rsidRPr="00032587" w:rsidRDefault="00502AB1" w:rsidP="00700F7D">
      <w:pPr>
        <w:spacing w:after="0" w:line="240" w:lineRule="auto"/>
        <w:contextualSpacing/>
        <w:jc w:val="both"/>
      </w:pPr>
      <w:r w:rsidRPr="00032587">
        <w:t xml:space="preserve">Il principio attivo </w:t>
      </w:r>
      <w:proofErr w:type="spellStart"/>
      <w:r w:rsidR="0032701C">
        <w:t>clodronato</w:t>
      </w:r>
      <w:proofErr w:type="spellEnd"/>
      <w:r w:rsidR="0032701C">
        <w:t xml:space="preserve"> </w:t>
      </w:r>
      <w:proofErr w:type="spellStart"/>
      <w:r w:rsidR="0032701C">
        <w:t>disodico</w:t>
      </w:r>
      <w:proofErr w:type="spellEnd"/>
      <w:r w:rsidR="0032701C">
        <w:t xml:space="preserve"> </w:t>
      </w:r>
      <w:proofErr w:type="spellStart"/>
      <w:r w:rsidR="0032701C">
        <w:t>tetraidrato</w:t>
      </w:r>
      <w:proofErr w:type="spellEnd"/>
      <w:r w:rsidRPr="00032587">
        <w:t xml:space="preserve"> è presente in Farmacopea Europea e il </w:t>
      </w:r>
      <w:proofErr w:type="spellStart"/>
      <w:r w:rsidRPr="00032587">
        <w:t>Direttorato</w:t>
      </w:r>
      <w:proofErr w:type="spellEnd"/>
      <w:r w:rsidRPr="00032587">
        <w:t xml:space="preserve"> Europeo per la Qualità dei Medicinali (</w:t>
      </w:r>
      <w:proofErr w:type="spellStart"/>
      <w:r w:rsidRPr="00032587">
        <w:rPr>
          <w:i/>
        </w:rPr>
        <w:t>European</w:t>
      </w:r>
      <w:proofErr w:type="spellEnd"/>
      <w:r w:rsidRPr="00032587">
        <w:rPr>
          <w:i/>
        </w:rPr>
        <w:t xml:space="preserve"> </w:t>
      </w:r>
      <w:proofErr w:type="spellStart"/>
      <w:r w:rsidRPr="00032587">
        <w:rPr>
          <w:i/>
        </w:rPr>
        <w:t>Directorate</w:t>
      </w:r>
      <w:proofErr w:type="spellEnd"/>
      <w:r w:rsidRPr="00032587">
        <w:rPr>
          <w:i/>
        </w:rPr>
        <w:t xml:space="preserve"> </w:t>
      </w:r>
      <w:proofErr w:type="spellStart"/>
      <w:r w:rsidRPr="00032587">
        <w:rPr>
          <w:i/>
        </w:rPr>
        <w:t>for</w:t>
      </w:r>
      <w:proofErr w:type="spellEnd"/>
      <w:r w:rsidRPr="00032587">
        <w:rPr>
          <w:i/>
        </w:rPr>
        <w:t xml:space="preserve"> </w:t>
      </w:r>
      <w:proofErr w:type="spellStart"/>
      <w:r w:rsidRPr="00032587">
        <w:rPr>
          <w:i/>
        </w:rPr>
        <w:t>Quality</w:t>
      </w:r>
      <w:proofErr w:type="spellEnd"/>
      <w:r w:rsidRPr="00032587">
        <w:rPr>
          <w:i/>
        </w:rPr>
        <w:t xml:space="preserve"> </w:t>
      </w:r>
      <w:proofErr w:type="spellStart"/>
      <w:r w:rsidRPr="00032587">
        <w:rPr>
          <w:i/>
        </w:rPr>
        <w:t>of</w:t>
      </w:r>
      <w:proofErr w:type="spellEnd"/>
      <w:r w:rsidRPr="00032587">
        <w:rPr>
          <w:i/>
        </w:rPr>
        <w:t xml:space="preserve"> </w:t>
      </w:r>
      <w:proofErr w:type="spellStart"/>
      <w:r w:rsidRPr="00032587">
        <w:rPr>
          <w:i/>
        </w:rPr>
        <w:t>Medicinals</w:t>
      </w:r>
      <w:proofErr w:type="spellEnd"/>
      <w:r w:rsidRPr="00032587">
        <w:t xml:space="preserve"> – EDQM) ha rilasciato al  produttore  il certificato di conformità alla Farmacopea Europea (CEP).</w:t>
      </w:r>
    </w:p>
    <w:p w:rsidR="00E14380" w:rsidRPr="00032587" w:rsidRDefault="00502AB1" w:rsidP="00E14380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r w:rsidRPr="00032587">
        <w:t xml:space="preserve">Tutti gli aspetti di produzione e controllo sono coperti dal certificato di conformità alla Farmacopea Europea. Il periodo di </w:t>
      </w:r>
      <w:proofErr w:type="spellStart"/>
      <w:r w:rsidRPr="00032587">
        <w:t>retest</w:t>
      </w:r>
      <w:proofErr w:type="spellEnd"/>
      <w:r w:rsidRPr="00032587">
        <w:t xml:space="preserve"> è di </w:t>
      </w:r>
      <w:r w:rsidR="0032701C">
        <w:t>5</w:t>
      </w:r>
      <w:r w:rsidR="00E14380" w:rsidRPr="00032587">
        <w:t xml:space="preserve"> anni</w:t>
      </w:r>
      <w:r w:rsidRPr="00032587">
        <w:t xml:space="preserve"> quando il principio attivo è conservato</w:t>
      </w:r>
      <w:r w:rsidR="00E14380" w:rsidRPr="00032587">
        <w:t xml:space="preserve"> </w:t>
      </w:r>
      <w:r w:rsidRPr="00032587">
        <w:t xml:space="preserve">in </w:t>
      </w:r>
      <w:r w:rsidR="0032701C">
        <w:t>doppia busta di polietilene.</w:t>
      </w:r>
    </w:p>
    <w:p w:rsidR="00502AB1" w:rsidRDefault="00502AB1" w:rsidP="00E14380">
      <w:pPr>
        <w:spacing w:after="0" w:line="240" w:lineRule="auto"/>
        <w:jc w:val="both"/>
      </w:pPr>
    </w:p>
    <w:p w:rsidR="00E752F3" w:rsidRDefault="00E752F3" w:rsidP="00E14380">
      <w:pPr>
        <w:spacing w:after="0" w:line="240" w:lineRule="auto"/>
        <w:jc w:val="both"/>
        <w:rPr>
          <w:b/>
        </w:rPr>
      </w:pPr>
      <w:r w:rsidRPr="00E752F3">
        <w:rPr>
          <w:b/>
        </w:rPr>
        <w:t>II.1.2 PRINCIPIO ATTIVO</w:t>
      </w:r>
      <w:r>
        <w:rPr>
          <w:b/>
        </w:rPr>
        <w:t xml:space="preserve"> LIDOCAINA CLORIDRATO</w:t>
      </w:r>
    </w:p>
    <w:p w:rsidR="0032701C" w:rsidRDefault="0032701C" w:rsidP="00E14380">
      <w:pPr>
        <w:spacing w:after="0" w:line="240" w:lineRule="auto"/>
        <w:jc w:val="both"/>
        <w:rPr>
          <w:b/>
        </w:rPr>
      </w:pPr>
    </w:p>
    <w:p w:rsidR="0032701C" w:rsidRPr="0032701C" w:rsidRDefault="0032701C" w:rsidP="0032701C">
      <w:pPr>
        <w:spacing w:after="0" w:line="240" w:lineRule="auto"/>
        <w:jc w:val="both"/>
      </w:pPr>
      <w:r w:rsidRPr="0032701C">
        <w:rPr>
          <w:u w:val="single"/>
        </w:rPr>
        <w:t>Nome chimico</w:t>
      </w:r>
      <w:r w:rsidRPr="0032701C">
        <w:t xml:space="preserve">: </w:t>
      </w:r>
      <w:r w:rsidR="00B12DF7" w:rsidRPr="00B12DF7">
        <w:t>2-(</w:t>
      </w:r>
      <w:proofErr w:type="spellStart"/>
      <w:r w:rsidR="00B12DF7" w:rsidRPr="00B12DF7">
        <w:t>Diethylamino</w:t>
      </w:r>
      <w:proofErr w:type="spellEnd"/>
      <w:r w:rsidR="00B12DF7" w:rsidRPr="00B12DF7">
        <w:t>)-</w:t>
      </w:r>
      <w:r w:rsidR="00B12DF7" w:rsidRPr="00B12DF7">
        <w:rPr>
          <w:i/>
          <w:iCs/>
        </w:rPr>
        <w:t>N</w:t>
      </w:r>
      <w:r w:rsidR="00B12DF7" w:rsidRPr="00B12DF7">
        <w:t xml:space="preserve">-(2,6-dimethylphenyl)acetamide </w:t>
      </w:r>
      <w:proofErr w:type="spellStart"/>
      <w:r w:rsidR="00B12DF7" w:rsidRPr="00B12DF7">
        <w:t>hydrochloride</w:t>
      </w:r>
      <w:proofErr w:type="spellEnd"/>
      <w:r w:rsidR="00B12DF7" w:rsidRPr="00B12DF7">
        <w:t xml:space="preserve"> </w:t>
      </w:r>
      <w:proofErr w:type="spellStart"/>
      <w:r w:rsidR="00B12DF7" w:rsidRPr="00B12DF7">
        <w:t>monohydrate</w:t>
      </w:r>
      <w:proofErr w:type="spellEnd"/>
    </w:p>
    <w:p w:rsidR="0032701C" w:rsidRPr="0032701C" w:rsidRDefault="0032701C" w:rsidP="0032701C">
      <w:pPr>
        <w:spacing w:after="0" w:line="240" w:lineRule="auto"/>
        <w:jc w:val="both"/>
      </w:pPr>
      <w:r w:rsidRPr="0032701C">
        <w:rPr>
          <w:u w:val="single"/>
        </w:rPr>
        <w:t>Struttura</w:t>
      </w:r>
      <w:r w:rsidRPr="0032701C">
        <w:t xml:space="preserve">: </w:t>
      </w:r>
    </w:p>
    <w:p w:rsidR="0032701C" w:rsidRPr="00E752F3" w:rsidRDefault="0032701C" w:rsidP="00E14380">
      <w:pPr>
        <w:spacing w:after="0" w:line="240" w:lineRule="auto"/>
        <w:jc w:val="both"/>
        <w:rPr>
          <w:b/>
        </w:rPr>
      </w:pPr>
    </w:p>
    <w:p w:rsidR="00E752F3" w:rsidRPr="00032587" w:rsidRDefault="00E752F3" w:rsidP="00E14380">
      <w:pPr>
        <w:spacing w:after="0" w:line="240" w:lineRule="auto"/>
        <w:jc w:val="both"/>
      </w:pPr>
    </w:p>
    <w:p w:rsidR="0032701C" w:rsidRPr="0032701C" w:rsidRDefault="0032701C" w:rsidP="0032701C">
      <w:pPr>
        <w:spacing w:after="0" w:line="320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>
        <w:rPr>
          <w:rFonts w:ascii="Arial" w:eastAsia="Times New Roman" w:hAnsi="Arial" w:cs="Arial"/>
          <w:noProof/>
          <w:sz w:val="20"/>
          <w:szCs w:val="20"/>
          <w:lang w:eastAsia="it-IT"/>
        </w:rPr>
        <w:drawing>
          <wp:inline distT="0" distB="0" distL="0" distR="0">
            <wp:extent cx="2583815" cy="768985"/>
            <wp:effectExtent l="19050" t="0" r="6985" b="0"/>
            <wp:docPr id="7" name="Immagine 7" descr="P:\_dp\905\XML-IN\Images\cf0227-b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P:\_dp\905\XML-IN\Images\cf0227-b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3815" cy="768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01C" w:rsidRDefault="0032701C" w:rsidP="0032701C">
      <w:pPr>
        <w:spacing w:after="0" w:line="240" w:lineRule="auto"/>
        <w:jc w:val="both"/>
        <w:rPr>
          <w:bCs/>
          <w:u w:val="single"/>
        </w:rPr>
      </w:pPr>
    </w:p>
    <w:p w:rsidR="0032701C" w:rsidRDefault="0032701C" w:rsidP="0032701C">
      <w:pPr>
        <w:spacing w:after="0" w:line="240" w:lineRule="auto"/>
        <w:jc w:val="both"/>
        <w:rPr>
          <w:bCs/>
          <w:u w:val="single"/>
        </w:rPr>
      </w:pPr>
    </w:p>
    <w:p w:rsidR="0032701C" w:rsidRPr="0032701C" w:rsidRDefault="0032701C" w:rsidP="0032701C">
      <w:pPr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it-IT"/>
        </w:rPr>
      </w:pPr>
      <w:r w:rsidRPr="0032701C">
        <w:rPr>
          <w:bCs/>
          <w:u w:val="single"/>
        </w:rPr>
        <w:t>Formula molecolare</w:t>
      </w:r>
      <w:r w:rsidRPr="0032701C">
        <w:rPr>
          <w:bCs/>
        </w:rPr>
        <w:t xml:space="preserve">:  </w:t>
      </w:r>
      <w:r>
        <w:rPr>
          <w:bCs/>
        </w:rPr>
        <w:t xml:space="preserve"> </w:t>
      </w:r>
      <w:r w:rsidRPr="0032701C">
        <w:rPr>
          <w:bCs/>
        </w:rPr>
        <w:t>C</w:t>
      </w:r>
      <w:r w:rsidRPr="0032701C">
        <w:rPr>
          <w:bCs/>
          <w:vertAlign w:val="subscript"/>
        </w:rPr>
        <w:t>14</w:t>
      </w:r>
      <w:r w:rsidRPr="0032701C">
        <w:rPr>
          <w:bCs/>
        </w:rPr>
        <w:t>H</w:t>
      </w:r>
      <w:r w:rsidRPr="0032701C">
        <w:rPr>
          <w:bCs/>
          <w:vertAlign w:val="subscript"/>
        </w:rPr>
        <w:t>23</w:t>
      </w:r>
      <w:r w:rsidRPr="0032701C">
        <w:rPr>
          <w:bCs/>
        </w:rPr>
        <w:t>ClN</w:t>
      </w:r>
      <w:r w:rsidRPr="00B12DF7">
        <w:rPr>
          <w:bCs/>
          <w:vertAlign w:val="subscript"/>
        </w:rPr>
        <w:t>2</w:t>
      </w:r>
      <w:r w:rsidRPr="0032701C">
        <w:rPr>
          <w:bCs/>
        </w:rPr>
        <w:t>O,H2O</w:t>
      </w:r>
      <w:r w:rsidRPr="0032701C">
        <w:rPr>
          <w:rFonts w:ascii="Arial" w:eastAsia="Times New Roman" w:hAnsi="Arial" w:cs="Arial"/>
          <w:sz w:val="20"/>
          <w:lang w:eastAsia="it-IT"/>
        </w:rPr>
        <w:t xml:space="preserve"> </w:t>
      </w:r>
    </w:p>
    <w:p w:rsidR="0032701C" w:rsidRPr="0032701C" w:rsidRDefault="0032701C" w:rsidP="0032701C">
      <w:pPr>
        <w:spacing w:after="0" w:line="240" w:lineRule="auto"/>
        <w:jc w:val="both"/>
      </w:pPr>
      <w:r w:rsidRPr="0032701C">
        <w:rPr>
          <w:u w:val="single"/>
        </w:rPr>
        <w:t>Peso molecolare</w:t>
      </w:r>
      <w:r w:rsidRPr="0032701C">
        <w:t xml:space="preserve">:  </w:t>
      </w:r>
      <w:r>
        <w:rPr>
          <w:bCs/>
        </w:rPr>
        <w:t xml:space="preserve"> </w:t>
      </w:r>
      <w:r w:rsidRPr="0032701C">
        <w:rPr>
          <w:bCs/>
        </w:rPr>
        <w:t>234.343 g/mol</w:t>
      </w:r>
    </w:p>
    <w:p w:rsidR="0032701C" w:rsidRPr="0032701C" w:rsidRDefault="0032701C" w:rsidP="0032701C">
      <w:pPr>
        <w:spacing w:after="0" w:line="240" w:lineRule="auto"/>
        <w:jc w:val="both"/>
        <w:rPr>
          <w:bCs/>
        </w:rPr>
      </w:pPr>
      <w:r w:rsidRPr="0032701C">
        <w:rPr>
          <w:bCs/>
          <w:u w:val="single"/>
        </w:rPr>
        <w:t>CAS</w:t>
      </w:r>
      <w:r w:rsidRPr="0032701C">
        <w:rPr>
          <w:bCs/>
        </w:rPr>
        <w:t xml:space="preserve">:  </w:t>
      </w:r>
      <w:r>
        <w:rPr>
          <w:bCs/>
        </w:rPr>
        <w:t xml:space="preserve"> </w:t>
      </w:r>
      <w:r w:rsidRPr="0032701C">
        <w:rPr>
          <w:bCs/>
        </w:rPr>
        <w:t>137-58-6</w:t>
      </w:r>
    </w:p>
    <w:p w:rsidR="0032701C" w:rsidRPr="0032701C" w:rsidRDefault="0032701C" w:rsidP="0032701C">
      <w:pPr>
        <w:spacing w:after="0" w:line="240" w:lineRule="auto"/>
        <w:jc w:val="both"/>
      </w:pPr>
      <w:r w:rsidRPr="0032701C">
        <w:rPr>
          <w:u w:val="single"/>
        </w:rPr>
        <w:t>Aspetto</w:t>
      </w:r>
      <w:r w:rsidRPr="0032701C">
        <w:t xml:space="preserve">:  </w:t>
      </w:r>
      <w:r>
        <w:t xml:space="preserve"> </w:t>
      </w:r>
      <w:r w:rsidR="00B12DF7" w:rsidRPr="00B12DF7">
        <w:t>polvere cristallina bianca o biancastra</w:t>
      </w:r>
    </w:p>
    <w:p w:rsidR="00B12DF7" w:rsidRPr="00B12DF7" w:rsidRDefault="0032701C" w:rsidP="00B12DF7">
      <w:pPr>
        <w:spacing w:after="0" w:line="240" w:lineRule="auto"/>
        <w:jc w:val="both"/>
      </w:pPr>
      <w:r w:rsidRPr="0032701C">
        <w:rPr>
          <w:u w:val="single"/>
        </w:rPr>
        <w:t>Solubilità</w:t>
      </w:r>
      <w:r w:rsidRPr="0032701C">
        <w:t xml:space="preserve">: </w:t>
      </w:r>
      <w:r w:rsidR="00B12DF7" w:rsidRPr="00B12DF7">
        <w:t xml:space="preserve">molto solubile in acqua, </w:t>
      </w:r>
      <w:r w:rsidR="00B12DF7">
        <w:t>molto solubile in etanolo (96%).</w:t>
      </w:r>
    </w:p>
    <w:p w:rsidR="0032701C" w:rsidRDefault="0032701C" w:rsidP="00E14380">
      <w:pPr>
        <w:spacing w:after="0" w:line="240" w:lineRule="auto"/>
        <w:jc w:val="both"/>
        <w:rPr>
          <w:b/>
        </w:rPr>
      </w:pPr>
      <w:r w:rsidRPr="0032701C">
        <w:t xml:space="preserve"> </w:t>
      </w:r>
      <w:r>
        <w:t xml:space="preserve"> </w:t>
      </w:r>
    </w:p>
    <w:p w:rsidR="00353318" w:rsidRPr="00353318" w:rsidRDefault="00353318" w:rsidP="00353318">
      <w:pPr>
        <w:spacing w:after="0" w:line="240" w:lineRule="auto"/>
        <w:jc w:val="both"/>
      </w:pPr>
      <w:r w:rsidRPr="00353318">
        <w:t xml:space="preserve">Il principio attivo </w:t>
      </w:r>
      <w:r>
        <w:t>lidocaina cloridrato</w:t>
      </w:r>
      <w:r w:rsidRPr="00353318">
        <w:t xml:space="preserve"> è presente in Farmacopea Europea e il </w:t>
      </w:r>
      <w:proofErr w:type="spellStart"/>
      <w:r w:rsidRPr="00353318">
        <w:t>Direttorato</w:t>
      </w:r>
      <w:proofErr w:type="spellEnd"/>
      <w:r w:rsidRPr="00353318">
        <w:t xml:space="preserve"> Europeo per la Qualità dei Medicinali (</w:t>
      </w:r>
      <w:proofErr w:type="spellStart"/>
      <w:r w:rsidRPr="00353318">
        <w:rPr>
          <w:i/>
        </w:rPr>
        <w:t>European</w:t>
      </w:r>
      <w:proofErr w:type="spellEnd"/>
      <w:r w:rsidRPr="00353318">
        <w:rPr>
          <w:i/>
        </w:rPr>
        <w:t xml:space="preserve"> </w:t>
      </w:r>
      <w:proofErr w:type="spellStart"/>
      <w:r w:rsidRPr="00353318">
        <w:rPr>
          <w:i/>
        </w:rPr>
        <w:t>Directorate</w:t>
      </w:r>
      <w:proofErr w:type="spellEnd"/>
      <w:r w:rsidRPr="00353318">
        <w:rPr>
          <w:i/>
        </w:rPr>
        <w:t xml:space="preserve"> </w:t>
      </w:r>
      <w:proofErr w:type="spellStart"/>
      <w:r w:rsidRPr="00353318">
        <w:rPr>
          <w:i/>
        </w:rPr>
        <w:t>for</w:t>
      </w:r>
      <w:proofErr w:type="spellEnd"/>
      <w:r w:rsidRPr="00353318">
        <w:rPr>
          <w:i/>
        </w:rPr>
        <w:t xml:space="preserve"> </w:t>
      </w:r>
      <w:proofErr w:type="spellStart"/>
      <w:r w:rsidRPr="00353318">
        <w:rPr>
          <w:i/>
        </w:rPr>
        <w:t>Quality</w:t>
      </w:r>
      <w:proofErr w:type="spellEnd"/>
      <w:r w:rsidRPr="00353318">
        <w:rPr>
          <w:i/>
        </w:rPr>
        <w:t xml:space="preserve"> </w:t>
      </w:r>
      <w:proofErr w:type="spellStart"/>
      <w:r w:rsidRPr="00353318">
        <w:rPr>
          <w:i/>
        </w:rPr>
        <w:t>of</w:t>
      </w:r>
      <w:proofErr w:type="spellEnd"/>
      <w:r w:rsidRPr="00353318">
        <w:rPr>
          <w:i/>
        </w:rPr>
        <w:t xml:space="preserve"> </w:t>
      </w:r>
      <w:proofErr w:type="spellStart"/>
      <w:r w:rsidRPr="00353318">
        <w:rPr>
          <w:i/>
        </w:rPr>
        <w:t>Medicinals</w:t>
      </w:r>
      <w:proofErr w:type="spellEnd"/>
      <w:r w:rsidRPr="00353318">
        <w:t xml:space="preserve"> – EDQM) ha rilasciato al  produttore  il certificato di conformità alla Farmacopea Europea (CEP).</w:t>
      </w:r>
    </w:p>
    <w:p w:rsidR="00353318" w:rsidRPr="00353318" w:rsidRDefault="00353318" w:rsidP="00353318">
      <w:pPr>
        <w:spacing w:after="0" w:line="240" w:lineRule="auto"/>
        <w:jc w:val="both"/>
      </w:pPr>
      <w:r w:rsidRPr="00353318">
        <w:t xml:space="preserve">Tutti gli aspetti di produzione e controllo sono coperti dal certificato di conformità alla Farmacopea Europea. Il periodo di </w:t>
      </w:r>
      <w:proofErr w:type="spellStart"/>
      <w:r w:rsidRPr="00353318">
        <w:t>retest</w:t>
      </w:r>
      <w:proofErr w:type="spellEnd"/>
      <w:r w:rsidRPr="00353318">
        <w:t xml:space="preserve"> è di 5 anni quando il principio attivo è conservato in doppia busta di polietilene.</w:t>
      </w:r>
    </w:p>
    <w:p w:rsidR="0032701C" w:rsidRDefault="0032701C" w:rsidP="00E14380">
      <w:pPr>
        <w:spacing w:after="0" w:line="240" w:lineRule="auto"/>
        <w:jc w:val="both"/>
        <w:rPr>
          <w:b/>
        </w:rPr>
      </w:pPr>
    </w:p>
    <w:p w:rsidR="007C68D2" w:rsidRPr="00B32D81" w:rsidRDefault="007C68D2" w:rsidP="00E14380">
      <w:pPr>
        <w:spacing w:after="0" w:line="240" w:lineRule="auto"/>
        <w:jc w:val="both"/>
        <w:rPr>
          <w:b/>
        </w:rPr>
      </w:pPr>
      <w:r w:rsidRPr="006312EE">
        <w:rPr>
          <w:b/>
        </w:rPr>
        <w:t>II.2 PROD</w:t>
      </w:r>
      <w:r w:rsidRPr="00B32D81">
        <w:rPr>
          <w:b/>
        </w:rPr>
        <w:t>OTTO FINITO</w:t>
      </w:r>
    </w:p>
    <w:p w:rsidR="007C68D2" w:rsidRPr="00CE5C72" w:rsidRDefault="007C68D2" w:rsidP="00E14380">
      <w:pPr>
        <w:spacing w:after="0" w:line="240" w:lineRule="auto"/>
        <w:jc w:val="both"/>
        <w:rPr>
          <w:b/>
        </w:rPr>
      </w:pPr>
      <w:r w:rsidRPr="00CE5C72">
        <w:rPr>
          <w:b/>
        </w:rPr>
        <w:t>Descrizione e composizione</w:t>
      </w:r>
    </w:p>
    <w:p w:rsidR="00E752F3" w:rsidRDefault="00310B73" w:rsidP="00E752F3">
      <w:pPr>
        <w:widowControl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  <w:color w:val="000000"/>
          <w:lang w:eastAsia="it-IT"/>
        </w:rPr>
        <w:t>LICLORACT</w:t>
      </w:r>
      <w:r w:rsidR="007C68D2" w:rsidRPr="00CE5C72">
        <w:rPr>
          <w:rFonts w:eastAsia="Calibri" w:cs="Calibri"/>
          <w:color w:val="000000"/>
          <w:lang w:eastAsia="it-IT"/>
        </w:rPr>
        <w:t xml:space="preserve"> è disponibile come </w:t>
      </w:r>
      <w:r w:rsidR="00C31AF0" w:rsidRPr="00CE5C72">
        <w:rPr>
          <w:rFonts w:eastAsia="Calibri" w:cs="Calibri"/>
          <w:color w:val="000000"/>
          <w:lang w:eastAsia="it-IT"/>
        </w:rPr>
        <w:t xml:space="preserve">soluzione </w:t>
      </w:r>
      <w:r w:rsidR="00E752F3">
        <w:rPr>
          <w:rFonts w:eastAsia="Calibri" w:cs="Calibri"/>
          <w:color w:val="000000"/>
          <w:lang w:eastAsia="it-IT"/>
        </w:rPr>
        <w:t xml:space="preserve">iniettabile per uso intramuscolare </w:t>
      </w:r>
      <w:r w:rsidR="00C31AF0" w:rsidRPr="00CE5C72">
        <w:rPr>
          <w:rFonts w:eastAsia="Calibri" w:cs="Calibri"/>
          <w:color w:val="000000"/>
          <w:lang w:eastAsia="it-IT"/>
        </w:rPr>
        <w:t>contenente</w:t>
      </w:r>
      <w:r w:rsidR="007C68D2" w:rsidRPr="00CE5C72">
        <w:rPr>
          <w:rFonts w:eastAsia="Calibri" w:cs="Calibri"/>
          <w:color w:val="000000"/>
          <w:lang w:eastAsia="it-IT"/>
        </w:rPr>
        <w:t xml:space="preserve"> </w:t>
      </w:r>
      <w:r w:rsidR="00E752F3">
        <w:rPr>
          <w:rFonts w:eastAsia="Calibri" w:cs="Calibri"/>
          <w:color w:val="000000"/>
          <w:lang w:eastAsia="it-IT"/>
        </w:rPr>
        <w:t>i</w:t>
      </w:r>
      <w:r w:rsidR="00353318">
        <w:rPr>
          <w:rFonts w:eastAsia="Calibri" w:cs="Calibri"/>
          <w:color w:val="000000"/>
          <w:lang w:eastAsia="it-IT"/>
        </w:rPr>
        <w:t xml:space="preserve"> principi</w:t>
      </w:r>
      <w:r w:rsidR="00502AB1" w:rsidRPr="00CE5C72">
        <w:rPr>
          <w:rFonts w:eastAsia="Calibri" w:cs="Calibri"/>
          <w:color w:val="000000"/>
          <w:lang w:eastAsia="it-IT"/>
        </w:rPr>
        <w:t xml:space="preserve"> attiv</w:t>
      </w:r>
      <w:r w:rsidR="00E752F3">
        <w:rPr>
          <w:rFonts w:eastAsia="Calibri" w:cs="Calibri"/>
          <w:color w:val="000000"/>
          <w:lang w:eastAsia="it-IT"/>
        </w:rPr>
        <w:t xml:space="preserve">i </w:t>
      </w:r>
      <w:proofErr w:type="spellStart"/>
      <w:r w:rsidR="00B12DF7">
        <w:rPr>
          <w:rFonts w:eastAsia="Calibri" w:cs="Calibri"/>
          <w:color w:val="000000"/>
          <w:lang w:eastAsia="it-IT"/>
        </w:rPr>
        <w:t>clodronato</w:t>
      </w:r>
      <w:proofErr w:type="spellEnd"/>
      <w:r w:rsidR="00B12DF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12DF7">
        <w:rPr>
          <w:rFonts w:eastAsia="Calibri" w:cs="Calibri"/>
          <w:color w:val="000000"/>
          <w:lang w:eastAsia="it-IT"/>
        </w:rPr>
        <w:t>disodico</w:t>
      </w:r>
      <w:proofErr w:type="spellEnd"/>
      <w:r w:rsidR="00B12DF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="00B12DF7">
        <w:rPr>
          <w:rFonts w:eastAsia="Calibri" w:cs="Calibri"/>
          <w:color w:val="000000"/>
          <w:lang w:eastAsia="it-IT"/>
        </w:rPr>
        <w:t>tetraidrato</w:t>
      </w:r>
      <w:proofErr w:type="spellEnd"/>
      <w:r w:rsidR="00B12DF7">
        <w:rPr>
          <w:rFonts w:eastAsia="Calibri" w:cs="Calibri"/>
          <w:color w:val="000000"/>
          <w:lang w:eastAsia="it-IT"/>
        </w:rPr>
        <w:t xml:space="preserve"> e lidocaina cloridrato</w:t>
      </w:r>
      <w:r w:rsidR="00502AB1" w:rsidRPr="00CE5C72">
        <w:rPr>
          <w:rFonts w:eastAsia="Calibri" w:cs="Calibri"/>
          <w:color w:val="000000"/>
          <w:lang w:eastAsia="it-IT"/>
        </w:rPr>
        <w:t xml:space="preserve"> </w:t>
      </w:r>
      <w:r w:rsidR="00B12DF7">
        <w:rPr>
          <w:rFonts w:eastAsia="Calibri" w:cs="Calibri"/>
          <w:color w:val="000000"/>
          <w:lang w:eastAsia="it-IT"/>
        </w:rPr>
        <w:t xml:space="preserve">alla </w:t>
      </w:r>
      <w:r w:rsidR="00502AB1" w:rsidRPr="00CE5C72">
        <w:rPr>
          <w:rFonts w:eastAsia="Calibri" w:cs="Calibri"/>
          <w:color w:val="000000"/>
          <w:lang w:eastAsia="it-IT"/>
        </w:rPr>
        <w:t xml:space="preserve"> </w:t>
      </w:r>
      <w:r w:rsidR="00B12DF7">
        <w:rPr>
          <w:rFonts w:eastAsia="Calibri" w:cs="Calibri"/>
          <w:color w:val="000000"/>
          <w:lang w:eastAsia="it-IT"/>
        </w:rPr>
        <w:t xml:space="preserve">seguente </w:t>
      </w:r>
      <w:r w:rsidR="00502AB1" w:rsidRPr="00CE5C72">
        <w:rPr>
          <w:rFonts w:eastAsia="Calibri" w:cs="Calibri"/>
          <w:color w:val="000000"/>
          <w:lang w:eastAsia="it-IT"/>
        </w:rPr>
        <w:t>concentrazione</w:t>
      </w:r>
      <w:r w:rsidR="00B12DF7">
        <w:rPr>
          <w:rFonts w:eastAsia="Calibri" w:cs="Calibri"/>
          <w:color w:val="000000"/>
          <w:lang w:eastAsia="it-IT"/>
        </w:rPr>
        <w:t>:</w:t>
      </w:r>
      <w:r w:rsidR="00CE5C72" w:rsidRPr="00CE5C72">
        <w:rPr>
          <w:rFonts w:eastAsia="Calibri" w:cs="Calibri"/>
          <w:color w:val="000000"/>
          <w:lang w:eastAsia="it-IT"/>
        </w:rPr>
        <w:t xml:space="preserve"> </w:t>
      </w:r>
    </w:p>
    <w:p w:rsidR="00B12DF7" w:rsidRDefault="00B12DF7" w:rsidP="00B12DF7">
      <w:pPr>
        <w:widowControl w:val="0"/>
        <w:spacing w:after="0" w:line="240" w:lineRule="auto"/>
        <w:contextualSpacing/>
        <w:jc w:val="both"/>
        <w:rPr>
          <w:rFonts w:eastAsia="Calibri" w:cs="Calibri"/>
          <w:color w:val="000000"/>
          <w:lang w:eastAsia="it-IT"/>
        </w:rPr>
      </w:pPr>
      <w:r w:rsidRPr="00B12DF7">
        <w:rPr>
          <w:rFonts w:eastAsia="Calibri" w:cs="Calibri"/>
          <w:color w:val="000000"/>
          <w:lang w:eastAsia="it-IT"/>
        </w:rPr>
        <w:t xml:space="preserve">124,9 mg di </w:t>
      </w:r>
      <w:proofErr w:type="spellStart"/>
      <w:r w:rsidRPr="00B12DF7">
        <w:rPr>
          <w:rFonts w:eastAsia="Calibri" w:cs="Calibri"/>
          <w:color w:val="000000"/>
          <w:lang w:eastAsia="it-IT"/>
        </w:rPr>
        <w:t>clodronato</w:t>
      </w:r>
      <w:proofErr w:type="spellEnd"/>
      <w:r w:rsidRPr="00B12DF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B12DF7">
        <w:rPr>
          <w:rFonts w:eastAsia="Calibri" w:cs="Calibri"/>
          <w:color w:val="000000"/>
          <w:lang w:eastAsia="it-IT"/>
        </w:rPr>
        <w:t>disodico</w:t>
      </w:r>
      <w:proofErr w:type="spellEnd"/>
      <w:r w:rsidRPr="00B12DF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B12DF7">
        <w:rPr>
          <w:rFonts w:eastAsia="Calibri" w:cs="Calibri"/>
          <w:color w:val="000000"/>
          <w:lang w:eastAsia="it-IT"/>
        </w:rPr>
        <w:t>tetraidrato</w:t>
      </w:r>
      <w:proofErr w:type="spellEnd"/>
      <w:r w:rsidRPr="00B12DF7">
        <w:rPr>
          <w:rFonts w:eastAsia="Calibri" w:cs="Calibri"/>
          <w:color w:val="000000"/>
          <w:lang w:eastAsia="it-IT"/>
        </w:rPr>
        <w:t xml:space="preserve"> (equivalenti a 100 mg di </w:t>
      </w:r>
      <w:proofErr w:type="spellStart"/>
      <w:r w:rsidRPr="00B12DF7">
        <w:rPr>
          <w:rFonts w:eastAsia="Calibri" w:cs="Calibri"/>
          <w:color w:val="000000"/>
          <w:lang w:eastAsia="it-IT"/>
        </w:rPr>
        <w:t>clodronato</w:t>
      </w:r>
      <w:proofErr w:type="spellEnd"/>
      <w:r w:rsidRPr="00B12DF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B12DF7">
        <w:rPr>
          <w:rFonts w:eastAsia="Calibri" w:cs="Calibri"/>
          <w:color w:val="000000"/>
          <w:lang w:eastAsia="it-IT"/>
        </w:rPr>
        <w:t>disodico</w:t>
      </w:r>
      <w:proofErr w:type="spellEnd"/>
      <w:r w:rsidRPr="00B12DF7">
        <w:rPr>
          <w:rFonts w:eastAsia="Calibri" w:cs="Calibri"/>
          <w:color w:val="000000"/>
          <w:lang w:eastAsia="it-IT"/>
        </w:rPr>
        <w:t xml:space="preserve">) </w:t>
      </w:r>
      <w:r>
        <w:rPr>
          <w:rFonts w:eastAsia="Calibri" w:cs="Calibri"/>
          <w:color w:val="000000"/>
          <w:lang w:eastAsia="it-IT"/>
        </w:rPr>
        <w:t>e 33 mg di lidocaina cloridrato (1%) in una fiala da 3,3 ml</w:t>
      </w:r>
    </w:p>
    <w:p w:rsidR="00B12DF7" w:rsidRDefault="00B12DF7" w:rsidP="00B12DF7">
      <w:pPr>
        <w:contextualSpacing/>
        <w:jc w:val="both"/>
        <w:rPr>
          <w:rFonts w:eastAsia="Calibri" w:cs="Calibri"/>
          <w:color w:val="000000"/>
          <w:lang w:eastAsia="it-IT"/>
        </w:rPr>
      </w:pPr>
      <w:r w:rsidRPr="00B12DF7">
        <w:rPr>
          <w:rFonts w:eastAsia="Calibri" w:cs="Calibri"/>
          <w:color w:val="000000"/>
          <w:lang w:eastAsia="it-IT"/>
        </w:rPr>
        <w:lastRenderedPageBreak/>
        <w:t xml:space="preserve">249,9 mg di </w:t>
      </w:r>
      <w:proofErr w:type="spellStart"/>
      <w:r w:rsidRPr="00B12DF7">
        <w:rPr>
          <w:rFonts w:eastAsia="Calibri" w:cs="Calibri"/>
          <w:color w:val="000000"/>
          <w:lang w:eastAsia="it-IT"/>
        </w:rPr>
        <w:t>clodronato</w:t>
      </w:r>
      <w:proofErr w:type="spellEnd"/>
      <w:r w:rsidRPr="00B12DF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B12DF7">
        <w:rPr>
          <w:rFonts w:eastAsia="Calibri" w:cs="Calibri"/>
          <w:color w:val="000000"/>
          <w:lang w:eastAsia="it-IT"/>
        </w:rPr>
        <w:t>disodico</w:t>
      </w:r>
      <w:proofErr w:type="spellEnd"/>
      <w:r w:rsidRPr="00B12DF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B12DF7">
        <w:rPr>
          <w:rFonts w:eastAsia="Calibri" w:cs="Calibri"/>
          <w:color w:val="000000"/>
          <w:lang w:eastAsia="it-IT"/>
        </w:rPr>
        <w:t>tetraidrato</w:t>
      </w:r>
      <w:proofErr w:type="spellEnd"/>
      <w:r w:rsidRPr="00B12DF7">
        <w:rPr>
          <w:rFonts w:eastAsia="Calibri" w:cs="Calibri"/>
          <w:color w:val="000000"/>
          <w:lang w:eastAsia="it-IT"/>
        </w:rPr>
        <w:t xml:space="preserve"> (equivalenti a 200 mg di </w:t>
      </w:r>
      <w:proofErr w:type="spellStart"/>
      <w:r w:rsidRPr="00B12DF7">
        <w:rPr>
          <w:rFonts w:eastAsia="Calibri" w:cs="Calibri"/>
          <w:color w:val="000000"/>
          <w:lang w:eastAsia="it-IT"/>
        </w:rPr>
        <w:t>clodronato</w:t>
      </w:r>
      <w:proofErr w:type="spellEnd"/>
      <w:r w:rsidRPr="00B12DF7">
        <w:rPr>
          <w:rFonts w:eastAsia="Calibri" w:cs="Calibri"/>
          <w:color w:val="000000"/>
          <w:lang w:eastAsia="it-IT"/>
        </w:rPr>
        <w:t xml:space="preserve"> </w:t>
      </w:r>
      <w:proofErr w:type="spellStart"/>
      <w:r w:rsidRPr="00B12DF7">
        <w:rPr>
          <w:rFonts w:eastAsia="Calibri" w:cs="Calibri"/>
          <w:color w:val="000000"/>
          <w:lang w:eastAsia="it-IT"/>
        </w:rPr>
        <w:t>disodico</w:t>
      </w:r>
      <w:proofErr w:type="spellEnd"/>
      <w:r w:rsidRPr="00B12DF7">
        <w:rPr>
          <w:rFonts w:eastAsia="Calibri" w:cs="Calibri"/>
          <w:color w:val="000000"/>
          <w:lang w:eastAsia="it-IT"/>
        </w:rPr>
        <w:t>) e 40 mg di lidocaina cloridrato (1%) in una fiala da 4 ml</w:t>
      </w:r>
      <w:r>
        <w:rPr>
          <w:rFonts w:eastAsia="Calibri" w:cs="Calibri"/>
          <w:color w:val="000000"/>
          <w:lang w:eastAsia="it-IT"/>
        </w:rPr>
        <w:t>.</w:t>
      </w:r>
    </w:p>
    <w:p w:rsidR="00B12DF7" w:rsidRPr="00B12DF7" w:rsidRDefault="00E752F3" w:rsidP="00B12DF7">
      <w:pPr>
        <w:contextualSpacing/>
      </w:pPr>
      <w:r>
        <w:rPr>
          <w:rFonts w:eastAsia="Calibri" w:cs="Calibri"/>
          <w:color w:val="000000"/>
          <w:lang w:eastAsia="it-IT"/>
        </w:rPr>
        <w:t>Gl</w:t>
      </w:r>
      <w:r w:rsidR="007C68D2" w:rsidRPr="00CE5C72">
        <w:t>i eccipienti</w:t>
      </w:r>
      <w:r w:rsidR="00C31AF0" w:rsidRPr="00CE5C72">
        <w:t xml:space="preserve"> </w:t>
      </w:r>
      <w:r w:rsidR="007C68D2" w:rsidRPr="00CE5C72">
        <w:t xml:space="preserve">sono i seguenti: </w:t>
      </w:r>
      <w:r w:rsidR="00B12DF7">
        <w:t>s</w:t>
      </w:r>
      <w:r w:rsidR="00B12DF7" w:rsidRPr="00B12DF7">
        <w:t>odio idrogeno carbonato, acqua per preparazioni iniettabili.</w:t>
      </w:r>
    </w:p>
    <w:p w:rsidR="007C68D2" w:rsidRPr="00CE5C72" w:rsidRDefault="007C68D2" w:rsidP="00B12DF7">
      <w:pPr>
        <w:tabs>
          <w:tab w:val="left" w:pos="-1985"/>
          <w:tab w:val="left" w:pos="-1843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spacing w:after="0" w:line="240" w:lineRule="auto"/>
        <w:contextualSpacing/>
        <w:jc w:val="both"/>
      </w:pPr>
      <w:r w:rsidRPr="00CE5C72">
        <w:t>Tutti gli eccipienti sono conformi alla relativa monografia di Farmacopea Europea.</w:t>
      </w:r>
    </w:p>
    <w:p w:rsidR="007C68D2" w:rsidRPr="00CE5C72" w:rsidRDefault="007C68D2" w:rsidP="00B12DF7">
      <w:pPr>
        <w:spacing w:after="0" w:line="240" w:lineRule="auto"/>
        <w:contextualSpacing/>
        <w:jc w:val="both"/>
      </w:pPr>
      <w:r w:rsidRPr="00CE5C72">
        <w:t>Nessun eccipiente è ottenuto da organismi geneticamente modificati; non sono presenti eccipienti mai utilizzati nell’uomo.</w:t>
      </w:r>
    </w:p>
    <w:p w:rsidR="00F01FB3" w:rsidRPr="00CE5C72" w:rsidRDefault="00F01FB3" w:rsidP="00B12DF7">
      <w:pPr>
        <w:spacing w:after="0" w:line="240" w:lineRule="auto"/>
        <w:contextualSpacing/>
        <w:jc w:val="both"/>
      </w:pPr>
    </w:p>
    <w:p w:rsidR="007C68D2" w:rsidRPr="00CE5C72" w:rsidRDefault="007C68D2" w:rsidP="00E14380">
      <w:pPr>
        <w:spacing w:after="0" w:line="240" w:lineRule="auto"/>
        <w:jc w:val="both"/>
        <w:rPr>
          <w:b/>
        </w:rPr>
      </w:pPr>
      <w:r w:rsidRPr="00CE5C72">
        <w:rPr>
          <w:b/>
        </w:rPr>
        <w:t>Sviluppo farmaceutico</w:t>
      </w:r>
    </w:p>
    <w:p w:rsidR="007C68D2" w:rsidRPr="00CE5C72" w:rsidRDefault="007C68D2" w:rsidP="00502AB1">
      <w:pPr>
        <w:spacing w:after="0" w:line="240" w:lineRule="auto"/>
        <w:jc w:val="both"/>
      </w:pPr>
      <w:r w:rsidRPr="00CE5C72">
        <w:t>Sono stati forniti dettagli dello sviluppo farmaceutico e questi sono stati ritenuti soddisfacenti.</w:t>
      </w:r>
    </w:p>
    <w:p w:rsidR="007C68D2" w:rsidRPr="00B32D81" w:rsidRDefault="007C68D2" w:rsidP="00502AB1">
      <w:pPr>
        <w:spacing w:after="0" w:line="240" w:lineRule="auto"/>
        <w:jc w:val="both"/>
      </w:pPr>
      <w:r w:rsidRPr="00B32D81">
        <w:t>Sono stati forniti dati comparativi relativi alle caratteristiche fisico-chimiche e al profilo di impurezze rispetto al medicinale di riferimento. I dati sono soddisfacenti.</w:t>
      </w:r>
    </w:p>
    <w:p w:rsidR="007C68D2" w:rsidRPr="00B32D81" w:rsidRDefault="007C68D2" w:rsidP="007935FE">
      <w:pPr>
        <w:spacing w:after="0" w:line="240" w:lineRule="auto"/>
        <w:jc w:val="both"/>
      </w:pPr>
    </w:p>
    <w:p w:rsidR="007C68D2" w:rsidRPr="00B32D81" w:rsidRDefault="007C68D2" w:rsidP="007935FE">
      <w:pPr>
        <w:spacing w:after="0" w:line="240" w:lineRule="auto"/>
        <w:jc w:val="both"/>
        <w:rPr>
          <w:b/>
        </w:rPr>
      </w:pPr>
      <w:r w:rsidRPr="00B32D81">
        <w:rPr>
          <w:b/>
        </w:rPr>
        <w:t xml:space="preserve">Produzione 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stati forniti una descrizione del metodo di produzione e la relativa flow-chart.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Specifiche del prodotto finito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Sono state fornite adeguate specifiche di controllo per il prodotto finito al rilascio e alla fine della validità. I metodi analitici sono stati descritti e adeguatamente convalidati. Sono stati forniti, inoltre, dati analitici per il prodotto finito: questi dati dimostrano che i lotti prodotti sono in accordo alle specifiche proposte. Sono stati forniti, infine, certificati analitici per gli standard di riferimento utilizzati.</w:t>
      </w:r>
    </w:p>
    <w:p w:rsidR="00F22BED" w:rsidRPr="00B32D81" w:rsidRDefault="00F22BED" w:rsidP="00B32D81">
      <w:pPr>
        <w:spacing w:after="0" w:line="240" w:lineRule="auto"/>
        <w:jc w:val="both"/>
        <w:rPr>
          <w:b/>
        </w:rPr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Contenitore</w:t>
      </w:r>
    </w:p>
    <w:p w:rsidR="00E752F3" w:rsidRDefault="00310B73" w:rsidP="00B32D81">
      <w:pPr>
        <w:spacing w:after="0" w:line="240" w:lineRule="auto"/>
        <w:jc w:val="both"/>
      </w:pPr>
      <w:r>
        <w:t>LICLORACT</w:t>
      </w:r>
      <w:r w:rsidR="007C68D2" w:rsidRPr="00B32D81">
        <w:t xml:space="preserve"> è confezionato in </w:t>
      </w:r>
      <w:bookmarkStart w:id="1" w:name="_GoBack"/>
      <w:bookmarkEnd w:id="1"/>
      <w:r w:rsidR="00B12DF7">
        <w:t>fiale in vetro.</w:t>
      </w:r>
    </w:p>
    <w:p w:rsidR="007C68D2" w:rsidRPr="00B32D81" w:rsidRDefault="007C68D2" w:rsidP="00B32D81">
      <w:pPr>
        <w:spacing w:after="0" w:line="240" w:lineRule="auto"/>
        <w:jc w:val="both"/>
      </w:pPr>
      <w:r w:rsidRPr="00032587">
        <w:t>Sono</w:t>
      </w:r>
      <w:r w:rsidRPr="00B32D81">
        <w:t xml:space="preserve"> state fornite specifiche e certificati analitici per </w:t>
      </w:r>
      <w:r w:rsidR="00353318">
        <w:t>il componente</w:t>
      </w:r>
      <w:r w:rsidRPr="00B32D81">
        <w:t xml:space="preserve"> del confezionamento primario, che è adeguato per il medicinale.</w:t>
      </w:r>
    </w:p>
    <w:p w:rsidR="007C68D2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Stabilità</w:t>
      </w:r>
    </w:p>
    <w:p w:rsidR="007C68D2" w:rsidRDefault="007C68D2" w:rsidP="00B32D81">
      <w:pPr>
        <w:spacing w:after="0" w:line="240" w:lineRule="auto"/>
        <w:jc w:val="both"/>
      </w:pPr>
      <w:r w:rsidRPr="00B32D81">
        <w:t xml:space="preserve">Studi di stabilità sul prodotto finito sono stati condotti in accordo alle correnti linee guida e i risultati sono </w:t>
      </w:r>
      <w:r w:rsidRPr="00502AB1">
        <w:t>entro i limiti delle specifiche autorizzate. Sulla base di questi risultati, è stato autorizzato un</w:t>
      </w:r>
      <w:r w:rsidR="00CE5C72">
        <w:t xml:space="preserve"> periodo di validità di </w:t>
      </w:r>
      <w:r w:rsidR="00B12DF7">
        <w:t>2</w:t>
      </w:r>
      <w:r w:rsidR="00CE5C72">
        <w:t xml:space="preserve"> anni</w:t>
      </w:r>
      <w:r w:rsidR="00502AB1" w:rsidRPr="00502AB1">
        <w:t xml:space="preserve">; </w:t>
      </w:r>
    </w:p>
    <w:p w:rsidR="00E752F3" w:rsidRPr="00B32D81" w:rsidRDefault="00E752F3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  <w:rPr>
          <w:b/>
        </w:rPr>
      </w:pPr>
      <w:r w:rsidRPr="00B32D81">
        <w:rPr>
          <w:b/>
        </w:rPr>
        <w:t>II.3 Discussione sugli aspetti di qualità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Tutte le criticità evidenziate nel corso della valutazione sono state risolte e la qualità di </w:t>
      </w:r>
      <w:r w:rsidR="00310B73">
        <w:t>LICLORACT</w:t>
      </w:r>
      <w:r w:rsidRPr="00B32D81">
        <w:t xml:space="preserve"> è considerata adeguata. Non ci sono obiezioni per l’approvazione di </w:t>
      </w:r>
      <w:r w:rsidR="00310B73">
        <w:t>LICLORACT</w:t>
      </w:r>
      <w:r w:rsidRPr="00B32D81">
        <w:t xml:space="preserve"> dal punto di vista chimico-farmaceutico.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NON CLINICI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Non sono stati condotti specifici studi non clinici, in quanto </w:t>
      </w:r>
      <w:r w:rsidR="00310B73">
        <w:t>LICLORACT</w:t>
      </w:r>
      <w:r w:rsidRPr="00B32D81">
        <w:t xml:space="preserve"> contiene un principio attivo noto: questo approccio è accettabile poiché il medicinale di riferimento </w:t>
      </w:r>
      <w:proofErr w:type="spellStart"/>
      <w:r w:rsidR="00E752F3">
        <w:t>Clasteon</w:t>
      </w:r>
      <w:proofErr w:type="spellEnd"/>
      <w:r w:rsidR="00A52DC4">
        <w:t xml:space="preserve"> </w:t>
      </w:r>
      <w:r w:rsidRPr="00B32D81">
        <w:t>è autorizzato in Italia da oltre 10 anni.</w:t>
      </w:r>
      <w:r w:rsidR="00353318">
        <w:t xml:space="preserve"> </w:t>
      </w:r>
      <w:r w:rsidRPr="00B32D81">
        <w:t>Non ci sono obiezioni per l’approvazione dal punto di vista non clinico.</w:t>
      </w: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ASPETTI CLINICI</w:t>
      </w:r>
    </w:p>
    <w:p w:rsidR="001C7AD0" w:rsidRDefault="00310B73" w:rsidP="001C7AD0">
      <w:pPr>
        <w:autoSpaceDE w:val="0"/>
        <w:autoSpaceDN w:val="0"/>
        <w:adjustRightInd w:val="0"/>
        <w:spacing w:after="0" w:line="240" w:lineRule="auto"/>
        <w:jc w:val="both"/>
        <w:rPr>
          <w:rFonts w:cs="Times New Roman"/>
        </w:rPr>
      </w:pPr>
      <w:r>
        <w:rPr>
          <w:rFonts w:eastAsia="Calibri" w:cs="Calibri"/>
          <w:color w:val="000000"/>
          <w:lang w:eastAsia="it-IT"/>
        </w:rPr>
        <w:t>LICLORACT</w:t>
      </w:r>
      <w:r w:rsidR="001C7AD0" w:rsidRPr="00502AB1">
        <w:rPr>
          <w:rFonts w:eastAsia="Calibri" w:cs="Calibri"/>
          <w:color w:val="000000"/>
          <w:lang w:eastAsia="it-IT"/>
        </w:rPr>
        <w:t xml:space="preserve"> è utilizzato per</w:t>
      </w:r>
      <w:r w:rsidR="001C7AD0">
        <w:rPr>
          <w:rFonts w:eastAsia="Calibri" w:cs="Calibri"/>
          <w:color w:val="000000"/>
          <w:lang w:eastAsia="it-IT"/>
        </w:rPr>
        <w:t>:</w:t>
      </w:r>
    </w:p>
    <w:p w:rsidR="00B12DF7" w:rsidRPr="00B12DF7" w:rsidRDefault="00B12DF7" w:rsidP="00B12DF7">
      <w:pPr>
        <w:numPr>
          <w:ilvl w:val="0"/>
          <w:numId w:val="10"/>
        </w:numPr>
        <w:spacing w:after="0" w:line="240" w:lineRule="auto"/>
        <w:jc w:val="both"/>
        <w:rPr>
          <w:rFonts w:eastAsia="Times New Roman"/>
          <w:lang w:eastAsia="it-IT"/>
        </w:rPr>
      </w:pPr>
      <w:proofErr w:type="spellStart"/>
      <w:r w:rsidRPr="00B12DF7">
        <w:rPr>
          <w:rFonts w:eastAsia="Times New Roman"/>
          <w:lang w:eastAsia="it-IT"/>
        </w:rPr>
        <w:t>Osteolisi</w:t>
      </w:r>
      <w:proofErr w:type="spellEnd"/>
      <w:r w:rsidRPr="00B12DF7">
        <w:rPr>
          <w:rFonts w:eastAsia="Times New Roman"/>
          <w:lang w:eastAsia="it-IT"/>
        </w:rPr>
        <w:t xml:space="preserve"> tumorali.</w:t>
      </w:r>
    </w:p>
    <w:p w:rsidR="00B12DF7" w:rsidRPr="00B12DF7" w:rsidRDefault="00B12DF7" w:rsidP="00B12DF7">
      <w:pPr>
        <w:numPr>
          <w:ilvl w:val="0"/>
          <w:numId w:val="10"/>
        </w:numPr>
        <w:spacing w:after="0" w:line="240" w:lineRule="auto"/>
        <w:jc w:val="both"/>
        <w:rPr>
          <w:rFonts w:eastAsia="Times New Roman"/>
          <w:lang w:eastAsia="it-IT"/>
        </w:rPr>
      </w:pPr>
      <w:r w:rsidRPr="00B12DF7">
        <w:rPr>
          <w:rFonts w:eastAsia="Times New Roman"/>
          <w:lang w:eastAsia="it-IT"/>
        </w:rPr>
        <w:t>Mieloma multiplo.</w:t>
      </w:r>
    </w:p>
    <w:p w:rsidR="00B12DF7" w:rsidRPr="00B12DF7" w:rsidRDefault="00B12DF7" w:rsidP="00B12DF7">
      <w:pPr>
        <w:numPr>
          <w:ilvl w:val="0"/>
          <w:numId w:val="10"/>
        </w:numPr>
        <w:spacing w:after="0" w:line="240" w:lineRule="auto"/>
        <w:jc w:val="both"/>
        <w:rPr>
          <w:rFonts w:eastAsia="Times New Roman"/>
          <w:lang w:eastAsia="it-IT"/>
        </w:rPr>
      </w:pPr>
      <w:proofErr w:type="spellStart"/>
      <w:r w:rsidRPr="00B12DF7">
        <w:rPr>
          <w:rFonts w:eastAsia="Times New Roman"/>
          <w:lang w:eastAsia="it-IT"/>
        </w:rPr>
        <w:t>Iperparatiroidismo</w:t>
      </w:r>
      <w:proofErr w:type="spellEnd"/>
      <w:r w:rsidRPr="00B12DF7">
        <w:rPr>
          <w:rFonts w:eastAsia="Times New Roman"/>
          <w:lang w:eastAsia="it-IT"/>
        </w:rPr>
        <w:t xml:space="preserve"> primario.</w:t>
      </w:r>
    </w:p>
    <w:p w:rsidR="00B12DF7" w:rsidRPr="00B12DF7" w:rsidRDefault="00B12DF7" w:rsidP="00B12DF7">
      <w:pPr>
        <w:numPr>
          <w:ilvl w:val="0"/>
          <w:numId w:val="10"/>
        </w:numPr>
        <w:spacing w:after="0" w:line="240" w:lineRule="auto"/>
        <w:jc w:val="both"/>
        <w:rPr>
          <w:rFonts w:eastAsia="Times New Roman"/>
          <w:lang w:eastAsia="it-IT"/>
        </w:rPr>
      </w:pPr>
      <w:r w:rsidRPr="00B12DF7">
        <w:rPr>
          <w:rFonts w:eastAsia="Times New Roman"/>
          <w:lang w:eastAsia="it-IT"/>
        </w:rPr>
        <w:t xml:space="preserve">Prevenzione e trattamento dell'osteoporosi post </w:t>
      </w:r>
      <w:proofErr w:type="spellStart"/>
      <w:r w:rsidRPr="00B12DF7">
        <w:rPr>
          <w:rFonts w:eastAsia="Times New Roman"/>
          <w:lang w:eastAsia="it-IT"/>
        </w:rPr>
        <w:t>menopausale</w:t>
      </w:r>
      <w:proofErr w:type="spellEnd"/>
      <w:r w:rsidRPr="00B12DF7">
        <w:rPr>
          <w:rFonts w:eastAsia="Times New Roman"/>
          <w:lang w:eastAsia="it-IT"/>
        </w:rPr>
        <w:t>.</w:t>
      </w:r>
    </w:p>
    <w:p w:rsidR="007C68D2" w:rsidRDefault="007C68D2" w:rsidP="00B32D81">
      <w:pPr>
        <w:spacing w:after="0" w:line="240" w:lineRule="auto"/>
        <w:jc w:val="both"/>
        <w:rPr>
          <w:rFonts w:eastAsia="Times New Roman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b/>
        </w:rPr>
      </w:pPr>
      <w:r w:rsidRPr="00B32D81">
        <w:rPr>
          <w:b/>
        </w:rPr>
        <w:lastRenderedPageBreak/>
        <w:t>Posologia e modalità di somministrazione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 w:rsidRPr="00B32D81">
        <w:t>Le informazioni sulla posologia e sulle modalità di somministrazione sono riportate nel Riassunto delle Caratteristiche del Prodotto pubblicato sul sito dell’Agenzia Italiana del Farmaco - AIFA /</w:t>
      </w:r>
      <w:r w:rsidRPr="00B32D81">
        <w:rPr>
          <w:rFonts w:eastAsia="Calibri" w:cs="Calibri"/>
          <w:lang w:eastAsia="it-IT"/>
        </w:rPr>
        <w:t>(</w:t>
      </w:r>
      <w:hyperlink r:id="rId9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b/>
          <w:lang w:eastAsia="it-IT"/>
        </w:rPr>
      </w:pPr>
      <w:r w:rsidRPr="00B32D81">
        <w:rPr>
          <w:rFonts w:eastAsia="Calibri" w:cs="Calibri"/>
          <w:b/>
          <w:lang w:eastAsia="it-IT"/>
        </w:rPr>
        <w:t>Tossicologia</w:t>
      </w:r>
    </w:p>
    <w:p w:rsidR="007C68D2" w:rsidRPr="00B32D81" w:rsidRDefault="00E752F3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  <w:r>
        <w:rPr>
          <w:rFonts w:eastAsia="Calibri" w:cs="Calibri"/>
          <w:lang w:eastAsia="it-IT"/>
        </w:rPr>
        <w:t>La tossicologia del</w:t>
      </w:r>
      <w:r w:rsidR="007C68D2" w:rsidRPr="00B32D81">
        <w:rPr>
          <w:rFonts w:eastAsia="Calibri" w:cs="Calibri"/>
          <w:lang w:eastAsia="it-IT"/>
        </w:rPr>
        <w:t xml:space="preserve"> </w:t>
      </w:r>
      <w:proofErr w:type="spellStart"/>
      <w:r>
        <w:rPr>
          <w:rFonts w:eastAsia="Calibri" w:cs="Calibri"/>
          <w:lang w:eastAsia="it-IT"/>
        </w:rPr>
        <w:t>clodronato</w:t>
      </w:r>
      <w:proofErr w:type="spellEnd"/>
      <w:r>
        <w:rPr>
          <w:rFonts w:eastAsia="Calibri" w:cs="Calibri"/>
          <w:lang w:eastAsia="it-IT"/>
        </w:rPr>
        <w:t xml:space="preserve"> </w:t>
      </w:r>
      <w:proofErr w:type="spellStart"/>
      <w:r>
        <w:rPr>
          <w:rFonts w:eastAsia="Calibri" w:cs="Calibri"/>
          <w:lang w:eastAsia="it-IT"/>
        </w:rPr>
        <w:t>disodico</w:t>
      </w:r>
      <w:proofErr w:type="spellEnd"/>
      <w:r>
        <w:rPr>
          <w:rFonts w:eastAsia="Calibri" w:cs="Calibri"/>
          <w:lang w:eastAsia="it-IT"/>
        </w:rPr>
        <w:t xml:space="preserve"> </w:t>
      </w:r>
      <w:r w:rsidR="007C68D2" w:rsidRPr="00B32D81">
        <w:rPr>
          <w:rFonts w:eastAsia="Calibri" w:cs="Calibri"/>
          <w:lang w:eastAsia="it-IT"/>
        </w:rPr>
        <w:t>è ben conosciuta; non è stato necessario presentare ulteriori dati.</w:t>
      </w: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Calibri" w:cs="Calibri"/>
          <w:lang w:eastAsia="it-IT"/>
        </w:rPr>
      </w:pPr>
    </w:p>
    <w:p w:rsidR="007C68D2" w:rsidRPr="00B32D81" w:rsidRDefault="007C68D2" w:rsidP="00B32D81">
      <w:pPr>
        <w:spacing w:after="0" w:line="240" w:lineRule="auto"/>
        <w:ind w:right="6"/>
        <w:jc w:val="both"/>
        <w:rPr>
          <w:rFonts w:eastAsia="Times New Roman" w:cs="Times New Roman"/>
          <w:b/>
        </w:rPr>
      </w:pPr>
      <w:r w:rsidRPr="00B32D81">
        <w:rPr>
          <w:rFonts w:eastAsia="Times New Roman" w:cs="Times New Roman"/>
          <w:b/>
        </w:rPr>
        <w:t>Farmacologia clinica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rPr>
          <w:rFonts w:eastAsia="Calibri" w:cs="Calibri"/>
          <w:lang w:eastAsia="it-IT"/>
        </w:rPr>
        <w:t xml:space="preserve">La farmacologia clinica </w:t>
      </w:r>
      <w:r w:rsidR="00E752F3">
        <w:rPr>
          <w:rFonts w:eastAsia="Calibri" w:cs="Calibri"/>
          <w:lang w:eastAsia="it-IT"/>
        </w:rPr>
        <w:t xml:space="preserve">del </w:t>
      </w:r>
      <w:proofErr w:type="spellStart"/>
      <w:r w:rsidR="00E752F3">
        <w:rPr>
          <w:rFonts w:eastAsia="Calibri" w:cs="Calibri"/>
          <w:lang w:eastAsia="it-IT"/>
        </w:rPr>
        <w:t>clodronato</w:t>
      </w:r>
      <w:proofErr w:type="spellEnd"/>
      <w:r w:rsidR="00E752F3">
        <w:rPr>
          <w:rFonts w:eastAsia="Calibri" w:cs="Calibri"/>
          <w:lang w:eastAsia="it-IT"/>
        </w:rPr>
        <w:t xml:space="preserve"> </w:t>
      </w:r>
      <w:proofErr w:type="spellStart"/>
      <w:r w:rsidR="00E752F3">
        <w:rPr>
          <w:rFonts w:eastAsia="Calibri" w:cs="Calibri"/>
          <w:lang w:eastAsia="it-IT"/>
        </w:rPr>
        <w:t>disodico</w:t>
      </w:r>
      <w:proofErr w:type="spellEnd"/>
      <w:r w:rsidRPr="00B32D81">
        <w:t xml:space="preserve"> </w:t>
      </w:r>
      <w:r w:rsidRPr="00B32D81">
        <w:rPr>
          <w:rFonts w:eastAsia="Calibri" w:cs="Calibri"/>
          <w:lang w:eastAsia="it-IT"/>
        </w:rPr>
        <w:t xml:space="preserve">è ben conosciuta. </w:t>
      </w:r>
      <w:r w:rsidRPr="00B32D81">
        <w:t xml:space="preserve">Non sono stati condotti nuovi studi clinici di farmacodinamica e farmacocinetica, in quanto </w:t>
      </w:r>
      <w:r w:rsidR="00310B73">
        <w:t>LICLORACT</w:t>
      </w:r>
      <w:r w:rsidRPr="00B32D81">
        <w:t xml:space="preserve"> contiene un principio attivo noto e presente nel medicinale </w:t>
      </w:r>
      <w:proofErr w:type="spellStart"/>
      <w:r w:rsidR="00E752F3">
        <w:t>Clasteon</w:t>
      </w:r>
      <w:proofErr w:type="spellEnd"/>
      <w:r w:rsidR="00A52DC4">
        <w:t xml:space="preserve"> </w:t>
      </w:r>
      <w:r w:rsidRPr="00B32D81">
        <w:t>autorizzato in Italia da più di 10 anni.</w:t>
      </w:r>
    </w:p>
    <w:p w:rsidR="006106D5" w:rsidRPr="00B32D81" w:rsidRDefault="006106D5" w:rsidP="00B32D81">
      <w:pPr>
        <w:spacing w:after="0" w:line="240" w:lineRule="auto"/>
        <w:jc w:val="both"/>
        <w:rPr>
          <w:rFonts w:cs="Arial"/>
        </w:rPr>
      </w:pPr>
    </w:p>
    <w:p w:rsidR="00F22BED" w:rsidRPr="000B3C59" w:rsidRDefault="00F22BED" w:rsidP="00F22BED">
      <w:pPr>
        <w:spacing w:after="0" w:line="240" w:lineRule="auto"/>
        <w:jc w:val="both"/>
        <w:rPr>
          <w:rFonts w:cs="Arial"/>
          <w:b/>
        </w:rPr>
      </w:pPr>
      <w:r w:rsidRPr="000B3C59">
        <w:rPr>
          <w:rFonts w:cs="Arial"/>
          <w:b/>
        </w:rPr>
        <w:t>Efficacia e sicurezza clinica</w:t>
      </w:r>
    </w:p>
    <w:p w:rsidR="00F22BED" w:rsidRPr="00D1324F" w:rsidRDefault="00F22BED" w:rsidP="00F22BED">
      <w:pPr>
        <w:spacing w:after="0" w:line="240" w:lineRule="auto"/>
        <w:jc w:val="both"/>
        <w:rPr>
          <w:rFonts w:cs="Arial"/>
        </w:rPr>
      </w:pPr>
      <w:r>
        <w:rPr>
          <w:rFonts w:cs="Arial"/>
        </w:rPr>
        <w:t xml:space="preserve">Non sono stati presentati nuovi dati di efficacia e sicurezza clinica: il profilo di sicurezza e l’efficacia del principio attivo di </w:t>
      </w:r>
      <w:r w:rsidR="00310B73">
        <w:rPr>
          <w:rFonts w:cs="Arial"/>
        </w:rPr>
        <w:t>LICLORACT</w:t>
      </w:r>
      <w:r>
        <w:rPr>
          <w:rFonts w:cs="Arial"/>
        </w:rPr>
        <w:t xml:space="preserve"> è ben conosciuto; inoltre, è stato possibile concedere l’esenzione dalla conduzione di studi clinici di confronto con il medicinale di riferimento in quanto </w:t>
      </w:r>
      <w:r w:rsidR="00310B73">
        <w:rPr>
          <w:rFonts w:cs="Arial"/>
        </w:rPr>
        <w:t>LICLORACT</w:t>
      </w:r>
      <w:r>
        <w:rPr>
          <w:rFonts w:cs="Arial"/>
        </w:rPr>
        <w:t xml:space="preserve"> è somministrato come </w:t>
      </w:r>
      <w:r w:rsidR="001C7AD0">
        <w:rPr>
          <w:rFonts w:cs="Arial"/>
        </w:rPr>
        <w:t>soluzione</w:t>
      </w:r>
      <w:r w:rsidR="00E752F3">
        <w:rPr>
          <w:rFonts w:cs="Arial"/>
        </w:rPr>
        <w:t xml:space="preserve"> iniettabile per via intramuscolare.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Piano di Valutazione del Rischio (</w:t>
      </w:r>
      <w:proofErr w:type="spellStart"/>
      <w:r w:rsidRPr="00B32D81">
        <w:rPr>
          <w:b/>
          <w:i/>
        </w:rPr>
        <w:t>Risk</w:t>
      </w:r>
      <w:proofErr w:type="spellEnd"/>
      <w:r w:rsidRPr="00B32D81">
        <w:rPr>
          <w:b/>
          <w:i/>
        </w:rPr>
        <w:t xml:space="preserve"> Management </w:t>
      </w:r>
      <w:proofErr w:type="spellStart"/>
      <w:r w:rsidRPr="00B32D81">
        <w:rPr>
          <w:b/>
          <w:i/>
        </w:rPr>
        <w:t>Plan</w:t>
      </w:r>
      <w:proofErr w:type="spellEnd"/>
      <w:r w:rsidRPr="00B32D81">
        <w:rPr>
          <w:b/>
        </w:rPr>
        <w:t xml:space="preserve"> - RMP)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E’ stato presentato un RMP in accordo a quanto previsto dalla Direttiva 2001/83/EU </w:t>
      </w:r>
      <w:proofErr w:type="spellStart"/>
      <w:r w:rsidRPr="00B32D81">
        <w:t>s.m.i.</w:t>
      </w:r>
      <w:proofErr w:type="spellEnd"/>
      <w:r w:rsidRPr="00B32D81">
        <w:t xml:space="preserve"> che descrive le attività di farmacovigilanza e gli interventi definiti al fine di identificare, caratterizzare, prevenire o minimizzare i rischi collegati all’uso di </w:t>
      </w:r>
      <w:r w:rsidR="00310B73">
        <w:t>LICLORACT</w:t>
      </w:r>
      <w:r w:rsidRPr="00B32D81">
        <w:t>.</w:t>
      </w:r>
    </w:p>
    <w:p w:rsidR="00C051DB" w:rsidRPr="00FE17AD" w:rsidRDefault="00C051DB" w:rsidP="00C051DB">
      <w:pPr>
        <w:pStyle w:val="Paragrafoelenco"/>
        <w:spacing w:after="0" w:line="240" w:lineRule="auto"/>
        <w:ind w:left="0"/>
        <w:jc w:val="both"/>
      </w:pPr>
      <w:r w:rsidRPr="00B32D81">
        <w:t xml:space="preserve">Il riassunto delle problematiche di sicurezza </w:t>
      </w:r>
      <w:r w:rsidRPr="00FE17AD">
        <w:t>sono riportate nella tabella seguente.</w:t>
      </w:r>
    </w:p>
    <w:p w:rsidR="00C051DB" w:rsidRPr="00FE17AD" w:rsidRDefault="00C051DB" w:rsidP="00C051DB">
      <w:pPr>
        <w:pStyle w:val="Paragrafoelenco"/>
        <w:spacing w:after="0" w:line="240" w:lineRule="auto"/>
        <w:ind w:left="0"/>
        <w:jc w:val="both"/>
      </w:pPr>
    </w:p>
    <w:tbl>
      <w:tblPr>
        <w:tblW w:w="445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5E0"/>
      </w:tblPr>
      <w:tblGrid>
        <w:gridCol w:w="3195"/>
        <w:gridCol w:w="5776"/>
      </w:tblGrid>
      <w:tr w:rsidR="00C051DB" w:rsidRPr="00FE17AD" w:rsidTr="0054342C">
        <w:trPr>
          <w:jc w:val="center"/>
        </w:trPr>
        <w:tc>
          <w:tcPr>
            <w:tcW w:w="1781" w:type="pct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1DB" w:rsidRPr="00FE17AD" w:rsidRDefault="00C051DB" w:rsidP="0054342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eastAsia="en-GB"/>
              </w:rPr>
            </w:pPr>
            <w:proofErr w:type="spellStart"/>
            <w:r w:rsidRPr="00FE17AD">
              <w:rPr>
                <w:rFonts w:asciiTheme="minorHAnsi" w:hAnsiTheme="minorHAnsi"/>
                <w:sz w:val="20"/>
                <w:szCs w:val="20"/>
                <w:lang w:eastAsia="en-GB"/>
              </w:rPr>
              <w:t>Rischi</w:t>
            </w:r>
            <w:proofErr w:type="spellEnd"/>
            <w:r w:rsidRPr="00FE17AD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E17AD">
              <w:rPr>
                <w:rFonts w:asciiTheme="minorHAnsi" w:hAnsiTheme="minorHAnsi"/>
                <w:sz w:val="20"/>
                <w:szCs w:val="20"/>
                <w:lang w:eastAsia="en-GB"/>
              </w:rPr>
              <w:t>importanti</w:t>
            </w:r>
            <w:proofErr w:type="spellEnd"/>
            <w:r w:rsidRPr="00FE17AD">
              <w:rPr>
                <w:rFonts w:asciiTheme="minorHAnsi" w:hAnsiTheme="minorHAnsi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FE17AD">
              <w:rPr>
                <w:rFonts w:asciiTheme="minorHAnsi" w:hAnsiTheme="minorHAnsi"/>
                <w:sz w:val="20"/>
                <w:szCs w:val="20"/>
                <w:lang w:eastAsia="en-GB"/>
              </w:rPr>
              <w:t>identificati</w:t>
            </w:r>
            <w:proofErr w:type="spellEnd"/>
          </w:p>
        </w:tc>
        <w:tc>
          <w:tcPr>
            <w:tcW w:w="3219" w:type="pct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051DB" w:rsidRDefault="00C051DB" w:rsidP="0054342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 Reazioni di ipersensibilità (acido </w:t>
            </w:r>
            <w:proofErr w:type="spellStart"/>
            <w:r>
              <w:rPr>
                <w:sz w:val="20"/>
                <w:szCs w:val="20"/>
                <w:lang w:eastAsia="en-GB"/>
              </w:rPr>
              <w:t>clodronico</w:t>
            </w:r>
            <w:proofErr w:type="spellEnd"/>
            <w:r>
              <w:rPr>
                <w:sz w:val="20"/>
                <w:szCs w:val="20"/>
                <w:lang w:eastAsia="en-GB"/>
              </w:rPr>
              <w:t xml:space="preserve"> e lidocaina)</w:t>
            </w:r>
          </w:p>
          <w:p w:rsidR="00C051DB" w:rsidRDefault="00C051DB" w:rsidP="0054342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Trattamento concomitante con altri </w:t>
            </w:r>
            <w:proofErr w:type="spellStart"/>
            <w:r>
              <w:rPr>
                <w:sz w:val="20"/>
                <w:szCs w:val="20"/>
                <w:lang w:eastAsia="en-GB"/>
              </w:rPr>
              <w:t>bifosfonati</w:t>
            </w:r>
            <w:proofErr w:type="spellEnd"/>
            <w:r>
              <w:rPr>
                <w:sz w:val="20"/>
                <w:szCs w:val="20"/>
                <w:lang w:eastAsia="en-GB"/>
              </w:rPr>
              <w:t xml:space="preserve"> (acido </w:t>
            </w:r>
            <w:proofErr w:type="spellStart"/>
            <w:r>
              <w:rPr>
                <w:sz w:val="20"/>
                <w:szCs w:val="20"/>
                <w:lang w:eastAsia="en-GB"/>
              </w:rPr>
              <w:t>clodronico</w:t>
            </w:r>
            <w:proofErr w:type="spellEnd"/>
            <w:r>
              <w:rPr>
                <w:sz w:val="20"/>
                <w:szCs w:val="20"/>
                <w:lang w:eastAsia="en-GB"/>
              </w:rPr>
              <w:t>)</w:t>
            </w:r>
          </w:p>
          <w:p w:rsidR="00C051DB" w:rsidRDefault="00C051DB" w:rsidP="0054342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Insufficienza renale (acido </w:t>
            </w:r>
            <w:proofErr w:type="spellStart"/>
            <w:r>
              <w:rPr>
                <w:sz w:val="20"/>
                <w:szCs w:val="20"/>
                <w:lang w:eastAsia="en-GB"/>
              </w:rPr>
              <w:t>clodronico</w:t>
            </w:r>
            <w:proofErr w:type="spellEnd"/>
            <w:r>
              <w:rPr>
                <w:sz w:val="20"/>
                <w:szCs w:val="20"/>
                <w:lang w:eastAsia="en-GB"/>
              </w:rPr>
              <w:t>)</w:t>
            </w:r>
          </w:p>
          <w:p w:rsidR="00C051DB" w:rsidRDefault="00C051DB" w:rsidP="0054342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Effetti depressivi cardiovascolari (lidocaina)</w:t>
            </w:r>
          </w:p>
          <w:p w:rsidR="00C051DB" w:rsidRPr="00FE17AD" w:rsidRDefault="00C051DB" w:rsidP="0054342C">
            <w:pPr>
              <w:pStyle w:val="Paragrafoelenco"/>
              <w:numPr>
                <w:ilvl w:val="0"/>
                <w:numId w:val="3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Effetti eccitatori del sistema nervoso centrale (lidocaina)</w:t>
            </w:r>
          </w:p>
        </w:tc>
      </w:tr>
      <w:tr w:rsidR="00C051DB" w:rsidRPr="00FE17AD" w:rsidTr="0054342C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C051DB" w:rsidRPr="00FE17AD" w:rsidRDefault="00C051DB" w:rsidP="0054342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FE17AD">
              <w:rPr>
                <w:rFonts w:asciiTheme="minorHAnsi" w:hAnsiTheme="minorHAnsi"/>
                <w:sz w:val="20"/>
                <w:szCs w:val="20"/>
                <w:lang w:val="it-IT" w:eastAsia="en-GB"/>
              </w:rPr>
              <w:t>Rischi importanti potenziali</w:t>
            </w:r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C051DB" w:rsidRDefault="00C051DB" w:rsidP="0054342C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proofErr w:type="spellStart"/>
            <w:r>
              <w:rPr>
                <w:sz w:val="20"/>
                <w:szCs w:val="20"/>
                <w:lang w:eastAsia="en-GB"/>
              </w:rPr>
              <w:t>Osteonecrosi</w:t>
            </w:r>
            <w:proofErr w:type="spellEnd"/>
            <w:r>
              <w:rPr>
                <w:sz w:val="20"/>
                <w:szCs w:val="20"/>
                <w:lang w:eastAsia="en-GB"/>
              </w:rPr>
              <w:t xml:space="preserve"> della mandibola/mascella (acido </w:t>
            </w:r>
            <w:proofErr w:type="spellStart"/>
            <w:r>
              <w:rPr>
                <w:sz w:val="20"/>
                <w:szCs w:val="20"/>
                <w:lang w:eastAsia="en-GB"/>
              </w:rPr>
              <w:t>clodronico</w:t>
            </w:r>
            <w:proofErr w:type="spellEnd"/>
            <w:r>
              <w:rPr>
                <w:sz w:val="20"/>
                <w:szCs w:val="20"/>
                <w:lang w:eastAsia="en-GB"/>
              </w:rPr>
              <w:t>)</w:t>
            </w:r>
          </w:p>
          <w:p w:rsidR="00C051DB" w:rsidRPr="006C0E2C" w:rsidRDefault="00C051DB" w:rsidP="0054342C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Fratture atipiche del femore </w:t>
            </w:r>
            <w:r w:rsidRPr="006C0E2C">
              <w:rPr>
                <w:sz w:val="20"/>
                <w:szCs w:val="20"/>
                <w:lang w:eastAsia="en-GB"/>
              </w:rPr>
              <w:t xml:space="preserve">(acido </w:t>
            </w:r>
            <w:proofErr w:type="spellStart"/>
            <w:r w:rsidRPr="006C0E2C">
              <w:rPr>
                <w:sz w:val="20"/>
                <w:szCs w:val="20"/>
                <w:lang w:eastAsia="en-GB"/>
              </w:rPr>
              <w:t>clodronico</w:t>
            </w:r>
            <w:proofErr w:type="spellEnd"/>
            <w:r w:rsidRPr="006C0E2C">
              <w:rPr>
                <w:sz w:val="20"/>
                <w:szCs w:val="20"/>
                <w:lang w:eastAsia="en-GB"/>
              </w:rPr>
              <w:t>)</w:t>
            </w:r>
          </w:p>
          <w:p w:rsidR="00C051DB" w:rsidRDefault="00C051DB" w:rsidP="0054342C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Disturbi oculari (uveite, sclerite, </w:t>
            </w:r>
            <w:proofErr w:type="spellStart"/>
            <w:r>
              <w:rPr>
                <w:sz w:val="20"/>
                <w:szCs w:val="20"/>
                <w:lang w:eastAsia="en-GB"/>
              </w:rPr>
              <w:t>episclerite</w:t>
            </w:r>
            <w:proofErr w:type="spellEnd"/>
            <w:r>
              <w:rPr>
                <w:sz w:val="20"/>
                <w:szCs w:val="20"/>
                <w:lang w:eastAsia="en-GB"/>
              </w:rPr>
              <w:t xml:space="preserve">) (acido </w:t>
            </w:r>
            <w:proofErr w:type="spellStart"/>
            <w:r>
              <w:rPr>
                <w:sz w:val="20"/>
                <w:szCs w:val="20"/>
                <w:lang w:eastAsia="en-GB"/>
              </w:rPr>
              <w:t>clodronico</w:t>
            </w:r>
            <w:proofErr w:type="spellEnd"/>
            <w:r>
              <w:rPr>
                <w:sz w:val="20"/>
                <w:szCs w:val="20"/>
                <w:lang w:eastAsia="en-GB"/>
              </w:rPr>
              <w:t>)</w:t>
            </w:r>
          </w:p>
          <w:p w:rsidR="00C051DB" w:rsidRDefault="00C051DB" w:rsidP="0054342C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Aumento del rischio della tossicità della lidocaina in pazienti con gravi malattie epatiche (lidocaina)</w:t>
            </w:r>
          </w:p>
          <w:p w:rsidR="00C051DB" w:rsidRPr="00FE17AD" w:rsidRDefault="00C051DB" w:rsidP="0054342C">
            <w:pPr>
              <w:pStyle w:val="Paragrafoelenco"/>
              <w:numPr>
                <w:ilvl w:val="0"/>
                <w:numId w:val="4"/>
              </w:numPr>
              <w:spacing w:after="0" w:line="240" w:lineRule="auto"/>
              <w:ind w:left="0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>Crisi di ipertermia familiare maligna in pazienti a rischio (lidocaina)</w:t>
            </w:r>
          </w:p>
        </w:tc>
      </w:tr>
      <w:tr w:rsidR="00C051DB" w:rsidRPr="00D07C5C" w:rsidTr="0054342C">
        <w:trPr>
          <w:jc w:val="center"/>
        </w:trPr>
        <w:tc>
          <w:tcPr>
            <w:tcW w:w="1781" w:type="pct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C051DB" w:rsidRPr="00FE17AD" w:rsidRDefault="00C051DB" w:rsidP="0054342C">
            <w:pPr>
              <w:pStyle w:val="TabletextrowsAgency"/>
              <w:spacing w:line="240" w:lineRule="auto"/>
              <w:rPr>
                <w:rFonts w:asciiTheme="minorHAnsi" w:hAnsiTheme="minorHAnsi"/>
                <w:sz w:val="20"/>
                <w:szCs w:val="20"/>
                <w:lang w:val="it-IT" w:eastAsia="en-GB"/>
              </w:rPr>
            </w:pPr>
            <w:r w:rsidRPr="00FE17AD">
              <w:rPr>
                <w:rFonts w:asciiTheme="minorHAnsi" w:hAnsiTheme="minorHAnsi"/>
                <w:sz w:val="20"/>
                <w:szCs w:val="20"/>
                <w:lang w:val="it-IT" w:eastAsia="en-GB"/>
              </w:rPr>
              <w:t>Informazioni mancanti</w:t>
            </w:r>
          </w:p>
        </w:tc>
        <w:tc>
          <w:tcPr>
            <w:tcW w:w="3219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051DB" w:rsidRPr="00FE17AD" w:rsidRDefault="00C051DB" w:rsidP="0054342C">
            <w:pPr>
              <w:spacing w:after="0" w:line="240" w:lineRule="auto"/>
              <w:rPr>
                <w:sz w:val="20"/>
                <w:szCs w:val="20"/>
                <w:lang w:eastAsia="en-GB"/>
              </w:rPr>
            </w:pPr>
            <w:r>
              <w:rPr>
                <w:sz w:val="20"/>
                <w:szCs w:val="20"/>
                <w:lang w:eastAsia="en-GB"/>
              </w:rPr>
              <w:t xml:space="preserve"> Uso in gravidanza e allattamento (acido </w:t>
            </w:r>
            <w:proofErr w:type="spellStart"/>
            <w:r>
              <w:rPr>
                <w:sz w:val="20"/>
                <w:szCs w:val="20"/>
                <w:lang w:eastAsia="en-GB"/>
              </w:rPr>
              <w:t>clodronico</w:t>
            </w:r>
            <w:proofErr w:type="spellEnd"/>
            <w:r>
              <w:rPr>
                <w:sz w:val="20"/>
                <w:szCs w:val="20"/>
                <w:lang w:eastAsia="en-GB"/>
              </w:rPr>
              <w:t>)</w:t>
            </w:r>
          </w:p>
        </w:tc>
      </w:tr>
    </w:tbl>
    <w:p w:rsidR="00C051DB" w:rsidRDefault="00C051DB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Azioni </w:t>
      </w:r>
      <w:proofErr w:type="spellStart"/>
      <w:r w:rsidRPr="00B32D81">
        <w:t>routinarie</w:t>
      </w:r>
      <w:proofErr w:type="spellEnd"/>
      <w:r w:rsidRPr="00B32D81">
        <w:t xml:space="preserve"> di farmacovigilanza e di minimizzazione del rischio sono proposte per tutte le problematiche di sicurezza.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>Oltre le misure previste nel Riassunto delle caratteristiche del prodotto non sono previste attività addizionali di minimizzazione del rischio</w:t>
      </w:r>
      <w:r w:rsidR="006106D5" w:rsidRPr="00B32D81">
        <w:t>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  <w:rPr>
          <w:b/>
        </w:rPr>
      </w:pPr>
      <w:r w:rsidRPr="00B32D81">
        <w:rPr>
          <w:b/>
        </w:rPr>
        <w:t>Conclusioni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Per la richiesta di AIC di </w:t>
      </w:r>
      <w:r w:rsidR="00310B73">
        <w:t>LICLORACT</w:t>
      </w:r>
      <w:r w:rsidRPr="00B32D81">
        <w:t xml:space="preserve"> sono state presentate sufficienti informazioni cliniche.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  <w:r w:rsidRPr="00B32D81">
        <w:t xml:space="preserve">Il rapporto beneficio/rischio di </w:t>
      </w:r>
      <w:r w:rsidR="00310B73">
        <w:t>LICLORACT</w:t>
      </w:r>
      <w:r w:rsidRPr="00B32D81">
        <w:t xml:space="preserve"> è considerato favorevole dal punto di vista clinico.</w:t>
      </w:r>
    </w:p>
    <w:p w:rsidR="007C68D2" w:rsidRPr="00B32D81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Default="007C68D2" w:rsidP="00B32D81">
      <w:pPr>
        <w:pStyle w:val="Paragrafoelenco"/>
        <w:spacing w:after="0" w:line="240" w:lineRule="auto"/>
        <w:ind w:left="0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t>CONSULTAZIONE SUL FOGLIO ILLUSTRATIVO</w:t>
      </w:r>
    </w:p>
    <w:p w:rsidR="007C68D2" w:rsidRPr="00B32D81" w:rsidRDefault="007C68D2" w:rsidP="00B32D81">
      <w:pPr>
        <w:spacing w:after="0" w:line="240" w:lineRule="auto"/>
        <w:jc w:val="both"/>
      </w:pPr>
      <w:r w:rsidRPr="00B12DF7">
        <w:t xml:space="preserve">Il foglio illustrativo è stato sottoposto al test di leggibilità in accordo ai requisiti dell’art. 59(3) e 61(1) della direttiva 2001/83/EU </w:t>
      </w:r>
      <w:proofErr w:type="spellStart"/>
      <w:r w:rsidRPr="00B12DF7">
        <w:t>s.m.i.</w:t>
      </w:r>
      <w:proofErr w:type="spellEnd"/>
      <w:r w:rsidRPr="00B12DF7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7C68D2" w:rsidRDefault="007C68D2" w:rsidP="00B32D81">
      <w:pPr>
        <w:spacing w:after="0" w:line="240" w:lineRule="auto"/>
        <w:jc w:val="both"/>
      </w:pPr>
    </w:p>
    <w:p w:rsidR="00F22BED" w:rsidRPr="00B32D81" w:rsidRDefault="00F22BED" w:rsidP="00B32D81">
      <w:pPr>
        <w:spacing w:after="0" w:line="240" w:lineRule="auto"/>
        <w:jc w:val="both"/>
      </w:pPr>
    </w:p>
    <w:p w:rsidR="007C68D2" w:rsidRPr="00B32D81" w:rsidRDefault="007C68D2" w:rsidP="00B32D81">
      <w:pPr>
        <w:pStyle w:val="Paragrafoelenco"/>
        <w:numPr>
          <w:ilvl w:val="0"/>
          <w:numId w:val="2"/>
        </w:numPr>
        <w:spacing w:after="0" w:line="240" w:lineRule="auto"/>
        <w:jc w:val="both"/>
        <w:rPr>
          <w:b/>
        </w:rPr>
      </w:pPr>
      <w:r w:rsidRPr="00B32D81">
        <w:rPr>
          <w:b/>
        </w:rPr>
        <w:lastRenderedPageBreak/>
        <w:t>CONCLUSIONI, VALUTAZIONE DEL RAPPORTO BENEFICIO/RISCHIO E RACCOMANDAZIONI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La qualità di </w:t>
      </w:r>
      <w:r w:rsidR="00310B73">
        <w:t>LICLORACT</w:t>
      </w:r>
      <w:r w:rsidRPr="00B32D81">
        <w:t xml:space="preserve"> è accettabile e non sono state rilevate criticità da un punto di vista non clinico e clinico.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>Il rapporto beneficio/rischio è considerato positivo.</w:t>
      </w:r>
    </w:p>
    <w:p w:rsidR="007C68D2" w:rsidRPr="00B32D81" w:rsidRDefault="007C68D2" w:rsidP="00B32D81">
      <w:pPr>
        <w:spacing w:after="0" w:line="240" w:lineRule="auto"/>
        <w:jc w:val="both"/>
      </w:pPr>
      <w:r w:rsidRPr="00B32D81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B32D81">
        <w:rPr>
          <w:rFonts w:eastAsia="Calibri" w:cs="Calibri"/>
          <w:lang w:eastAsia="it-IT"/>
        </w:rPr>
        <w:t>(</w:t>
      </w:r>
      <w:hyperlink r:id="rId10" w:history="1">
        <w:r w:rsidRPr="00B32D81">
          <w:rPr>
            <w:rStyle w:val="Collegamentoipertestuale"/>
            <w:rFonts w:eastAsia="Calibri" w:cs="Calibri"/>
          </w:rPr>
          <w:t>https://farmaci.agenziafarmaco.gov.it/bancadatifarmaci</w:t>
        </w:r>
      </w:hyperlink>
      <w:r w:rsidRPr="00B32D81">
        <w:rPr>
          <w:rFonts w:eastAsia="Calibri" w:cs="Calibri"/>
          <w:lang w:eastAsia="it-IT"/>
        </w:rPr>
        <w:t>).</w:t>
      </w:r>
      <w:r w:rsidRPr="00B32D81">
        <w:t xml:space="preserve"> </w:t>
      </w: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p w:rsidR="007C68D2" w:rsidRPr="00B32D81" w:rsidRDefault="007C68D2" w:rsidP="00B32D81">
      <w:pPr>
        <w:spacing w:after="0" w:line="240" w:lineRule="auto"/>
      </w:pPr>
    </w:p>
    <w:sectPr w:rsidR="007C68D2" w:rsidRPr="00B32D81" w:rsidSect="001C7AD0">
      <w:pgSz w:w="11906" w:h="16838"/>
      <w:pgMar w:top="1418" w:right="1021" w:bottom="1021" w:left="102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885F4B"/>
    <w:multiLevelType w:val="hybridMultilevel"/>
    <w:tmpl w:val="3196D92C"/>
    <w:lvl w:ilvl="0" w:tplc="4420036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E917DAC"/>
    <w:multiLevelType w:val="hybridMultilevel"/>
    <w:tmpl w:val="FDCAE3CC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4C7958"/>
    <w:multiLevelType w:val="hybridMultilevel"/>
    <w:tmpl w:val="DA7C7ED6"/>
    <w:lvl w:ilvl="0" w:tplc="EE20CB6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70402C6"/>
    <w:multiLevelType w:val="hybridMultilevel"/>
    <w:tmpl w:val="05F83450"/>
    <w:lvl w:ilvl="0" w:tplc="EB20B7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34D4459"/>
    <w:multiLevelType w:val="hybridMultilevel"/>
    <w:tmpl w:val="552C0E56"/>
    <w:lvl w:ilvl="0" w:tplc="37CAA2CE">
      <w:start w:val="8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6BE2FC0"/>
    <w:multiLevelType w:val="hybridMultilevel"/>
    <w:tmpl w:val="1312F1E8"/>
    <w:lvl w:ilvl="0" w:tplc="FFFFFFFF">
      <w:start w:val="1"/>
      <w:numFmt w:val="bullet"/>
      <w:lvlText w:val="-"/>
      <w:lvlJc w:val="left"/>
      <w:pPr>
        <w:ind w:left="720" w:hanging="360"/>
      </w:p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5A4B4223"/>
    <w:multiLevelType w:val="hybridMultilevel"/>
    <w:tmpl w:val="6470902C"/>
    <w:lvl w:ilvl="0" w:tplc="5BBA4B3A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  <w:b w:val="0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FE7C06"/>
    <w:multiLevelType w:val="hybridMultilevel"/>
    <w:tmpl w:val="85B6FA4E"/>
    <w:lvl w:ilvl="0" w:tplc="B748B9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"/>
  </w:num>
  <w:num w:numId="3">
    <w:abstractNumId w:val="9"/>
  </w:num>
  <w:num w:numId="4">
    <w:abstractNumId w:val="1"/>
  </w:num>
  <w:num w:numId="5">
    <w:abstractNumId w:val="8"/>
  </w:num>
  <w:num w:numId="6">
    <w:abstractNumId w:val="5"/>
  </w:num>
  <w:num w:numId="7">
    <w:abstractNumId w:val="6"/>
  </w:num>
  <w:num w:numId="8">
    <w:abstractNumId w:val="4"/>
  </w:num>
  <w:num w:numId="9">
    <w:abstractNumId w:val="2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1"/>
  <w:proofState w:spelling="clean"/>
  <w:defaultTabStop w:val="708"/>
  <w:hyphenationZone w:val="283"/>
  <w:characterSpacingControl w:val="doNotCompress"/>
  <w:compat/>
  <w:rsids>
    <w:rsidRoot w:val="004241AC"/>
    <w:rsid w:val="00013020"/>
    <w:rsid w:val="00032587"/>
    <w:rsid w:val="00062636"/>
    <w:rsid w:val="00070A74"/>
    <w:rsid w:val="000725FF"/>
    <w:rsid w:val="00092BAB"/>
    <w:rsid w:val="000B6CEA"/>
    <w:rsid w:val="000E0C85"/>
    <w:rsid w:val="00151E0A"/>
    <w:rsid w:val="00156285"/>
    <w:rsid w:val="001750E4"/>
    <w:rsid w:val="001A07F0"/>
    <w:rsid w:val="001C7AD0"/>
    <w:rsid w:val="001E6F35"/>
    <w:rsid w:val="00240F4C"/>
    <w:rsid w:val="002833EC"/>
    <w:rsid w:val="00283953"/>
    <w:rsid w:val="00293095"/>
    <w:rsid w:val="002C389F"/>
    <w:rsid w:val="002C472F"/>
    <w:rsid w:val="002E220D"/>
    <w:rsid w:val="00310B73"/>
    <w:rsid w:val="003167B4"/>
    <w:rsid w:val="00322BF5"/>
    <w:rsid w:val="00326548"/>
    <w:rsid w:val="0032701C"/>
    <w:rsid w:val="00342A0B"/>
    <w:rsid w:val="00345502"/>
    <w:rsid w:val="00347A18"/>
    <w:rsid w:val="00353318"/>
    <w:rsid w:val="00356C29"/>
    <w:rsid w:val="00364C44"/>
    <w:rsid w:val="0036781E"/>
    <w:rsid w:val="0038218C"/>
    <w:rsid w:val="003A0AA5"/>
    <w:rsid w:val="003A6FA1"/>
    <w:rsid w:val="003D5E5E"/>
    <w:rsid w:val="003F4952"/>
    <w:rsid w:val="004171F6"/>
    <w:rsid w:val="004241AC"/>
    <w:rsid w:val="004349A2"/>
    <w:rsid w:val="0045169D"/>
    <w:rsid w:val="00452444"/>
    <w:rsid w:val="00494CCF"/>
    <w:rsid w:val="004B20A8"/>
    <w:rsid w:val="004B69C4"/>
    <w:rsid w:val="004C2B07"/>
    <w:rsid w:val="00502AB1"/>
    <w:rsid w:val="00512522"/>
    <w:rsid w:val="00520FDC"/>
    <w:rsid w:val="005276B9"/>
    <w:rsid w:val="005368CE"/>
    <w:rsid w:val="00556648"/>
    <w:rsid w:val="00564F57"/>
    <w:rsid w:val="005820A7"/>
    <w:rsid w:val="00587D0E"/>
    <w:rsid w:val="00590665"/>
    <w:rsid w:val="00594CD5"/>
    <w:rsid w:val="005A2741"/>
    <w:rsid w:val="005A2B9B"/>
    <w:rsid w:val="005B446C"/>
    <w:rsid w:val="005D53B9"/>
    <w:rsid w:val="006063E6"/>
    <w:rsid w:val="006106D5"/>
    <w:rsid w:val="006312EE"/>
    <w:rsid w:val="00631675"/>
    <w:rsid w:val="00633428"/>
    <w:rsid w:val="00665921"/>
    <w:rsid w:val="006831C7"/>
    <w:rsid w:val="006959E3"/>
    <w:rsid w:val="006B5DF8"/>
    <w:rsid w:val="00700F7D"/>
    <w:rsid w:val="00716EE9"/>
    <w:rsid w:val="00747E5B"/>
    <w:rsid w:val="00762D88"/>
    <w:rsid w:val="007678AB"/>
    <w:rsid w:val="007935FE"/>
    <w:rsid w:val="007C68D2"/>
    <w:rsid w:val="007D68A8"/>
    <w:rsid w:val="0083545D"/>
    <w:rsid w:val="0085008B"/>
    <w:rsid w:val="00852838"/>
    <w:rsid w:val="0085564B"/>
    <w:rsid w:val="00864960"/>
    <w:rsid w:val="0087132D"/>
    <w:rsid w:val="00874568"/>
    <w:rsid w:val="008A24CC"/>
    <w:rsid w:val="00900DAA"/>
    <w:rsid w:val="00906180"/>
    <w:rsid w:val="00972C6A"/>
    <w:rsid w:val="00982EDD"/>
    <w:rsid w:val="009A1E3E"/>
    <w:rsid w:val="009A260F"/>
    <w:rsid w:val="009A3BA6"/>
    <w:rsid w:val="009C5CC3"/>
    <w:rsid w:val="009F0F0B"/>
    <w:rsid w:val="00A52DC4"/>
    <w:rsid w:val="00A642C7"/>
    <w:rsid w:val="00A719C2"/>
    <w:rsid w:val="00AB02E2"/>
    <w:rsid w:val="00AE7A98"/>
    <w:rsid w:val="00AF171E"/>
    <w:rsid w:val="00B07EF8"/>
    <w:rsid w:val="00B12DF7"/>
    <w:rsid w:val="00B27FD9"/>
    <w:rsid w:val="00B30CB8"/>
    <w:rsid w:val="00B329D4"/>
    <w:rsid w:val="00B32D81"/>
    <w:rsid w:val="00B35BAB"/>
    <w:rsid w:val="00B362D7"/>
    <w:rsid w:val="00B5510E"/>
    <w:rsid w:val="00B75D1D"/>
    <w:rsid w:val="00B75EA4"/>
    <w:rsid w:val="00B82FD1"/>
    <w:rsid w:val="00B96D89"/>
    <w:rsid w:val="00BC7675"/>
    <w:rsid w:val="00BD1173"/>
    <w:rsid w:val="00BD1200"/>
    <w:rsid w:val="00C00425"/>
    <w:rsid w:val="00C051DB"/>
    <w:rsid w:val="00C26E2A"/>
    <w:rsid w:val="00C31AF0"/>
    <w:rsid w:val="00C33A16"/>
    <w:rsid w:val="00C55B9A"/>
    <w:rsid w:val="00C630E2"/>
    <w:rsid w:val="00C75C50"/>
    <w:rsid w:val="00C8171A"/>
    <w:rsid w:val="00C87C2E"/>
    <w:rsid w:val="00CA29BF"/>
    <w:rsid w:val="00CC7AFF"/>
    <w:rsid w:val="00CE5C72"/>
    <w:rsid w:val="00D07C5C"/>
    <w:rsid w:val="00D103AB"/>
    <w:rsid w:val="00D172B7"/>
    <w:rsid w:val="00D20170"/>
    <w:rsid w:val="00D419A0"/>
    <w:rsid w:val="00D47411"/>
    <w:rsid w:val="00D57567"/>
    <w:rsid w:val="00D745C6"/>
    <w:rsid w:val="00D8197E"/>
    <w:rsid w:val="00D92C93"/>
    <w:rsid w:val="00D97736"/>
    <w:rsid w:val="00DA08C4"/>
    <w:rsid w:val="00DA1945"/>
    <w:rsid w:val="00DC0AB6"/>
    <w:rsid w:val="00DC5BE2"/>
    <w:rsid w:val="00DE79A0"/>
    <w:rsid w:val="00E14380"/>
    <w:rsid w:val="00E21095"/>
    <w:rsid w:val="00E22AEF"/>
    <w:rsid w:val="00E43089"/>
    <w:rsid w:val="00E61896"/>
    <w:rsid w:val="00E74440"/>
    <w:rsid w:val="00E7486A"/>
    <w:rsid w:val="00E752F3"/>
    <w:rsid w:val="00E95CA3"/>
    <w:rsid w:val="00EB15F8"/>
    <w:rsid w:val="00EE1FA2"/>
    <w:rsid w:val="00F01FB3"/>
    <w:rsid w:val="00F2215C"/>
    <w:rsid w:val="00F22BED"/>
    <w:rsid w:val="00F4168A"/>
    <w:rsid w:val="00F9209F"/>
    <w:rsid w:val="00FA2702"/>
    <w:rsid w:val="00FA53E0"/>
    <w:rsid w:val="00FA55B0"/>
    <w:rsid w:val="00FE17AD"/>
    <w:rsid w:val="00FF53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link w:val="Titolo1Carattere"/>
    <w:uiPriority w:val="9"/>
    <w:qFormat/>
    <w:rsid w:val="007C68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B75EA4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7C68D2"/>
    <w:rPr>
      <w:rFonts w:ascii="Times New Roman" w:eastAsia="Times New Roman" w:hAnsi="Times New Roman" w:cs="Times New Roman"/>
      <w:b/>
      <w:bCs/>
      <w:kern w:val="36"/>
      <w:sz w:val="48"/>
      <w:szCs w:val="48"/>
      <w:lang w:eastAsia="it-IT"/>
    </w:rPr>
  </w:style>
  <w:style w:type="paragraph" w:styleId="Paragrafoelenco">
    <w:name w:val="List Paragraph"/>
    <w:basedOn w:val="Normale"/>
    <w:uiPriority w:val="34"/>
    <w:qFormat/>
    <w:rsid w:val="007C68D2"/>
    <w:pPr>
      <w:ind w:left="720"/>
      <w:contextualSpacing/>
    </w:pPr>
  </w:style>
  <w:style w:type="character" w:customStyle="1" w:styleId="s1">
    <w:name w:val="s1"/>
    <w:basedOn w:val="Carpredefinitoparagrafo"/>
    <w:rsid w:val="007C68D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7C68D2"/>
    <w:pPr>
      <w:spacing w:before="120" w:after="120" w:line="240" w:lineRule="auto"/>
    </w:pPr>
    <w:rPr>
      <w:rFonts w:ascii="Times New Roman" w:eastAsia="Times New Roman" w:hAnsi="Times New Roman" w:cs="Times New Roman"/>
      <w:b/>
      <w:sz w:val="24"/>
      <w:szCs w:val="20"/>
      <w:lang w:val="en-US"/>
    </w:rPr>
  </w:style>
  <w:style w:type="character" w:styleId="Rimandocommento">
    <w:name w:val="annotation reference"/>
    <w:basedOn w:val="Carpredefinitoparagrafo"/>
    <w:uiPriority w:val="99"/>
    <w:semiHidden/>
    <w:unhideWhenUsed/>
    <w:rsid w:val="00564F5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564F57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564F57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564F5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564F57"/>
    <w:rPr>
      <w:b/>
      <w:bCs/>
      <w:sz w:val="20"/>
      <w:szCs w:val="20"/>
    </w:rPr>
  </w:style>
  <w:style w:type="paragraph" w:customStyle="1" w:styleId="TabletextrowsAgency">
    <w:name w:val="Table text rows (Agency)"/>
    <w:basedOn w:val="Normale"/>
    <w:semiHidden/>
    <w:rsid w:val="00F22BED"/>
    <w:pPr>
      <w:spacing w:after="0" w:line="280" w:lineRule="exact"/>
    </w:pPr>
    <w:rPr>
      <w:rFonts w:ascii="Verdana" w:eastAsia="Times New Roman" w:hAnsi="Verdana" w:cs="Verdana"/>
      <w:sz w:val="18"/>
      <w:szCs w:val="18"/>
      <w:lang w:val="en-GB" w:eastAsia="zh-CN"/>
    </w:rPr>
  </w:style>
  <w:style w:type="paragraph" w:customStyle="1" w:styleId="DoctitleAgency">
    <w:name w:val="Doc title (Agency)"/>
    <w:basedOn w:val="Normale"/>
    <w:next w:val="Normale"/>
    <w:qFormat/>
    <w:rsid w:val="00F22BED"/>
    <w:pPr>
      <w:spacing w:before="720" w:after="0" w:line="360" w:lineRule="atLeast"/>
    </w:pPr>
    <w:rPr>
      <w:rFonts w:ascii="Verdana" w:eastAsia="Verdana" w:hAnsi="Verdana" w:cs="Verdana"/>
      <w:color w:val="003399"/>
      <w:sz w:val="32"/>
      <w:szCs w:val="32"/>
      <w:lang w:val="en-GB" w:eastAsia="en-GB"/>
    </w:rPr>
  </w:style>
  <w:style w:type="paragraph" w:styleId="Corpodeltesto">
    <w:name w:val="Body Text"/>
    <w:basedOn w:val="Normale"/>
    <w:link w:val="CorpodeltestoCarattere"/>
    <w:uiPriority w:val="1"/>
    <w:qFormat/>
    <w:rsid w:val="00D8197E"/>
    <w:pPr>
      <w:widowControl w:val="0"/>
      <w:spacing w:after="0" w:line="240" w:lineRule="auto"/>
      <w:ind w:left="400"/>
    </w:pPr>
    <w:rPr>
      <w:rFonts w:ascii="Times New Roman" w:eastAsia="Times New Roman" w:hAnsi="Times New Roman"/>
      <w:lang w:val="en-US"/>
    </w:rPr>
  </w:style>
  <w:style w:type="character" w:customStyle="1" w:styleId="CorpodeltestoCarattere">
    <w:name w:val="Corpo del testo Carattere"/>
    <w:basedOn w:val="Carpredefinitoparagrafo"/>
    <w:link w:val="Corpodeltesto"/>
    <w:uiPriority w:val="1"/>
    <w:rsid w:val="00D8197E"/>
    <w:rPr>
      <w:rFonts w:ascii="Times New Roman" w:eastAsia="Times New Roman" w:hAnsi="Times New Roman"/>
      <w:lang w:val="en-US"/>
    </w:rPr>
  </w:style>
  <w:style w:type="paragraph" w:customStyle="1" w:styleId="Default">
    <w:name w:val="Default"/>
    <w:uiPriority w:val="99"/>
    <w:rsid w:val="009A3BA6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highlight">
    <w:name w:val="highlight"/>
    <w:basedOn w:val="Carpredefinitoparagrafo"/>
    <w:rsid w:val="00B12DF7"/>
    <w:rPr>
      <w:shd w:val="clear" w:color="auto" w:fill="A2F0F0"/>
    </w:rPr>
  </w:style>
  <w:style w:type="character" w:customStyle="1" w:styleId="f14sb1">
    <w:name w:val="f14sb1"/>
    <w:basedOn w:val="Carpredefinitoparagrafo"/>
    <w:rsid w:val="00B12DF7"/>
    <w:rPr>
      <w:rFonts w:ascii="Arial" w:hAnsi="Arial" w:cs="Arial" w:hint="default"/>
      <w:b/>
      <w:bCs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7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0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38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698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37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99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786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2.gi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farmaci.agenziafarmaco.gov.it/bancadatifarmaci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2619</Words>
  <Characters>14933</Characters>
  <Application>Microsoft Office Word</Application>
  <DocSecurity>0</DocSecurity>
  <Lines>124</Lines>
  <Paragraphs>35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rovazzanid</cp:lastModifiedBy>
  <cp:revision>14</cp:revision>
  <dcterms:created xsi:type="dcterms:W3CDTF">2018-12-20T11:34:00Z</dcterms:created>
  <dcterms:modified xsi:type="dcterms:W3CDTF">2019-01-16T11:47:00Z</dcterms:modified>
</cp:coreProperties>
</file>