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241AC" w:rsidRPr="00B32D81" w:rsidRDefault="00B32D81" w:rsidP="00B32D81">
      <w:pPr>
        <w:spacing w:after="0" w:line="240" w:lineRule="auto"/>
        <w:jc w:val="center"/>
        <w:rPr>
          <w:b/>
          <w:sz w:val="24"/>
        </w:rPr>
      </w:pPr>
      <w:r w:rsidRPr="00B32D81">
        <w:rPr>
          <w:b/>
          <w:sz w:val="24"/>
        </w:rPr>
        <w:t>R</w:t>
      </w:r>
      <w:r w:rsidR="004241AC" w:rsidRPr="00B32D81">
        <w:rPr>
          <w:b/>
          <w:sz w:val="24"/>
        </w:rPr>
        <w:t>elazione di Valutazione</w:t>
      </w:r>
    </w:p>
    <w:p w:rsidR="00B32D81" w:rsidRPr="00B32D81" w:rsidRDefault="00B32D81" w:rsidP="00B32D81">
      <w:pPr>
        <w:spacing w:after="0" w:line="240" w:lineRule="auto"/>
        <w:jc w:val="center"/>
        <w:rPr>
          <w:b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DA1945" w:rsidRPr="00B32D81" w:rsidRDefault="00DA1945" w:rsidP="00B32D81">
      <w:pPr>
        <w:widowControl w:val="0"/>
        <w:spacing w:after="0" w:line="240" w:lineRule="auto"/>
        <w:jc w:val="center"/>
        <w:rPr>
          <w:b/>
          <w:sz w:val="32"/>
        </w:rPr>
      </w:pPr>
      <w:r w:rsidRPr="00B32D81">
        <w:rPr>
          <w:b/>
          <w:sz w:val="32"/>
        </w:rPr>
        <w:t>BUSAZOST</w:t>
      </w:r>
    </w:p>
    <w:p w:rsidR="004241AC" w:rsidRPr="00B32D81" w:rsidRDefault="00DA1945" w:rsidP="00B32D81">
      <w:pPr>
        <w:widowControl w:val="0"/>
        <w:spacing w:after="0" w:line="240" w:lineRule="auto"/>
        <w:jc w:val="center"/>
        <w:rPr>
          <w:snapToGrid w:val="0"/>
        </w:rPr>
      </w:pPr>
      <w:r w:rsidRPr="00B32D81">
        <w:rPr>
          <w:snapToGrid w:val="0"/>
        </w:rPr>
        <w:t>(</w:t>
      </w:r>
      <w:proofErr w:type="spellStart"/>
      <w:r w:rsidRPr="00B32D81">
        <w:rPr>
          <w:snapToGrid w:val="0"/>
        </w:rPr>
        <w:t>Travoprost</w:t>
      </w:r>
      <w:proofErr w:type="spellEnd"/>
      <w:r w:rsidR="004241AC" w:rsidRPr="00B32D81">
        <w:rPr>
          <w:snapToGrid w:val="0"/>
        </w:rPr>
        <w:t>)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75EA4" w:rsidRDefault="00DA1945" w:rsidP="00B32D81">
      <w:pPr>
        <w:autoSpaceDE w:val="0"/>
        <w:autoSpaceDN w:val="0"/>
        <w:adjustRightInd w:val="0"/>
        <w:spacing w:after="0" w:line="240" w:lineRule="auto"/>
        <w:jc w:val="center"/>
      </w:pPr>
      <w:proofErr w:type="spellStart"/>
      <w:r w:rsidRPr="00B32D81">
        <w:t>Genetic</w:t>
      </w:r>
      <w:proofErr w:type="spellEnd"/>
    </w:p>
    <w:p w:rsidR="00F01FB3" w:rsidRDefault="00F01FB3" w:rsidP="00B32D81">
      <w:pPr>
        <w:autoSpaceDE w:val="0"/>
        <w:autoSpaceDN w:val="0"/>
        <w:adjustRightInd w:val="0"/>
        <w:spacing w:after="0" w:line="240" w:lineRule="auto"/>
        <w:jc w:val="center"/>
      </w:pPr>
    </w:p>
    <w:p w:rsidR="00F01FB3" w:rsidRDefault="00F01FB3" w:rsidP="00B32D81">
      <w:pPr>
        <w:spacing w:after="0" w:line="240" w:lineRule="auto"/>
        <w:jc w:val="center"/>
        <w:rPr>
          <w:b/>
        </w:rPr>
      </w:pPr>
    </w:p>
    <w:p w:rsidR="004241AC" w:rsidRPr="00B32D81" w:rsidRDefault="004241AC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 xml:space="preserve">Numero di AIC: </w:t>
      </w:r>
      <w:r w:rsidR="00DA1945" w:rsidRPr="00B32D81">
        <w:rPr>
          <w:b/>
        </w:rPr>
        <w:t>042865</w:t>
      </w:r>
    </w:p>
    <w:bookmarkEnd w:id="0"/>
    <w:p w:rsidR="004241AC" w:rsidRPr="00B32D81" w:rsidRDefault="004241AC" w:rsidP="00B32D81">
      <w:pPr>
        <w:spacing w:after="0" w:line="240" w:lineRule="auto"/>
        <w:jc w:val="center"/>
        <w:rPr>
          <w:b/>
        </w:rPr>
      </w:pPr>
    </w:p>
    <w:p w:rsidR="00B32D81" w:rsidRPr="00B32D81" w:rsidRDefault="00B32D81" w:rsidP="00B32D81">
      <w:pPr>
        <w:spacing w:after="0" w:line="240" w:lineRule="auto"/>
        <w:jc w:val="center"/>
        <w:rPr>
          <w:b/>
        </w:rPr>
      </w:pPr>
    </w:p>
    <w:p w:rsidR="00B32D81" w:rsidRPr="00B32D81" w:rsidRDefault="00B32D81" w:rsidP="00B32D8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B32D81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B32D81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B32D81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widowControl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B32D81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B32D81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B32D81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B32D81">
        <w:rPr>
          <w:rFonts w:eastAsia="Calibri" w:cs="Calibri"/>
          <w:i/>
          <w:color w:val="000000"/>
          <w:lang w:eastAsia="it-IT"/>
        </w:rPr>
        <w:t xml:space="preserve"> Report</w:t>
      </w:r>
      <w:r w:rsidRPr="00B32D81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B32D81" w:rsidRPr="00B32D81">
        <w:rPr>
          <w:rFonts w:cs="Times New Roman"/>
          <w:bCs/>
          <w:color w:val="000000"/>
        </w:rPr>
        <w:t>Busazost</w:t>
      </w:r>
      <w:proofErr w:type="spellEnd"/>
      <w:r w:rsidRPr="00B32D81">
        <w:rPr>
          <w:rFonts w:eastAsia="Calibri" w:cs="Calibri"/>
          <w:color w:val="000000"/>
          <w:lang w:eastAsia="it-IT"/>
        </w:rPr>
        <w:t>.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DA1945" w:rsidRPr="00B32D81">
        <w:rPr>
          <w:rFonts w:eastAsia="Calibri" w:cs="Calibri"/>
          <w:color w:val="000000"/>
          <w:lang w:eastAsia="it-IT"/>
        </w:rPr>
        <w:t>Busazost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è stato valutato dalla Commissione Tecnico-Scientifica (CTS) e sue le condizioni </w:t>
      </w:r>
      <w:r w:rsidR="005D53B9" w:rsidRPr="00B32D81">
        <w:rPr>
          <w:rFonts w:eastAsia="Calibri" w:cs="Calibri"/>
          <w:color w:val="000000"/>
          <w:lang w:eastAsia="it-IT"/>
        </w:rPr>
        <w:t xml:space="preserve">di impiego. Non intende fornire </w:t>
      </w:r>
      <w:r w:rsidRPr="00B32D81">
        <w:rPr>
          <w:rFonts w:eastAsia="Calibri" w:cs="Calibri"/>
          <w:color w:val="000000"/>
          <w:lang w:eastAsia="it-IT"/>
        </w:rPr>
        <w:t xml:space="preserve">consigli pratici su come utilizzare </w:t>
      </w:r>
      <w:proofErr w:type="spellStart"/>
      <w:r w:rsidR="00DA1945" w:rsidRPr="00B32D81">
        <w:rPr>
          <w:rFonts w:eastAsia="Calibri" w:cs="Calibri"/>
          <w:color w:val="000000"/>
          <w:lang w:eastAsia="it-IT"/>
        </w:rPr>
        <w:t>Busazost</w:t>
      </w:r>
      <w:proofErr w:type="spellEnd"/>
      <w:r w:rsidRPr="00B32D81">
        <w:rPr>
          <w:rFonts w:eastAsia="Calibri" w:cs="Calibri"/>
          <w:bCs/>
          <w:color w:val="000000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color w:val="000000"/>
          <w:lang w:eastAsia="it-IT"/>
        </w:rPr>
        <w:t>Per informazioni pratiche sull'utilizzo di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DA1945" w:rsidRPr="00B32D81">
        <w:rPr>
          <w:rFonts w:eastAsia="Calibri" w:cs="Calibri"/>
          <w:color w:val="000000"/>
          <w:lang w:eastAsia="it-IT"/>
        </w:rPr>
        <w:t>Busazost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B32D81">
        <w:rPr>
          <w:rFonts w:eastAsia="Calibri" w:cs="Calibri"/>
          <w:color w:val="000000"/>
          <w:lang w:eastAsia="it-IT"/>
        </w:rPr>
        <w:t xml:space="preserve">il </w:t>
      </w:r>
      <w:r w:rsidRPr="00B32D81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DA1945" w:rsidRPr="00B32D81">
        <w:rPr>
          <w:rFonts w:eastAsia="Calibri" w:cs="Calibri"/>
          <w:b/>
          <w:color w:val="000000"/>
          <w:lang w:eastAsia="it-IT"/>
        </w:rPr>
        <w:t>Busazost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4241AC" w:rsidRPr="00B32D81" w:rsidRDefault="00DA1945" w:rsidP="00B32D81">
      <w:pPr>
        <w:widowControl w:val="0"/>
        <w:spacing w:after="0" w:line="240" w:lineRule="auto"/>
        <w:jc w:val="both"/>
      </w:pPr>
      <w:proofErr w:type="spellStart"/>
      <w:r w:rsidRPr="00B32D81">
        <w:rPr>
          <w:rFonts w:eastAsia="Calibri" w:cs="Calibri"/>
          <w:color w:val="000000"/>
          <w:lang w:eastAsia="it-IT"/>
        </w:rPr>
        <w:t>Busazost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B32D81">
        <w:rPr>
          <w:rFonts w:eastAsia="Calibri" w:cs="Calibri"/>
          <w:color w:val="000000"/>
          <w:lang w:eastAsia="it-IT"/>
        </w:rPr>
        <w:t>i</w:t>
      </w:r>
      <w:r w:rsidR="00520FDC" w:rsidRPr="00B32D81">
        <w:rPr>
          <w:rFonts w:eastAsia="Calibri" w:cs="Calibri"/>
          <w:color w:val="000000"/>
          <w:lang w:eastAsia="it-IT"/>
        </w:rPr>
        <w:t>l</w:t>
      </w:r>
      <w:r w:rsidR="004241AC" w:rsidRPr="00B32D81">
        <w:rPr>
          <w:rFonts w:eastAsia="Calibri" w:cs="Calibri"/>
          <w:color w:val="000000"/>
          <w:lang w:eastAsia="it-IT"/>
        </w:rPr>
        <w:t xml:space="preserve"> principi</w:t>
      </w:r>
      <w:r w:rsidR="00520FDC" w:rsidRPr="00B32D81">
        <w:rPr>
          <w:rFonts w:eastAsia="Calibri" w:cs="Calibri"/>
          <w:color w:val="000000"/>
          <w:lang w:eastAsia="it-IT"/>
        </w:rPr>
        <w:t>o</w:t>
      </w:r>
      <w:r w:rsidR="004241AC" w:rsidRPr="00B32D81">
        <w:rPr>
          <w:rFonts w:eastAsia="Calibri" w:cs="Calibri"/>
          <w:color w:val="000000"/>
          <w:lang w:eastAsia="it-IT"/>
        </w:rPr>
        <w:t xml:space="preserve"> attiv</w:t>
      </w:r>
      <w:r w:rsidR="00520FDC" w:rsidRPr="00B32D81">
        <w:rPr>
          <w:rFonts w:eastAsia="Calibri" w:cs="Calibri"/>
          <w:color w:val="000000"/>
          <w:lang w:eastAsia="it-IT"/>
        </w:rPr>
        <w:t>o</w:t>
      </w:r>
      <w:r w:rsidR="004241AC" w:rsidRPr="00B32D8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32D81">
        <w:rPr>
          <w:snapToGrid w:val="0"/>
        </w:rPr>
        <w:t>travoprost</w:t>
      </w:r>
      <w:proofErr w:type="spellEnd"/>
      <w:r w:rsidR="00B75EA4" w:rsidRPr="00B32D81">
        <w:rPr>
          <w:rFonts w:eastAsia="Calibri" w:cs="Calibri"/>
          <w:color w:val="000000"/>
          <w:lang w:eastAsia="it-IT"/>
        </w:rPr>
        <w:t xml:space="preserve"> ed </w:t>
      </w:r>
      <w:r w:rsidR="004241AC" w:rsidRPr="00B32D81">
        <w:rPr>
          <w:rFonts w:eastAsia="Calibri" w:cs="Calibri"/>
          <w:color w:val="000000"/>
          <w:lang w:eastAsia="it-IT"/>
        </w:rPr>
        <w:t xml:space="preserve">è disponibile in </w:t>
      </w:r>
      <w:r w:rsidRPr="00B32D81">
        <w:rPr>
          <w:rFonts w:eastAsia="Calibri" w:cs="Calibri"/>
          <w:color w:val="000000"/>
          <w:lang w:eastAsia="it-IT"/>
        </w:rPr>
        <w:t>collirio</w:t>
      </w:r>
      <w:r w:rsidR="007935FE">
        <w:rPr>
          <w:rFonts w:eastAsia="Calibri" w:cs="Calibri"/>
          <w:color w:val="000000"/>
          <w:lang w:eastAsia="it-IT"/>
        </w:rPr>
        <w:t>,</w:t>
      </w:r>
      <w:r w:rsidRPr="00B32D81">
        <w:rPr>
          <w:rFonts w:eastAsia="Calibri" w:cs="Calibri"/>
          <w:color w:val="000000"/>
          <w:lang w:eastAsia="it-IT"/>
        </w:rPr>
        <w:t xml:space="preserve"> soluzione </w:t>
      </w:r>
      <w:r w:rsidR="004241AC" w:rsidRPr="00B32D81">
        <w:rPr>
          <w:rFonts w:eastAsia="Calibri" w:cs="Calibri"/>
          <w:color w:val="000000"/>
          <w:lang w:eastAsia="it-IT"/>
        </w:rPr>
        <w:t>contenent</w:t>
      </w:r>
      <w:r w:rsidR="007935FE">
        <w:rPr>
          <w:rFonts w:eastAsia="Calibri" w:cs="Calibri"/>
          <w:color w:val="000000"/>
          <w:lang w:eastAsia="it-IT"/>
        </w:rPr>
        <w:t>e</w:t>
      </w:r>
      <w:r w:rsidR="004241AC" w:rsidRPr="00B32D81">
        <w:rPr>
          <w:rFonts w:eastAsia="Calibri" w:cs="Calibri"/>
          <w:color w:val="000000"/>
          <w:lang w:eastAsia="it-IT"/>
        </w:rPr>
        <w:t xml:space="preserve"> </w:t>
      </w:r>
      <w:r w:rsidR="00E22AEF" w:rsidRPr="00B32D81">
        <w:rPr>
          <w:rFonts w:cs="Arial"/>
        </w:rPr>
        <w:t xml:space="preserve">40 </w:t>
      </w:r>
      <w:r w:rsidR="007935FE">
        <w:rPr>
          <w:rFonts w:cs="Arial"/>
        </w:rPr>
        <w:t>microgrammi</w:t>
      </w:r>
      <w:r w:rsidR="00E22AEF" w:rsidRPr="00B32D81">
        <w:rPr>
          <w:rFonts w:cs="Arial"/>
        </w:rPr>
        <w:t>/ml</w:t>
      </w:r>
      <w:r w:rsidR="00520FDC" w:rsidRPr="00B32D81">
        <w:rPr>
          <w:rFonts w:eastAsia="Calibri" w:cs="Calibri"/>
          <w:color w:val="000000"/>
          <w:lang w:eastAsia="it-IT"/>
        </w:rPr>
        <w:t xml:space="preserve"> di principio attivo</w:t>
      </w:r>
      <w:r w:rsidR="004241AC" w:rsidRPr="00B32D81">
        <w:t>.</w:t>
      </w:r>
    </w:p>
    <w:p w:rsidR="00494CCF" w:rsidRPr="00B32D81" w:rsidRDefault="00DA1945" w:rsidP="00B32D8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B32D81">
        <w:rPr>
          <w:rFonts w:eastAsia="Calibri" w:cs="Calibri"/>
          <w:color w:val="000000"/>
          <w:lang w:eastAsia="it-IT"/>
        </w:rPr>
        <w:t>Busazost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013020" w:rsidRPr="00B32D81">
        <w:rPr>
          <w:rFonts w:eastAsia="Calibri" w:cs="Calibri"/>
          <w:color w:val="000000"/>
          <w:lang w:eastAsia="it-IT"/>
        </w:rPr>
        <w:t>è un “medicinale generico”, cioè è analogo ad un “medicinale di riferimento”</w:t>
      </w:r>
      <w:r w:rsidR="00B32D81" w:rsidRPr="00B32D81">
        <w:rPr>
          <w:rFonts w:eastAsia="Calibri" w:cs="Calibri"/>
          <w:color w:val="000000"/>
          <w:lang w:eastAsia="it-IT"/>
        </w:rPr>
        <w:t>,</w:t>
      </w:r>
      <w:r w:rsidR="00013020" w:rsidRPr="00B32D8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32D81" w:rsidRPr="00B32D81">
        <w:rPr>
          <w:rFonts w:eastAsia="Calibri" w:cs="Calibri"/>
          <w:color w:val="000000"/>
          <w:lang w:eastAsia="it-IT"/>
        </w:rPr>
        <w:t>Travatan</w:t>
      </w:r>
      <w:proofErr w:type="spellEnd"/>
      <w:r w:rsidR="00B32D81" w:rsidRPr="00B32D81">
        <w:rPr>
          <w:rFonts w:eastAsia="Calibri" w:cs="Calibri"/>
          <w:color w:val="000000"/>
          <w:lang w:eastAsia="it-IT"/>
        </w:rPr>
        <w:t xml:space="preserve">, già autorizzato in Italia con procedura centralizzata. </w:t>
      </w:r>
      <w:r w:rsidR="00494CCF" w:rsidRPr="00B32D81">
        <w:rPr>
          <w:rFonts w:eastAsia="Calibri" w:cs="Calibri"/>
          <w:color w:val="000000"/>
          <w:lang w:eastAsia="it-IT"/>
        </w:rPr>
        <w:t>L’</w:t>
      </w:r>
      <w:proofErr w:type="spellStart"/>
      <w:r w:rsidR="00494CCF" w:rsidRPr="00B32D81">
        <w:rPr>
          <w:rFonts w:eastAsia="Calibri" w:cs="Calibri"/>
          <w:i/>
          <w:color w:val="000000"/>
          <w:lang w:eastAsia="it-IT"/>
        </w:rPr>
        <w:t>European</w:t>
      </w:r>
      <w:proofErr w:type="spellEnd"/>
      <w:r w:rsidR="00494CCF" w:rsidRPr="00B32D81">
        <w:rPr>
          <w:rFonts w:eastAsia="Calibri" w:cs="Calibri"/>
          <w:color w:val="000000"/>
          <w:lang w:eastAsia="it-IT"/>
        </w:rPr>
        <w:t xml:space="preserve"> </w:t>
      </w:r>
      <w:r w:rsidR="00494CCF" w:rsidRPr="00B32D81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494CCF" w:rsidRPr="00B32D81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494CCF" w:rsidRPr="00B32D81">
        <w:rPr>
          <w:rFonts w:eastAsia="Calibri" w:cs="Calibri"/>
          <w:i/>
          <w:color w:val="000000"/>
          <w:lang w:eastAsia="it-IT"/>
        </w:rPr>
        <w:t xml:space="preserve"> Report</w:t>
      </w:r>
      <w:r w:rsidR="00494CCF" w:rsidRPr="00B32D81">
        <w:rPr>
          <w:rFonts w:eastAsia="Calibri" w:cs="Calibri"/>
          <w:color w:val="000000"/>
          <w:lang w:eastAsia="it-IT"/>
        </w:rPr>
        <w:t xml:space="preserve"> (EPAR) di </w:t>
      </w:r>
      <w:proofErr w:type="spellStart"/>
      <w:r w:rsidR="00494CCF" w:rsidRPr="00B32D81">
        <w:rPr>
          <w:rFonts w:eastAsia="Calibri" w:cs="Calibri"/>
          <w:color w:val="000000"/>
          <w:lang w:eastAsia="it-IT"/>
        </w:rPr>
        <w:t>Travatan</w:t>
      </w:r>
      <w:proofErr w:type="spellEnd"/>
      <w:r w:rsidR="00494CCF" w:rsidRPr="00B32D81">
        <w:rPr>
          <w:rFonts w:eastAsia="Calibri" w:cs="Calibri"/>
          <w:color w:val="000000"/>
          <w:lang w:eastAsia="it-IT"/>
        </w:rPr>
        <w:t xml:space="preserve"> può essere consultato sul sito dell’Agenzia Europea dei medicinali (</w:t>
      </w:r>
      <w:proofErr w:type="spellStart"/>
      <w:r w:rsidR="00494CCF" w:rsidRPr="00B32D81">
        <w:rPr>
          <w:rFonts w:eastAsia="Calibri" w:cs="Calibri"/>
          <w:i/>
          <w:color w:val="000000"/>
          <w:lang w:eastAsia="it-IT"/>
        </w:rPr>
        <w:t>European</w:t>
      </w:r>
      <w:proofErr w:type="spellEnd"/>
      <w:r w:rsidR="00494CCF" w:rsidRPr="00B32D81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="00494CCF" w:rsidRPr="00B32D81">
        <w:rPr>
          <w:rFonts w:eastAsia="Calibri" w:cs="Calibri"/>
          <w:i/>
          <w:color w:val="000000"/>
          <w:lang w:eastAsia="it-IT"/>
        </w:rPr>
        <w:t>Medicinal</w:t>
      </w:r>
      <w:proofErr w:type="spellEnd"/>
      <w:r w:rsidR="00494CCF" w:rsidRPr="00B32D81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="00494CCF" w:rsidRPr="00B32D81">
        <w:rPr>
          <w:rFonts w:eastAsia="Calibri" w:cs="Calibri"/>
          <w:i/>
          <w:color w:val="000000"/>
          <w:lang w:eastAsia="it-IT"/>
        </w:rPr>
        <w:t>Agency</w:t>
      </w:r>
      <w:proofErr w:type="spellEnd"/>
      <w:r w:rsidR="00494CCF" w:rsidRPr="00B32D81">
        <w:rPr>
          <w:rFonts w:eastAsia="Calibri" w:cs="Calibri"/>
          <w:color w:val="000000"/>
          <w:lang w:eastAsia="it-IT"/>
        </w:rPr>
        <w:t xml:space="preserve"> – EMA) </w:t>
      </w:r>
    </w:p>
    <w:p w:rsidR="00B32D81" w:rsidRPr="00B32D81" w:rsidRDefault="00B32D81" w:rsidP="00B32D81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B32D81">
        <w:rPr>
          <w:rFonts w:eastAsia="Calibri" w:cs="Calibri"/>
          <w:color w:val="000000"/>
          <w:lang w:eastAsia="it-IT"/>
        </w:rPr>
        <w:t>(</w:t>
      </w:r>
      <w:hyperlink r:id="rId6" w:history="1">
        <w:r w:rsidRPr="00B32D81">
          <w:rPr>
            <w:rStyle w:val="Collegamentoipertestuale"/>
            <w:rFonts w:eastAsia="Calibri" w:cs="Calibri"/>
            <w:bCs/>
            <w:lang w:eastAsia="it-IT"/>
          </w:rPr>
          <w:t>http://www.ema.europa.eu/ema/index.jsp?curl=pages/medicines/landing/epar_search.jsp&amp;mid</w:t>
        </w:r>
      </w:hyperlink>
      <w:r w:rsidRPr="00B32D81">
        <w:rPr>
          <w:rFonts w:eastAsia="Calibri" w:cs="Calibri"/>
          <w:bCs/>
          <w:color w:val="000000"/>
          <w:lang w:eastAsia="it-IT"/>
        </w:rPr>
        <w:t>).</w:t>
      </w:r>
    </w:p>
    <w:p w:rsidR="00E22AEF" w:rsidRPr="00B32D81" w:rsidRDefault="00DA1945" w:rsidP="00B32D8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B32D81">
        <w:rPr>
          <w:rFonts w:eastAsia="Calibri" w:cs="Calibri"/>
          <w:color w:val="000000"/>
          <w:lang w:eastAsia="it-IT"/>
        </w:rPr>
        <w:t>Busazost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color w:val="000000"/>
          <w:lang w:eastAsia="it-IT"/>
        </w:rPr>
        <w:t>si usa per</w:t>
      </w:r>
      <w:r w:rsidR="00E22AEF" w:rsidRPr="00B32D81">
        <w:rPr>
          <w:rFonts w:eastAsia="Calibri" w:cs="Calibri"/>
          <w:color w:val="000000"/>
          <w:lang w:eastAsia="it-IT"/>
        </w:rPr>
        <w:t xml:space="preserve"> ridurre l’elevata pressione oculare negli adulti, adolescenti e bambini da 2 mesi di età in poi. </w:t>
      </w:r>
      <w:r w:rsidR="00B32D81" w:rsidRPr="00B32D81">
        <w:rPr>
          <w:rFonts w:eastAsia="Calibri" w:cs="Calibri"/>
          <w:color w:val="000000"/>
          <w:lang w:eastAsia="it-IT"/>
        </w:rPr>
        <w:t>La</w:t>
      </w:r>
      <w:r w:rsidR="00E22AEF" w:rsidRPr="00B32D81">
        <w:rPr>
          <w:rFonts w:eastAsia="Calibri" w:cs="Calibri"/>
          <w:color w:val="000000"/>
          <w:lang w:eastAsia="it-IT"/>
        </w:rPr>
        <w:t xml:space="preserve"> pressione</w:t>
      </w:r>
      <w:r w:rsidR="00B32D81" w:rsidRPr="00B32D81">
        <w:rPr>
          <w:rFonts w:eastAsia="Calibri" w:cs="Calibri"/>
          <w:color w:val="000000"/>
          <w:lang w:eastAsia="it-IT"/>
        </w:rPr>
        <w:t xml:space="preserve"> </w:t>
      </w:r>
      <w:r w:rsidR="00F01FB3">
        <w:rPr>
          <w:rFonts w:eastAsia="Calibri" w:cs="Calibri"/>
          <w:color w:val="000000"/>
          <w:lang w:eastAsia="it-IT"/>
        </w:rPr>
        <w:t xml:space="preserve">oculare </w:t>
      </w:r>
      <w:r w:rsidR="00B32D81" w:rsidRPr="00B32D81">
        <w:rPr>
          <w:rFonts w:eastAsia="Calibri" w:cs="Calibri"/>
          <w:color w:val="000000"/>
          <w:lang w:eastAsia="it-IT"/>
        </w:rPr>
        <w:t>elevata</w:t>
      </w:r>
      <w:r w:rsidR="00E22AEF" w:rsidRPr="00B32D81">
        <w:rPr>
          <w:rFonts w:eastAsia="Calibri" w:cs="Calibri"/>
          <w:color w:val="000000"/>
          <w:lang w:eastAsia="it-IT"/>
        </w:rPr>
        <w:t xml:space="preserve"> può condurre ad una patologia chiamata glaucoma.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DA1945" w:rsidRPr="00B32D81">
        <w:rPr>
          <w:rFonts w:eastAsia="Calibri" w:cs="Calibri"/>
          <w:b/>
          <w:color w:val="000000"/>
          <w:lang w:eastAsia="it-IT"/>
        </w:rPr>
        <w:t>Busazost</w:t>
      </w:r>
      <w:proofErr w:type="spellEnd"/>
      <w:r w:rsidRPr="00B32D81">
        <w:rPr>
          <w:rFonts w:eastAsia="Calibri" w:cs="Calibri"/>
          <w:b/>
          <w:bCs/>
          <w:color w:val="000000"/>
          <w:lang w:eastAsia="it-IT"/>
        </w:rPr>
        <w:t>?</w:t>
      </w:r>
    </w:p>
    <w:p w:rsidR="007935FE" w:rsidRPr="0008314C" w:rsidRDefault="00DA1945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B32D81">
        <w:rPr>
          <w:rFonts w:eastAsia="Calibri" w:cs="Calibri"/>
          <w:color w:val="000000"/>
          <w:lang w:eastAsia="it-IT"/>
        </w:rPr>
        <w:t>Busazost</w:t>
      </w:r>
      <w:proofErr w:type="spellEnd"/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="007935FE" w:rsidRPr="0008314C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7935FE" w:rsidRPr="00955CB5">
        <w:rPr>
          <w:rFonts w:eastAsia="Calibri" w:cs="Calibri"/>
          <w:color w:val="000000"/>
          <w:lang w:eastAsia="it-IT"/>
        </w:rPr>
        <w:t>(ricetta ripetibile).</w:t>
      </w:r>
    </w:p>
    <w:p w:rsidR="00E22AEF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B32D81">
        <w:rPr>
          <w:rFonts w:eastAsia="Calibri" w:cs="Calibri"/>
          <w:color w:val="000000"/>
          <w:lang w:eastAsia="it-IT"/>
        </w:rPr>
        <w:t xml:space="preserve">La dose raccomandata è </w:t>
      </w:r>
      <w:r w:rsidR="00E22AEF" w:rsidRPr="00B32D81">
        <w:rPr>
          <w:rFonts w:eastAsia="Calibri" w:cs="Calibri"/>
          <w:color w:val="000000"/>
          <w:lang w:eastAsia="it-IT"/>
        </w:rPr>
        <w:t>una goccia nell’occhio</w:t>
      </w:r>
      <w:r w:rsidR="00B32D81" w:rsidRPr="00B32D81">
        <w:rPr>
          <w:rFonts w:eastAsia="Calibri" w:cs="Calibri"/>
          <w:color w:val="000000"/>
          <w:lang w:eastAsia="it-IT"/>
        </w:rPr>
        <w:t xml:space="preserve"> da trattare</w:t>
      </w:r>
      <w:r w:rsidR="00E22AEF" w:rsidRPr="00B32D81">
        <w:rPr>
          <w:rFonts w:eastAsia="Calibri" w:cs="Calibri"/>
          <w:color w:val="000000"/>
          <w:lang w:eastAsia="it-IT"/>
        </w:rPr>
        <w:t xml:space="preserve">, una volta al giorno, </w:t>
      </w:r>
      <w:r w:rsidR="00F01FB3">
        <w:rPr>
          <w:rFonts w:eastAsia="Calibri" w:cs="Calibri"/>
          <w:color w:val="000000"/>
          <w:lang w:eastAsia="it-IT"/>
        </w:rPr>
        <w:t xml:space="preserve">preferibilmente </w:t>
      </w:r>
      <w:r w:rsidR="00E22AEF" w:rsidRPr="00B32D81">
        <w:rPr>
          <w:rFonts w:eastAsia="Calibri" w:cs="Calibri"/>
          <w:color w:val="000000"/>
          <w:lang w:eastAsia="it-IT"/>
        </w:rPr>
        <w:t xml:space="preserve">alla sera. </w:t>
      </w:r>
    </w:p>
    <w:p w:rsidR="004241AC" w:rsidRPr="00B32D81" w:rsidRDefault="00F01FB3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t>Questo medicinale non deve essere utilizzato in bambini di età inferiore a 2 mesi in quanto la sicurezza e l’efficacia non sono state stabilite in questa fascia di età.</w:t>
      </w:r>
    </w:p>
    <w:p w:rsidR="00B32D81" w:rsidRDefault="00B32D8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F01FB3" w:rsidRPr="00B32D81" w:rsidRDefault="00F01FB3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DA1945" w:rsidRPr="00B32D81">
        <w:rPr>
          <w:rFonts w:eastAsia="Calibri" w:cs="Calibri"/>
          <w:b/>
          <w:color w:val="000000"/>
          <w:lang w:eastAsia="it-IT"/>
        </w:rPr>
        <w:t>Busazost</w:t>
      </w:r>
      <w:proofErr w:type="spellEnd"/>
      <w:r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B32D81" w:rsidRDefault="00DA1945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 w:rsidRPr="00B32D81">
        <w:rPr>
          <w:rFonts w:eastAsia="Calibri" w:cs="Calibri"/>
          <w:color w:val="000000"/>
          <w:lang w:eastAsia="it-IT"/>
        </w:rPr>
        <w:t>Busazost</w:t>
      </w:r>
      <w:proofErr w:type="spellEnd"/>
      <w:r w:rsidR="005A2741"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color w:val="000000"/>
          <w:lang w:eastAsia="it-IT"/>
        </w:rPr>
        <w:t>contiene i</w:t>
      </w:r>
      <w:r w:rsidR="005A2741" w:rsidRPr="00B32D81">
        <w:rPr>
          <w:rFonts w:eastAsia="Calibri" w:cs="Calibri"/>
          <w:color w:val="000000"/>
          <w:lang w:eastAsia="it-IT"/>
        </w:rPr>
        <w:t>l</w:t>
      </w:r>
      <w:r w:rsidR="004241AC" w:rsidRPr="00B32D81">
        <w:rPr>
          <w:rFonts w:eastAsia="Calibri" w:cs="Calibri"/>
          <w:color w:val="000000"/>
          <w:lang w:eastAsia="it-IT"/>
        </w:rPr>
        <w:t xml:space="preserve"> principi</w:t>
      </w:r>
      <w:r w:rsidR="005A2741" w:rsidRPr="00B32D81">
        <w:rPr>
          <w:rFonts w:eastAsia="Calibri" w:cs="Calibri"/>
          <w:color w:val="000000"/>
          <w:lang w:eastAsia="it-IT"/>
        </w:rPr>
        <w:t>o</w:t>
      </w:r>
      <w:r w:rsidR="004241AC" w:rsidRPr="00B32D81">
        <w:rPr>
          <w:rFonts w:eastAsia="Calibri" w:cs="Calibri"/>
          <w:color w:val="000000"/>
          <w:lang w:eastAsia="it-IT"/>
        </w:rPr>
        <w:t xml:space="preserve"> attiv</w:t>
      </w:r>
      <w:r w:rsidR="005A2741" w:rsidRPr="00B32D81">
        <w:rPr>
          <w:rFonts w:eastAsia="Calibri" w:cs="Calibri"/>
          <w:color w:val="000000"/>
          <w:lang w:eastAsia="it-IT"/>
        </w:rPr>
        <w:t>o</w:t>
      </w:r>
      <w:r w:rsidR="004241AC" w:rsidRPr="00B32D8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07EF8" w:rsidRPr="00B32D81">
        <w:rPr>
          <w:snapToGrid w:val="0"/>
        </w:rPr>
        <w:t>Travoprost</w:t>
      </w:r>
      <w:proofErr w:type="spellEnd"/>
      <w:r w:rsidR="00B07EF8" w:rsidRPr="00B32D81">
        <w:rPr>
          <w:snapToGrid w:val="0"/>
        </w:rPr>
        <w:t xml:space="preserve">, </w:t>
      </w:r>
      <w:r w:rsidR="005A2741" w:rsidRPr="00B32D81">
        <w:rPr>
          <w:snapToGrid w:val="0"/>
        </w:rPr>
        <w:t xml:space="preserve">il cui codice ATC è </w:t>
      </w:r>
      <w:r w:rsidR="00F01FB3">
        <w:t xml:space="preserve">S01E E04, che </w:t>
      </w:r>
      <w:r w:rsidR="00E43089" w:rsidRPr="00B32D81">
        <w:rPr>
          <w:rFonts w:eastAsia="DejaVuSans" w:cs="DejaVuSans"/>
        </w:rPr>
        <w:t xml:space="preserve">è </w:t>
      </w:r>
      <w:r w:rsidR="00F01FB3">
        <w:t xml:space="preserve">una sostanza appartenente al gruppo di farmaci chiamati analoghi delle prostaglandine. Funziona abbassando la </w:t>
      </w:r>
      <w:r w:rsidR="00F01FB3">
        <w:lastRenderedPageBreak/>
        <w:t>pressione oculare, favorendo il deflusso dell’umore acqueo dell’occhio. Può essere usato da solo o in aggiunta ad altri colliri come i beta-bloccanti, anch’essi in grado di ridurre la pressione oculare.</w:t>
      </w:r>
    </w:p>
    <w:p w:rsidR="004241AC" w:rsidRDefault="004241AC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F01FB3" w:rsidRPr="00B32D81" w:rsidRDefault="00F01FB3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DA1945" w:rsidRPr="00B32D81">
        <w:rPr>
          <w:rFonts w:eastAsia="Calibri" w:cs="Calibri"/>
          <w:b/>
          <w:color w:val="000000"/>
          <w:lang w:eastAsia="it-IT"/>
        </w:rPr>
        <w:t>Busazost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  <w:r w:rsidRPr="00B32D81">
        <w:rPr>
          <w:rFonts w:eastAsia="Calibri" w:cs="Calibri"/>
          <w:b/>
          <w:bCs/>
          <w:lang w:eastAsia="it-IT"/>
        </w:rPr>
        <w:t xml:space="preserve"> </w:t>
      </w:r>
    </w:p>
    <w:p w:rsidR="00F01FB3" w:rsidRDefault="004241AC" w:rsidP="00F01FB3">
      <w:pPr>
        <w:spacing w:after="0" w:line="240" w:lineRule="auto"/>
        <w:jc w:val="both"/>
        <w:rPr>
          <w:rFonts w:cs="Arial"/>
        </w:rPr>
      </w:pPr>
      <w:r w:rsidRPr="00B32D81">
        <w:rPr>
          <w:rFonts w:cs="Arial"/>
        </w:rPr>
        <w:t xml:space="preserve">Poiché </w:t>
      </w:r>
      <w:proofErr w:type="spellStart"/>
      <w:r w:rsidR="00DA1945" w:rsidRPr="00B32D81">
        <w:rPr>
          <w:rFonts w:eastAsia="Calibri" w:cs="Calibri"/>
          <w:color w:val="000000"/>
          <w:lang w:eastAsia="it-IT"/>
        </w:rPr>
        <w:t>Busazost</w:t>
      </w:r>
      <w:proofErr w:type="spellEnd"/>
      <w:r w:rsidR="005A2741"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013020" w:rsidRPr="00B32D81">
        <w:rPr>
          <w:rFonts w:cs="Arial"/>
        </w:rPr>
        <w:t>è un medicinale generico</w:t>
      </w:r>
      <w:r w:rsidRPr="00B32D81">
        <w:rPr>
          <w:rFonts w:cs="Arial"/>
        </w:rPr>
        <w:t xml:space="preserve"> </w:t>
      </w:r>
      <w:r w:rsidR="00F01FB3" w:rsidRPr="0023693E">
        <w:rPr>
          <w:rFonts w:cs="Arial"/>
        </w:rPr>
        <w:t xml:space="preserve">ed è somministrato come </w:t>
      </w:r>
      <w:r w:rsidR="00F01FB3">
        <w:rPr>
          <w:rFonts w:cs="Arial"/>
        </w:rPr>
        <w:t>collirio (</w:t>
      </w:r>
      <w:r w:rsidR="00F01FB3" w:rsidRPr="0023693E">
        <w:rPr>
          <w:rFonts w:cs="Arial"/>
        </w:rPr>
        <w:t>soluzione</w:t>
      </w:r>
      <w:r w:rsidR="00F01FB3">
        <w:rPr>
          <w:rFonts w:cs="Arial"/>
        </w:rPr>
        <w:t xml:space="preserve"> oftalmica)</w:t>
      </w:r>
      <w:r w:rsidR="00F01FB3" w:rsidRPr="00B21EAE">
        <w:rPr>
          <w:rFonts w:cs="Arial"/>
        </w:rPr>
        <w:t>, non è stato necessario effettuare ulteriori studi clinici.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DA1945" w:rsidRPr="00B32D81">
        <w:rPr>
          <w:rFonts w:eastAsia="Calibri" w:cs="Calibri"/>
          <w:b/>
          <w:color w:val="000000"/>
          <w:lang w:eastAsia="it-IT"/>
        </w:rPr>
        <w:t>Busazost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B32D81" w:rsidRDefault="00DA1945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B32D81">
        <w:rPr>
          <w:rFonts w:eastAsia="Calibri" w:cs="Calibri"/>
          <w:color w:val="000000"/>
          <w:lang w:eastAsia="it-IT"/>
        </w:rPr>
        <w:t>Busazost</w:t>
      </w:r>
      <w:proofErr w:type="spellEnd"/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lang w:eastAsia="it-IT"/>
        </w:rPr>
        <w:t xml:space="preserve">è un medicinale </w:t>
      </w:r>
      <w:r w:rsidR="00013020" w:rsidRPr="00B32D81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B32D81">
        <w:rPr>
          <w:rFonts w:eastAsia="Calibri" w:cs="Calibri"/>
          <w:lang w:eastAsia="it-IT"/>
        </w:rPr>
        <w:t>bioequivale</w:t>
      </w:r>
      <w:r w:rsidR="00C8171A" w:rsidRPr="00B32D81">
        <w:rPr>
          <w:rFonts w:eastAsia="Calibri" w:cs="Calibri"/>
          <w:lang w:eastAsia="it-IT"/>
        </w:rPr>
        <w:t>n</w:t>
      </w:r>
      <w:r w:rsidR="00013020" w:rsidRPr="00B32D81">
        <w:rPr>
          <w:rFonts w:eastAsia="Calibri" w:cs="Calibri"/>
          <w:lang w:eastAsia="it-IT"/>
        </w:rPr>
        <w:t>te</w:t>
      </w:r>
      <w:proofErr w:type="spellEnd"/>
      <w:r w:rsidR="00013020" w:rsidRPr="00B32D81">
        <w:rPr>
          <w:rFonts w:eastAsia="Calibri" w:cs="Calibri"/>
          <w:lang w:eastAsia="it-IT"/>
        </w:rPr>
        <w:t xml:space="preserve"> al medicinale di riferimento</w:t>
      </w:r>
      <w:r w:rsidR="004349A2" w:rsidRPr="00B32D81">
        <w:rPr>
          <w:rFonts w:eastAsia="Calibri" w:cs="Calibri"/>
          <w:lang w:eastAsia="it-IT"/>
        </w:rPr>
        <w:t>; pertanto,</w:t>
      </w:r>
      <w:r w:rsidR="004241AC" w:rsidRPr="00B32D81">
        <w:rPr>
          <w:rFonts w:eastAsia="Calibri" w:cs="Calibri"/>
          <w:lang w:eastAsia="it-IT"/>
        </w:rPr>
        <w:t xml:space="preserve"> </w:t>
      </w:r>
      <w:r w:rsidR="00013020" w:rsidRPr="00B32D81">
        <w:rPr>
          <w:rFonts w:eastAsia="Calibri" w:cs="Calibri"/>
          <w:lang w:eastAsia="it-IT"/>
        </w:rPr>
        <w:t>i suoi</w:t>
      </w:r>
      <w:r w:rsidR="004241AC" w:rsidRPr="00B32D81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B32D81">
        <w:rPr>
          <w:rFonts w:eastAsia="Calibri" w:cs="Calibri"/>
          <w:lang w:eastAsia="it-IT"/>
        </w:rPr>
        <w:t>l</w:t>
      </w:r>
      <w:r w:rsidR="004241AC" w:rsidRPr="00B32D81">
        <w:rPr>
          <w:rFonts w:eastAsia="Calibri" w:cs="Calibri"/>
          <w:lang w:eastAsia="it-IT"/>
        </w:rPr>
        <w:t xml:space="preserve"> medicinal</w:t>
      </w:r>
      <w:r w:rsidR="00013020" w:rsidRPr="00B32D81">
        <w:rPr>
          <w:rFonts w:eastAsia="Calibri" w:cs="Calibri"/>
          <w:lang w:eastAsia="it-IT"/>
        </w:rPr>
        <w:t>e</w:t>
      </w:r>
      <w:r w:rsidR="004241AC" w:rsidRPr="00B32D81">
        <w:rPr>
          <w:rFonts w:eastAsia="Calibri" w:cs="Calibri"/>
          <w:lang w:eastAsia="it-IT"/>
        </w:rPr>
        <w:t xml:space="preserve"> di riferimento.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DA1945" w:rsidRPr="00B32D81">
        <w:rPr>
          <w:rFonts w:eastAsia="Calibri" w:cs="Calibri"/>
          <w:b/>
          <w:color w:val="000000"/>
          <w:lang w:eastAsia="it-IT"/>
        </w:rPr>
        <w:t>Busazost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La Commissione Tecnico Scientifica (CTS), nella seduta del </w:t>
      </w:r>
      <w:r w:rsidR="005B446C" w:rsidRPr="00B32D81">
        <w:rPr>
          <w:rFonts w:eastAsia="Calibri" w:cs="Calibri"/>
          <w:lang w:eastAsia="it-IT"/>
        </w:rPr>
        <w:t>20-23</w:t>
      </w:r>
      <w:r w:rsidR="007935FE">
        <w:rPr>
          <w:rFonts w:eastAsia="Calibri" w:cs="Calibri"/>
          <w:lang w:eastAsia="it-IT"/>
        </w:rPr>
        <w:t xml:space="preserve"> aprile </w:t>
      </w:r>
      <w:r w:rsidR="005B446C" w:rsidRPr="00B32D81">
        <w:rPr>
          <w:rFonts w:eastAsia="Calibri" w:cs="Calibri"/>
          <w:lang w:eastAsia="it-IT"/>
        </w:rPr>
        <w:t xml:space="preserve">2015 </w:t>
      </w:r>
      <w:r w:rsidRPr="00B32D81"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 w:rsidRPr="00B32D81">
        <w:rPr>
          <w:rFonts w:eastAsia="Calibri" w:cs="Calibri"/>
          <w:lang w:eastAsia="it-IT"/>
        </w:rPr>
        <w:t>del</w:t>
      </w:r>
      <w:r w:rsidRPr="00B32D81">
        <w:rPr>
          <w:rFonts w:eastAsia="Calibri" w:cs="Calibri"/>
          <w:lang w:eastAsia="it-IT"/>
        </w:rPr>
        <w:t xml:space="preserve"> medicinal</w:t>
      </w:r>
      <w:r w:rsidR="00D20170" w:rsidRPr="00B32D81">
        <w:rPr>
          <w:rFonts w:eastAsia="Calibri" w:cs="Calibri"/>
          <w:lang w:eastAsia="it-IT"/>
        </w:rPr>
        <w:t>e</w:t>
      </w:r>
      <w:r w:rsidRPr="00B32D81">
        <w:rPr>
          <w:rFonts w:eastAsia="Calibri" w:cs="Calibri"/>
          <w:lang w:eastAsia="it-IT"/>
        </w:rPr>
        <w:t xml:space="preserve"> di riferimento </w:t>
      </w:r>
      <w:proofErr w:type="spellStart"/>
      <w:r w:rsidR="00156285" w:rsidRPr="00B32D81">
        <w:rPr>
          <w:rFonts w:eastAsia="Calibri" w:cs="Calibri"/>
          <w:color w:val="000000"/>
          <w:lang w:eastAsia="it-IT"/>
        </w:rPr>
        <w:t>Travatan</w:t>
      </w:r>
      <w:proofErr w:type="spellEnd"/>
      <w:r w:rsidR="00156285" w:rsidRPr="00B32D81">
        <w:rPr>
          <w:rFonts w:eastAsia="Calibri" w:cs="Calibri"/>
          <w:color w:val="000000"/>
          <w:lang w:eastAsia="it-IT"/>
        </w:rPr>
        <w:t>,</w:t>
      </w:r>
      <w:r w:rsidRPr="00B32D81">
        <w:rPr>
          <w:rFonts w:eastAsia="Calibri" w:cs="Calibri"/>
          <w:lang w:eastAsia="it-IT"/>
        </w:rPr>
        <w:t xml:space="preserve"> i benefici di </w:t>
      </w:r>
      <w:proofErr w:type="spellStart"/>
      <w:r w:rsidR="00DA1945" w:rsidRPr="00B32D81">
        <w:rPr>
          <w:rFonts w:eastAsia="Calibri" w:cs="Calibri"/>
          <w:color w:val="000000"/>
          <w:lang w:eastAsia="it-IT"/>
        </w:rPr>
        <w:t>Busazost</w:t>
      </w:r>
      <w:proofErr w:type="spellEnd"/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 xml:space="preserve">siano superiori ai rischi individuati. La CTS ha, inoltre, definito le modalità di prescrizione di cui al punto 2) di questo Riassunto e la classe di rimborsabilità del </w:t>
      </w:r>
      <w:r w:rsidRPr="00D57567">
        <w:rPr>
          <w:rFonts w:eastAsia="Calibri" w:cs="Calibri"/>
          <w:lang w:eastAsia="it-IT"/>
        </w:rPr>
        <w:t>medicinale</w:t>
      </w:r>
      <w:r w:rsidR="00D20170" w:rsidRPr="00D57567">
        <w:rPr>
          <w:rFonts w:eastAsia="Calibri" w:cs="Calibri"/>
          <w:lang w:eastAsia="it-IT"/>
        </w:rPr>
        <w:t xml:space="preserve"> </w:t>
      </w:r>
      <w:r w:rsidR="007935FE" w:rsidRPr="00D57567">
        <w:rPr>
          <w:rFonts w:eastAsia="Calibri" w:cs="Calibri"/>
          <w:lang w:eastAsia="it-IT"/>
        </w:rPr>
        <w:t>(</w:t>
      </w:r>
      <w:r w:rsidR="00D20170" w:rsidRPr="00D57567">
        <w:rPr>
          <w:rFonts w:eastAsia="Calibri" w:cs="Calibri"/>
          <w:lang w:eastAsia="it-IT"/>
        </w:rPr>
        <w:t>A</w:t>
      </w:r>
      <w:r w:rsidR="007935FE" w:rsidRPr="00D57567">
        <w:rPr>
          <w:rFonts w:eastAsia="Calibri" w:cs="Calibri"/>
          <w:lang w:eastAsia="it-IT"/>
        </w:rPr>
        <w:t>)</w:t>
      </w:r>
      <w:r w:rsidRPr="00D57567">
        <w:rPr>
          <w:rFonts w:eastAsia="Calibri" w:cs="Calibri"/>
          <w:lang w:eastAsia="it-IT"/>
        </w:rPr>
        <w:t>.</w:t>
      </w:r>
      <w:r w:rsidRPr="00B32D81">
        <w:rPr>
          <w:rFonts w:eastAsia="Calibri" w:cs="Calibri"/>
          <w:lang w:eastAsia="it-IT"/>
        </w:rPr>
        <w:t xml:space="preserve">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B32D81">
        <w:rPr>
          <w:rFonts w:eastAsia="Calibri" w:cs="Calibri"/>
          <w:b/>
          <w:bCs/>
          <w:lang w:eastAsia="it-IT"/>
        </w:rPr>
        <w:t>DI</w:t>
      </w:r>
      <w:proofErr w:type="spellEnd"/>
      <w:r w:rsidRPr="00B32D81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DA1945" w:rsidRPr="00B32D81">
        <w:rPr>
          <w:rFonts w:eastAsia="Calibri" w:cs="Calibri"/>
          <w:b/>
          <w:color w:val="000000"/>
          <w:lang w:eastAsia="it-IT"/>
        </w:rPr>
        <w:t>Busazost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B32D81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</w:t>
      </w:r>
      <w:r w:rsidR="004241AC" w:rsidRPr="00B32D81">
        <w:rPr>
          <w:rFonts w:eastAsia="Calibri" w:cs="Calibri"/>
          <w:lang w:eastAsia="it-IT"/>
        </w:rPr>
        <w:t xml:space="preserve">a </w:t>
      </w:r>
      <w:proofErr w:type="spellStart"/>
      <w:r w:rsidR="00DA1945" w:rsidRPr="00B32D81">
        <w:rPr>
          <w:rFonts w:eastAsia="Calibri" w:cs="Calibri"/>
          <w:color w:val="000000"/>
          <w:lang w:eastAsia="it-IT"/>
        </w:rPr>
        <w:t>Busazost</w:t>
      </w:r>
      <w:proofErr w:type="spellEnd"/>
      <w:r w:rsidR="004241AC" w:rsidRPr="00B32D81">
        <w:rPr>
          <w:rFonts w:eastAsia="Calibri" w:cs="Calibri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DA1945" w:rsidRPr="00B32D81">
        <w:rPr>
          <w:rFonts w:eastAsia="Calibri" w:cs="Calibri"/>
          <w:b/>
          <w:color w:val="000000"/>
          <w:lang w:eastAsia="it-IT"/>
        </w:rPr>
        <w:t>Busazost</w:t>
      </w:r>
      <w:proofErr w:type="spellEnd"/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32D81">
        <w:rPr>
          <w:rFonts w:eastAsia="Calibri" w:cs="Calibri"/>
          <w:bCs/>
          <w:iCs/>
          <w:lang w:eastAsia="it-IT"/>
        </w:rPr>
        <w:t xml:space="preserve">Il </w:t>
      </w:r>
      <w:r w:rsidR="00D57567">
        <w:rPr>
          <w:rFonts w:eastAsia="Calibri" w:cs="Calibri"/>
          <w:bCs/>
          <w:iCs/>
          <w:lang w:eastAsia="it-IT"/>
        </w:rPr>
        <w:t>10 marzo 2016</w:t>
      </w:r>
      <w:r w:rsidRPr="00B32D81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DA1945" w:rsidRPr="00B32D81">
        <w:rPr>
          <w:rFonts w:eastAsia="Calibri" w:cs="Calibri"/>
          <w:color w:val="000000"/>
          <w:lang w:eastAsia="it-IT"/>
        </w:rPr>
        <w:t>Busazost</w:t>
      </w:r>
      <w:proofErr w:type="spellEnd"/>
      <w:r w:rsidR="00A642C7" w:rsidRPr="00B32D81">
        <w:rPr>
          <w:rFonts w:eastAsia="Calibri" w:cs="Calibri"/>
          <w:color w:val="000000"/>
          <w:lang w:eastAsia="it-IT"/>
        </w:rPr>
        <w:t xml:space="preserve"> </w:t>
      </w:r>
      <w:r w:rsidR="00062636"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bCs/>
          <w:lang w:eastAsia="it-IT"/>
        </w:rPr>
        <w:t xml:space="preserve">. </w:t>
      </w:r>
    </w:p>
    <w:p w:rsidR="007935FE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935FE" w:rsidRDefault="007935FE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DA1945" w:rsidRPr="00B32D81">
        <w:rPr>
          <w:rFonts w:eastAsia="Calibri" w:cs="Calibri"/>
          <w:color w:val="000000"/>
          <w:lang w:eastAsia="it-IT"/>
        </w:rPr>
        <w:t>Busazost</w:t>
      </w:r>
      <w:proofErr w:type="spellEnd"/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>si può leggere il foglio illustrativo</w:t>
      </w:r>
      <w:r w:rsidR="00D20170" w:rsidRPr="00B32D81">
        <w:rPr>
          <w:rFonts w:eastAsia="Calibri" w:cs="Calibri"/>
          <w:lang w:eastAsia="it-IT"/>
        </w:rPr>
        <w:t xml:space="preserve"> </w:t>
      </w:r>
      <w:r w:rsidR="00B75EA4" w:rsidRPr="00B32D81">
        <w:rPr>
          <w:rFonts w:eastAsia="Calibri" w:cs="Calibri"/>
          <w:lang w:eastAsia="it-IT"/>
        </w:rPr>
        <w:t>(</w:t>
      </w:r>
      <w:hyperlink r:id="rId7" w:history="1">
        <w:r w:rsidR="00B75EA4" w:rsidRPr="00B32D8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75EA4" w:rsidRPr="00B32D81">
        <w:rPr>
          <w:rFonts w:eastAsia="Calibri" w:cs="Calibri"/>
          <w:lang w:eastAsia="it-IT"/>
        </w:rPr>
        <w:t xml:space="preserve">) </w:t>
      </w:r>
      <w:r w:rsidRPr="00B32D81">
        <w:rPr>
          <w:rFonts w:eastAsia="Calibri" w:cs="Calibri"/>
          <w:lang w:eastAsia="it-IT"/>
        </w:rPr>
        <w:t xml:space="preserve">o contattare il medico o </w:t>
      </w:r>
      <w:r w:rsidR="00FA55B0" w:rsidRPr="00B32D81">
        <w:rPr>
          <w:rFonts w:eastAsia="Calibri" w:cs="Calibri"/>
          <w:lang w:eastAsia="it-IT"/>
        </w:rPr>
        <w:t xml:space="preserve">il </w:t>
      </w:r>
      <w:r w:rsidRPr="00B32D81">
        <w:rPr>
          <w:rFonts w:eastAsia="Calibri" w:cs="Calibri"/>
          <w:lang w:eastAsia="it-IT"/>
        </w:rPr>
        <w:t xml:space="preserve">farmacista. </w:t>
      </w: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Questo riassunto è stato redatto in data </w:t>
      </w:r>
      <w:r w:rsidR="00B07EF8" w:rsidRPr="00B32D81">
        <w:rPr>
          <w:rFonts w:eastAsia="Calibri" w:cs="Calibri"/>
          <w:lang w:eastAsia="it-IT"/>
        </w:rPr>
        <w:t>29</w:t>
      </w:r>
      <w:r w:rsidR="007935FE">
        <w:rPr>
          <w:rFonts w:eastAsia="Calibri" w:cs="Calibri"/>
          <w:lang w:eastAsia="it-IT"/>
        </w:rPr>
        <w:t>.10.2015</w:t>
      </w:r>
      <w:r w:rsidRPr="00B32D81">
        <w:rPr>
          <w:rFonts w:eastAsia="Calibri" w:cs="Calibri"/>
          <w:lang w:eastAsia="it-IT"/>
        </w:rPr>
        <w:t xml:space="preserve">. </w:t>
      </w:r>
    </w:p>
    <w:p w:rsidR="004241AC" w:rsidRPr="00B32D81" w:rsidRDefault="004241AC" w:rsidP="00B32D81">
      <w:pPr>
        <w:spacing w:after="0" w:line="240" w:lineRule="auto"/>
        <w:jc w:val="both"/>
      </w:pPr>
    </w:p>
    <w:p w:rsidR="004241AC" w:rsidRPr="00B32D81" w:rsidRDefault="004241AC" w:rsidP="00B32D81">
      <w:pPr>
        <w:spacing w:after="0" w:line="240" w:lineRule="auto"/>
        <w:jc w:val="both"/>
      </w:pPr>
    </w:p>
    <w:p w:rsidR="009A260F" w:rsidRPr="00B32D81" w:rsidRDefault="009A260F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7935FE" w:rsidRDefault="007C68D2" w:rsidP="00B32D81">
      <w:pPr>
        <w:spacing w:after="0" w:line="240" w:lineRule="auto"/>
        <w:jc w:val="center"/>
        <w:rPr>
          <w:b/>
          <w:sz w:val="28"/>
        </w:rPr>
      </w:pPr>
      <w:r w:rsidRPr="007935FE">
        <w:rPr>
          <w:b/>
          <w:sz w:val="28"/>
        </w:rPr>
        <w:t>RELAZIONE PUBBLICA DI VALUTAZIONE</w:t>
      </w: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>INDICE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DI QUALITA’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B32D81">
        <w:rPr>
          <w:b/>
        </w:rPr>
        <w:lastRenderedPageBreak/>
        <w:t>INTRODUZIONE</w:t>
      </w:r>
    </w:p>
    <w:p w:rsidR="007C68D2" w:rsidRPr="00B32D81" w:rsidRDefault="007C68D2" w:rsidP="00B32D81">
      <w:pPr>
        <w:autoSpaceDE w:val="0"/>
        <w:autoSpaceDN w:val="0"/>
        <w:adjustRightInd w:val="0"/>
        <w:spacing w:after="0" w:line="240" w:lineRule="auto"/>
        <w:jc w:val="both"/>
      </w:pPr>
      <w:r w:rsidRPr="00B32D81">
        <w:t xml:space="preserve">Sulla base dei dati di qualità, sicurezza ed efficacia, l’AIFA ha rilasciato a </w:t>
      </w:r>
      <w:proofErr w:type="spellStart"/>
      <w:r w:rsidRPr="00B32D81">
        <w:t>Genetic</w:t>
      </w:r>
      <w:proofErr w:type="spellEnd"/>
      <w:r w:rsidRPr="00B32D81">
        <w:t xml:space="preserve"> l’autorizzazione all’immissione in commercio (AIC) per il medicinale </w:t>
      </w:r>
      <w:proofErr w:type="spellStart"/>
      <w:r w:rsidRPr="00D57567">
        <w:t>Busazost</w:t>
      </w:r>
      <w:proofErr w:type="spellEnd"/>
      <w:r w:rsidRPr="00D57567">
        <w:t xml:space="preserve"> </w:t>
      </w:r>
      <w:r w:rsidRPr="00D57567">
        <w:rPr>
          <w:rFonts w:eastAsia="Calibri" w:cs="Calibri"/>
          <w:bCs/>
          <w:iCs/>
          <w:lang w:eastAsia="it-IT"/>
        </w:rPr>
        <w:t xml:space="preserve">il </w:t>
      </w:r>
      <w:r w:rsidR="00D57567" w:rsidRPr="00D57567">
        <w:rPr>
          <w:rFonts w:eastAsia="Calibri" w:cs="Calibri"/>
          <w:bCs/>
          <w:iCs/>
          <w:lang w:eastAsia="it-IT"/>
        </w:rPr>
        <w:t>10 marzo 2016</w:t>
      </w:r>
      <w:r w:rsidRPr="00D57567">
        <w:t>.</w:t>
      </w:r>
      <w:r w:rsidRPr="00B32D81">
        <w:t xml:space="preserve">  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935FE" w:rsidRPr="0008314C" w:rsidRDefault="007935FE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B32D81">
        <w:rPr>
          <w:rFonts w:eastAsia="Calibri" w:cs="Calibri"/>
          <w:color w:val="000000"/>
          <w:lang w:eastAsia="it-IT"/>
        </w:rPr>
        <w:t>Busazost</w:t>
      </w:r>
      <w:proofErr w:type="spellEnd"/>
      <w:r w:rsidRPr="00B32D81">
        <w:rPr>
          <w:rFonts w:eastAsia="Calibri" w:cs="Calibri"/>
          <w:color w:val="000000"/>
          <w:lang w:eastAsia="it-IT"/>
        </w:rPr>
        <w:t xml:space="preserve"> </w:t>
      </w:r>
      <w:r w:rsidRPr="0008314C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Pr="00955CB5">
        <w:rPr>
          <w:rFonts w:eastAsia="Calibri" w:cs="Calibri"/>
          <w:color w:val="000000"/>
          <w:lang w:eastAsia="it-IT"/>
        </w:rPr>
        <w:t>(ricetta ripetibile).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Questa procedura è stata presentata ai sensi dell’art. 10(3) della Direttiva 2001/83/EU </w:t>
      </w:r>
      <w:proofErr w:type="spellStart"/>
      <w:r w:rsidRPr="00B32D81">
        <w:t>s.m.i.</w:t>
      </w:r>
      <w:proofErr w:type="spellEnd"/>
    </w:p>
    <w:p w:rsidR="007C68D2" w:rsidRPr="00B32D81" w:rsidRDefault="007C68D2" w:rsidP="00B32D81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7C68D2" w:rsidRPr="00B32D81" w:rsidRDefault="007C68D2" w:rsidP="00B32D8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B32D81">
        <w:rPr>
          <w:rFonts w:eastAsia="Calibri" w:cs="Calibri"/>
          <w:bCs/>
          <w:color w:val="000000"/>
          <w:lang w:eastAsia="it-IT"/>
        </w:rPr>
        <w:t>Busazost</w:t>
      </w:r>
      <w:proofErr w:type="spellEnd"/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è un medicinale generico contenente il principio attivo </w:t>
      </w:r>
      <w:proofErr w:type="spellStart"/>
      <w:r w:rsidRPr="00B32D81">
        <w:rPr>
          <w:rFonts w:eastAsia="Calibri" w:cs="Calibri"/>
          <w:color w:val="000000"/>
          <w:lang w:eastAsia="it-IT"/>
        </w:rPr>
        <w:t>travoprost</w:t>
      </w:r>
      <w:proofErr w:type="spellEnd"/>
      <w:r w:rsidRPr="00B32D81">
        <w:rPr>
          <w:rFonts w:eastAsia="Calibri" w:cs="Calibri"/>
          <w:color w:val="000000"/>
          <w:lang w:eastAsia="it-IT"/>
        </w:rPr>
        <w:t xml:space="preserve"> presente nel medicinale di riferimento </w:t>
      </w:r>
      <w:proofErr w:type="spellStart"/>
      <w:r w:rsidRPr="00B32D81">
        <w:rPr>
          <w:rFonts w:eastAsia="Calibri" w:cs="Calibri"/>
          <w:color w:val="000000"/>
          <w:lang w:eastAsia="it-IT"/>
        </w:rPr>
        <w:t>Travatan</w:t>
      </w:r>
      <w:proofErr w:type="spellEnd"/>
      <w:r w:rsidRPr="00B32D81">
        <w:rPr>
          <w:rFonts w:eastAsia="Calibri" w:cs="Calibri"/>
          <w:color w:val="000000"/>
          <w:lang w:eastAsia="it-IT"/>
        </w:rPr>
        <w:t>, autorizzato in Italia da più di 10 anni.</w:t>
      </w:r>
    </w:p>
    <w:p w:rsidR="007C68D2" w:rsidRPr="00B32D81" w:rsidRDefault="007C68D2" w:rsidP="00B32D81">
      <w:pPr>
        <w:spacing w:after="0" w:line="240" w:lineRule="auto"/>
        <w:jc w:val="both"/>
        <w:rPr>
          <w:highlight w:val="yellow"/>
        </w:rPr>
      </w:pPr>
    </w:p>
    <w:p w:rsidR="007C68D2" w:rsidRPr="00B32D81" w:rsidRDefault="007C68D2" w:rsidP="00B32D81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B32D81">
        <w:rPr>
          <w:rFonts w:eastAsia="Calibri" w:cs="Calibri"/>
          <w:bCs/>
          <w:color w:val="000000"/>
          <w:lang w:eastAsia="it-IT"/>
        </w:rPr>
        <w:t>Busazost</w:t>
      </w:r>
      <w:proofErr w:type="spellEnd"/>
      <w:r w:rsidRPr="00B32D81">
        <w:rPr>
          <w:rFonts w:eastAsia="Calibri" w:cs="Calibri"/>
          <w:bCs/>
          <w:color w:val="000000"/>
          <w:lang w:eastAsia="it-IT"/>
        </w:rPr>
        <w:t xml:space="preserve">, </w:t>
      </w:r>
      <w:r w:rsidRPr="00B32D81">
        <w:rPr>
          <w:color w:val="000000"/>
        </w:rPr>
        <w:t>il cui c</w:t>
      </w:r>
      <w:r w:rsidRPr="00B32D81">
        <w:rPr>
          <w:iCs/>
        </w:rPr>
        <w:t xml:space="preserve">odice ATC è </w:t>
      </w:r>
      <w:r w:rsidRPr="00B32D81">
        <w:t>S01E E04</w:t>
      </w:r>
      <w:r w:rsidRPr="00B32D81">
        <w:rPr>
          <w:rFonts w:eastAsia="DejaVuSans" w:cs="DejaVuSans"/>
        </w:rPr>
        <w:t>,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Pr="00B32D81">
        <w:rPr>
          <w:rFonts w:eastAsia="Calibri" w:cs="Calibri"/>
          <w:color w:val="000000"/>
          <w:lang w:eastAsia="it-IT"/>
        </w:rPr>
        <w:t>travoprost</w:t>
      </w:r>
      <w:proofErr w:type="spellEnd"/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che appartiene alla categoria farmaco terapeutica dei preparati oftalmologici antiglaucoma e </w:t>
      </w:r>
      <w:proofErr w:type="spellStart"/>
      <w:r w:rsidRPr="00B32D81">
        <w:rPr>
          <w:rFonts w:eastAsia="Calibri" w:cs="Calibri"/>
          <w:color w:val="000000"/>
          <w:lang w:eastAsia="it-IT"/>
        </w:rPr>
        <w:t>miotici-analoghi</w:t>
      </w:r>
      <w:proofErr w:type="spellEnd"/>
      <w:r w:rsidRPr="00B32D81">
        <w:rPr>
          <w:rFonts w:eastAsia="Calibri" w:cs="Calibri"/>
          <w:color w:val="000000"/>
          <w:lang w:eastAsia="it-IT"/>
        </w:rPr>
        <w:t xml:space="preserve"> delle prostaglandine.</w:t>
      </w:r>
    </w:p>
    <w:p w:rsidR="007C68D2" w:rsidRDefault="007C68D2" w:rsidP="00B32D81">
      <w:pPr>
        <w:spacing w:after="0" w:line="240" w:lineRule="auto"/>
        <w:jc w:val="both"/>
      </w:pPr>
      <w:proofErr w:type="spellStart"/>
      <w:r w:rsidRPr="00B32D81">
        <w:t>Travoprost</w:t>
      </w:r>
      <w:proofErr w:type="spellEnd"/>
      <w:r w:rsidRPr="00B32D81">
        <w:t>, un analogo della prostaglandina F</w:t>
      </w:r>
      <w:r w:rsidRPr="00B32D81">
        <w:rPr>
          <w:vertAlign w:val="subscript"/>
        </w:rPr>
        <w:t>2a</w:t>
      </w:r>
      <w:r w:rsidRPr="00B32D81">
        <w:t xml:space="preserve">, è un agonista completo altamente selettivo e con un’alta affinità per i recettori FP della prostaglandina, e riduce la pressione intraoculare aumentando il deflusso dell’umore acqueo attraverso il </w:t>
      </w:r>
      <w:proofErr w:type="spellStart"/>
      <w:r w:rsidRPr="00B32D81">
        <w:t>trabecolato</w:t>
      </w:r>
      <w:proofErr w:type="spellEnd"/>
      <w:r w:rsidRPr="00B32D81">
        <w:t xml:space="preserve"> e la via </w:t>
      </w:r>
      <w:proofErr w:type="spellStart"/>
      <w:r w:rsidRPr="00B32D81">
        <w:t>uveosclerale</w:t>
      </w:r>
      <w:proofErr w:type="spellEnd"/>
      <w:r w:rsidRPr="00B32D81">
        <w:t xml:space="preserve">. </w:t>
      </w:r>
    </w:p>
    <w:p w:rsidR="007935FE" w:rsidRPr="00B32D81" w:rsidRDefault="007935FE" w:rsidP="00B32D81">
      <w:pPr>
        <w:spacing w:after="0" w:line="240" w:lineRule="auto"/>
        <w:jc w:val="both"/>
        <w:rPr>
          <w:iCs/>
          <w:highlight w:val="yellow"/>
        </w:rPr>
      </w:pPr>
    </w:p>
    <w:p w:rsidR="007C68D2" w:rsidRPr="00B32D81" w:rsidRDefault="007C68D2" w:rsidP="00B32D81">
      <w:pPr>
        <w:spacing w:after="0" w:line="240" w:lineRule="auto"/>
        <w:jc w:val="both"/>
      </w:pPr>
      <w:proofErr w:type="spellStart"/>
      <w:r w:rsidRPr="00B32D81">
        <w:rPr>
          <w:rFonts w:eastAsia="Calibri" w:cs="Calibri"/>
          <w:color w:val="000000"/>
          <w:lang w:eastAsia="it-IT"/>
        </w:rPr>
        <w:t>Busazost</w:t>
      </w:r>
      <w:proofErr w:type="spellEnd"/>
      <w:r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cs="Helvetica"/>
        </w:rPr>
        <w:t>è utilizzato nella r</w:t>
      </w:r>
      <w:r w:rsidRPr="00B32D81">
        <w:t>iduzione della pressione intraoculare elevata in pazienti con ipertensione oculare o con glaucoma ad angolo aperto.</w:t>
      </w:r>
    </w:p>
    <w:p w:rsidR="007C68D2" w:rsidRPr="00B32D81" w:rsidRDefault="007C68D2" w:rsidP="00B32D81">
      <w:pPr>
        <w:spacing w:after="0" w:line="240" w:lineRule="auto"/>
      </w:pPr>
    </w:p>
    <w:p w:rsidR="007935FE" w:rsidRDefault="007C68D2" w:rsidP="007935FE">
      <w:pPr>
        <w:spacing w:after="0" w:line="240" w:lineRule="auto"/>
        <w:jc w:val="both"/>
        <w:rPr>
          <w:rFonts w:cs="Arial"/>
        </w:rPr>
      </w:pPr>
      <w:r w:rsidRPr="00B32D81">
        <w:t xml:space="preserve">Poiché </w:t>
      </w:r>
      <w:proofErr w:type="spellStart"/>
      <w:r w:rsidRPr="00B32D81">
        <w:t>Busazost</w:t>
      </w:r>
      <w:proofErr w:type="spellEnd"/>
      <w:r w:rsidRPr="00B32D81">
        <w:t xml:space="preserve"> contiene un principio attivo noto non sono stati forniti nuovi dati non clinici e clinici: questo approccio è accettabile poiché il medicinale di riferimento </w:t>
      </w:r>
      <w:proofErr w:type="spellStart"/>
      <w:r w:rsidRPr="00B32D81">
        <w:t>Travatan</w:t>
      </w:r>
      <w:proofErr w:type="spellEnd"/>
      <w:r w:rsidRPr="00B32D81">
        <w:t xml:space="preserve"> è autorizzato in Italia da oltre 10 anni</w:t>
      </w:r>
      <w:r w:rsidR="007935FE">
        <w:t>;</w:t>
      </w:r>
      <w:r w:rsidR="007935FE" w:rsidRPr="007935FE">
        <w:t xml:space="preserve"> </w:t>
      </w:r>
      <w:r w:rsidR="007935FE">
        <w:t xml:space="preserve">poiché </w:t>
      </w:r>
      <w:proofErr w:type="spellStart"/>
      <w:r w:rsidR="007935FE">
        <w:t>Busazost</w:t>
      </w:r>
      <w:proofErr w:type="spellEnd"/>
      <w:r w:rsidR="007935FE" w:rsidRPr="0002468C">
        <w:t xml:space="preserve"> </w:t>
      </w:r>
      <w:r w:rsidR="007935FE" w:rsidRPr="00B21EAE">
        <w:rPr>
          <w:rFonts w:cs="Arial"/>
        </w:rPr>
        <w:t xml:space="preserve">è somministrato come </w:t>
      </w:r>
      <w:r w:rsidR="007935FE">
        <w:rPr>
          <w:rFonts w:cs="Arial"/>
        </w:rPr>
        <w:t>collirio (soluzione</w:t>
      </w:r>
      <w:r w:rsidR="007935FE" w:rsidRPr="00B21EAE">
        <w:rPr>
          <w:rFonts w:cs="Arial"/>
        </w:rPr>
        <w:t xml:space="preserve"> </w:t>
      </w:r>
      <w:r w:rsidR="007935FE">
        <w:rPr>
          <w:rFonts w:cs="Arial"/>
        </w:rPr>
        <w:t>oftalmica), è stata concessa l’esenzione dalla conduzione di studi clinici di confronto con il medicinale di riferimento.</w:t>
      </w:r>
    </w:p>
    <w:p w:rsidR="007C68D2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Le officine coinvolte nella produzione sono conformi alle linee guida di Buona Pratica di Fabbricazione (</w:t>
      </w:r>
      <w:proofErr w:type="spellStart"/>
      <w:r w:rsidRPr="00B32D81">
        <w:rPr>
          <w:i/>
        </w:rPr>
        <w:t>Good</w:t>
      </w:r>
      <w:proofErr w:type="spellEnd"/>
      <w:r w:rsidRPr="00B32D81">
        <w:rPr>
          <w:i/>
        </w:rPr>
        <w:t xml:space="preserve"> Manufacturing </w:t>
      </w:r>
      <w:proofErr w:type="spellStart"/>
      <w:r w:rsidRPr="00B32D81">
        <w:rPr>
          <w:i/>
        </w:rPr>
        <w:t>Practice</w:t>
      </w:r>
      <w:proofErr w:type="spellEnd"/>
      <w:r w:rsidRPr="00B32D81">
        <w:t xml:space="preserve"> - GMP). Le autorità </w:t>
      </w:r>
      <w:proofErr w:type="spellStart"/>
      <w:r w:rsidRPr="00B32D81">
        <w:t>regolator</w:t>
      </w:r>
      <w:r w:rsidR="002C389F" w:rsidRPr="00B32D81">
        <w:t>i</w:t>
      </w:r>
      <w:r w:rsidRPr="00B32D81">
        <w:t>e</w:t>
      </w:r>
      <w:proofErr w:type="spellEnd"/>
      <w:r w:rsidRPr="00B32D81">
        <w:t xml:space="preserve"> competenti hanno rilasciato i certificati GMP per i siti di produzione sul territorio dell’Unione Europea.</w:t>
      </w:r>
    </w:p>
    <w:p w:rsidR="007C68D2" w:rsidRPr="00B32D81" w:rsidRDefault="007C68D2" w:rsidP="00B32D81">
      <w:pPr>
        <w:spacing w:after="0" w:line="240" w:lineRule="auto"/>
        <w:jc w:val="both"/>
        <w:rPr>
          <w:highlight w:val="yellow"/>
        </w:rPr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B32D81">
        <w:rPr>
          <w:i/>
        </w:rPr>
        <w:t>Risk</w:t>
      </w:r>
      <w:proofErr w:type="spellEnd"/>
      <w:r w:rsidRPr="00B32D81">
        <w:rPr>
          <w:i/>
        </w:rPr>
        <w:t xml:space="preserve"> Management </w:t>
      </w:r>
      <w:proofErr w:type="spellStart"/>
      <w:r w:rsidRPr="00B32D81">
        <w:rPr>
          <w:i/>
        </w:rPr>
        <w:t>Plan</w:t>
      </w:r>
      <w:proofErr w:type="spellEnd"/>
      <w:r w:rsidRPr="00B32D81">
        <w:t xml:space="preserve"> – RMP) accettabile.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Pr="00B32D81">
        <w:t>Busazost</w:t>
      </w:r>
      <w:proofErr w:type="spellEnd"/>
      <w:r w:rsidRPr="00B32D81">
        <w:t xml:space="preserve"> 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DI QUALITA’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rPr>
          <w:b/>
        </w:rPr>
        <w:t>II.1 PRINCIPIO ATTIVO TRAVOPROST</w:t>
      </w:r>
    </w:p>
    <w:p w:rsidR="007C68D2" w:rsidRPr="00B32D81" w:rsidRDefault="007C68D2" w:rsidP="00B32D81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 w:cs="TimesNewRomanPSMT"/>
        </w:rPr>
      </w:pPr>
      <w:r w:rsidRPr="00B32D81">
        <w:rPr>
          <w:u w:val="single"/>
        </w:rPr>
        <w:t>Nome chimico</w:t>
      </w:r>
      <w:r w:rsidRPr="00B32D81">
        <w:t xml:space="preserve">: </w:t>
      </w:r>
      <w:r w:rsidR="0083545D" w:rsidRPr="00B32D81">
        <w:rPr>
          <w:rFonts w:cs="TimesNewRomanPSMT"/>
        </w:rPr>
        <w:t>Propan-2-yl (Z)-7-[(1R,2R,3R,5S)-3,5-dihydroxy-2-[(1E,3R)-3-hydroxy-4-[3-(trifluoromethyl)phenoxy]but-1-en-1-yl]cyclopentyl]-hept-5-enoate</w:t>
      </w:r>
    </w:p>
    <w:p w:rsidR="007C68D2" w:rsidRPr="00B32D81" w:rsidRDefault="007C68D2" w:rsidP="00B32D81">
      <w:pPr>
        <w:spacing w:after="0" w:line="240" w:lineRule="auto"/>
        <w:jc w:val="both"/>
        <w:rPr>
          <w:noProof/>
          <w:highlight w:val="yellow"/>
          <w:lang w:eastAsia="it-IT"/>
        </w:rPr>
      </w:pPr>
      <w:r w:rsidRPr="00B32D81">
        <w:rPr>
          <w:u w:val="single"/>
        </w:rPr>
        <w:t>Struttura</w:t>
      </w:r>
      <w:r w:rsidRPr="00B32D81">
        <w:t>:</w:t>
      </w:r>
    </w:p>
    <w:p w:rsidR="007C68D2" w:rsidRPr="00B32D81" w:rsidRDefault="0083545D" w:rsidP="007935FE">
      <w:pPr>
        <w:spacing w:after="0" w:line="240" w:lineRule="auto"/>
        <w:jc w:val="center"/>
        <w:rPr>
          <w:highlight w:val="yellow"/>
        </w:rPr>
      </w:pPr>
      <w:r w:rsidRPr="00B32D81">
        <w:rPr>
          <w:noProof/>
          <w:lang w:eastAsia="it-IT"/>
        </w:rPr>
        <w:drawing>
          <wp:inline distT="0" distB="0" distL="0" distR="0">
            <wp:extent cx="1879944" cy="1494972"/>
            <wp:effectExtent l="19050" t="0" r="6006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2152" t="4605" b="18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216" cy="1493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8D2" w:rsidRPr="00B32D81" w:rsidRDefault="007C68D2" w:rsidP="00B32D81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B32D81">
        <w:rPr>
          <w:rFonts w:asciiTheme="minorHAnsi" w:hAnsiTheme="minorHAnsi"/>
          <w:b w:val="0"/>
          <w:sz w:val="22"/>
          <w:szCs w:val="22"/>
          <w:u w:val="single"/>
        </w:rPr>
        <w:lastRenderedPageBreak/>
        <w:t>CAS</w:t>
      </w:r>
      <w:r w:rsidRPr="00B32D81">
        <w:rPr>
          <w:rFonts w:asciiTheme="minorHAnsi" w:hAnsiTheme="minorHAnsi"/>
          <w:b w:val="0"/>
          <w:sz w:val="22"/>
          <w:szCs w:val="22"/>
        </w:rPr>
        <w:t xml:space="preserve">: </w:t>
      </w:r>
      <w:r w:rsidR="0083545D" w:rsidRPr="00B32D81">
        <w:rPr>
          <w:rFonts w:asciiTheme="minorHAnsi" w:hAnsiTheme="minorHAnsi" w:cs="Arial"/>
          <w:b w:val="0"/>
          <w:sz w:val="22"/>
          <w:szCs w:val="22"/>
        </w:rPr>
        <w:t>157283-68-6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rPr>
          <w:u w:val="single"/>
        </w:rPr>
        <w:t>Aspetto</w:t>
      </w:r>
      <w:r w:rsidRPr="00B32D81">
        <w:t xml:space="preserve">: </w:t>
      </w:r>
      <w:r w:rsidR="00494CCF" w:rsidRPr="00B32D81">
        <w:t>olio, da incolore</w:t>
      </w:r>
      <w:r w:rsidRPr="00B32D81">
        <w:t xml:space="preserve"> </w:t>
      </w:r>
      <w:r w:rsidR="00494CCF" w:rsidRPr="00B32D81">
        <w:t>a leggermente giallo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rPr>
          <w:u w:val="single"/>
        </w:rPr>
        <w:t>Solubilità</w:t>
      </w:r>
      <w:r w:rsidRPr="00B32D81">
        <w:t>: poco solubile in acqua</w:t>
      </w:r>
      <w:r w:rsidRPr="00B32D81">
        <w:rPr>
          <w:rStyle w:val="s1"/>
          <w:rFonts w:asciiTheme="minorHAnsi" w:hAnsiTheme="minorHAnsi"/>
        </w:rPr>
        <w:t xml:space="preserve">, molto solubile in alcool, </w:t>
      </w:r>
      <w:r w:rsidR="00494CCF" w:rsidRPr="00B32D81">
        <w:rPr>
          <w:rStyle w:val="s1"/>
          <w:rFonts w:asciiTheme="minorHAnsi" w:hAnsiTheme="minorHAnsi"/>
        </w:rPr>
        <w:t xml:space="preserve">cloroformio, </w:t>
      </w:r>
      <w:proofErr w:type="spellStart"/>
      <w:r w:rsidR="00494CCF" w:rsidRPr="00B32D81">
        <w:rPr>
          <w:rStyle w:val="s1"/>
          <w:rFonts w:asciiTheme="minorHAnsi" w:hAnsiTheme="minorHAnsi"/>
        </w:rPr>
        <w:t>diclorometano</w:t>
      </w:r>
      <w:proofErr w:type="spellEnd"/>
      <w:r w:rsidR="00494CCF" w:rsidRPr="00B32D81">
        <w:rPr>
          <w:rStyle w:val="s1"/>
          <w:rFonts w:asciiTheme="minorHAnsi" w:hAnsiTheme="minorHAnsi"/>
        </w:rPr>
        <w:t xml:space="preserve"> ed </w:t>
      </w:r>
      <w:proofErr w:type="spellStart"/>
      <w:r w:rsidR="00494CCF" w:rsidRPr="00B32D81">
        <w:rPr>
          <w:rStyle w:val="s1"/>
          <w:rFonts w:asciiTheme="minorHAnsi" w:hAnsiTheme="minorHAnsi"/>
        </w:rPr>
        <w:t>acetonitrile</w:t>
      </w:r>
      <w:proofErr w:type="spellEnd"/>
    </w:p>
    <w:p w:rsidR="007C68D2" w:rsidRPr="00B32D81" w:rsidRDefault="007C68D2" w:rsidP="00B32D81">
      <w:pPr>
        <w:spacing w:after="0" w:line="240" w:lineRule="auto"/>
        <w:jc w:val="both"/>
        <w:rPr>
          <w:highlight w:val="cyan"/>
        </w:rPr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principio attivo </w:t>
      </w:r>
      <w:proofErr w:type="spellStart"/>
      <w:r w:rsidRPr="00B32D81">
        <w:t>travoprost</w:t>
      </w:r>
      <w:proofErr w:type="spellEnd"/>
      <w:r w:rsidRPr="00B32D81">
        <w:t xml:space="preserve"> </w:t>
      </w:r>
      <w:r w:rsidR="00494CCF" w:rsidRPr="00B32D81">
        <w:t xml:space="preserve">non </w:t>
      </w:r>
      <w:r w:rsidR="002C389F" w:rsidRPr="00B32D81">
        <w:t xml:space="preserve">è </w:t>
      </w:r>
      <w:r w:rsidR="007D68A8" w:rsidRPr="00B32D81">
        <w:t>presente in Farmacopea Europea, il produttore ha prese</w:t>
      </w:r>
      <w:r w:rsidR="00C630E2" w:rsidRPr="00B32D81">
        <w:t>ntato un ASMF.</w:t>
      </w:r>
    </w:p>
    <w:p w:rsidR="00494CCF" w:rsidRPr="00B32D81" w:rsidRDefault="00494CCF" w:rsidP="00B32D81">
      <w:pPr>
        <w:spacing w:after="0" w:line="240" w:lineRule="auto"/>
        <w:jc w:val="both"/>
      </w:pPr>
      <w:r w:rsidRPr="00B32D81">
        <w:t>La sintesi del principio attivo è stata adeguatamente descritta a partire da  idonei materiali di partenza; sono utilizzati appropriati controlli di processo e degli intermedi di sintesi.</w:t>
      </w:r>
    </w:p>
    <w:p w:rsidR="00494CCF" w:rsidRPr="00B32D81" w:rsidRDefault="00494CCF" w:rsidP="00B32D81">
      <w:pPr>
        <w:spacing w:after="0" w:line="240" w:lineRule="auto"/>
        <w:jc w:val="both"/>
      </w:pPr>
      <w:r w:rsidRPr="00B32D81">
        <w:t>I materiali e i reagenti utilizzati nella sintesi sono di qualità adeguata.</w:t>
      </w:r>
    </w:p>
    <w:p w:rsidR="00494CCF" w:rsidRPr="00B32D81" w:rsidRDefault="00494CCF" w:rsidP="00B32D81">
      <w:pPr>
        <w:spacing w:after="0" w:line="240" w:lineRule="auto"/>
        <w:jc w:val="both"/>
      </w:pPr>
      <w:r w:rsidRPr="00B32D81">
        <w:t>I materiali, gli intermedi, i reagenti utilizzati nella sintesi non sono di origine umana, biologica o geneticamente modificata. Sono state fornite prove adeguate della struttura isolata nonché della stabilità della forma polimorfica utilizzata. Tutte le potenziali impurezze note sono state identificate e caratterizzate</w:t>
      </w:r>
      <w:r w:rsidR="002C389F" w:rsidRPr="00B32D81">
        <w:t>.</w:t>
      </w:r>
    </w:p>
    <w:p w:rsidR="00494CCF" w:rsidRPr="00B32D81" w:rsidRDefault="00494CCF" w:rsidP="00B32D81">
      <w:pPr>
        <w:spacing w:after="0" w:line="240" w:lineRule="auto"/>
        <w:jc w:val="both"/>
      </w:pPr>
      <w:r w:rsidRPr="00B32D81">
        <w:t>Le specifiche del principio attivo sono appropriate e controllat</w:t>
      </w:r>
      <w:r w:rsidR="002C389F" w:rsidRPr="00B32D81">
        <w:t>e</w:t>
      </w:r>
      <w:r w:rsidRPr="00B32D81">
        <w:t xml:space="preserve"> con metodi analitici adeguatamente convalidati. Sono stati forniti certificati analitici che confermano la qualità del principio attivo.</w:t>
      </w:r>
    </w:p>
    <w:p w:rsidR="00494CCF" w:rsidRPr="00B32D81" w:rsidRDefault="00494CCF" w:rsidP="007935FE">
      <w:pPr>
        <w:spacing w:after="0" w:line="240" w:lineRule="auto"/>
        <w:jc w:val="both"/>
      </w:pPr>
      <w:r w:rsidRPr="00B32D81">
        <w:t xml:space="preserve">Il principio attivo è confezionato in un adeguato contenitore, per il quale sono stati forniti specifiche e certificati analitici. Il confezionamento primario è una </w:t>
      </w:r>
      <w:r w:rsidR="004B69C4" w:rsidRPr="00B32D81">
        <w:t xml:space="preserve">piccola bottiglia </w:t>
      </w:r>
      <w:r w:rsidRPr="00B32D81">
        <w:t>di polietilene</w:t>
      </w:r>
      <w:r w:rsidR="004B69C4" w:rsidRPr="00B32D81">
        <w:t xml:space="preserve"> ad alta densità confezionat</w:t>
      </w:r>
      <w:r w:rsidR="00C630E2" w:rsidRPr="00B32D81">
        <w:t>o in sacco di polietilene ed alluminio</w:t>
      </w:r>
      <w:r w:rsidRPr="00B32D81">
        <w:t xml:space="preserve"> </w:t>
      </w:r>
      <w:r w:rsidR="00C630E2" w:rsidRPr="00B32D81">
        <w:t xml:space="preserve">con un essiccante. </w:t>
      </w:r>
      <w:r w:rsidRPr="00B32D81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B32D81">
        <w:t>retest</w:t>
      </w:r>
      <w:proofErr w:type="spellEnd"/>
      <w:r w:rsidRPr="00B32D81">
        <w:t xml:space="preserve"> di </w:t>
      </w:r>
      <w:r w:rsidR="00C31AF0" w:rsidRPr="00B32D81">
        <w:t>2</w:t>
      </w:r>
      <w:r w:rsidRPr="00B32D81">
        <w:t xml:space="preserve"> anni</w:t>
      </w:r>
      <w:r w:rsidR="00C31AF0" w:rsidRPr="00B32D81">
        <w:t xml:space="preserve"> </w:t>
      </w:r>
      <w:r w:rsidR="007935FE">
        <w:t xml:space="preserve">con conservazione </w:t>
      </w:r>
      <w:r w:rsidR="00C31AF0" w:rsidRPr="00B32D81">
        <w:t>a -18°C.</w:t>
      </w:r>
    </w:p>
    <w:p w:rsidR="007C68D2" w:rsidRPr="00B32D81" w:rsidRDefault="007C68D2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>II.2 PRODOTTO FINITO</w:t>
      </w: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>Descrizione e composizione</w:t>
      </w:r>
    </w:p>
    <w:p w:rsidR="007C68D2" w:rsidRPr="00B32D81" w:rsidRDefault="007C68D2" w:rsidP="007935FE">
      <w:pPr>
        <w:widowControl w:val="0"/>
        <w:spacing w:after="0" w:line="240" w:lineRule="auto"/>
        <w:jc w:val="both"/>
      </w:pPr>
      <w:proofErr w:type="spellStart"/>
      <w:r w:rsidRPr="00B32D81">
        <w:rPr>
          <w:rFonts w:eastAsia="Calibri" w:cs="Calibri"/>
          <w:color w:val="000000"/>
          <w:lang w:eastAsia="it-IT"/>
        </w:rPr>
        <w:t>Busazost</w:t>
      </w:r>
      <w:proofErr w:type="spellEnd"/>
      <w:r w:rsidRPr="00B32D81">
        <w:rPr>
          <w:rFonts w:eastAsia="Calibri" w:cs="Calibri"/>
          <w:color w:val="000000"/>
          <w:lang w:eastAsia="it-IT"/>
        </w:rPr>
        <w:t xml:space="preserve"> è disponibile come </w:t>
      </w:r>
      <w:r w:rsidR="007935FE">
        <w:rPr>
          <w:rFonts w:eastAsia="Calibri" w:cs="Calibri"/>
          <w:color w:val="000000"/>
          <w:lang w:eastAsia="it-IT"/>
        </w:rPr>
        <w:t>c</w:t>
      </w:r>
      <w:r w:rsidR="00C31AF0" w:rsidRPr="00B32D81">
        <w:rPr>
          <w:rFonts w:eastAsia="Calibri" w:cs="Calibri"/>
          <w:color w:val="000000"/>
          <w:lang w:eastAsia="it-IT"/>
        </w:rPr>
        <w:t xml:space="preserve">ollirio </w:t>
      </w:r>
      <w:r w:rsidR="007935FE">
        <w:rPr>
          <w:rFonts w:eastAsia="Calibri" w:cs="Calibri"/>
          <w:color w:val="000000"/>
          <w:lang w:eastAsia="it-IT"/>
        </w:rPr>
        <w:t>(</w:t>
      </w:r>
      <w:r w:rsidR="00C31AF0" w:rsidRPr="00B32D81">
        <w:rPr>
          <w:rFonts w:eastAsia="Calibri" w:cs="Calibri"/>
          <w:color w:val="000000"/>
          <w:lang w:eastAsia="it-IT"/>
        </w:rPr>
        <w:t>soluzione contenente</w:t>
      </w:r>
      <w:r w:rsidR="007935FE">
        <w:rPr>
          <w:rFonts w:eastAsia="Calibri" w:cs="Calibri"/>
          <w:color w:val="000000"/>
          <w:lang w:eastAsia="it-IT"/>
        </w:rPr>
        <w:t>)</w:t>
      </w:r>
      <w:r w:rsidRPr="00B32D81">
        <w:rPr>
          <w:rFonts w:eastAsia="Calibri" w:cs="Calibri"/>
          <w:color w:val="000000"/>
          <w:lang w:eastAsia="it-IT"/>
        </w:rPr>
        <w:t xml:space="preserve"> </w:t>
      </w:r>
      <w:r w:rsidR="00C31AF0" w:rsidRPr="00B32D81">
        <w:rPr>
          <w:rFonts w:eastAsia="Calibri" w:cs="Calibri"/>
          <w:color w:val="000000"/>
          <w:lang w:eastAsia="it-IT"/>
        </w:rPr>
        <w:t xml:space="preserve">40 µg/ml </w:t>
      </w:r>
      <w:r w:rsidRPr="00B32D81">
        <w:rPr>
          <w:rFonts w:eastAsia="Calibri" w:cs="Calibri"/>
          <w:color w:val="000000"/>
          <w:lang w:eastAsia="it-IT"/>
        </w:rPr>
        <w:t xml:space="preserve">di </w:t>
      </w:r>
      <w:proofErr w:type="spellStart"/>
      <w:r w:rsidRPr="00B32D81">
        <w:rPr>
          <w:rFonts w:eastAsia="Calibri" w:cs="Calibri"/>
          <w:color w:val="000000"/>
          <w:lang w:eastAsia="it-IT"/>
        </w:rPr>
        <w:t>travoprost</w:t>
      </w:r>
      <w:proofErr w:type="spellEnd"/>
      <w:r w:rsidR="007935FE">
        <w:rPr>
          <w:rFonts w:eastAsia="Calibri" w:cs="Calibri"/>
          <w:color w:val="000000"/>
          <w:lang w:eastAsia="it-IT"/>
        </w:rPr>
        <w:t xml:space="preserve">, sia in flacone </w:t>
      </w:r>
      <w:proofErr w:type="spellStart"/>
      <w:r w:rsidR="007935FE">
        <w:rPr>
          <w:rFonts w:eastAsia="Calibri" w:cs="Calibri"/>
          <w:color w:val="000000"/>
          <w:lang w:eastAsia="it-IT"/>
        </w:rPr>
        <w:t>multidose</w:t>
      </w:r>
      <w:proofErr w:type="spellEnd"/>
      <w:r w:rsidR="007935FE">
        <w:rPr>
          <w:rFonts w:eastAsia="Calibri" w:cs="Calibri"/>
          <w:color w:val="000000"/>
          <w:lang w:eastAsia="it-IT"/>
        </w:rPr>
        <w:t xml:space="preserve"> da 2,5 ml, che in contenitori monodose da 0,1 ml.</w:t>
      </w:r>
    </w:p>
    <w:p w:rsidR="007C68D2" w:rsidRPr="00B32D81" w:rsidRDefault="007C68D2" w:rsidP="007935FE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cs="Arial"/>
        </w:rPr>
      </w:pPr>
      <w:r w:rsidRPr="00B32D81">
        <w:t>Gli eccipienti</w:t>
      </w:r>
      <w:r w:rsidR="00C31AF0" w:rsidRPr="00B32D81">
        <w:t xml:space="preserve"> del </w:t>
      </w:r>
      <w:r w:rsidR="007935FE">
        <w:t>medicinale in contenitore</w:t>
      </w:r>
      <w:r w:rsidR="00C31AF0" w:rsidRPr="00B32D81">
        <w:t xml:space="preserve"> monodose</w:t>
      </w:r>
      <w:r w:rsidRPr="00B32D81">
        <w:t xml:space="preserve"> sono i seguenti: </w:t>
      </w:r>
      <w:r w:rsidR="00C31AF0" w:rsidRPr="00B32D81">
        <w:rPr>
          <w:rFonts w:cs="Arial"/>
        </w:rPr>
        <w:t xml:space="preserve">mannitolo, </w:t>
      </w:r>
      <w:proofErr w:type="spellStart"/>
      <w:r w:rsidR="00C31AF0" w:rsidRPr="00B32D81">
        <w:rPr>
          <w:rFonts w:cs="Arial"/>
        </w:rPr>
        <w:t>trometamolo</w:t>
      </w:r>
      <w:proofErr w:type="spellEnd"/>
      <w:r w:rsidR="00C31AF0" w:rsidRPr="00B32D81">
        <w:rPr>
          <w:rFonts w:cs="Arial"/>
        </w:rPr>
        <w:t xml:space="preserve">, olio di ricino </w:t>
      </w:r>
      <w:proofErr w:type="spellStart"/>
      <w:r w:rsidR="00C31AF0" w:rsidRPr="00B32D81">
        <w:rPr>
          <w:rFonts w:cs="Arial"/>
        </w:rPr>
        <w:t>poliossidrilato</w:t>
      </w:r>
      <w:proofErr w:type="spellEnd"/>
      <w:r w:rsidR="00C31AF0" w:rsidRPr="00B32D81">
        <w:rPr>
          <w:rFonts w:cs="Arial"/>
        </w:rPr>
        <w:t xml:space="preserve"> idrogenato 40 (</w:t>
      </w:r>
      <w:proofErr w:type="spellStart"/>
      <w:r w:rsidR="00C31AF0" w:rsidRPr="00B32D81">
        <w:rPr>
          <w:rFonts w:cs="Arial"/>
        </w:rPr>
        <w:t>Cremophor</w:t>
      </w:r>
      <w:proofErr w:type="spellEnd"/>
      <w:r w:rsidR="00C31AF0" w:rsidRPr="00B32D81">
        <w:rPr>
          <w:rFonts w:cs="Arial"/>
        </w:rPr>
        <w:t xml:space="preserve"> RH40), acido borico, </w:t>
      </w:r>
      <w:proofErr w:type="spellStart"/>
      <w:r w:rsidR="00C31AF0" w:rsidRPr="00B32D81">
        <w:rPr>
          <w:rFonts w:cs="Arial"/>
        </w:rPr>
        <w:t>disodio</w:t>
      </w:r>
      <w:proofErr w:type="spellEnd"/>
      <w:r w:rsidR="00C31AF0" w:rsidRPr="00B32D81">
        <w:rPr>
          <w:rFonts w:cs="Arial"/>
        </w:rPr>
        <w:t xml:space="preserve"> </w:t>
      </w:r>
      <w:proofErr w:type="spellStart"/>
      <w:r w:rsidR="00C31AF0" w:rsidRPr="00B32D81">
        <w:rPr>
          <w:rFonts w:cs="Arial"/>
        </w:rPr>
        <w:t>edetato</w:t>
      </w:r>
      <w:proofErr w:type="spellEnd"/>
      <w:r w:rsidR="00C31AF0" w:rsidRPr="00B32D81">
        <w:rPr>
          <w:rFonts w:cs="Arial"/>
        </w:rPr>
        <w:t>, acqua per preparazioni</w:t>
      </w:r>
      <w:r w:rsidR="002C389F" w:rsidRPr="00B32D81">
        <w:rPr>
          <w:rFonts w:cs="Arial"/>
        </w:rPr>
        <w:t xml:space="preserve"> iniettabili</w:t>
      </w:r>
      <w:r w:rsidR="00C31AF0" w:rsidRPr="00B32D81">
        <w:rPr>
          <w:rFonts w:cs="Arial"/>
        </w:rPr>
        <w:t>.</w:t>
      </w:r>
    </w:p>
    <w:p w:rsidR="00C31AF0" w:rsidRPr="00B32D81" w:rsidRDefault="00C31AF0" w:rsidP="007935FE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</w:pPr>
      <w:r w:rsidRPr="00B32D81">
        <w:t xml:space="preserve">Gli eccipienti del </w:t>
      </w:r>
      <w:r w:rsidR="00F22BED">
        <w:t>medicinale in flacone</w:t>
      </w:r>
      <w:r w:rsidRPr="00B32D81">
        <w:t xml:space="preserve"> </w:t>
      </w:r>
      <w:proofErr w:type="spellStart"/>
      <w:r w:rsidRPr="00B32D81">
        <w:t>multidose</w:t>
      </w:r>
      <w:proofErr w:type="spellEnd"/>
      <w:r w:rsidRPr="00B32D81">
        <w:t xml:space="preserve"> sono i seguenti:</w:t>
      </w:r>
      <w:r w:rsidR="009A1E3E" w:rsidRPr="00B32D81">
        <w:rPr>
          <w:rFonts w:cs="Arial"/>
        </w:rPr>
        <w:t xml:space="preserve"> </w:t>
      </w:r>
      <w:proofErr w:type="spellStart"/>
      <w:r w:rsidR="00F22BED">
        <w:rPr>
          <w:rFonts w:cs="Arial"/>
        </w:rPr>
        <w:t>benzalconio</w:t>
      </w:r>
      <w:proofErr w:type="spellEnd"/>
      <w:r w:rsidR="00F22BED">
        <w:rPr>
          <w:rFonts w:cs="Arial"/>
        </w:rPr>
        <w:t xml:space="preserve"> cloruro</w:t>
      </w:r>
      <w:r w:rsidR="009A1E3E" w:rsidRPr="00B32D81">
        <w:rPr>
          <w:rFonts w:cs="Arial"/>
        </w:rPr>
        <w:t xml:space="preserve">, mannitolo, </w:t>
      </w:r>
      <w:proofErr w:type="spellStart"/>
      <w:r w:rsidR="009A1E3E" w:rsidRPr="00B32D81">
        <w:rPr>
          <w:rFonts w:cs="Arial"/>
        </w:rPr>
        <w:t>trometamolo</w:t>
      </w:r>
      <w:proofErr w:type="spellEnd"/>
      <w:r w:rsidR="009A1E3E" w:rsidRPr="00B32D81">
        <w:rPr>
          <w:rFonts w:cs="Arial"/>
        </w:rPr>
        <w:t xml:space="preserve">, olio di ricino </w:t>
      </w:r>
      <w:proofErr w:type="spellStart"/>
      <w:r w:rsidR="009A1E3E" w:rsidRPr="00B32D81">
        <w:rPr>
          <w:rFonts w:cs="Arial"/>
        </w:rPr>
        <w:t>poliossidrilato</w:t>
      </w:r>
      <w:proofErr w:type="spellEnd"/>
      <w:r w:rsidR="009A1E3E" w:rsidRPr="00B32D81">
        <w:rPr>
          <w:rFonts w:cs="Arial"/>
        </w:rPr>
        <w:t xml:space="preserve"> idrogenato 40 (</w:t>
      </w:r>
      <w:proofErr w:type="spellStart"/>
      <w:r w:rsidR="009A1E3E" w:rsidRPr="00B32D81">
        <w:rPr>
          <w:rFonts w:cs="Arial"/>
        </w:rPr>
        <w:t>Cremophor</w:t>
      </w:r>
      <w:proofErr w:type="spellEnd"/>
      <w:r w:rsidR="009A1E3E" w:rsidRPr="00B32D81">
        <w:rPr>
          <w:rFonts w:cs="Arial"/>
        </w:rPr>
        <w:t xml:space="preserve"> RH40), acido borico, </w:t>
      </w:r>
      <w:proofErr w:type="spellStart"/>
      <w:r w:rsidR="009A1E3E" w:rsidRPr="00B32D81">
        <w:rPr>
          <w:rFonts w:cs="Arial"/>
        </w:rPr>
        <w:t>disodio</w:t>
      </w:r>
      <w:proofErr w:type="spellEnd"/>
      <w:r w:rsidR="009A1E3E" w:rsidRPr="00B32D81">
        <w:rPr>
          <w:rFonts w:cs="Arial"/>
        </w:rPr>
        <w:t xml:space="preserve"> </w:t>
      </w:r>
      <w:proofErr w:type="spellStart"/>
      <w:r w:rsidR="009A1E3E" w:rsidRPr="00B32D81">
        <w:rPr>
          <w:rFonts w:cs="Arial"/>
        </w:rPr>
        <w:t>edetato</w:t>
      </w:r>
      <w:proofErr w:type="spellEnd"/>
      <w:r w:rsidR="009A1E3E" w:rsidRPr="00B32D81">
        <w:rPr>
          <w:rFonts w:cs="Arial"/>
        </w:rPr>
        <w:t>, acqua per preparazioni iniettabili</w:t>
      </w:r>
      <w:r w:rsidR="002C389F" w:rsidRPr="00B32D81">
        <w:rPr>
          <w:rFonts w:cs="Arial"/>
        </w:rPr>
        <w:t>.</w:t>
      </w:r>
    </w:p>
    <w:p w:rsidR="007C68D2" w:rsidRPr="00B32D81" w:rsidRDefault="007C68D2" w:rsidP="007935FE">
      <w:pPr>
        <w:spacing w:after="0" w:line="240" w:lineRule="auto"/>
        <w:jc w:val="both"/>
      </w:pPr>
      <w:r w:rsidRPr="00B32D81">
        <w:t>Tutti gli eccipienti sono conformi alla relativa monografia di Farmacopea Europea.</w:t>
      </w:r>
    </w:p>
    <w:p w:rsidR="007C68D2" w:rsidRPr="00B32D81" w:rsidRDefault="007C68D2" w:rsidP="007935FE">
      <w:pPr>
        <w:spacing w:after="0" w:line="240" w:lineRule="auto"/>
        <w:jc w:val="both"/>
      </w:pPr>
      <w:r w:rsidRPr="00B32D81">
        <w:t>Nessun eccipiente è ottenuto da organismi geneticamente modificati; non sono presenti eccipienti mai utilizzati nell’uomo.</w:t>
      </w:r>
    </w:p>
    <w:p w:rsidR="00F01FB3" w:rsidRDefault="00F01FB3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>Sviluppo farmaceutico</w:t>
      </w:r>
    </w:p>
    <w:p w:rsidR="007C68D2" w:rsidRPr="00B32D81" w:rsidRDefault="007C68D2" w:rsidP="007935FE">
      <w:pPr>
        <w:spacing w:after="0" w:line="240" w:lineRule="auto"/>
        <w:jc w:val="both"/>
      </w:pPr>
      <w:r w:rsidRPr="00B32D81">
        <w:t>Sono stati forniti dettagli dello sviluppo farmaceutico e questi sono stati ritenuti soddisfacenti.</w:t>
      </w:r>
    </w:p>
    <w:p w:rsidR="007C68D2" w:rsidRPr="00B32D81" w:rsidRDefault="007C68D2" w:rsidP="007935FE">
      <w:pPr>
        <w:spacing w:after="0" w:line="240" w:lineRule="auto"/>
        <w:jc w:val="both"/>
      </w:pPr>
      <w:r w:rsidRPr="00B32D81">
        <w:t>Sono stati forniti dati comparativi relativi alle caratteristiche fisico-chimiche e al profilo di impurezze rispetto al medicinale di riferimento. I dati sono soddisfacenti.</w:t>
      </w:r>
    </w:p>
    <w:p w:rsidR="007C68D2" w:rsidRPr="00B32D81" w:rsidRDefault="007C68D2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 xml:space="preserve">Produzione 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stati forniti una descrizione del metodo di produzione e la relativa flow-chart.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Specifiche del prodotto finito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7C68D2" w:rsidRDefault="007C68D2" w:rsidP="00B32D81">
      <w:pPr>
        <w:spacing w:after="0" w:line="240" w:lineRule="auto"/>
        <w:jc w:val="both"/>
        <w:rPr>
          <w:b/>
        </w:rPr>
      </w:pPr>
    </w:p>
    <w:p w:rsidR="00F22BED" w:rsidRDefault="00F22BED" w:rsidP="00B32D81">
      <w:pPr>
        <w:spacing w:after="0" w:line="240" w:lineRule="auto"/>
        <w:jc w:val="both"/>
        <w:rPr>
          <w:b/>
        </w:rPr>
      </w:pPr>
    </w:p>
    <w:p w:rsidR="00F22BED" w:rsidRDefault="00F22BED" w:rsidP="00B32D81">
      <w:pPr>
        <w:spacing w:after="0" w:line="240" w:lineRule="auto"/>
        <w:jc w:val="both"/>
        <w:rPr>
          <w:b/>
        </w:rPr>
      </w:pPr>
    </w:p>
    <w:p w:rsidR="00F22BED" w:rsidRPr="00B32D81" w:rsidRDefault="00F22BED" w:rsidP="00B32D81">
      <w:pPr>
        <w:spacing w:after="0" w:line="240" w:lineRule="auto"/>
        <w:jc w:val="both"/>
        <w:rPr>
          <w:b/>
        </w:rPr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lastRenderedPageBreak/>
        <w:t>Contenitore</w:t>
      </w:r>
    </w:p>
    <w:p w:rsidR="007C68D2" w:rsidRPr="00B32D81" w:rsidRDefault="007C68D2" w:rsidP="00B32D81">
      <w:pPr>
        <w:spacing w:after="0" w:line="240" w:lineRule="auto"/>
        <w:jc w:val="both"/>
      </w:pPr>
      <w:proofErr w:type="spellStart"/>
      <w:r w:rsidRPr="00B32D81">
        <w:t>Busazost</w:t>
      </w:r>
      <w:proofErr w:type="spellEnd"/>
      <w:r w:rsidRPr="00B32D81">
        <w:t xml:space="preserve"> è confezionato in </w:t>
      </w:r>
      <w:r w:rsidR="002C389F" w:rsidRPr="00B32D81">
        <w:rPr>
          <w:rFonts w:cs="Arial"/>
        </w:rPr>
        <w:t>contenitor</w:t>
      </w:r>
      <w:r w:rsidR="00F22BED">
        <w:rPr>
          <w:rFonts w:cs="Arial"/>
        </w:rPr>
        <w:t>i</w:t>
      </w:r>
      <w:r w:rsidR="002C389F" w:rsidRPr="00B32D81">
        <w:rPr>
          <w:rFonts w:cs="Arial"/>
        </w:rPr>
        <w:t xml:space="preserve"> monodose </w:t>
      </w:r>
      <w:r w:rsidR="00F22BED">
        <w:rPr>
          <w:rFonts w:cs="Arial"/>
        </w:rPr>
        <w:t xml:space="preserve">e </w:t>
      </w:r>
      <w:r w:rsidR="002C389F" w:rsidRPr="00B32D81">
        <w:rPr>
          <w:rFonts w:cs="Arial"/>
        </w:rPr>
        <w:t xml:space="preserve">in </w:t>
      </w:r>
      <w:r w:rsidR="006831C7" w:rsidRPr="00B32D81">
        <w:rPr>
          <w:rFonts w:cs="Arial"/>
        </w:rPr>
        <w:t>flacon</w:t>
      </w:r>
      <w:r w:rsidR="002C389F" w:rsidRPr="00B32D81">
        <w:rPr>
          <w:rFonts w:cs="Arial"/>
        </w:rPr>
        <w:t>e</w:t>
      </w:r>
      <w:r w:rsidR="006831C7" w:rsidRPr="00B32D81">
        <w:rPr>
          <w:rFonts w:cs="Arial"/>
        </w:rPr>
        <w:t xml:space="preserve"> </w:t>
      </w:r>
      <w:proofErr w:type="spellStart"/>
      <w:r w:rsidR="00F22BED">
        <w:rPr>
          <w:rFonts w:cs="Arial"/>
        </w:rPr>
        <w:t>multidose</w:t>
      </w:r>
      <w:proofErr w:type="spellEnd"/>
      <w:r w:rsidR="00F22BED">
        <w:rPr>
          <w:rFonts w:cs="Arial"/>
        </w:rPr>
        <w:t xml:space="preserve"> </w:t>
      </w:r>
      <w:r w:rsidR="006831C7" w:rsidRPr="00B32D81">
        <w:rPr>
          <w:rFonts w:cs="Arial"/>
        </w:rPr>
        <w:t xml:space="preserve">di </w:t>
      </w:r>
      <w:r w:rsidRPr="00B32D81">
        <w:t>polietilene</w:t>
      </w:r>
      <w:r w:rsidR="006831C7" w:rsidRPr="00B32D81">
        <w:t xml:space="preserve"> a bassa densità</w:t>
      </w:r>
      <w:r w:rsidRPr="00B32D81">
        <w:t>. Sono state fornite specifiche e certificati analitici per tutti i componenti del confezionamento primario, che è adeguato per il medicinale.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Stabilità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Studi di stabilità sul prodotto finito sono stati condotti in accordo alle correnti linee guida e i risultati sono entro i limiti delle specifiche autorizzate. Sulla base di questi risultati, è stato autorizzato un periodo di validità di 2 anni  senza particolari condizioni di conservazione.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II.3 Discussione sugli aspetti di qualità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Tutte le criticità evidenziate nel corso della valutazione sono state risolte e la qualità di </w:t>
      </w:r>
      <w:proofErr w:type="spellStart"/>
      <w:r w:rsidRPr="00B32D81">
        <w:t>Busazost</w:t>
      </w:r>
      <w:proofErr w:type="spellEnd"/>
      <w:r w:rsidRPr="00B32D81">
        <w:t xml:space="preserve"> è considerata adeguata. Non ci sono obiezioni per l’approvazione di </w:t>
      </w:r>
      <w:proofErr w:type="spellStart"/>
      <w:r w:rsidRPr="00B32D81">
        <w:t>Busazost</w:t>
      </w:r>
      <w:proofErr w:type="spellEnd"/>
      <w:r w:rsidRPr="00B32D81">
        <w:t xml:space="preserve"> dal punto di vista chimico-farmaceutico.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Non sono stati condotti specifici studi non clinici, in quanto </w:t>
      </w:r>
      <w:proofErr w:type="spellStart"/>
      <w:r w:rsidRPr="00B32D81">
        <w:t>Busazost</w:t>
      </w:r>
      <w:proofErr w:type="spellEnd"/>
      <w:r w:rsidRPr="00B32D81">
        <w:t xml:space="preserve"> contiene un principio attivo noto: questo approccio è accettabile poiché il medicinale di riferimento </w:t>
      </w:r>
      <w:proofErr w:type="spellStart"/>
      <w:r w:rsidRPr="00B32D81">
        <w:t>Travatan</w:t>
      </w:r>
      <w:proofErr w:type="spellEnd"/>
      <w:r w:rsidRPr="00B32D81">
        <w:t xml:space="preserve"> è autorizzato in Italia da oltre 10 anni.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Non ci sono obiezioni per l’approvazione dal punto di vista non clinico.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5276B9" w:rsidRPr="00B32D81" w:rsidRDefault="007C68D2" w:rsidP="00B32D8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B32D81">
        <w:t>Busazost</w:t>
      </w:r>
      <w:proofErr w:type="spellEnd"/>
      <w:r w:rsidRPr="00B32D81">
        <w:t xml:space="preserve"> è utilizzato </w:t>
      </w:r>
      <w:r w:rsidR="005276B9" w:rsidRPr="00B32D81">
        <w:rPr>
          <w:rFonts w:eastAsia="Calibri" w:cs="Calibri"/>
          <w:color w:val="000000"/>
          <w:lang w:eastAsia="it-IT"/>
        </w:rPr>
        <w:t>per ridurre l’elevata pressione oculare negli adulti, adolescenti e bambini da 2 mesi di età in poi. Tale pressione può condurre ad una patologia chiamata glaucoma.</w:t>
      </w:r>
    </w:p>
    <w:p w:rsidR="007C68D2" w:rsidRPr="00B32D81" w:rsidRDefault="007C68D2" w:rsidP="00B32D81">
      <w:pPr>
        <w:spacing w:after="0" w:line="240" w:lineRule="auto"/>
        <w:jc w:val="both"/>
        <w:rPr>
          <w:rFonts w:eastAsia="Times New Roman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b/>
        </w:rPr>
      </w:pPr>
      <w:r w:rsidRPr="00B32D81">
        <w:rPr>
          <w:b/>
        </w:rPr>
        <w:t>Posologia e modalità di somministrazione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t>Le informazioni sulla posologia e sulle modalità di somministrazione sono riportate nel Riassunto delle Caratteristiche del Prodotto pubblicato sul sito dell’Agenzia Italiana del Farmaco - AIFA /</w:t>
      </w:r>
      <w:r w:rsidRPr="00B32D81">
        <w:rPr>
          <w:rFonts w:eastAsia="Calibri" w:cs="Calibri"/>
          <w:lang w:eastAsia="it-IT"/>
        </w:rPr>
        <w:t>(</w:t>
      </w:r>
      <w:hyperlink r:id="rId9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B32D81">
        <w:rPr>
          <w:rFonts w:eastAsia="Calibri" w:cs="Calibri"/>
          <w:b/>
          <w:lang w:eastAsia="it-IT"/>
        </w:rPr>
        <w:t>Tossicologia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La tossicologia di </w:t>
      </w:r>
      <w:proofErr w:type="spellStart"/>
      <w:r w:rsidRPr="00B32D81">
        <w:t>travoprost</w:t>
      </w:r>
      <w:proofErr w:type="spellEnd"/>
      <w:r w:rsidRPr="00B32D81">
        <w:t xml:space="preserve"> </w:t>
      </w:r>
      <w:r w:rsidRPr="00B32D81">
        <w:rPr>
          <w:rFonts w:eastAsia="Calibri" w:cs="Calibri"/>
          <w:lang w:eastAsia="it-IT"/>
        </w:rPr>
        <w:t>è ben conosciuta; non è stato necessario presentare ulteriori dati.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B32D81">
        <w:rPr>
          <w:rFonts w:eastAsia="Times New Roman" w:cs="Times New Roman"/>
          <w:b/>
        </w:rPr>
        <w:t>Farmacologia clinica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rPr>
          <w:rFonts w:eastAsia="Calibri" w:cs="Calibri"/>
          <w:lang w:eastAsia="it-IT"/>
        </w:rPr>
        <w:t xml:space="preserve">La farmacologia clinica di </w:t>
      </w:r>
      <w:proofErr w:type="spellStart"/>
      <w:r w:rsidRPr="00B32D81">
        <w:t>travoprost</w:t>
      </w:r>
      <w:proofErr w:type="spellEnd"/>
      <w:r w:rsidRPr="00B32D81">
        <w:t xml:space="preserve"> </w:t>
      </w:r>
      <w:r w:rsidRPr="00B32D81">
        <w:rPr>
          <w:rFonts w:eastAsia="Calibri" w:cs="Calibri"/>
          <w:lang w:eastAsia="it-IT"/>
        </w:rPr>
        <w:t xml:space="preserve">è ben conosciuta. </w:t>
      </w:r>
      <w:r w:rsidRPr="00B32D81">
        <w:t xml:space="preserve">Non sono stati condotti nuovi studi clinici di farmacodinamica e farmacocinetica, in quanto </w:t>
      </w:r>
      <w:proofErr w:type="spellStart"/>
      <w:r w:rsidRPr="00B32D81">
        <w:t>Busazost</w:t>
      </w:r>
      <w:proofErr w:type="spellEnd"/>
      <w:r w:rsidRPr="00B32D81">
        <w:t xml:space="preserve"> contiene un principio attivo noto e presente nel medicinale </w:t>
      </w:r>
      <w:proofErr w:type="spellStart"/>
      <w:r w:rsidRPr="00B32D81">
        <w:t>Travatan</w:t>
      </w:r>
      <w:proofErr w:type="spellEnd"/>
      <w:r w:rsidRPr="00B32D81">
        <w:t xml:space="preserve"> autorizzato in Italia da più di 10 anni.</w:t>
      </w:r>
    </w:p>
    <w:p w:rsidR="006106D5" w:rsidRPr="00B32D81" w:rsidRDefault="006106D5" w:rsidP="00B32D81">
      <w:pPr>
        <w:spacing w:after="0" w:line="240" w:lineRule="auto"/>
        <w:jc w:val="both"/>
        <w:rPr>
          <w:rFonts w:cs="Arial"/>
        </w:rPr>
      </w:pPr>
    </w:p>
    <w:p w:rsidR="00F22BED" w:rsidRPr="000B3C59" w:rsidRDefault="00F22BED" w:rsidP="00F22BED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F22BED" w:rsidRPr="00D1324F" w:rsidRDefault="00F22BED" w:rsidP="00F22BED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>
        <w:rPr>
          <w:rFonts w:cs="Arial"/>
        </w:rPr>
        <w:t>Busazost</w:t>
      </w:r>
      <w:proofErr w:type="spellEnd"/>
      <w:r>
        <w:rPr>
          <w:rFonts w:cs="Arial"/>
        </w:rPr>
        <w:t xml:space="preserve"> è ben conosciuto; inoltre, è stato possibile concedere l’esenzione dalla conduzione di studi clinici di confronto con il medicinale di riferimento in quanto </w:t>
      </w:r>
      <w:proofErr w:type="spellStart"/>
      <w:r>
        <w:rPr>
          <w:rFonts w:cs="Arial"/>
        </w:rPr>
        <w:t>Busazost</w:t>
      </w:r>
      <w:proofErr w:type="spellEnd"/>
      <w:r>
        <w:rPr>
          <w:rFonts w:cs="Arial"/>
        </w:rPr>
        <w:t xml:space="preserve"> è somministrato come collirio (soluzione oftalmica) con le stesse caratteristiche chimico-fisiche del medicinale di riferimento.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Piano di Valutazione del Rischio (</w:t>
      </w:r>
      <w:proofErr w:type="spellStart"/>
      <w:r w:rsidRPr="00B32D81">
        <w:rPr>
          <w:b/>
          <w:i/>
        </w:rPr>
        <w:t>Risk</w:t>
      </w:r>
      <w:proofErr w:type="spellEnd"/>
      <w:r w:rsidRPr="00B32D81">
        <w:rPr>
          <w:b/>
          <w:i/>
        </w:rPr>
        <w:t xml:space="preserve"> Management </w:t>
      </w:r>
      <w:proofErr w:type="spellStart"/>
      <w:r w:rsidRPr="00B32D81">
        <w:rPr>
          <w:b/>
          <w:i/>
        </w:rPr>
        <w:t>Plan</w:t>
      </w:r>
      <w:proofErr w:type="spellEnd"/>
      <w:r w:rsidRPr="00B32D81">
        <w:rPr>
          <w:b/>
        </w:rPr>
        <w:t xml:space="preserve"> - RMP)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E’ stato presentato un RMP in accordo a quanto previsto dalla Direttiva 2001/83/EU </w:t>
      </w:r>
      <w:proofErr w:type="spellStart"/>
      <w:r w:rsidRPr="00B32D81">
        <w:t>s.m.i.</w:t>
      </w:r>
      <w:proofErr w:type="spellEnd"/>
      <w:r w:rsidRPr="00B32D81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Pr="00B32D81">
        <w:t>Busazost</w:t>
      </w:r>
      <w:proofErr w:type="spellEnd"/>
      <w:r w:rsidRPr="00B32D81">
        <w:t>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>Il riassunto delle problematiche di sicurezza sono riportate nella tabella seguente.</w:t>
      </w: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tbl>
      <w:tblPr>
        <w:tblW w:w="44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/>
      </w:tblPr>
      <w:tblGrid>
        <w:gridCol w:w="3124"/>
        <w:gridCol w:w="5646"/>
      </w:tblGrid>
      <w:tr w:rsidR="00F22BED" w:rsidRPr="00D07C5C" w:rsidTr="00B16636">
        <w:trPr>
          <w:jc w:val="center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2BED" w:rsidRPr="00D07C5C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D07C5C">
              <w:rPr>
                <w:rFonts w:asciiTheme="minorHAnsi" w:hAnsiTheme="minorHAnsi"/>
                <w:sz w:val="20"/>
                <w:szCs w:val="20"/>
                <w:lang w:eastAsia="en-GB"/>
              </w:rPr>
              <w:lastRenderedPageBreak/>
              <w:t>Rischi</w:t>
            </w:r>
            <w:proofErr w:type="spellEnd"/>
            <w:r w:rsidRPr="00D07C5C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D07C5C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D07C5C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D07C5C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21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22BED" w:rsidRPr="00D07C5C" w:rsidRDefault="00D07C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>Edema maculare</w:t>
            </w:r>
          </w:p>
          <w:p w:rsidR="00D07C5C" w:rsidRPr="00D07C5C" w:rsidRDefault="00D07C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proofErr w:type="spellStart"/>
            <w:r w:rsidRPr="00D07C5C">
              <w:rPr>
                <w:sz w:val="20"/>
                <w:szCs w:val="20"/>
                <w:lang w:eastAsia="en-GB"/>
              </w:rPr>
              <w:t>Iperpigmentazione</w:t>
            </w:r>
            <w:proofErr w:type="spellEnd"/>
            <w:r w:rsidRPr="00D07C5C">
              <w:rPr>
                <w:sz w:val="20"/>
                <w:szCs w:val="20"/>
                <w:lang w:eastAsia="en-GB"/>
              </w:rPr>
              <w:t xml:space="preserve"> (scuri mento)</w:t>
            </w:r>
          </w:p>
          <w:p w:rsidR="00D07C5C" w:rsidRPr="00D07C5C" w:rsidRDefault="00D07C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>Eccessiva crescita di capelli (ipertricosi)</w:t>
            </w:r>
          </w:p>
          <w:p w:rsidR="00D07C5C" w:rsidRPr="00D07C5C" w:rsidRDefault="00D07C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>Infiammazione dell’iride e dell’uvea</w:t>
            </w:r>
          </w:p>
          <w:p w:rsidR="00D07C5C" w:rsidRPr="00D07C5C" w:rsidRDefault="00D07C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>Problemi cardiaci e vascolari</w:t>
            </w:r>
          </w:p>
          <w:p w:rsidR="00D07C5C" w:rsidRPr="00D07C5C" w:rsidRDefault="00D07C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>Problemi respiratori</w:t>
            </w:r>
          </w:p>
          <w:p w:rsidR="00D07C5C" w:rsidRPr="00D07C5C" w:rsidRDefault="00D07C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 xml:space="preserve">Ipersensibilità </w:t>
            </w:r>
          </w:p>
          <w:p w:rsidR="00D07C5C" w:rsidRPr="00D07C5C" w:rsidRDefault="00D07C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</w:p>
        </w:tc>
      </w:tr>
      <w:tr w:rsidR="00F22BED" w:rsidRPr="00D07C5C" w:rsidTr="00B16636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2BED" w:rsidRPr="00D07C5C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D07C5C">
              <w:rPr>
                <w:rFonts w:asciiTheme="minorHAnsi" w:hAnsiTheme="minorHAnsi"/>
                <w:sz w:val="20"/>
                <w:szCs w:val="20"/>
                <w:lang w:val="it-IT" w:eastAsia="en-GB"/>
              </w:rPr>
              <w:t>Rischi importanti potenziali</w:t>
            </w:r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22BED" w:rsidRPr="00D07C5C" w:rsidRDefault="00D07C5C" w:rsidP="00D07C5C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>Melanoma</w:t>
            </w:r>
          </w:p>
          <w:p w:rsidR="00D07C5C" w:rsidRPr="00D07C5C" w:rsidRDefault="00D07C5C" w:rsidP="00D07C5C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 xml:space="preserve">Danno della cornea per la presenza del conservante </w:t>
            </w:r>
            <w:proofErr w:type="spellStart"/>
            <w:r w:rsidRPr="00D07C5C">
              <w:rPr>
                <w:sz w:val="20"/>
                <w:szCs w:val="20"/>
                <w:lang w:eastAsia="en-GB"/>
              </w:rPr>
              <w:t>benzalconio</w:t>
            </w:r>
            <w:proofErr w:type="spellEnd"/>
            <w:r w:rsidRPr="00D07C5C">
              <w:rPr>
                <w:sz w:val="20"/>
                <w:szCs w:val="20"/>
                <w:lang w:eastAsia="en-GB"/>
              </w:rPr>
              <w:t xml:space="preserve"> cloruro</w:t>
            </w:r>
          </w:p>
          <w:p w:rsidR="00D07C5C" w:rsidRPr="00D07C5C" w:rsidRDefault="00D07C5C" w:rsidP="00D07C5C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 xml:space="preserve">Uso durante la gravidanza e </w:t>
            </w:r>
            <w:proofErr w:type="spellStart"/>
            <w:r w:rsidRPr="00D07C5C">
              <w:rPr>
                <w:sz w:val="20"/>
                <w:szCs w:val="20"/>
                <w:lang w:eastAsia="en-GB"/>
              </w:rPr>
              <w:t>alk</w:t>
            </w:r>
            <w:proofErr w:type="spellEnd"/>
            <w:r w:rsidRPr="00D07C5C">
              <w:rPr>
                <w:sz w:val="20"/>
                <w:szCs w:val="20"/>
                <w:lang w:eastAsia="en-GB"/>
              </w:rPr>
              <w:t>’</w:t>
            </w:r>
            <w:proofErr w:type="spellStart"/>
            <w:r w:rsidRPr="00D07C5C">
              <w:rPr>
                <w:sz w:val="20"/>
                <w:szCs w:val="20"/>
                <w:lang w:eastAsia="en-GB"/>
              </w:rPr>
              <w:t>allattameto</w:t>
            </w:r>
            <w:proofErr w:type="spellEnd"/>
          </w:p>
        </w:tc>
      </w:tr>
      <w:tr w:rsidR="00F22BED" w:rsidRPr="00D07C5C" w:rsidTr="00B16636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22BED" w:rsidRPr="00D07C5C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D07C5C">
              <w:rPr>
                <w:rFonts w:asciiTheme="minorHAnsi" w:hAnsiTheme="minorHAnsi"/>
                <w:sz w:val="20"/>
                <w:szCs w:val="20"/>
                <w:lang w:val="it-IT" w:eastAsia="en-GB"/>
              </w:rPr>
              <w:t>Informazioni mancanti</w:t>
            </w:r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BED" w:rsidRPr="00D07C5C" w:rsidRDefault="00D07C5C" w:rsidP="00D07C5C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>Uso nella popolazione pediatrica</w:t>
            </w:r>
          </w:p>
          <w:p w:rsidR="00D07C5C" w:rsidRPr="00D07C5C" w:rsidRDefault="00D07C5C" w:rsidP="00D07C5C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>Potenziali interazioni</w:t>
            </w:r>
          </w:p>
        </w:tc>
      </w:tr>
    </w:tbl>
    <w:p w:rsidR="00F22BED" w:rsidRDefault="00F22BED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Azioni </w:t>
      </w:r>
      <w:proofErr w:type="spellStart"/>
      <w:r w:rsidRPr="00B32D81">
        <w:t>routinarie</w:t>
      </w:r>
      <w:proofErr w:type="spellEnd"/>
      <w:r w:rsidRPr="00B32D81">
        <w:t xml:space="preserve"> di farmacovigilanza e di minimizzazione del rischio sono proposte per tutte le problematiche di sicurezza.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>Oltre le misure previste nel Riassunto delle caratteristiche del prodotto non sono previste attività addizionali di minimizzazione del rischio</w:t>
      </w:r>
      <w:r w:rsidR="006106D5" w:rsidRPr="00B32D81">
        <w:t>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Conclusioni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Per la richiesta di AIC di </w:t>
      </w:r>
      <w:proofErr w:type="spellStart"/>
      <w:r w:rsidRPr="00B32D81">
        <w:t>Busazost</w:t>
      </w:r>
      <w:proofErr w:type="spellEnd"/>
      <w:r w:rsidRPr="00B32D81">
        <w:t xml:space="preserve"> sono state presentate sufficienti informazioni cliniche.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Il rapporto beneficio/rischio di </w:t>
      </w:r>
      <w:proofErr w:type="spellStart"/>
      <w:r w:rsidRPr="00B32D81">
        <w:t>Busazost</w:t>
      </w:r>
      <w:proofErr w:type="spellEnd"/>
      <w:r w:rsidRPr="00B32D81">
        <w:t xml:space="preserve"> è considerato favorevole dal punto di vista clinico.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p w:rsidR="00F22BED" w:rsidRPr="00B32D81" w:rsidRDefault="00F22BED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foglio illustrativo è stato sottoposto al test di leggibilità in accordo ai requisiti dell’art. 59(3) e 61(1) della direttiva 2001/83/EU </w:t>
      </w:r>
      <w:proofErr w:type="spellStart"/>
      <w:r w:rsidRPr="00B32D81">
        <w:t>s.m.i.</w:t>
      </w:r>
      <w:proofErr w:type="spellEnd"/>
      <w:r w:rsidRPr="00B32D81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Default="007C68D2" w:rsidP="00B32D81">
      <w:pPr>
        <w:spacing w:after="0" w:line="240" w:lineRule="auto"/>
        <w:jc w:val="both"/>
      </w:pPr>
    </w:p>
    <w:p w:rsidR="00F22BED" w:rsidRPr="00B32D81" w:rsidRDefault="00F22BED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La qualità di </w:t>
      </w:r>
      <w:proofErr w:type="spellStart"/>
      <w:r w:rsidRPr="00B32D81">
        <w:t>Busazost</w:t>
      </w:r>
      <w:proofErr w:type="spellEnd"/>
      <w:r w:rsidRPr="00B32D81">
        <w:t xml:space="preserve"> è accettabile e non sono state rilevate criticità da un punto di vista non clinico e clinico.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rapporto beneficio/rischio è considerato positivo.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B32D81">
        <w:rPr>
          <w:rFonts w:eastAsia="Calibri" w:cs="Calibri"/>
          <w:lang w:eastAsia="it-IT"/>
        </w:rPr>
        <w:t>(</w:t>
      </w:r>
      <w:hyperlink r:id="rId10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  <w:r w:rsidRPr="00B32D81">
        <w:t xml:space="preserve"> </w:t>
      </w:r>
      <w:bookmarkStart w:id="1" w:name="_GoBack"/>
      <w:bookmarkEnd w:id="1"/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sectPr w:rsidR="007C68D2" w:rsidRPr="00B32D81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283"/>
  <w:characterSpacingControl w:val="doNotCompress"/>
  <w:compat/>
  <w:rsids>
    <w:rsidRoot w:val="004241AC"/>
    <w:rsid w:val="00013020"/>
    <w:rsid w:val="00062636"/>
    <w:rsid w:val="000725FF"/>
    <w:rsid w:val="000B6CEA"/>
    <w:rsid w:val="000E0C85"/>
    <w:rsid w:val="00156285"/>
    <w:rsid w:val="00240F4C"/>
    <w:rsid w:val="00283953"/>
    <w:rsid w:val="002C389F"/>
    <w:rsid w:val="00322BF5"/>
    <w:rsid w:val="00356C29"/>
    <w:rsid w:val="004171F6"/>
    <w:rsid w:val="004241AC"/>
    <w:rsid w:val="004349A2"/>
    <w:rsid w:val="00494CCF"/>
    <w:rsid w:val="004B20A8"/>
    <w:rsid w:val="004B69C4"/>
    <w:rsid w:val="00520FDC"/>
    <w:rsid w:val="005276B9"/>
    <w:rsid w:val="005368CE"/>
    <w:rsid w:val="00556648"/>
    <w:rsid w:val="00564F57"/>
    <w:rsid w:val="005820A7"/>
    <w:rsid w:val="005A2741"/>
    <w:rsid w:val="005B446C"/>
    <w:rsid w:val="005D53B9"/>
    <w:rsid w:val="006063E6"/>
    <w:rsid w:val="006106D5"/>
    <w:rsid w:val="00633428"/>
    <w:rsid w:val="00665921"/>
    <w:rsid w:val="006831C7"/>
    <w:rsid w:val="00716EE9"/>
    <w:rsid w:val="00762D88"/>
    <w:rsid w:val="007935FE"/>
    <w:rsid w:val="007C68D2"/>
    <w:rsid w:val="007D68A8"/>
    <w:rsid w:val="0083545D"/>
    <w:rsid w:val="00852838"/>
    <w:rsid w:val="0087132D"/>
    <w:rsid w:val="00874568"/>
    <w:rsid w:val="009A1E3E"/>
    <w:rsid w:val="009A260F"/>
    <w:rsid w:val="00A642C7"/>
    <w:rsid w:val="00AE7A98"/>
    <w:rsid w:val="00B07EF8"/>
    <w:rsid w:val="00B27FD9"/>
    <w:rsid w:val="00B329D4"/>
    <w:rsid w:val="00B32D81"/>
    <w:rsid w:val="00B75EA4"/>
    <w:rsid w:val="00BD1173"/>
    <w:rsid w:val="00C00425"/>
    <w:rsid w:val="00C31AF0"/>
    <w:rsid w:val="00C630E2"/>
    <w:rsid w:val="00C8171A"/>
    <w:rsid w:val="00CC7AFF"/>
    <w:rsid w:val="00D07C5C"/>
    <w:rsid w:val="00D103AB"/>
    <w:rsid w:val="00D20170"/>
    <w:rsid w:val="00D47411"/>
    <w:rsid w:val="00D57567"/>
    <w:rsid w:val="00DA1945"/>
    <w:rsid w:val="00DC5BE2"/>
    <w:rsid w:val="00E21095"/>
    <w:rsid w:val="00E22AEF"/>
    <w:rsid w:val="00E43089"/>
    <w:rsid w:val="00E7486A"/>
    <w:rsid w:val="00E95CA3"/>
    <w:rsid w:val="00F01FB3"/>
    <w:rsid w:val="00F22BED"/>
    <w:rsid w:val="00F4168A"/>
    <w:rsid w:val="00FA2702"/>
    <w:rsid w:val="00FA5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semiHidden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www.ema.europa.eu/ema/index.jsp?curl=pages/medicines/landing/epar_search.jsp&amp;mid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2332</Words>
  <Characters>13298</Characters>
  <Application>Microsoft Office Word</Application>
  <DocSecurity>0</DocSecurity>
  <Lines>110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4</cp:revision>
  <dcterms:created xsi:type="dcterms:W3CDTF">2015-12-17T16:39:00Z</dcterms:created>
  <dcterms:modified xsi:type="dcterms:W3CDTF">2016-04-04T07:36:00Z</dcterms:modified>
</cp:coreProperties>
</file>