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8C7E97" w:rsidRDefault="008C7E97" w:rsidP="008C7E97">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DE152F" w:rsidRDefault="00DE152F" w:rsidP="004241AC">
      <w:pPr>
        <w:autoSpaceDE w:val="0"/>
        <w:autoSpaceDN w:val="0"/>
        <w:adjustRightInd w:val="0"/>
        <w:spacing w:after="0" w:line="240" w:lineRule="auto"/>
        <w:jc w:val="center"/>
        <w:rPr>
          <w:b/>
          <w:highlight w:val="yellow"/>
        </w:rPr>
      </w:pPr>
    </w:p>
    <w:p w:rsidR="004241AC" w:rsidRPr="004B491D" w:rsidRDefault="007079D1" w:rsidP="004241AC">
      <w:pPr>
        <w:autoSpaceDE w:val="0"/>
        <w:autoSpaceDN w:val="0"/>
        <w:adjustRightInd w:val="0"/>
        <w:spacing w:after="0" w:line="240" w:lineRule="auto"/>
        <w:jc w:val="center"/>
        <w:rPr>
          <w:b/>
          <w:sz w:val="32"/>
          <w:szCs w:val="32"/>
        </w:rPr>
      </w:pPr>
      <w:r>
        <w:rPr>
          <w:b/>
          <w:sz w:val="32"/>
          <w:szCs w:val="32"/>
        </w:rPr>
        <w:t>FLUGENIX</w:t>
      </w:r>
      <w:r w:rsidR="004B491D">
        <w:rPr>
          <w:b/>
          <w:sz w:val="32"/>
          <w:szCs w:val="32"/>
        </w:rPr>
        <w:t xml:space="preserve">    </w:t>
      </w:r>
    </w:p>
    <w:p w:rsidR="004241AC" w:rsidRPr="00E81CDF" w:rsidRDefault="004241AC" w:rsidP="004241AC">
      <w:pPr>
        <w:widowControl w:val="0"/>
        <w:spacing w:after="0" w:line="240" w:lineRule="auto"/>
        <w:jc w:val="center"/>
        <w:rPr>
          <w:snapToGrid w:val="0"/>
        </w:rPr>
      </w:pPr>
      <w:r w:rsidRPr="00E81CDF">
        <w:rPr>
          <w:snapToGrid w:val="0"/>
        </w:rPr>
        <w:t xml:space="preserve"> </w:t>
      </w:r>
      <w:r w:rsidR="00E81CDF" w:rsidRPr="00E81CDF">
        <w:rPr>
          <w:snapToGrid w:val="0"/>
        </w:rPr>
        <w:t>(</w:t>
      </w:r>
      <w:proofErr w:type="spellStart"/>
      <w:r w:rsidR="00F57E30" w:rsidRPr="00E81CDF">
        <w:rPr>
          <w:snapToGrid w:val="0"/>
        </w:rPr>
        <w:t>Fluticasone</w:t>
      </w:r>
      <w:proofErr w:type="spellEnd"/>
      <w:r w:rsidR="00F57E30" w:rsidRPr="00E81CDF">
        <w:rPr>
          <w:snapToGrid w:val="0"/>
        </w:rPr>
        <w:t xml:space="preserve"> </w:t>
      </w:r>
      <w:proofErr w:type="spellStart"/>
      <w:r w:rsidR="00E81CDF" w:rsidRPr="00E81CDF">
        <w:rPr>
          <w:snapToGrid w:val="0"/>
        </w:rPr>
        <w:t>propi</w:t>
      </w:r>
      <w:r w:rsidR="008C7E97">
        <w:rPr>
          <w:snapToGrid w:val="0"/>
        </w:rPr>
        <w:t>o</w:t>
      </w:r>
      <w:r w:rsidR="00E81CDF" w:rsidRPr="00E81CDF">
        <w:rPr>
          <w:snapToGrid w:val="0"/>
        </w:rPr>
        <w:t>nato</w:t>
      </w:r>
      <w:proofErr w:type="spellEnd"/>
      <w:r w:rsidR="00E81CDF" w:rsidRPr="00E81CDF">
        <w:rPr>
          <w:snapToGrid w:val="0"/>
        </w:rPr>
        <w:t>)</w:t>
      </w:r>
    </w:p>
    <w:p w:rsidR="004241AC" w:rsidRPr="00E81CDF" w:rsidRDefault="004241AC" w:rsidP="004241AC">
      <w:pPr>
        <w:autoSpaceDE w:val="0"/>
        <w:autoSpaceDN w:val="0"/>
        <w:adjustRightInd w:val="0"/>
        <w:spacing w:after="0" w:line="240" w:lineRule="auto"/>
        <w:jc w:val="center"/>
        <w:rPr>
          <w:b/>
          <w:highlight w:val="yellow"/>
        </w:rPr>
      </w:pPr>
    </w:p>
    <w:p w:rsidR="004241AC" w:rsidRPr="00E81CDF" w:rsidRDefault="00BC236D" w:rsidP="004241AC">
      <w:pPr>
        <w:autoSpaceDE w:val="0"/>
        <w:autoSpaceDN w:val="0"/>
        <w:adjustRightInd w:val="0"/>
        <w:spacing w:after="0" w:line="240" w:lineRule="auto"/>
        <w:jc w:val="center"/>
        <w:rPr>
          <w:b/>
          <w:highlight w:val="yellow"/>
        </w:rPr>
      </w:pPr>
      <w:r w:rsidRPr="00E81CDF">
        <w:rPr>
          <w:rFonts w:ascii="Calibri" w:eastAsia="Calibri" w:hAnsi="Calibri" w:cs="Times New Roman"/>
          <w:b/>
        </w:rPr>
        <w:t>Genetic</w:t>
      </w:r>
    </w:p>
    <w:p w:rsidR="00B75EA4" w:rsidRDefault="00B75EA4" w:rsidP="004241AC">
      <w:pPr>
        <w:autoSpaceDE w:val="0"/>
        <w:autoSpaceDN w:val="0"/>
        <w:adjustRightInd w:val="0"/>
        <w:spacing w:after="0" w:line="240" w:lineRule="auto"/>
        <w:jc w:val="center"/>
        <w:rPr>
          <w:b/>
          <w:highlight w:val="yellow"/>
        </w:rPr>
      </w:pPr>
    </w:p>
    <w:p w:rsidR="00E81CDF" w:rsidRPr="00E81CDF" w:rsidRDefault="00E81CDF" w:rsidP="004241AC">
      <w:pPr>
        <w:autoSpaceDE w:val="0"/>
        <w:autoSpaceDN w:val="0"/>
        <w:adjustRightInd w:val="0"/>
        <w:spacing w:after="0" w:line="240" w:lineRule="auto"/>
        <w:jc w:val="center"/>
        <w:rPr>
          <w:b/>
          <w:highlight w:val="yellow"/>
        </w:rPr>
      </w:pPr>
    </w:p>
    <w:p w:rsidR="004241AC" w:rsidRPr="00E81CDF" w:rsidRDefault="004241AC" w:rsidP="004241AC">
      <w:pPr>
        <w:spacing w:after="0" w:line="240" w:lineRule="auto"/>
        <w:jc w:val="center"/>
        <w:rPr>
          <w:rFonts w:ascii="Calibri" w:hAnsi="Calibri"/>
        </w:rPr>
      </w:pPr>
      <w:r w:rsidRPr="00E81CDF">
        <w:rPr>
          <w:b/>
        </w:rPr>
        <w:t xml:space="preserve">Numero di AIC: </w:t>
      </w:r>
      <w:r w:rsidR="00F57E30" w:rsidRPr="00E81CDF">
        <w:rPr>
          <w:rFonts w:ascii="Calibri" w:eastAsia="Calibri" w:hAnsi="Calibri" w:cs="Times New Roman"/>
          <w:b/>
        </w:rPr>
        <w:t>04308</w:t>
      </w:r>
      <w:r w:rsidR="007079D1" w:rsidRPr="00E81CDF">
        <w:rPr>
          <w:rFonts w:ascii="Calibri" w:eastAsia="Calibri" w:hAnsi="Calibri" w:cs="Times New Roman"/>
          <w:b/>
        </w:rPr>
        <w:t>8</w:t>
      </w:r>
      <w:r w:rsidR="00C52BFC" w:rsidRPr="00E81CDF">
        <w:rPr>
          <w:rFonts w:ascii="Calibri" w:eastAsia="Calibri" w:hAnsi="Calibri" w:cs="Times New Roman"/>
        </w:rPr>
        <w:t xml:space="preserve"> </w:t>
      </w:r>
    </w:p>
    <w:p w:rsidR="008C7E97" w:rsidRDefault="00F57E30" w:rsidP="004241AC">
      <w:pPr>
        <w:spacing w:after="0" w:line="240" w:lineRule="auto"/>
        <w:jc w:val="center"/>
        <w:rPr>
          <w:rFonts w:ascii="Calibri" w:hAnsi="Calibri"/>
          <w:b/>
        </w:rPr>
      </w:pPr>
      <w:r w:rsidRPr="00E81CDF">
        <w:rPr>
          <w:rFonts w:ascii="Calibri" w:hAnsi="Calibri"/>
          <w:b/>
        </w:rPr>
        <w:t xml:space="preserve">       </w:t>
      </w:r>
    </w:p>
    <w:p w:rsidR="004241AC" w:rsidRPr="00E81CDF" w:rsidRDefault="00F57E30" w:rsidP="004241AC">
      <w:pPr>
        <w:spacing w:after="0" w:line="240" w:lineRule="auto"/>
        <w:jc w:val="center"/>
        <w:rPr>
          <w:b/>
        </w:rPr>
      </w:pPr>
      <w:r w:rsidRPr="00E81CDF">
        <w:rPr>
          <w:rFonts w:ascii="Calibri" w:hAnsi="Calibri"/>
          <w:b/>
        </w:rPr>
        <w:t xml:space="preserve">                </w:t>
      </w:r>
      <w:bookmarkStart w:id="1" w:name="_GoBack"/>
      <w:bookmarkEnd w:id="0"/>
      <w:bookmarkEnd w:id="1"/>
    </w:p>
    <w:p w:rsidR="008C7E97" w:rsidRPr="0033523E" w:rsidRDefault="008C7E97" w:rsidP="008C7E97">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4241AC" w:rsidRPr="00E81CDF" w:rsidRDefault="004241AC" w:rsidP="004241AC">
      <w:pPr>
        <w:autoSpaceDE w:val="0"/>
        <w:autoSpaceDN w:val="0"/>
        <w:adjustRightInd w:val="0"/>
        <w:spacing w:after="0" w:line="240" w:lineRule="auto"/>
        <w:jc w:val="both"/>
        <w:rPr>
          <w:rFonts w:eastAsia="Calibri" w:cs="Calibri"/>
          <w:color w:val="000000"/>
          <w:lang w:eastAsia="it-IT"/>
        </w:rPr>
      </w:pPr>
    </w:p>
    <w:p w:rsidR="00CB28A4" w:rsidRPr="00E81CDF" w:rsidRDefault="004241AC" w:rsidP="00C52BFC">
      <w:pPr>
        <w:autoSpaceDE w:val="0"/>
        <w:autoSpaceDN w:val="0"/>
        <w:adjustRightInd w:val="0"/>
        <w:spacing w:after="0" w:line="240" w:lineRule="auto"/>
        <w:jc w:val="both"/>
        <w:rPr>
          <w:b/>
        </w:rPr>
      </w:pPr>
      <w:r w:rsidRPr="00E81CDF">
        <w:rPr>
          <w:rFonts w:eastAsia="Calibri" w:cs="Calibri"/>
          <w:color w:val="000000"/>
          <w:lang w:eastAsia="it-IT"/>
        </w:rPr>
        <w:t xml:space="preserve">Questa è la sintesi del </w:t>
      </w:r>
      <w:r w:rsidR="00322BF5" w:rsidRPr="00E81CDF">
        <w:rPr>
          <w:rFonts w:eastAsia="Calibri" w:cs="Calibri"/>
          <w:i/>
          <w:color w:val="000000"/>
          <w:lang w:eastAsia="it-IT"/>
        </w:rPr>
        <w:t>Public Assessment Report</w:t>
      </w:r>
      <w:r w:rsidRPr="00E81CDF">
        <w:rPr>
          <w:rFonts w:eastAsia="Calibri" w:cs="Calibri"/>
          <w:color w:val="000000"/>
          <w:lang w:eastAsia="it-IT"/>
        </w:rPr>
        <w:t xml:space="preserve"> (PAR) per </w:t>
      </w:r>
      <w:proofErr w:type="spellStart"/>
      <w:r w:rsidR="007079D1" w:rsidRPr="00E81CDF">
        <w:t>Flugenix</w:t>
      </w:r>
      <w:proofErr w:type="spellEnd"/>
      <w:r w:rsidR="00D34979" w:rsidRPr="00E81CDF">
        <w:t>.</w:t>
      </w:r>
      <w:r w:rsidR="00E81CDF">
        <w:t xml:space="preserve"> </w:t>
      </w:r>
      <w:r w:rsidR="004B491D" w:rsidRPr="00E81CDF">
        <w:t>E</w:t>
      </w:r>
      <w:r w:rsidRPr="00E81CDF">
        <w:rPr>
          <w:rFonts w:eastAsia="Calibri" w:cs="Calibri"/>
          <w:color w:val="000000"/>
          <w:lang w:eastAsia="it-IT"/>
        </w:rPr>
        <w:t xml:space="preserve">sso spiega come </w:t>
      </w:r>
      <w:proofErr w:type="spellStart"/>
      <w:r w:rsidR="007079D1" w:rsidRPr="00E81CDF">
        <w:t>Flugenix</w:t>
      </w:r>
      <w:proofErr w:type="spellEnd"/>
      <w:r w:rsidR="00D34979" w:rsidRPr="00E81CDF">
        <w:t xml:space="preserve"> </w:t>
      </w:r>
      <w:r w:rsidRPr="00E81CDF">
        <w:rPr>
          <w:rFonts w:eastAsia="Calibri" w:cs="Calibri"/>
          <w:color w:val="000000"/>
          <w:lang w:eastAsia="it-IT"/>
        </w:rPr>
        <w:t xml:space="preserve">è stato valutato dalla Commissione Tecnico-Scientifica (CTS) e sue le condizioni di impiego. Non intende fornire consigli pratici su come utilizzare </w:t>
      </w:r>
      <w:proofErr w:type="spellStart"/>
      <w:r w:rsidR="00E81CDF" w:rsidRPr="00E81CDF">
        <w:t>Flugenix</w:t>
      </w:r>
      <w:proofErr w:type="spellEnd"/>
      <w:r w:rsidR="00D34979" w:rsidRPr="00E81CDF">
        <w:t>.</w:t>
      </w:r>
    </w:p>
    <w:p w:rsidR="004241AC" w:rsidRPr="00E81CDF" w:rsidRDefault="004241AC" w:rsidP="00C52BFC">
      <w:pPr>
        <w:autoSpaceDE w:val="0"/>
        <w:autoSpaceDN w:val="0"/>
        <w:adjustRightInd w:val="0"/>
        <w:spacing w:after="0" w:line="240" w:lineRule="auto"/>
        <w:jc w:val="both"/>
        <w:rPr>
          <w:rFonts w:eastAsia="Calibri" w:cs="Calibri"/>
          <w:color w:val="000000"/>
          <w:lang w:eastAsia="it-IT"/>
        </w:rPr>
      </w:pPr>
      <w:r w:rsidRPr="00E81CDF">
        <w:rPr>
          <w:rFonts w:eastAsia="Calibri" w:cs="Calibri"/>
          <w:color w:val="000000"/>
          <w:lang w:eastAsia="it-IT"/>
        </w:rPr>
        <w:t>Per informazioni pratiche sull'utilizzo di</w:t>
      </w:r>
      <w:r w:rsidRPr="00E81CDF">
        <w:rPr>
          <w:rFonts w:eastAsia="Calibri" w:cs="Calibri"/>
          <w:bCs/>
          <w:color w:val="000000"/>
          <w:lang w:eastAsia="it-IT"/>
        </w:rPr>
        <w:t xml:space="preserve"> </w:t>
      </w:r>
      <w:r w:rsidR="007079D1" w:rsidRPr="00E81CDF">
        <w:t>Flugenix</w:t>
      </w:r>
      <w:r w:rsidR="00D34979" w:rsidRPr="00E81CDF">
        <w:rPr>
          <w:rFonts w:eastAsia="Calibri" w:cs="Calibri"/>
          <w:color w:val="000000"/>
          <w:lang w:eastAsia="it-IT"/>
        </w:rPr>
        <w:t xml:space="preserve"> i</w:t>
      </w:r>
      <w:r w:rsidRPr="00E81CDF">
        <w:rPr>
          <w:rFonts w:eastAsia="Calibri" w:cs="Calibri"/>
          <w:color w:val="000000"/>
          <w:lang w:eastAsia="it-IT"/>
        </w:rPr>
        <w:t xml:space="preserve"> pazienti devono consultare il foglio illustrativo o contattare il loro medico o </w:t>
      </w:r>
      <w:r w:rsidR="00FA55B0" w:rsidRPr="00E81CDF">
        <w:rPr>
          <w:rFonts w:eastAsia="Calibri" w:cs="Calibri"/>
          <w:color w:val="000000"/>
          <w:lang w:eastAsia="it-IT"/>
        </w:rPr>
        <w:t xml:space="preserve">il </w:t>
      </w:r>
      <w:r w:rsidRPr="00E81CDF">
        <w:rPr>
          <w:rFonts w:eastAsia="Calibri" w:cs="Calibri"/>
          <w:color w:val="000000"/>
          <w:lang w:eastAsia="it-IT"/>
        </w:rPr>
        <w:t xml:space="preserve">farmacista. </w:t>
      </w:r>
    </w:p>
    <w:p w:rsidR="004241AC" w:rsidRDefault="004241AC" w:rsidP="00C52BFC">
      <w:pPr>
        <w:autoSpaceDE w:val="0"/>
        <w:autoSpaceDN w:val="0"/>
        <w:adjustRightInd w:val="0"/>
        <w:spacing w:after="0" w:line="240" w:lineRule="auto"/>
        <w:jc w:val="both"/>
        <w:rPr>
          <w:rFonts w:eastAsia="Calibri" w:cs="Calibri"/>
          <w:color w:val="000000"/>
          <w:lang w:eastAsia="it-IT"/>
        </w:rPr>
      </w:pPr>
    </w:p>
    <w:p w:rsidR="00E81CDF" w:rsidRPr="00E81CDF" w:rsidRDefault="00E81CDF" w:rsidP="00C52BFC">
      <w:pPr>
        <w:autoSpaceDE w:val="0"/>
        <w:autoSpaceDN w:val="0"/>
        <w:adjustRightInd w:val="0"/>
        <w:spacing w:after="0" w:line="240" w:lineRule="auto"/>
        <w:jc w:val="both"/>
        <w:rPr>
          <w:rFonts w:eastAsia="Calibri" w:cs="Calibri"/>
          <w:color w:val="000000"/>
          <w:lang w:eastAsia="it-IT"/>
        </w:rPr>
      </w:pPr>
    </w:p>
    <w:p w:rsidR="004241AC" w:rsidRPr="00E81CDF" w:rsidRDefault="004241AC" w:rsidP="00C52BFC">
      <w:pPr>
        <w:autoSpaceDE w:val="0"/>
        <w:autoSpaceDN w:val="0"/>
        <w:adjustRightInd w:val="0"/>
        <w:spacing w:after="0" w:line="240" w:lineRule="auto"/>
        <w:jc w:val="both"/>
        <w:rPr>
          <w:rFonts w:eastAsia="Calibri" w:cs="Calibri"/>
          <w:color w:val="000000"/>
          <w:lang w:eastAsia="it-IT"/>
        </w:rPr>
      </w:pPr>
      <w:r w:rsidRPr="00E81CDF">
        <w:rPr>
          <w:rFonts w:eastAsia="Calibri" w:cs="Calibri"/>
          <w:b/>
          <w:bCs/>
          <w:color w:val="000000"/>
          <w:lang w:eastAsia="it-IT"/>
        </w:rPr>
        <w:t xml:space="preserve">1) CHE COS’È </w:t>
      </w:r>
      <w:r w:rsidR="00CB28A4" w:rsidRPr="00E81CDF">
        <w:rPr>
          <w:rFonts w:eastAsia="Calibri" w:cs="Calibri"/>
          <w:b/>
          <w:bCs/>
          <w:color w:val="000000"/>
          <w:lang w:eastAsia="it-IT"/>
        </w:rPr>
        <w:t xml:space="preserve"> </w:t>
      </w:r>
      <w:r w:rsidR="007079D1" w:rsidRPr="00E81CDF">
        <w:rPr>
          <w:rFonts w:eastAsia="Calibri" w:cs="Calibri"/>
          <w:b/>
          <w:color w:val="000000"/>
          <w:lang w:eastAsia="it-IT"/>
        </w:rPr>
        <w:t>FLUGENIX</w:t>
      </w:r>
      <w:r w:rsidR="004B491D" w:rsidRPr="00E81CDF">
        <w:rPr>
          <w:rFonts w:eastAsia="Calibri" w:cs="Calibri"/>
          <w:b/>
          <w:color w:val="000000"/>
          <w:lang w:eastAsia="it-IT"/>
        </w:rPr>
        <w:t xml:space="preserve"> </w:t>
      </w:r>
      <w:r w:rsidR="00E81CDF" w:rsidRPr="00E81CDF">
        <w:rPr>
          <w:rFonts w:eastAsia="Calibri" w:cs="Calibri"/>
          <w:b/>
          <w:bCs/>
          <w:color w:val="000000"/>
          <w:lang w:eastAsia="it-IT"/>
        </w:rPr>
        <w:t>E A COSA SERVE</w:t>
      </w:r>
      <w:r w:rsidRPr="00E81CDF">
        <w:rPr>
          <w:rFonts w:eastAsia="Calibri" w:cs="Calibri"/>
          <w:b/>
          <w:bCs/>
          <w:color w:val="000000"/>
          <w:lang w:eastAsia="it-IT"/>
        </w:rPr>
        <w:t xml:space="preserve">? </w:t>
      </w:r>
    </w:p>
    <w:p w:rsidR="004B491D" w:rsidRPr="00E81CDF" w:rsidRDefault="00E81CDF" w:rsidP="00C52BFC">
      <w:pPr>
        <w:widowControl w:val="0"/>
        <w:spacing w:after="0" w:line="240" w:lineRule="auto"/>
        <w:jc w:val="both"/>
        <w:rPr>
          <w:rFonts w:eastAsia="Calibri" w:cs="Calibri"/>
          <w:color w:val="000000"/>
          <w:lang w:eastAsia="it-IT"/>
        </w:rPr>
      </w:pPr>
      <w:proofErr w:type="spellStart"/>
      <w:r w:rsidRPr="00E81CDF">
        <w:t>Flugenix</w:t>
      </w:r>
      <w:proofErr w:type="spellEnd"/>
      <w:r w:rsidR="004B491D" w:rsidRPr="00E81CDF">
        <w:t xml:space="preserve"> </w:t>
      </w:r>
      <w:r w:rsidR="004241AC" w:rsidRPr="00E81CDF">
        <w:rPr>
          <w:rFonts w:eastAsia="Calibri" w:cs="Calibri"/>
          <w:color w:val="000000"/>
          <w:lang w:eastAsia="it-IT"/>
        </w:rPr>
        <w:t xml:space="preserve">è un medicinale contenente </w:t>
      </w:r>
      <w:r w:rsidR="00062636" w:rsidRPr="00E81CDF">
        <w:rPr>
          <w:rFonts w:eastAsia="Calibri" w:cs="Calibri"/>
          <w:color w:val="000000"/>
          <w:lang w:eastAsia="it-IT"/>
        </w:rPr>
        <w:t>i</w:t>
      </w:r>
      <w:r w:rsidR="00520FDC" w:rsidRPr="00E81CDF">
        <w:rPr>
          <w:rFonts w:eastAsia="Calibri" w:cs="Calibri"/>
          <w:color w:val="000000"/>
          <w:lang w:eastAsia="it-IT"/>
        </w:rPr>
        <w:t>l</w:t>
      </w:r>
      <w:r w:rsidR="004241AC" w:rsidRPr="00E81CDF">
        <w:rPr>
          <w:rFonts w:eastAsia="Calibri" w:cs="Calibri"/>
          <w:color w:val="000000"/>
          <w:lang w:eastAsia="it-IT"/>
        </w:rPr>
        <w:t xml:space="preserve"> principi</w:t>
      </w:r>
      <w:r w:rsidR="00520FDC" w:rsidRPr="00E81CDF">
        <w:rPr>
          <w:rFonts w:eastAsia="Calibri" w:cs="Calibri"/>
          <w:color w:val="000000"/>
          <w:lang w:eastAsia="it-IT"/>
        </w:rPr>
        <w:t>o</w:t>
      </w:r>
      <w:r w:rsidR="004241AC" w:rsidRPr="00E81CDF">
        <w:rPr>
          <w:rFonts w:eastAsia="Calibri" w:cs="Calibri"/>
          <w:color w:val="000000"/>
          <w:lang w:eastAsia="it-IT"/>
        </w:rPr>
        <w:t xml:space="preserve"> attiv</w:t>
      </w:r>
      <w:r w:rsidR="00520FDC" w:rsidRPr="00E81CDF">
        <w:rPr>
          <w:rFonts w:eastAsia="Calibri" w:cs="Calibri"/>
          <w:color w:val="000000"/>
          <w:lang w:eastAsia="it-IT"/>
        </w:rPr>
        <w:t>o</w:t>
      </w:r>
      <w:r w:rsidR="004241AC" w:rsidRPr="00E81CDF">
        <w:rPr>
          <w:rFonts w:eastAsia="Calibri" w:cs="Calibri"/>
          <w:color w:val="000000"/>
          <w:lang w:eastAsia="it-IT"/>
        </w:rPr>
        <w:t xml:space="preserve"> </w:t>
      </w:r>
      <w:proofErr w:type="spellStart"/>
      <w:r w:rsidR="004B491D" w:rsidRPr="00E81CDF">
        <w:rPr>
          <w:rFonts w:eastAsia="Calibri" w:cs="Calibri"/>
          <w:color w:val="000000"/>
          <w:lang w:eastAsia="it-IT"/>
        </w:rPr>
        <w:t>fluticasone</w:t>
      </w:r>
      <w:proofErr w:type="spellEnd"/>
      <w:r w:rsidR="004B491D" w:rsidRPr="00E81CDF">
        <w:rPr>
          <w:rFonts w:eastAsia="Calibri" w:cs="Calibri"/>
          <w:color w:val="000000"/>
          <w:lang w:eastAsia="it-IT"/>
        </w:rPr>
        <w:t xml:space="preserve"> </w:t>
      </w:r>
      <w:proofErr w:type="spellStart"/>
      <w:r w:rsidR="004B491D" w:rsidRPr="00E81CDF">
        <w:rPr>
          <w:rFonts w:eastAsia="Calibri" w:cs="Calibri"/>
          <w:color w:val="000000"/>
          <w:lang w:eastAsia="it-IT"/>
        </w:rPr>
        <w:t>propi</w:t>
      </w:r>
      <w:r w:rsidR="008C7E97">
        <w:rPr>
          <w:rFonts w:eastAsia="Calibri" w:cs="Calibri"/>
          <w:color w:val="000000"/>
          <w:lang w:eastAsia="it-IT"/>
        </w:rPr>
        <w:t>o</w:t>
      </w:r>
      <w:r w:rsidR="004B491D" w:rsidRPr="00E81CDF">
        <w:rPr>
          <w:rFonts w:eastAsia="Calibri" w:cs="Calibri"/>
          <w:color w:val="000000"/>
          <w:lang w:eastAsia="it-IT"/>
        </w:rPr>
        <w:t>nato</w:t>
      </w:r>
      <w:proofErr w:type="spellEnd"/>
      <w:r w:rsidR="004B491D" w:rsidRPr="00E81CDF">
        <w:rPr>
          <w:rFonts w:eastAsia="Calibri" w:cs="Calibri"/>
          <w:color w:val="000000"/>
          <w:lang w:eastAsia="it-IT"/>
        </w:rPr>
        <w:t xml:space="preserve"> </w:t>
      </w:r>
      <w:r w:rsidR="00B75EA4" w:rsidRPr="00E81CDF">
        <w:rPr>
          <w:rFonts w:eastAsia="Calibri" w:cs="Calibri"/>
          <w:color w:val="000000"/>
          <w:lang w:eastAsia="it-IT"/>
        </w:rPr>
        <w:t xml:space="preserve">ed </w:t>
      </w:r>
      <w:r w:rsidR="004241AC" w:rsidRPr="00E81CDF">
        <w:rPr>
          <w:rFonts w:eastAsia="Calibri" w:cs="Calibri"/>
          <w:color w:val="000000"/>
          <w:lang w:eastAsia="it-IT"/>
        </w:rPr>
        <w:t xml:space="preserve">è disponibile </w:t>
      </w:r>
      <w:r w:rsidR="004923EE" w:rsidRPr="00E81CDF">
        <w:rPr>
          <w:rFonts w:eastAsia="Calibri" w:cs="Calibri"/>
          <w:color w:val="000000"/>
          <w:lang w:eastAsia="it-IT"/>
        </w:rPr>
        <w:t>come</w:t>
      </w:r>
      <w:r w:rsidR="00D1324C" w:rsidRPr="00E81CDF">
        <w:rPr>
          <w:rFonts w:eastAsia="Calibri" w:cs="Calibri"/>
          <w:color w:val="000000"/>
          <w:lang w:eastAsia="it-IT"/>
        </w:rPr>
        <w:t xml:space="preserve"> </w:t>
      </w:r>
      <w:r w:rsidR="00CB28A4" w:rsidRPr="00E81CDF">
        <w:rPr>
          <w:rFonts w:eastAsia="Calibri" w:cs="Calibri"/>
          <w:color w:val="000000"/>
          <w:lang w:eastAsia="it-IT"/>
        </w:rPr>
        <w:t>sospensione da nebulizzare</w:t>
      </w:r>
      <w:r w:rsidR="004241AC" w:rsidRPr="00E81CDF">
        <w:rPr>
          <w:rFonts w:eastAsia="Calibri" w:cs="Calibri"/>
          <w:color w:val="000000"/>
          <w:lang w:eastAsia="it-IT"/>
        </w:rPr>
        <w:t xml:space="preserve"> </w:t>
      </w:r>
      <w:r w:rsidR="004B491D" w:rsidRPr="00E81CDF">
        <w:rPr>
          <w:rFonts w:eastAsia="Calibri" w:cs="Calibri"/>
          <w:color w:val="000000"/>
          <w:lang w:eastAsia="it-IT"/>
        </w:rPr>
        <w:t>all</w:t>
      </w:r>
      <w:r>
        <w:rPr>
          <w:rFonts w:eastAsia="Calibri" w:cs="Calibri"/>
          <w:color w:val="000000"/>
          <w:lang w:eastAsia="it-IT"/>
        </w:rPr>
        <w:t>a</w:t>
      </w:r>
      <w:r w:rsidR="004B491D" w:rsidRPr="00E81CDF">
        <w:rPr>
          <w:rFonts w:eastAsia="Calibri" w:cs="Calibri"/>
          <w:color w:val="000000"/>
          <w:lang w:eastAsia="it-IT"/>
        </w:rPr>
        <w:t xml:space="preserve"> </w:t>
      </w:r>
      <w:r w:rsidR="00DE152F" w:rsidRPr="00E81CDF">
        <w:rPr>
          <w:rFonts w:eastAsia="Calibri" w:cs="Calibri"/>
          <w:color w:val="000000"/>
          <w:lang w:eastAsia="it-IT"/>
        </w:rPr>
        <w:t>concentrazione</w:t>
      </w:r>
      <w:r w:rsidR="004B491D" w:rsidRPr="00E81CDF">
        <w:rPr>
          <w:rFonts w:eastAsia="Calibri" w:cs="Calibri"/>
          <w:color w:val="000000"/>
          <w:lang w:eastAsia="it-IT"/>
        </w:rPr>
        <w:t xml:space="preserve"> di </w:t>
      </w:r>
      <w:r w:rsidR="00CB28A4" w:rsidRPr="00E81CDF">
        <w:rPr>
          <w:rFonts w:eastAsia="Calibri" w:cs="Calibri"/>
          <w:color w:val="000000"/>
          <w:lang w:eastAsia="it-IT"/>
        </w:rPr>
        <w:t xml:space="preserve">500 </w:t>
      </w:r>
      <w:r w:rsidR="004923EE" w:rsidRPr="00E81CDF">
        <w:rPr>
          <w:rFonts w:eastAsia="Calibri" w:cs="Calibri"/>
          <w:color w:val="000000"/>
          <w:lang w:eastAsia="it-IT"/>
        </w:rPr>
        <w:t>microgrammi</w:t>
      </w:r>
      <w:r w:rsidR="004B491D" w:rsidRPr="00E81CDF">
        <w:rPr>
          <w:rFonts w:eastAsia="Calibri" w:cs="Calibri"/>
          <w:color w:val="000000"/>
          <w:lang w:eastAsia="it-IT"/>
        </w:rPr>
        <w:t>/</w:t>
      </w:r>
      <w:r w:rsidR="00CB28A4" w:rsidRPr="00E81CDF">
        <w:rPr>
          <w:rFonts w:eastAsia="Calibri" w:cs="Calibri"/>
          <w:color w:val="000000"/>
          <w:lang w:eastAsia="it-IT"/>
        </w:rPr>
        <w:t>2 ml</w:t>
      </w:r>
      <w:r w:rsidR="00631626" w:rsidRPr="00E81CDF">
        <w:rPr>
          <w:rFonts w:eastAsia="Calibri" w:cs="Calibri"/>
          <w:color w:val="000000"/>
          <w:lang w:eastAsia="it-IT"/>
        </w:rPr>
        <w:t xml:space="preserve"> o</w:t>
      </w:r>
      <w:r>
        <w:rPr>
          <w:rFonts w:eastAsia="Calibri" w:cs="Calibri"/>
          <w:color w:val="000000"/>
          <w:lang w:eastAsia="it-IT"/>
        </w:rPr>
        <w:t xml:space="preserve"> di </w:t>
      </w:r>
      <w:r w:rsidR="00CB28A4" w:rsidRPr="00E81CDF">
        <w:rPr>
          <w:rFonts w:eastAsia="Calibri" w:cs="Calibri"/>
          <w:color w:val="000000"/>
          <w:lang w:eastAsia="it-IT"/>
        </w:rPr>
        <w:t>2</w:t>
      </w:r>
      <w:r>
        <w:rPr>
          <w:rFonts w:eastAsia="Calibri" w:cs="Calibri"/>
          <w:color w:val="000000"/>
          <w:lang w:eastAsia="it-IT"/>
        </w:rPr>
        <w:t xml:space="preserve"> </w:t>
      </w:r>
      <w:r w:rsidR="00CB28A4" w:rsidRPr="00E81CDF">
        <w:rPr>
          <w:rFonts w:eastAsia="Calibri" w:cs="Calibri"/>
          <w:color w:val="000000"/>
          <w:lang w:eastAsia="it-IT"/>
        </w:rPr>
        <w:t>mg</w:t>
      </w:r>
      <w:r w:rsidR="004B491D" w:rsidRPr="00E81CDF">
        <w:rPr>
          <w:rFonts w:eastAsia="Calibri" w:cs="Calibri"/>
          <w:color w:val="000000"/>
          <w:lang w:eastAsia="it-IT"/>
        </w:rPr>
        <w:t>/2</w:t>
      </w:r>
      <w:r>
        <w:rPr>
          <w:rFonts w:eastAsia="Calibri" w:cs="Calibri"/>
          <w:color w:val="000000"/>
          <w:lang w:eastAsia="it-IT"/>
        </w:rPr>
        <w:t xml:space="preserve"> </w:t>
      </w:r>
      <w:r w:rsidR="004B491D" w:rsidRPr="00E81CDF">
        <w:rPr>
          <w:rFonts w:eastAsia="Calibri" w:cs="Calibri"/>
          <w:color w:val="000000"/>
          <w:lang w:eastAsia="it-IT"/>
        </w:rPr>
        <w:t>ml.</w:t>
      </w:r>
    </w:p>
    <w:p w:rsidR="004B491D" w:rsidRDefault="00E81CDF" w:rsidP="00C52BFC">
      <w:pPr>
        <w:widowControl w:val="0"/>
        <w:spacing w:after="0" w:line="240" w:lineRule="auto"/>
        <w:jc w:val="both"/>
        <w:rPr>
          <w:rFonts w:eastAsia="Calibri" w:cs="Calibri"/>
          <w:color w:val="000000"/>
          <w:lang w:eastAsia="it-IT"/>
        </w:rPr>
      </w:pPr>
      <w:proofErr w:type="spellStart"/>
      <w:r w:rsidRPr="00E81CDF">
        <w:rPr>
          <w:rFonts w:eastAsia="Calibri" w:cs="Calibri"/>
          <w:color w:val="000000"/>
          <w:lang w:eastAsia="it-IT"/>
        </w:rPr>
        <w:t>Flugenix</w:t>
      </w:r>
      <w:proofErr w:type="spellEnd"/>
      <w:r w:rsidR="00D34979" w:rsidRPr="00E81CDF">
        <w:rPr>
          <w:rFonts w:eastAsia="Calibri" w:cs="Calibri"/>
          <w:color w:val="000000"/>
          <w:lang w:eastAsia="it-IT"/>
        </w:rPr>
        <w:t xml:space="preserve"> </w:t>
      </w:r>
      <w:r w:rsidR="00013020" w:rsidRPr="00E81CDF">
        <w:rPr>
          <w:rFonts w:eastAsia="Calibri" w:cs="Calibri"/>
          <w:color w:val="000000"/>
          <w:lang w:eastAsia="it-IT"/>
        </w:rPr>
        <w:t>è un “medicinale generico”, cioè è analogo ad un “medicinale di r</w:t>
      </w:r>
      <w:r w:rsidR="00013020" w:rsidRPr="00C52BFC">
        <w:rPr>
          <w:rFonts w:eastAsia="Calibri" w:cs="Calibri"/>
          <w:color w:val="000000"/>
          <w:lang w:eastAsia="it-IT"/>
        </w:rPr>
        <w:t xml:space="preserve">iferimento”, già autorizzato in </w:t>
      </w:r>
      <w:r w:rsidR="00520FDC" w:rsidRPr="00C52BFC">
        <w:rPr>
          <w:rFonts w:eastAsia="Calibri" w:cs="Calibri"/>
          <w:color w:val="000000"/>
          <w:lang w:eastAsia="it-IT"/>
        </w:rPr>
        <w:t>Italia</w:t>
      </w:r>
      <w:r w:rsidR="00013020" w:rsidRPr="00C52BFC">
        <w:rPr>
          <w:rFonts w:eastAsia="Calibri" w:cs="Calibri"/>
          <w:color w:val="000000"/>
          <w:lang w:eastAsia="it-IT"/>
        </w:rPr>
        <w:t>,</w:t>
      </w:r>
      <w:r w:rsidR="004B491D">
        <w:rPr>
          <w:rFonts w:eastAsia="Calibri" w:cs="Calibri"/>
          <w:color w:val="000000"/>
          <w:lang w:eastAsia="it-IT"/>
        </w:rPr>
        <w:t xml:space="preserve"> </w:t>
      </w:r>
      <w:proofErr w:type="spellStart"/>
      <w:r w:rsidR="004B491D">
        <w:rPr>
          <w:rFonts w:eastAsia="Calibri" w:cs="Calibri"/>
          <w:color w:val="000000"/>
          <w:lang w:eastAsia="it-IT"/>
        </w:rPr>
        <w:t>Flixotide</w:t>
      </w:r>
      <w:proofErr w:type="spellEnd"/>
      <w:r w:rsidR="008C7E97">
        <w:rPr>
          <w:rFonts w:eastAsia="Calibri" w:cs="Calibri"/>
          <w:color w:val="000000"/>
          <w:lang w:eastAsia="it-IT"/>
        </w:rPr>
        <w:t>.</w:t>
      </w:r>
    </w:p>
    <w:p w:rsidR="002127C2" w:rsidRPr="00C52BFC" w:rsidRDefault="007079D1" w:rsidP="00C52BFC">
      <w:pPr>
        <w:widowControl w:val="0"/>
        <w:spacing w:after="0" w:line="240" w:lineRule="auto"/>
        <w:jc w:val="both"/>
        <w:rPr>
          <w:rFonts w:eastAsia="Calibri" w:cs="Calibri"/>
          <w:color w:val="000000"/>
          <w:lang w:eastAsia="it-IT"/>
        </w:rPr>
      </w:pPr>
      <w:r>
        <w:rPr>
          <w:rFonts w:eastAsia="Calibri" w:cs="Calibri"/>
          <w:color w:val="000000"/>
          <w:lang w:eastAsia="it-IT"/>
        </w:rPr>
        <w:t>Flugenix</w:t>
      </w:r>
      <w:r w:rsidR="004B491D">
        <w:rPr>
          <w:rFonts w:eastAsia="Calibri" w:cs="Calibri"/>
          <w:color w:val="000000"/>
          <w:lang w:eastAsia="it-IT"/>
        </w:rPr>
        <w:t xml:space="preserve"> </w:t>
      </w:r>
      <w:r w:rsidR="004241AC" w:rsidRPr="00C52BFC">
        <w:rPr>
          <w:rFonts w:eastAsia="Calibri" w:cs="Calibri"/>
          <w:color w:val="000000"/>
          <w:lang w:eastAsia="it-IT"/>
        </w:rPr>
        <w:t xml:space="preserve">si usa per </w:t>
      </w:r>
      <w:r w:rsidR="002127C2" w:rsidRPr="00C52BFC">
        <w:rPr>
          <w:rFonts w:eastAsia="Calibri" w:cs="Calibri"/>
          <w:color w:val="000000"/>
          <w:lang w:eastAsia="it-IT"/>
        </w:rPr>
        <w:t xml:space="preserve">controllo dell'evoluzione della malattia asmatica e delle condizioni di </w:t>
      </w:r>
      <w:proofErr w:type="spellStart"/>
      <w:r w:rsidR="008C7E97">
        <w:rPr>
          <w:rFonts w:eastAsia="Calibri" w:cs="Calibri"/>
          <w:color w:val="000000"/>
          <w:lang w:eastAsia="it-IT"/>
        </w:rPr>
        <w:t>bronco</w:t>
      </w:r>
      <w:r w:rsidR="004923EE">
        <w:rPr>
          <w:rFonts w:eastAsia="Calibri" w:cs="Calibri"/>
          <w:color w:val="000000"/>
          <w:lang w:eastAsia="it-IT"/>
        </w:rPr>
        <w:t>stenosi</w:t>
      </w:r>
      <w:proofErr w:type="spellEnd"/>
      <w:r w:rsidR="004923EE">
        <w:rPr>
          <w:rFonts w:eastAsia="Calibri" w:cs="Calibri"/>
          <w:color w:val="000000"/>
          <w:lang w:eastAsia="it-IT"/>
        </w:rPr>
        <w:t xml:space="preserve"> (restringimento dei bronchi)</w:t>
      </w:r>
      <w:r w:rsidR="002127C2" w:rsidRPr="00C52BFC">
        <w:rPr>
          <w:rFonts w:eastAsia="Calibri" w:cs="Calibri"/>
          <w:color w:val="000000"/>
          <w:lang w:eastAsia="it-IT"/>
        </w:rPr>
        <w:t>.</w:t>
      </w:r>
    </w:p>
    <w:p w:rsidR="004241AC" w:rsidRPr="00C52BFC" w:rsidRDefault="004241AC" w:rsidP="00C52BFC">
      <w:pPr>
        <w:widowControl w:val="0"/>
        <w:spacing w:after="0" w:line="240" w:lineRule="auto"/>
        <w:jc w:val="both"/>
        <w:rPr>
          <w:rFonts w:eastAsia="Calibri" w:cs="Calibri"/>
          <w:color w:val="000000"/>
          <w:lang w:eastAsia="it-IT"/>
        </w:rPr>
      </w:pPr>
    </w:p>
    <w:p w:rsidR="004241AC" w:rsidRPr="00C52BFC" w:rsidRDefault="004241AC" w:rsidP="00C52BFC">
      <w:pPr>
        <w:autoSpaceDE w:val="0"/>
        <w:autoSpaceDN w:val="0"/>
        <w:adjustRightInd w:val="0"/>
        <w:spacing w:after="0" w:line="240" w:lineRule="auto"/>
        <w:jc w:val="both"/>
        <w:rPr>
          <w:rFonts w:eastAsia="Calibri" w:cs="Calibri"/>
          <w:b/>
          <w:bCs/>
          <w:color w:val="000000"/>
          <w:lang w:eastAsia="it-IT"/>
        </w:rPr>
      </w:pPr>
    </w:p>
    <w:p w:rsidR="004241AC" w:rsidRPr="00C52BFC" w:rsidRDefault="004241AC" w:rsidP="00C52BFC">
      <w:pPr>
        <w:autoSpaceDE w:val="0"/>
        <w:autoSpaceDN w:val="0"/>
        <w:adjustRightInd w:val="0"/>
        <w:spacing w:after="0" w:line="240" w:lineRule="auto"/>
        <w:jc w:val="both"/>
        <w:rPr>
          <w:rFonts w:eastAsia="Calibri" w:cs="Calibri"/>
          <w:color w:val="000000"/>
          <w:lang w:eastAsia="it-IT"/>
        </w:rPr>
      </w:pPr>
      <w:r w:rsidRPr="00C52BFC">
        <w:rPr>
          <w:rFonts w:eastAsia="Calibri" w:cs="Calibri"/>
          <w:b/>
          <w:bCs/>
          <w:color w:val="000000"/>
          <w:lang w:eastAsia="it-IT"/>
        </w:rPr>
        <w:t xml:space="preserve">2) COME E’ PRESCRITTO/USATO </w:t>
      </w:r>
      <w:r w:rsidR="007079D1">
        <w:rPr>
          <w:rFonts w:eastAsia="Calibri" w:cs="Calibri"/>
          <w:b/>
          <w:color w:val="000000"/>
          <w:lang w:eastAsia="it-IT"/>
        </w:rPr>
        <w:t>Flugenix</w:t>
      </w:r>
      <w:r w:rsidR="004B491D">
        <w:rPr>
          <w:rFonts w:eastAsia="Calibri" w:cs="Calibri"/>
          <w:b/>
          <w:color w:val="000000"/>
          <w:lang w:eastAsia="it-IT"/>
        </w:rPr>
        <w:t xml:space="preserve"> </w:t>
      </w:r>
      <w:r w:rsidR="00CB28A4" w:rsidRPr="00C52BFC">
        <w:rPr>
          <w:rFonts w:eastAsia="Calibri" w:cs="Calibri"/>
          <w:b/>
          <w:color w:val="000000"/>
          <w:lang w:eastAsia="it-IT"/>
        </w:rPr>
        <w:t xml:space="preserve"> </w:t>
      </w:r>
      <w:r w:rsidRPr="00C52BFC">
        <w:rPr>
          <w:rFonts w:eastAsia="Calibri" w:cs="Calibri"/>
          <w:b/>
          <w:bCs/>
          <w:color w:val="000000"/>
          <w:lang w:eastAsia="it-IT"/>
        </w:rPr>
        <w:t>?</w:t>
      </w:r>
    </w:p>
    <w:p w:rsidR="00B27FD9" w:rsidRPr="00E97CC5" w:rsidRDefault="00E81CDF" w:rsidP="004B491D">
      <w:pPr>
        <w:autoSpaceDE w:val="0"/>
        <w:autoSpaceDN w:val="0"/>
        <w:adjustRightInd w:val="0"/>
        <w:spacing w:after="0" w:line="240" w:lineRule="auto"/>
        <w:jc w:val="both"/>
        <w:rPr>
          <w:rFonts w:eastAsia="Calibri" w:cs="Calibri"/>
          <w:color w:val="000000"/>
          <w:lang w:eastAsia="it-IT"/>
        </w:rPr>
      </w:pPr>
      <w:proofErr w:type="spellStart"/>
      <w:r w:rsidRPr="00E97CC5">
        <w:t>Flugenix</w:t>
      </w:r>
      <w:proofErr w:type="spellEnd"/>
      <w:r w:rsidR="004B491D" w:rsidRPr="00E97CC5">
        <w:t xml:space="preserve"> </w:t>
      </w:r>
      <w:r w:rsidR="004241AC" w:rsidRPr="00E97CC5">
        <w:rPr>
          <w:rFonts w:eastAsia="Calibri" w:cs="Calibri"/>
          <w:color w:val="000000"/>
          <w:lang w:eastAsia="it-IT"/>
        </w:rPr>
        <w:t>può essere ottenuto solo dietro prescrizione da parte del medico (ricetta ripetibile).</w:t>
      </w:r>
    </w:p>
    <w:p w:rsidR="004923EE" w:rsidRPr="00E97CC5" w:rsidRDefault="004923EE" w:rsidP="00E81CDF">
      <w:pPr>
        <w:autoSpaceDE w:val="0"/>
        <w:autoSpaceDN w:val="0"/>
        <w:adjustRightInd w:val="0"/>
        <w:spacing w:after="0" w:line="240" w:lineRule="auto"/>
        <w:jc w:val="both"/>
        <w:rPr>
          <w:rFonts w:eastAsia="Calibri" w:cs="Calibri"/>
          <w:bCs/>
          <w:color w:val="000000"/>
          <w:u w:val="single"/>
          <w:lang w:eastAsia="it-IT"/>
        </w:rPr>
      </w:pPr>
      <w:r w:rsidRPr="00E97CC5">
        <w:rPr>
          <w:rFonts w:ascii="Calibri" w:eastAsia="Calibri" w:hAnsi="Calibri" w:cs="Calibri"/>
          <w:bCs/>
          <w:color w:val="000000"/>
          <w:lang w:eastAsia="it-IT"/>
        </w:rPr>
        <w:t xml:space="preserve">La dose generalmente </w:t>
      </w:r>
      <w:r w:rsidRPr="00E97CC5">
        <w:rPr>
          <w:rFonts w:eastAsia="Calibri" w:cs="Calibri"/>
          <w:bCs/>
          <w:color w:val="000000"/>
          <w:lang w:eastAsia="it-IT"/>
        </w:rPr>
        <w:t xml:space="preserve">raccomandata per gli adulti e gli adolescenti di età superiore a 16 anni è di </w:t>
      </w:r>
      <w:r w:rsidRPr="00E97CC5">
        <w:rPr>
          <w:rFonts w:ascii="Calibri" w:eastAsia="Calibri" w:hAnsi="Calibri" w:cs="Calibri"/>
          <w:bCs/>
          <w:color w:val="000000"/>
          <w:lang w:eastAsia="it-IT"/>
        </w:rPr>
        <w:t xml:space="preserve">250 </w:t>
      </w:r>
      <w:r w:rsidRPr="00E97CC5">
        <w:rPr>
          <w:rFonts w:ascii="Calibri" w:eastAsia="Calibri" w:hAnsi="Calibri" w:cs="Calibri"/>
          <w:color w:val="000000"/>
          <w:lang w:eastAsia="it-IT"/>
        </w:rPr>
        <w:t xml:space="preserve">microgrammi </w:t>
      </w:r>
      <w:r w:rsidRPr="00E97CC5">
        <w:rPr>
          <w:rFonts w:ascii="Calibri" w:eastAsia="Calibri" w:hAnsi="Calibri" w:cs="Calibri"/>
          <w:bCs/>
          <w:color w:val="000000"/>
          <w:lang w:eastAsia="it-IT"/>
        </w:rPr>
        <w:t>2 volte al giorno</w:t>
      </w:r>
      <w:r w:rsidRPr="00E97CC5">
        <w:rPr>
          <w:rFonts w:eastAsia="Calibri" w:cs="Calibri"/>
          <w:bCs/>
          <w:color w:val="000000"/>
          <w:lang w:eastAsia="it-IT"/>
        </w:rPr>
        <w:t>.</w:t>
      </w:r>
      <w:r w:rsidR="00A42B99" w:rsidRPr="00E97CC5">
        <w:rPr>
          <w:rFonts w:eastAsia="Calibri" w:cs="Calibri"/>
          <w:bCs/>
          <w:color w:val="000000"/>
          <w:lang w:eastAsia="it-IT"/>
        </w:rPr>
        <w:t xml:space="preserve"> </w:t>
      </w:r>
      <w:r w:rsidRPr="00E97CC5">
        <w:rPr>
          <w:rFonts w:ascii="Calibri" w:eastAsia="Calibri" w:hAnsi="Calibri" w:cs="Calibri"/>
          <w:bCs/>
          <w:color w:val="000000"/>
          <w:lang w:eastAsia="it-IT"/>
        </w:rPr>
        <w:t>Successivamente il dosaggio deve essere adattato</w:t>
      </w:r>
      <w:r w:rsidR="00E81CDF" w:rsidRPr="00E97CC5">
        <w:rPr>
          <w:rFonts w:eastAsia="Calibri" w:cs="Calibri"/>
          <w:bCs/>
          <w:color w:val="000000"/>
          <w:lang w:eastAsia="it-IT"/>
        </w:rPr>
        <w:t xml:space="preserve"> dal medico in relazione alla gravità della malattia e alla fase della terapia, </w:t>
      </w:r>
      <w:r w:rsidRPr="00E97CC5">
        <w:rPr>
          <w:rFonts w:ascii="Calibri" w:eastAsia="Calibri" w:hAnsi="Calibri" w:cs="Calibri"/>
          <w:bCs/>
          <w:color w:val="000000"/>
          <w:lang w:eastAsia="it-IT"/>
        </w:rPr>
        <w:t xml:space="preserve">aumentandolo </w:t>
      </w:r>
      <w:r w:rsidR="008C7E97">
        <w:rPr>
          <w:rFonts w:ascii="Calibri" w:eastAsia="Calibri" w:hAnsi="Calibri" w:cs="Calibri"/>
          <w:bCs/>
          <w:color w:val="000000"/>
          <w:lang w:eastAsia="it-IT"/>
        </w:rPr>
        <w:t>o</w:t>
      </w:r>
      <w:r w:rsidRPr="00E97CC5">
        <w:rPr>
          <w:rFonts w:ascii="Calibri" w:eastAsia="Calibri" w:hAnsi="Calibri" w:cs="Calibri"/>
          <w:bCs/>
          <w:color w:val="000000"/>
          <w:lang w:eastAsia="it-IT"/>
        </w:rPr>
        <w:t xml:space="preserve"> diminuendolo, fino al raggiungimento del controllo dell'asma </w:t>
      </w:r>
    </w:p>
    <w:p w:rsidR="004923EE" w:rsidRPr="00E97CC5" w:rsidRDefault="004923EE" w:rsidP="004923EE">
      <w:pPr>
        <w:widowControl w:val="0"/>
        <w:autoSpaceDE w:val="0"/>
        <w:autoSpaceDN w:val="0"/>
        <w:adjustRightInd w:val="0"/>
        <w:spacing w:after="0" w:line="240" w:lineRule="auto"/>
        <w:jc w:val="both"/>
        <w:rPr>
          <w:rFonts w:eastAsia="Calibri" w:cs="Calibri"/>
          <w:bCs/>
          <w:color w:val="000000"/>
          <w:lang w:eastAsia="it-IT"/>
        </w:rPr>
      </w:pPr>
      <w:r w:rsidRPr="00E97CC5">
        <w:rPr>
          <w:rFonts w:eastAsia="Calibri" w:cs="Calibri"/>
          <w:bCs/>
          <w:color w:val="000000"/>
          <w:lang w:eastAsia="it-IT"/>
        </w:rPr>
        <w:t>Per i bambini e gli adolescenti di età</w:t>
      </w:r>
      <w:r w:rsidR="00E81CDF" w:rsidRPr="00E97CC5">
        <w:rPr>
          <w:rFonts w:eastAsia="Calibri" w:cs="Calibri"/>
          <w:bCs/>
          <w:color w:val="000000"/>
          <w:lang w:eastAsia="it-IT"/>
        </w:rPr>
        <w:t xml:space="preserve"> inferiore a 16 anni</w:t>
      </w:r>
      <w:r w:rsidRPr="00E97CC5">
        <w:rPr>
          <w:rFonts w:eastAsia="Calibri" w:cs="Calibri"/>
          <w:bCs/>
          <w:color w:val="000000"/>
          <w:lang w:eastAsia="it-IT"/>
        </w:rPr>
        <w:t xml:space="preserve"> le dosi possono essere ridotte</w:t>
      </w:r>
      <w:r w:rsidR="00E97CC5" w:rsidRPr="00E97CC5">
        <w:rPr>
          <w:rFonts w:eastAsia="Calibri" w:cs="Calibri"/>
          <w:bCs/>
          <w:color w:val="000000"/>
          <w:lang w:eastAsia="it-IT"/>
        </w:rPr>
        <w:t>.</w:t>
      </w:r>
    </w:p>
    <w:p w:rsidR="002127C2" w:rsidRPr="00C52BFC" w:rsidRDefault="007079D1" w:rsidP="00C52BFC">
      <w:pPr>
        <w:tabs>
          <w:tab w:val="left" w:pos="0"/>
        </w:tabs>
        <w:spacing w:after="0" w:line="240" w:lineRule="auto"/>
        <w:jc w:val="both"/>
      </w:pPr>
      <w:proofErr w:type="spellStart"/>
      <w:r w:rsidRPr="00E97CC5">
        <w:rPr>
          <w:rFonts w:eastAsia="Calibri"/>
        </w:rPr>
        <w:t>Flugenix</w:t>
      </w:r>
      <w:proofErr w:type="spellEnd"/>
      <w:r w:rsidR="004B491D" w:rsidRPr="00E97CC5">
        <w:rPr>
          <w:rFonts w:eastAsia="Calibri"/>
        </w:rPr>
        <w:t xml:space="preserve"> </w:t>
      </w:r>
      <w:r w:rsidR="009A54E9" w:rsidRPr="00E97CC5">
        <w:rPr>
          <w:rFonts w:eastAsia="Calibri"/>
        </w:rPr>
        <w:t xml:space="preserve">deve essere </w:t>
      </w:r>
      <w:r w:rsidR="00CC2147" w:rsidRPr="00E97CC5">
        <w:rPr>
          <w:rFonts w:eastAsia="Calibri"/>
        </w:rPr>
        <w:t>assunto</w:t>
      </w:r>
      <w:r w:rsidR="009A54E9" w:rsidRPr="00E97CC5">
        <w:rPr>
          <w:rFonts w:eastAsia="Calibri"/>
        </w:rPr>
        <w:t xml:space="preserve"> mediante aerosol generato da un nebulizzatore </w:t>
      </w:r>
      <w:r w:rsidR="009A54E9" w:rsidRPr="00E97CC5">
        <w:rPr>
          <w:lang w:eastAsia="it-IT"/>
        </w:rPr>
        <w:t xml:space="preserve">a funzionamento pneumatico (JET) </w:t>
      </w:r>
      <w:r w:rsidR="008C7E97">
        <w:rPr>
          <w:lang w:eastAsia="it-IT"/>
        </w:rPr>
        <w:t>con</w:t>
      </w:r>
      <w:r w:rsidR="009A54E9" w:rsidRPr="00E97CC5">
        <w:rPr>
          <w:lang w:eastAsia="it-IT"/>
        </w:rPr>
        <w:t xml:space="preserve"> l’uso di un inalatore b</w:t>
      </w:r>
      <w:r w:rsidR="00E81CDF" w:rsidRPr="00E97CC5">
        <w:rPr>
          <w:lang w:eastAsia="it-IT"/>
        </w:rPr>
        <w:t>u</w:t>
      </w:r>
      <w:r w:rsidR="009A54E9" w:rsidRPr="00E97CC5">
        <w:rPr>
          <w:lang w:eastAsia="it-IT"/>
        </w:rPr>
        <w:t>ccale; non è raccomandato l’uso di nebulizzatori ad ultrasuoni.</w:t>
      </w:r>
      <w:r w:rsidR="009A54E9" w:rsidRPr="00C52BFC">
        <w:rPr>
          <w:lang w:eastAsia="it-IT"/>
        </w:rPr>
        <w:t xml:space="preserve"> </w:t>
      </w:r>
    </w:p>
    <w:p w:rsidR="00E81CDF" w:rsidRDefault="00E81CDF" w:rsidP="00C52BFC">
      <w:pPr>
        <w:autoSpaceDE w:val="0"/>
        <w:autoSpaceDN w:val="0"/>
        <w:adjustRightInd w:val="0"/>
        <w:spacing w:after="0" w:line="240" w:lineRule="auto"/>
        <w:jc w:val="both"/>
        <w:rPr>
          <w:rFonts w:eastAsia="Calibri" w:cs="Verdana"/>
          <w:color w:val="000000"/>
          <w:lang w:eastAsia="it-IT"/>
        </w:rPr>
      </w:pPr>
    </w:p>
    <w:p w:rsidR="00E81CDF" w:rsidRDefault="00E81CDF" w:rsidP="00C52BFC">
      <w:pPr>
        <w:autoSpaceDE w:val="0"/>
        <w:autoSpaceDN w:val="0"/>
        <w:adjustRightInd w:val="0"/>
        <w:spacing w:after="0" w:line="240" w:lineRule="auto"/>
        <w:jc w:val="both"/>
        <w:rPr>
          <w:rFonts w:eastAsia="Calibri" w:cs="Verdana"/>
          <w:color w:val="000000"/>
          <w:lang w:eastAsia="it-IT"/>
        </w:rPr>
      </w:pPr>
    </w:p>
    <w:p w:rsidR="008C7E97" w:rsidRDefault="008C7E97" w:rsidP="00C52BFC">
      <w:pPr>
        <w:autoSpaceDE w:val="0"/>
        <w:autoSpaceDN w:val="0"/>
        <w:adjustRightInd w:val="0"/>
        <w:spacing w:after="0" w:line="240" w:lineRule="auto"/>
        <w:jc w:val="both"/>
        <w:rPr>
          <w:rFonts w:eastAsia="Calibri" w:cs="Verdana"/>
          <w:color w:val="000000"/>
          <w:lang w:eastAsia="it-IT"/>
        </w:rPr>
      </w:pPr>
    </w:p>
    <w:p w:rsidR="004241AC" w:rsidRPr="00927103" w:rsidRDefault="004241AC" w:rsidP="00C52BFC">
      <w:pPr>
        <w:autoSpaceDE w:val="0"/>
        <w:autoSpaceDN w:val="0"/>
        <w:adjustRightInd w:val="0"/>
        <w:spacing w:after="0" w:line="240" w:lineRule="auto"/>
        <w:jc w:val="both"/>
        <w:rPr>
          <w:rFonts w:eastAsia="Calibri" w:cs="Calibri"/>
          <w:color w:val="000000"/>
          <w:lang w:eastAsia="it-IT"/>
        </w:rPr>
      </w:pPr>
      <w:r w:rsidRPr="00927103">
        <w:rPr>
          <w:rFonts w:eastAsia="Calibri" w:cs="Calibri"/>
          <w:b/>
          <w:bCs/>
          <w:color w:val="000000"/>
          <w:lang w:eastAsia="it-IT"/>
        </w:rPr>
        <w:lastRenderedPageBreak/>
        <w:t xml:space="preserve">3) COME FUNZIONA </w:t>
      </w:r>
      <w:proofErr w:type="spellStart"/>
      <w:r w:rsidR="007079D1">
        <w:rPr>
          <w:rFonts w:eastAsia="Calibri" w:cs="Calibri"/>
          <w:b/>
          <w:color w:val="000000"/>
          <w:lang w:eastAsia="it-IT"/>
        </w:rPr>
        <w:t>Flugenix</w:t>
      </w:r>
      <w:proofErr w:type="spellEnd"/>
      <w:r w:rsidRPr="00927103">
        <w:rPr>
          <w:rFonts w:eastAsia="Calibri" w:cs="Calibri"/>
          <w:b/>
          <w:bCs/>
          <w:color w:val="000000"/>
          <w:lang w:eastAsia="it-IT"/>
        </w:rPr>
        <w:t xml:space="preserve">? </w:t>
      </w:r>
    </w:p>
    <w:p w:rsidR="004241AC" w:rsidRPr="00927103" w:rsidRDefault="007079D1" w:rsidP="004923EE">
      <w:pPr>
        <w:spacing w:after="0" w:line="240" w:lineRule="auto"/>
        <w:jc w:val="both"/>
        <w:rPr>
          <w:rFonts w:eastAsia="DejaVuSans" w:cs="DejaVuSans"/>
        </w:rPr>
      </w:pPr>
      <w:proofErr w:type="spellStart"/>
      <w:r>
        <w:rPr>
          <w:rFonts w:eastAsia="Calibri" w:cs="Calibri"/>
          <w:color w:val="000000"/>
          <w:lang w:eastAsia="it-IT"/>
        </w:rPr>
        <w:t>Flugenix</w:t>
      </w:r>
      <w:proofErr w:type="spellEnd"/>
      <w:r w:rsidR="00E81CDF">
        <w:rPr>
          <w:rFonts w:eastAsia="Calibri" w:cs="Calibri"/>
          <w:color w:val="000000"/>
          <w:lang w:eastAsia="it-IT"/>
        </w:rPr>
        <w:t>,</w:t>
      </w:r>
      <w:r w:rsidR="005A2741" w:rsidRPr="00927103">
        <w:rPr>
          <w:rFonts w:eastAsia="Calibri" w:cs="Calibri"/>
          <w:bCs/>
          <w:color w:val="000000"/>
          <w:lang w:eastAsia="it-IT"/>
        </w:rPr>
        <w:t xml:space="preserve"> </w:t>
      </w:r>
      <w:r w:rsidR="005A2741" w:rsidRPr="00927103">
        <w:rPr>
          <w:snapToGrid w:val="0"/>
        </w:rPr>
        <w:t>il cui codice ATC</w:t>
      </w:r>
      <w:r w:rsidR="00CC2147" w:rsidRPr="00927103">
        <w:rPr>
          <w:snapToGrid w:val="0"/>
        </w:rPr>
        <w:t xml:space="preserve"> è </w:t>
      </w:r>
      <w:r w:rsidR="004923EE">
        <w:rPr>
          <w:snapToGrid w:val="0"/>
        </w:rPr>
        <w:t>R03BA05,</w:t>
      </w:r>
      <w:r w:rsidR="004B491D" w:rsidRPr="00927103">
        <w:rPr>
          <w:rFonts w:eastAsia="Calibri" w:cs="Calibri"/>
          <w:color w:val="000000"/>
          <w:lang w:eastAsia="it-IT"/>
        </w:rPr>
        <w:t xml:space="preserve"> contiene il principio attivo </w:t>
      </w:r>
      <w:proofErr w:type="spellStart"/>
      <w:r w:rsidR="004B491D" w:rsidRPr="00927103">
        <w:rPr>
          <w:snapToGrid w:val="0"/>
        </w:rPr>
        <w:t>fluticasone</w:t>
      </w:r>
      <w:proofErr w:type="spellEnd"/>
      <w:r w:rsidR="004B491D" w:rsidRPr="00927103">
        <w:rPr>
          <w:snapToGrid w:val="0"/>
        </w:rPr>
        <w:t xml:space="preserve"> </w:t>
      </w:r>
      <w:proofErr w:type="spellStart"/>
      <w:r w:rsidR="004B491D" w:rsidRPr="00927103">
        <w:rPr>
          <w:snapToGrid w:val="0"/>
        </w:rPr>
        <w:t>propi</w:t>
      </w:r>
      <w:r w:rsidR="00E81CDF">
        <w:rPr>
          <w:snapToGrid w:val="0"/>
        </w:rPr>
        <w:t>o</w:t>
      </w:r>
      <w:r w:rsidR="004B491D" w:rsidRPr="00927103">
        <w:rPr>
          <w:snapToGrid w:val="0"/>
        </w:rPr>
        <w:t>nato</w:t>
      </w:r>
      <w:proofErr w:type="spellEnd"/>
      <w:r w:rsidR="00D34979">
        <w:rPr>
          <w:snapToGrid w:val="0"/>
        </w:rPr>
        <w:t xml:space="preserve"> </w:t>
      </w:r>
      <w:r w:rsidR="004923EE" w:rsidRPr="00F80399">
        <w:rPr>
          <w:snapToGrid w:val="0"/>
        </w:rPr>
        <w:t xml:space="preserve">che ha </w:t>
      </w:r>
      <w:r w:rsidR="004923EE" w:rsidRPr="00F80399">
        <w:rPr>
          <w:rFonts w:cs="Arial"/>
        </w:rPr>
        <w:t>attività antiinfiammatoria a livello dei polmoni</w:t>
      </w:r>
      <w:r w:rsidR="004923EE">
        <w:rPr>
          <w:rFonts w:cs="Arial"/>
        </w:rPr>
        <w:t xml:space="preserve"> e dei bronchi</w:t>
      </w:r>
      <w:r w:rsidR="004923EE" w:rsidRPr="00F80399">
        <w:rPr>
          <w:rFonts w:cs="Arial"/>
        </w:rPr>
        <w:t>, riducendo la sintomatologia e gli episodi di riacutizzazione dell'asma</w:t>
      </w:r>
      <w:r w:rsidR="00E81CDF">
        <w:rPr>
          <w:rFonts w:cs="Arial"/>
        </w:rPr>
        <w:t>.</w:t>
      </w:r>
    </w:p>
    <w:p w:rsidR="004241AC" w:rsidRDefault="004241AC" w:rsidP="00C52BFC">
      <w:pPr>
        <w:tabs>
          <w:tab w:val="left" w:pos="0"/>
        </w:tabs>
        <w:overflowPunct w:val="0"/>
        <w:autoSpaceDE w:val="0"/>
        <w:autoSpaceDN w:val="0"/>
        <w:adjustRightInd w:val="0"/>
        <w:spacing w:after="0" w:line="240" w:lineRule="auto"/>
        <w:jc w:val="both"/>
        <w:textAlignment w:val="baseline"/>
        <w:rPr>
          <w:iCs/>
        </w:rPr>
      </w:pPr>
    </w:p>
    <w:p w:rsidR="00E81CDF" w:rsidRPr="00927103" w:rsidRDefault="00E81CDF" w:rsidP="00C52BFC">
      <w:pPr>
        <w:tabs>
          <w:tab w:val="left" w:pos="0"/>
        </w:tabs>
        <w:overflowPunct w:val="0"/>
        <w:autoSpaceDE w:val="0"/>
        <w:autoSpaceDN w:val="0"/>
        <w:adjustRightInd w:val="0"/>
        <w:spacing w:after="0" w:line="240" w:lineRule="auto"/>
        <w:jc w:val="both"/>
        <w:textAlignment w:val="baseline"/>
        <w:rPr>
          <w:iCs/>
        </w:rPr>
      </w:pPr>
    </w:p>
    <w:p w:rsidR="004241AC" w:rsidRPr="00927103" w:rsidRDefault="004241AC" w:rsidP="00C52BFC">
      <w:pPr>
        <w:autoSpaceDE w:val="0"/>
        <w:autoSpaceDN w:val="0"/>
        <w:adjustRightInd w:val="0"/>
        <w:spacing w:after="0" w:line="240" w:lineRule="auto"/>
        <w:jc w:val="both"/>
        <w:rPr>
          <w:rFonts w:eastAsia="Calibri" w:cs="Calibri"/>
          <w:lang w:eastAsia="it-IT"/>
        </w:rPr>
      </w:pPr>
      <w:r w:rsidRPr="00927103">
        <w:rPr>
          <w:rFonts w:eastAsia="Calibri" w:cs="Calibri"/>
          <w:b/>
          <w:bCs/>
          <w:lang w:eastAsia="it-IT"/>
        </w:rPr>
        <w:t xml:space="preserve">4) COME È STATO STUDIATO </w:t>
      </w:r>
      <w:r w:rsidR="007079D1">
        <w:rPr>
          <w:rFonts w:eastAsia="Calibri" w:cs="Calibri"/>
          <w:b/>
          <w:color w:val="000000"/>
          <w:lang w:eastAsia="it-IT"/>
        </w:rPr>
        <w:t>Flugenix</w:t>
      </w:r>
      <w:r w:rsidR="00CB28A4" w:rsidRPr="00927103">
        <w:rPr>
          <w:rFonts w:eastAsia="Calibri" w:cs="Calibri"/>
          <w:b/>
          <w:color w:val="000000"/>
          <w:lang w:eastAsia="it-IT"/>
        </w:rPr>
        <w:t xml:space="preserve"> </w:t>
      </w:r>
      <w:r w:rsidR="005A2741" w:rsidRPr="00927103">
        <w:rPr>
          <w:rFonts w:eastAsia="Calibri" w:cs="Calibri"/>
          <w:b/>
          <w:bCs/>
          <w:color w:val="000000"/>
          <w:lang w:eastAsia="it-IT"/>
        </w:rPr>
        <w:t xml:space="preserve">? </w:t>
      </w:r>
      <w:r w:rsidRPr="00927103">
        <w:rPr>
          <w:rFonts w:eastAsia="Calibri" w:cs="Calibri"/>
          <w:b/>
          <w:bCs/>
          <w:lang w:eastAsia="it-IT"/>
        </w:rPr>
        <w:t xml:space="preserve"> </w:t>
      </w:r>
    </w:p>
    <w:p w:rsidR="004241AC" w:rsidRDefault="004241AC" w:rsidP="00BF3E11">
      <w:pPr>
        <w:spacing w:after="0" w:line="240" w:lineRule="auto"/>
        <w:jc w:val="both"/>
        <w:rPr>
          <w:rFonts w:cs="Arial"/>
        </w:rPr>
      </w:pPr>
      <w:r w:rsidRPr="00927103">
        <w:rPr>
          <w:rFonts w:cs="Arial"/>
        </w:rPr>
        <w:t xml:space="preserve">Poiché </w:t>
      </w:r>
      <w:proofErr w:type="spellStart"/>
      <w:r w:rsidR="007079D1">
        <w:rPr>
          <w:rFonts w:eastAsia="Calibri" w:cs="Calibri"/>
          <w:color w:val="000000"/>
          <w:lang w:eastAsia="it-IT"/>
        </w:rPr>
        <w:t>Flugenix</w:t>
      </w:r>
      <w:proofErr w:type="spellEnd"/>
      <w:r w:rsidR="005A2741" w:rsidRPr="00927103">
        <w:rPr>
          <w:rFonts w:eastAsia="Calibri" w:cs="Calibri"/>
          <w:bCs/>
          <w:color w:val="000000"/>
          <w:lang w:eastAsia="it-IT"/>
        </w:rPr>
        <w:t xml:space="preserve"> </w:t>
      </w:r>
      <w:r w:rsidR="00013020" w:rsidRPr="00927103">
        <w:rPr>
          <w:rFonts w:cs="Arial"/>
        </w:rPr>
        <w:t xml:space="preserve">è </w:t>
      </w:r>
      <w:proofErr w:type="spellStart"/>
      <w:r w:rsidR="00BF3E11" w:rsidRPr="00927103">
        <w:rPr>
          <w:rFonts w:cs="Arial"/>
        </w:rPr>
        <w:t>è</w:t>
      </w:r>
      <w:proofErr w:type="spellEnd"/>
      <w:r w:rsidR="00BF3E11" w:rsidRPr="00927103">
        <w:rPr>
          <w:rFonts w:cs="Arial"/>
        </w:rPr>
        <w:t xml:space="preserve"> un medicinale generico, </w:t>
      </w:r>
      <w:r w:rsidR="00BF3E11" w:rsidRPr="00DE152F">
        <w:rPr>
          <w:rFonts w:cs="Arial"/>
        </w:rPr>
        <w:t xml:space="preserve">somministrato </w:t>
      </w:r>
      <w:r w:rsidR="00BF3E11">
        <w:rPr>
          <w:rFonts w:cs="Arial"/>
        </w:rPr>
        <w:t>come sospensione da nebulizzare e con</w:t>
      </w:r>
      <w:r w:rsidR="00BF3E11" w:rsidRPr="00DE152F">
        <w:rPr>
          <w:rFonts w:cs="Arial"/>
        </w:rPr>
        <w:t xml:space="preserve"> la stessa composizione e</w:t>
      </w:r>
      <w:r w:rsidR="00BF3E11">
        <w:rPr>
          <w:rFonts w:cs="Arial"/>
        </w:rPr>
        <w:t xml:space="preserve"> </w:t>
      </w:r>
      <w:r w:rsidR="00BF3E11" w:rsidRPr="00DE152F">
        <w:rPr>
          <w:rFonts w:cs="Arial"/>
        </w:rPr>
        <w:t>le stesse caratteristiche chimico-fisiche del medicinale di rifer</w:t>
      </w:r>
      <w:r w:rsidR="00BF3E11">
        <w:rPr>
          <w:rFonts w:cs="Arial"/>
        </w:rPr>
        <w:t xml:space="preserve">imento, </w:t>
      </w:r>
      <w:r w:rsidR="00BF3E11" w:rsidRPr="00927103">
        <w:rPr>
          <w:rFonts w:cs="Arial"/>
        </w:rPr>
        <w:t>non è stato necessario effettuare ulteriori studi clinici.</w:t>
      </w:r>
    </w:p>
    <w:p w:rsidR="00BF3E11" w:rsidRPr="00927103" w:rsidRDefault="00BF3E11" w:rsidP="00BF3E11">
      <w:pPr>
        <w:spacing w:after="0" w:line="240" w:lineRule="auto"/>
        <w:jc w:val="both"/>
        <w:rPr>
          <w:rFonts w:eastAsia="Calibri" w:cs="Calibri"/>
          <w:lang w:eastAsia="it-IT"/>
        </w:rPr>
      </w:pPr>
    </w:p>
    <w:p w:rsidR="004241AC" w:rsidRPr="00927103" w:rsidRDefault="004241AC" w:rsidP="00C52BFC">
      <w:pPr>
        <w:autoSpaceDE w:val="0"/>
        <w:autoSpaceDN w:val="0"/>
        <w:adjustRightInd w:val="0"/>
        <w:spacing w:after="0" w:line="240" w:lineRule="auto"/>
        <w:jc w:val="both"/>
        <w:rPr>
          <w:rFonts w:eastAsia="Calibri" w:cs="Calibri"/>
          <w:lang w:eastAsia="it-IT"/>
        </w:rPr>
      </w:pPr>
    </w:p>
    <w:p w:rsidR="005A2741" w:rsidRPr="00927103" w:rsidRDefault="004241AC" w:rsidP="00C52BFC">
      <w:pPr>
        <w:autoSpaceDE w:val="0"/>
        <w:autoSpaceDN w:val="0"/>
        <w:adjustRightInd w:val="0"/>
        <w:spacing w:after="0" w:line="240" w:lineRule="auto"/>
        <w:jc w:val="both"/>
        <w:rPr>
          <w:rFonts w:eastAsia="Calibri" w:cs="Calibri"/>
          <w:b/>
          <w:bCs/>
          <w:color w:val="000000"/>
          <w:lang w:eastAsia="it-IT"/>
        </w:rPr>
      </w:pPr>
      <w:r w:rsidRPr="00927103">
        <w:rPr>
          <w:rFonts w:eastAsia="Calibri" w:cs="Calibri"/>
          <w:b/>
          <w:bCs/>
          <w:lang w:eastAsia="it-IT"/>
        </w:rPr>
        <w:t xml:space="preserve">5) QUAL È IL RAPPORTO BENEFICIO/RISCHIO di </w:t>
      </w:r>
      <w:r w:rsidR="007079D1">
        <w:rPr>
          <w:rFonts w:eastAsia="Calibri" w:cs="Calibri"/>
          <w:b/>
          <w:color w:val="000000"/>
          <w:lang w:eastAsia="it-IT"/>
        </w:rPr>
        <w:t>Flugenix</w:t>
      </w:r>
      <w:r w:rsidR="005A2741" w:rsidRPr="00927103">
        <w:rPr>
          <w:rFonts w:eastAsia="Calibri" w:cs="Calibri"/>
          <w:b/>
          <w:bCs/>
          <w:color w:val="000000"/>
          <w:lang w:eastAsia="it-IT"/>
        </w:rPr>
        <w:t xml:space="preserve">? </w:t>
      </w:r>
    </w:p>
    <w:p w:rsidR="004241AC" w:rsidRPr="00C52BFC" w:rsidRDefault="007079D1" w:rsidP="00C52BFC">
      <w:pPr>
        <w:autoSpaceDE w:val="0"/>
        <w:autoSpaceDN w:val="0"/>
        <w:adjustRightInd w:val="0"/>
        <w:spacing w:after="0" w:line="240" w:lineRule="auto"/>
        <w:jc w:val="both"/>
        <w:rPr>
          <w:rFonts w:eastAsia="Calibri" w:cs="Calibri"/>
          <w:lang w:eastAsia="it-IT"/>
        </w:rPr>
      </w:pPr>
      <w:r>
        <w:rPr>
          <w:rFonts w:eastAsia="Calibri" w:cs="Calibri"/>
          <w:color w:val="000000"/>
          <w:lang w:eastAsia="it-IT"/>
        </w:rPr>
        <w:t>Flugenix</w:t>
      </w:r>
      <w:r w:rsidR="00927103">
        <w:rPr>
          <w:rFonts w:eastAsia="Calibri" w:cs="Calibri"/>
          <w:color w:val="000000"/>
          <w:lang w:eastAsia="it-IT"/>
        </w:rPr>
        <w:t xml:space="preserve"> </w:t>
      </w:r>
      <w:r w:rsidR="004241AC" w:rsidRPr="00927103">
        <w:rPr>
          <w:rFonts w:eastAsia="Calibri" w:cs="Calibri"/>
          <w:lang w:eastAsia="it-IT"/>
        </w:rPr>
        <w:t xml:space="preserve">è un medicinale </w:t>
      </w:r>
      <w:r w:rsidR="00013020" w:rsidRPr="00927103">
        <w:rPr>
          <w:rFonts w:eastAsia="Calibri" w:cs="Calibri"/>
          <w:lang w:eastAsia="it-IT"/>
        </w:rPr>
        <w:t xml:space="preserve">generico ed è </w:t>
      </w:r>
      <w:proofErr w:type="spellStart"/>
      <w:r w:rsidR="004923EE">
        <w:rPr>
          <w:rFonts w:eastAsia="Calibri" w:cs="Calibri"/>
          <w:lang w:eastAsia="it-IT"/>
        </w:rPr>
        <w:t>b</w:t>
      </w:r>
      <w:r w:rsidR="00D34979">
        <w:rPr>
          <w:rFonts w:eastAsia="Calibri" w:cs="Calibri"/>
          <w:lang w:eastAsia="it-IT"/>
        </w:rPr>
        <w:t>ioequivalente</w:t>
      </w:r>
      <w:proofErr w:type="spellEnd"/>
      <w:r w:rsidR="00D34979">
        <w:rPr>
          <w:rFonts w:eastAsia="Calibri" w:cs="Calibri"/>
          <w:lang w:eastAsia="it-IT"/>
        </w:rPr>
        <w:t xml:space="preserve"> </w:t>
      </w:r>
      <w:r w:rsidR="00013020" w:rsidRPr="00927103">
        <w:rPr>
          <w:rFonts w:eastAsia="Calibri" w:cs="Calibri"/>
          <w:lang w:eastAsia="it-IT"/>
        </w:rPr>
        <w:t>al medicinale di riferimento</w:t>
      </w:r>
      <w:r w:rsidR="004349A2" w:rsidRPr="00927103">
        <w:rPr>
          <w:rFonts w:eastAsia="Calibri" w:cs="Calibri"/>
          <w:lang w:eastAsia="it-IT"/>
        </w:rPr>
        <w:t>; pertanto,</w:t>
      </w:r>
      <w:r w:rsidR="004241AC" w:rsidRPr="00927103">
        <w:rPr>
          <w:rFonts w:eastAsia="Calibri" w:cs="Calibri"/>
          <w:lang w:eastAsia="it-IT"/>
        </w:rPr>
        <w:t xml:space="preserve"> </w:t>
      </w:r>
      <w:r w:rsidR="00013020" w:rsidRPr="00927103">
        <w:rPr>
          <w:rFonts w:eastAsia="Calibri" w:cs="Calibri"/>
          <w:lang w:eastAsia="it-IT"/>
        </w:rPr>
        <w:t>i suoi</w:t>
      </w:r>
      <w:r w:rsidR="004241AC" w:rsidRPr="00927103">
        <w:rPr>
          <w:rFonts w:eastAsia="Calibri" w:cs="Calibri"/>
          <w:lang w:eastAsia="it-IT"/>
        </w:rPr>
        <w:t xml:space="preserve"> benefici e rischi sono sovrapponibili a quelli de</w:t>
      </w:r>
      <w:r w:rsidR="00013020" w:rsidRPr="00927103">
        <w:rPr>
          <w:rFonts w:eastAsia="Calibri" w:cs="Calibri"/>
          <w:lang w:eastAsia="it-IT"/>
        </w:rPr>
        <w:t>l</w:t>
      </w:r>
      <w:r w:rsidR="004241AC" w:rsidRPr="00927103">
        <w:rPr>
          <w:rFonts w:eastAsia="Calibri" w:cs="Calibri"/>
          <w:lang w:eastAsia="it-IT"/>
        </w:rPr>
        <w:t xml:space="preserve"> medicinal</w:t>
      </w:r>
      <w:r w:rsidR="00013020" w:rsidRPr="00927103">
        <w:rPr>
          <w:rFonts w:eastAsia="Calibri" w:cs="Calibri"/>
          <w:lang w:eastAsia="it-IT"/>
        </w:rPr>
        <w:t>e</w:t>
      </w:r>
      <w:r w:rsidR="004241AC" w:rsidRPr="00927103">
        <w:rPr>
          <w:rFonts w:eastAsia="Calibri" w:cs="Calibri"/>
          <w:lang w:eastAsia="it-IT"/>
        </w:rPr>
        <w:t xml:space="preserve"> di riferimento.</w:t>
      </w:r>
      <w:r w:rsidR="004241AC" w:rsidRPr="00C52BFC">
        <w:rPr>
          <w:rFonts w:eastAsia="Calibri" w:cs="Calibri"/>
          <w:lang w:eastAsia="it-IT"/>
        </w:rPr>
        <w:t xml:space="preserve"> </w:t>
      </w:r>
    </w:p>
    <w:p w:rsidR="004241AC" w:rsidRPr="00C52BFC" w:rsidRDefault="004241AC" w:rsidP="00C52BFC">
      <w:pPr>
        <w:autoSpaceDE w:val="0"/>
        <w:autoSpaceDN w:val="0"/>
        <w:adjustRightInd w:val="0"/>
        <w:spacing w:after="0" w:line="240" w:lineRule="auto"/>
        <w:jc w:val="both"/>
        <w:rPr>
          <w:rFonts w:eastAsia="Calibri" w:cs="Calibri"/>
          <w:lang w:eastAsia="it-IT"/>
        </w:rPr>
      </w:pPr>
    </w:p>
    <w:p w:rsidR="004241AC" w:rsidRPr="00C52BFC" w:rsidRDefault="004241AC" w:rsidP="00C52BFC">
      <w:pPr>
        <w:autoSpaceDE w:val="0"/>
        <w:autoSpaceDN w:val="0"/>
        <w:adjustRightInd w:val="0"/>
        <w:spacing w:after="0" w:line="240" w:lineRule="auto"/>
        <w:jc w:val="both"/>
        <w:rPr>
          <w:rFonts w:eastAsia="Calibri" w:cs="Calibri"/>
          <w:lang w:eastAsia="it-IT"/>
        </w:rPr>
      </w:pPr>
    </w:p>
    <w:p w:rsidR="004241AC" w:rsidRPr="00927103" w:rsidRDefault="004241AC" w:rsidP="00C52BFC">
      <w:pPr>
        <w:autoSpaceDE w:val="0"/>
        <w:autoSpaceDN w:val="0"/>
        <w:adjustRightInd w:val="0"/>
        <w:spacing w:after="0" w:line="240" w:lineRule="auto"/>
        <w:jc w:val="both"/>
        <w:rPr>
          <w:rFonts w:eastAsia="Calibri" w:cs="Calibri"/>
          <w:lang w:eastAsia="it-IT"/>
        </w:rPr>
      </w:pPr>
      <w:r w:rsidRPr="00C52BFC">
        <w:rPr>
          <w:rFonts w:eastAsia="Calibri" w:cs="Calibri"/>
          <w:b/>
          <w:bCs/>
          <w:lang w:eastAsia="it-IT"/>
        </w:rPr>
        <w:t xml:space="preserve">6) </w:t>
      </w:r>
      <w:r w:rsidRPr="00927103">
        <w:rPr>
          <w:rFonts w:eastAsia="Calibri" w:cs="Calibri"/>
          <w:b/>
          <w:bCs/>
          <w:lang w:eastAsia="it-IT"/>
        </w:rPr>
        <w:t xml:space="preserve">PERCHE’ </w:t>
      </w:r>
      <w:r w:rsidR="007079D1">
        <w:rPr>
          <w:rFonts w:eastAsia="Calibri" w:cs="Calibri"/>
          <w:b/>
          <w:color w:val="000000"/>
          <w:lang w:eastAsia="it-IT"/>
        </w:rPr>
        <w:t>Flugenix</w:t>
      </w:r>
      <w:r w:rsidR="005A2741" w:rsidRPr="00927103">
        <w:rPr>
          <w:rFonts w:eastAsia="Calibri" w:cs="Calibri"/>
          <w:b/>
          <w:bCs/>
          <w:color w:val="000000"/>
          <w:lang w:eastAsia="it-IT"/>
        </w:rPr>
        <w:t xml:space="preserve"> </w:t>
      </w:r>
      <w:r w:rsidRPr="00927103">
        <w:rPr>
          <w:rFonts w:eastAsia="Calibri" w:cs="Calibri"/>
          <w:b/>
          <w:bCs/>
          <w:lang w:eastAsia="it-IT"/>
        </w:rPr>
        <w:t xml:space="preserve">E’ STATO APPROVATO? </w:t>
      </w:r>
    </w:p>
    <w:p w:rsidR="004241AC" w:rsidRPr="00927103" w:rsidRDefault="004241AC" w:rsidP="00C52BFC">
      <w:pPr>
        <w:autoSpaceDE w:val="0"/>
        <w:autoSpaceDN w:val="0"/>
        <w:adjustRightInd w:val="0"/>
        <w:spacing w:after="0" w:line="240" w:lineRule="auto"/>
        <w:jc w:val="both"/>
        <w:rPr>
          <w:rFonts w:eastAsia="Calibri" w:cs="Calibri"/>
          <w:b/>
          <w:bCs/>
          <w:lang w:eastAsia="it-IT"/>
        </w:rPr>
      </w:pPr>
      <w:r w:rsidRPr="00927103">
        <w:rPr>
          <w:rFonts w:eastAsia="Calibri" w:cs="Calibri"/>
          <w:lang w:eastAsia="it-IT"/>
        </w:rPr>
        <w:t xml:space="preserve">La Commissione Tecnico Scientifica (CTS), nella seduta del </w:t>
      </w:r>
      <w:r w:rsidR="00CC2147" w:rsidRPr="00927103">
        <w:rPr>
          <w:rFonts w:eastAsia="Calibri" w:cs="Calibri"/>
          <w:lang w:eastAsia="it-IT"/>
        </w:rPr>
        <w:t xml:space="preserve">16-18 </w:t>
      </w:r>
      <w:r w:rsidR="008C7E97">
        <w:rPr>
          <w:rFonts w:eastAsia="Calibri" w:cs="Calibri"/>
          <w:lang w:eastAsia="it-IT"/>
        </w:rPr>
        <w:t>f</w:t>
      </w:r>
      <w:r w:rsidR="00CC2147" w:rsidRPr="00927103">
        <w:rPr>
          <w:rFonts w:eastAsia="Calibri" w:cs="Calibri"/>
          <w:lang w:eastAsia="it-IT"/>
        </w:rPr>
        <w:t>ebbraio 2015</w:t>
      </w:r>
      <w:r w:rsidR="00CC2147" w:rsidRPr="00927103">
        <w:rPr>
          <w:rFonts w:eastAsia="Calibri" w:cs="Calibri"/>
          <w:b/>
          <w:lang w:eastAsia="it-IT"/>
        </w:rPr>
        <w:t>,</w:t>
      </w:r>
      <w:r w:rsidR="00695003" w:rsidRPr="00927103">
        <w:rPr>
          <w:rFonts w:eastAsia="Calibri" w:cs="Calibri"/>
          <w:b/>
          <w:lang w:eastAsia="it-IT"/>
        </w:rPr>
        <w:t xml:space="preserve"> </w:t>
      </w:r>
      <w:r w:rsidRPr="00927103">
        <w:rPr>
          <w:rFonts w:eastAsia="Calibri" w:cs="Calibri"/>
          <w:lang w:eastAsia="it-IT"/>
        </w:rPr>
        <w:t xml:space="preserve">ha concluso che, conformemente ai requisiti della normativa vigente, come nel caso </w:t>
      </w:r>
      <w:r w:rsidR="00D20170" w:rsidRPr="00927103">
        <w:rPr>
          <w:rFonts w:eastAsia="Calibri" w:cs="Calibri"/>
          <w:lang w:eastAsia="it-IT"/>
        </w:rPr>
        <w:t>del</w:t>
      </w:r>
      <w:r w:rsidRPr="00927103">
        <w:rPr>
          <w:rFonts w:eastAsia="Calibri" w:cs="Calibri"/>
          <w:lang w:eastAsia="it-IT"/>
        </w:rPr>
        <w:t xml:space="preserve"> medicinal</w:t>
      </w:r>
      <w:r w:rsidR="00D20170" w:rsidRPr="00927103">
        <w:rPr>
          <w:rFonts w:eastAsia="Calibri" w:cs="Calibri"/>
          <w:lang w:eastAsia="it-IT"/>
        </w:rPr>
        <w:t>e</w:t>
      </w:r>
      <w:r w:rsidRPr="00927103">
        <w:rPr>
          <w:rFonts w:eastAsia="Calibri" w:cs="Calibri"/>
          <w:lang w:eastAsia="it-IT"/>
        </w:rPr>
        <w:t xml:space="preserve"> di riferimento </w:t>
      </w:r>
      <w:r w:rsidR="00CC2147" w:rsidRPr="00927103">
        <w:rPr>
          <w:rFonts w:eastAsia="Calibri" w:cs="Calibri"/>
          <w:color w:val="000000"/>
          <w:lang w:eastAsia="it-IT"/>
        </w:rPr>
        <w:t>F</w:t>
      </w:r>
      <w:r w:rsidR="00927103" w:rsidRPr="00927103">
        <w:rPr>
          <w:rFonts w:eastAsia="Calibri" w:cs="Calibri"/>
          <w:color w:val="000000"/>
          <w:lang w:eastAsia="it-IT"/>
        </w:rPr>
        <w:t>lixotide</w:t>
      </w:r>
      <w:r w:rsidRPr="00927103">
        <w:rPr>
          <w:rFonts w:eastAsia="Calibri" w:cs="Calibri"/>
          <w:lang w:eastAsia="it-IT"/>
        </w:rPr>
        <w:t xml:space="preserve">, i benefici di </w:t>
      </w:r>
      <w:r w:rsidR="007079D1">
        <w:rPr>
          <w:rFonts w:eastAsia="Calibri" w:cs="Calibri"/>
          <w:color w:val="000000"/>
          <w:lang w:eastAsia="it-IT"/>
        </w:rPr>
        <w:t>Flugenix</w:t>
      </w:r>
      <w:r w:rsidR="005A2741" w:rsidRPr="00927103">
        <w:rPr>
          <w:rFonts w:eastAsia="Calibri" w:cs="Calibri"/>
          <w:color w:val="000000"/>
          <w:lang w:eastAsia="it-IT"/>
        </w:rPr>
        <w:t xml:space="preserve"> </w:t>
      </w:r>
      <w:r w:rsidRPr="00927103">
        <w:rPr>
          <w:rFonts w:eastAsia="Calibri" w:cs="Calibri"/>
          <w:lang w:eastAsia="it-IT"/>
        </w:rPr>
        <w:t>siano superiori ai rischi individuati. La CTS ha, inoltre, definito le modalità di prescrizione di cui al punto 2) di questo Riassunto e la classe di rimborsabilità d</w:t>
      </w:r>
      <w:r w:rsidRPr="00DC45B0">
        <w:rPr>
          <w:rFonts w:eastAsia="Calibri" w:cs="Calibri"/>
          <w:lang w:eastAsia="it-IT"/>
        </w:rPr>
        <w:t>el medicinale</w:t>
      </w:r>
      <w:r w:rsidR="00D20170" w:rsidRPr="00DC45B0">
        <w:rPr>
          <w:rFonts w:eastAsia="Calibri" w:cs="Calibri"/>
          <w:lang w:eastAsia="it-IT"/>
        </w:rPr>
        <w:t xml:space="preserve"> </w:t>
      </w:r>
      <w:r w:rsidRPr="00DC45B0">
        <w:rPr>
          <w:rFonts w:eastAsia="Calibri" w:cs="Calibri"/>
          <w:lang w:eastAsia="it-IT"/>
        </w:rPr>
        <w:t>(</w:t>
      </w:r>
      <w:r w:rsidR="00D20170" w:rsidRPr="00DC45B0">
        <w:rPr>
          <w:rFonts w:eastAsia="Calibri" w:cs="Calibri"/>
          <w:lang w:eastAsia="it-IT"/>
        </w:rPr>
        <w:t>A</w:t>
      </w:r>
      <w:r w:rsidR="00CC2147" w:rsidRPr="00DC45B0">
        <w:rPr>
          <w:rFonts w:eastAsia="Calibri" w:cs="Calibri"/>
          <w:lang w:eastAsia="it-IT"/>
        </w:rPr>
        <w:t>)</w:t>
      </w:r>
    </w:p>
    <w:p w:rsidR="004241AC" w:rsidRDefault="004241AC" w:rsidP="00C52BFC">
      <w:pPr>
        <w:autoSpaceDE w:val="0"/>
        <w:autoSpaceDN w:val="0"/>
        <w:adjustRightInd w:val="0"/>
        <w:spacing w:after="0" w:line="240" w:lineRule="auto"/>
        <w:jc w:val="both"/>
        <w:rPr>
          <w:rFonts w:eastAsia="Calibri" w:cs="Calibri"/>
          <w:b/>
          <w:bCs/>
          <w:lang w:eastAsia="it-IT"/>
        </w:rPr>
      </w:pPr>
    </w:p>
    <w:p w:rsidR="00DE152F" w:rsidRPr="00927103" w:rsidRDefault="00DE152F" w:rsidP="00C52BFC">
      <w:pPr>
        <w:autoSpaceDE w:val="0"/>
        <w:autoSpaceDN w:val="0"/>
        <w:adjustRightInd w:val="0"/>
        <w:spacing w:after="0" w:line="240" w:lineRule="auto"/>
        <w:jc w:val="both"/>
        <w:rPr>
          <w:rFonts w:eastAsia="Calibri" w:cs="Calibri"/>
          <w:b/>
          <w:bCs/>
          <w:lang w:eastAsia="it-IT"/>
        </w:rPr>
      </w:pPr>
    </w:p>
    <w:p w:rsidR="004241AC" w:rsidRPr="00927103" w:rsidRDefault="004241AC" w:rsidP="00C52BFC">
      <w:pPr>
        <w:autoSpaceDE w:val="0"/>
        <w:autoSpaceDN w:val="0"/>
        <w:adjustRightInd w:val="0"/>
        <w:spacing w:after="0" w:line="240" w:lineRule="auto"/>
        <w:jc w:val="both"/>
        <w:rPr>
          <w:rFonts w:eastAsia="Calibri" w:cs="Calibri"/>
          <w:lang w:eastAsia="it-IT"/>
        </w:rPr>
      </w:pPr>
      <w:r w:rsidRPr="00927103">
        <w:rPr>
          <w:rFonts w:eastAsia="Calibri" w:cs="Calibri"/>
          <w:b/>
          <w:bCs/>
          <w:lang w:eastAsia="it-IT"/>
        </w:rPr>
        <w:t xml:space="preserve">7) QUALI MISURE SONO STATE PRESE PER ASSICURARE LA SICUREZZA E L’EFFICACIA NELL’USO </w:t>
      </w:r>
      <w:proofErr w:type="spellStart"/>
      <w:r w:rsidRPr="00927103">
        <w:rPr>
          <w:rFonts w:eastAsia="Calibri" w:cs="Calibri"/>
          <w:b/>
          <w:bCs/>
          <w:lang w:eastAsia="it-IT"/>
        </w:rPr>
        <w:t>DI</w:t>
      </w:r>
      <w:proofErr w:type="spellEnd"/>
      <w:r w:rsidRPr="00927103">
        <w:rPr>
          <w:rFonts w:eastAsia="Calibri" w:cs="Calibri"/>
          <w:b/>
          <w:bCs/>
          <w:lang w:eastAsia="it-IT"/>
        </w:rPr>
        <w:t xml:space="preserve"> </w:t>
      </w:r>
      <w:proofErr w:type="spellStart"/>
      <w:r w:rsidR="00DE152F">
        <w:rPr>
          <w:rFonts w:eastAsia="Calibri" w:cs="Calibri"/>
          <w:b/>
          <w:color w:val="000000"/>
          <w:lang w:eastAsia="it-IT"/>
        </w:rPr>
        <w:t>Flugenix</w:t>
      </w:r>
      <w:proofErr w:type="spellEnd"/>
      <w:r w:rsidR="005A2741" w:rsidRPr="00927103">
        <w:rPr>
          <w:rFonts w:eastAsia="Calibri" w:cs="Calibri"/>
          <w:b/>
          <w:bCs/>
          <w:color w:val="000000"/>
          <w:lang w:eastAsia="it-IT"/>
        </w:rPr>
        <w:t>?</w:t>
      </w:r>
    </w:p>
    <w:p w:rsidR="004241AC" w:rsidRPr="00927103" w:rsidRDefault="004241AC" w:rsidP="00C52BFC">
      <w:pPr>
        <w:autoSpaceDE w:val="0"/>
        <w:autoSpaceDN w:val="0"/>
        <w:adjustRightInd w:val="0"/>
        <w:spacing w:after="0" w:line="240" w:lineRule="auto"/>
        <w:jc w:val="both"/>
        <w:rPr>
          <w:rFonts w:eastAsia="Calibri" w:cs="Calibri"/>
          <w:lang w:eastAsia="it-IT"/>
        </w:rPr>
      </w:pPr>
      <w:r w:rsidRPr="00927103">
        <w:rPr>
          <w:rFonts w:eastAsia="Calibri" w:cs="Calibri"/>
          <w:lang w:eastAsia="it-IT"/>
        </w:rPr>
        <w:t xml:space="preserve">Il </w:t>
      </w:r>
      <w:r w:rsidR="00D34979">
        <w:rPr>
          <w:rFonts w:eastAsia="Calibri" w:cs="Calibri"/>
          <w:lang w:eastAsia="it-IT"/>
        </w:rPr>
        <w:t>titolare</w:t>
      </w:r>
      <w:r w:rsidRPr="00927103">
        <w:rPr>
          <w:rFonts w:eastAsia="Calibri" w:cs="Calibri"/>
          <w:lang w:eastAsia="it-IT"/>
        </w:rPr>
        <w:t xml:space="preserv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7079D1">
        <w:rPr>
          <w:rFonts w:eastAsia="Calibri" w:cs="Calibri"/>
          <w:color w:val="000000"/>
          <w:lang w:eastAsia="it-IT"/>
        </w:rPr>
        <w:t>Flugenix</w:t>
      </w:r>
      <w:r w:rsidR="00927103">
        <w:rPr>
          <w:rFonts w:eastAsia="Calibri" w:cs="Calibri"/>
          <w:color w:val="000000"/>
          <w:lang w:eastAsia="it-IT"/>
        </w:rPr>
        <w:t>.</w:t>
      </w:r>
    </w:p>
    <w:p w:rsidR="004241AC" w:rsidRPr="00927103" w:rsidRDefault="004241AC" w:rsidP="00C52BFC">
      <w:pPr>
        <w:autoSpaceDE w:val="0"/>
        <w:autoSpaceDN w:val="0"/>
        <w:adjustRightInd w:val="0"/>
        <w:spacing w:after="0" w:line="240" w:lineRule="auto"/>
        <w:jc w:val="both"/>
        <w:rPr>
          <w:rFonts w:eastAsia="Calibri" w:cs="Calibri"/>
          <w:lang w:eastAsia="it-IT"/>
        </w:rPr>
      </w:pPr>
    </w:p>
    <w:p w:rsidR="004241AC" w:rsidRPr="00927103" w:rsidRDefault="004241AC" w:rsidP="00C52BFC">
      <w:pPr>
        <w:autoSpaceDE w:val="0"/>
        <w:autoSpaceDN w:val="0"/>
        <w:adjustRightInd w:val="0"/>
        <w:spacing w:after="0" w:line="240" w:lineRule="auto"/>
        <w:jc w:val="both"/>
        <w:rPr>
          <w:rFonts w:eastAsia="Calibri" w:cs="Calibri"/>
          <w:lang w:eastAsia="it-IT"/>
        </w:rPr>
      </w:pPr>
    </w:p>
    <w:p w:rsidR="005A2741" w:rsidRPr="00927103" w:rsidRDefault="004241AC" w:rsidP="00C52BFC">
      <w:pPr>
        <w:autoSpaceDE w:val="0"/>
        <w:autoSpaceDN w:val="0"/>
        <w:adjustRightInd w:val="0"/>
        <w:spacing w:after="0" w:line="240" w:lineRule="auto"/>
        <w:jc w:val="both"/>
        <w:rPr>
          <w:rFonts w:eastAsia="Calibri" w:cs="Calibri"/>
          <w:b/>
          <w:bCs/>
          <w:color w:val="000000"/>
          <w:lang w:eastAsia="it-IT"/>
        </w:rPr>
      </w:pPr>
      <w:r w:rsidRPr="00927103">
        <w:rPr>
          <w:rFonts w:eastAsia="Calibri" w:cs="Calibri"/>
          <w:b/>
          <w:bCs/>
          <w:lang w:eastAsia="it-IT"/>
        </w:rPr>
        <w:t xml:space="preserve">8) ALTRE INFORMAZIONI RELATIVE A </w:t>
      </w:r>
      <w:r w:rsidR="007079D1">
        <w:rPr>
          <w:rFonts w:eastAsia="Calibri" w:cs="Calibri"/>
          <w:b/>
          <w:color w:val="000000"/>
          <w:lang w:eastAsia="it-IT"/>
        </w:rPr>
        <w:t>FLUGENIX</w:t>
      </w:r>
      <w:r w:rsidR="004B491D" w:rsidRPr="00927103">
        <w:rPr>
          <w:rFonts w:eastAsia="Calibri" w:cs="Calibri"/>
          <w:b/>
          <w:color w:val="000000"/>
          <w:lang w:eastAsia="it-IT"/>
        </w:rPr>
        <w:t xml:space="preserve">     </w:t>
      </w:r>
      <w:r w:rsidR="00CB28A4" w:rsidRPr="00927103">
        <w:rPr>
          <w:rFonts w:eastAsia="Calibri" w:cs="Calibri"/>
          <w:b/>
          <w:color w:val="000000"/>
          <w:lang w:eastAsia="it-IT"/>
        </w:rPr>
        <w:t xml:space="preserve"> </w:t>
      </w:r>
    </w:p>
    <w:p w:rsidR="004241AC" w:rsidRPr="00927103" w:rsidRDefault="004241AC" w:rsidP="00D34979">
      <w:pPr>
        <w:autoSpaceDE w:val="0"/>
        <w:autoSpaceDN w:val="0"/>
        <w:adjustRightInd w:val="0"/>
        <w:spacing w:after="0" w:line="240" w:lineRule="auto"/>
        <w:jc w:val="both"/>
        <w:rPr>
          <w:rFonts w:eastAsia="Calibri" w:cs="Calibri"/>
          <w:bCs/>
          <w:lang w:eastAsia="it-IT"/>
        </w:rPr>
      </w:pPr>
      <w:r w:rsidRPr="00927103">
        <w:rPr>
          <w:rFonts w:eastAsia="Calibri" w:cs="Calibri"/>
          <w:bCs/>
          <w:iCs/>
          <w:lang w:eastAsia="it-IT"/>
        </w:rPr>
        <w:t xml:space="preserve">Il </w:t>
      </w:r>
      <w:r w:rsidR="00DC45B0">
        <w:rPr>
          <w:rFonts w:eastAsia="Calibri" w:cs="Calibri"/>
          <w:bCs/>
          <w:iCs/>
          <w:lang w:eastAsia="it-IT"/>
        </w:rPr>
        <w:t>6 giugno 2016</w:t>
      </w:r>
      <w:r w:rsidR="00A642C7" w:rsidRPr="00927103">
        <w:rPr>
          <w:rFonts w:eastAsia="Calibri" w:cs="Calibri"/>
          <w:bCs/>
          <w:iCs/>
          <w:lang w:eastAsia="it-IT"/>
        </w:rPr>
        <w:t xml:space="preserve"> </w:t>
      </w:r>
      <w:r w:rsidRPr="00927103">
        <w:rPr>
          <w:rFonts w:eastAsia="Calibri" w:cs="Calibri"/>
          <w:bCs/>
          <w:iCs/>
          <w:lang w:eastAsia="it-IT"/>
        </w:rPr>
        <w:t xml:space="preserve"> l’AIFA ha rilasciato l’autorizzazione all’immissione in commercio di </w:t>
      </w:r>
      <w:r w:rsidR="007079D1">
        <w:rPr>
          <w:rFonts w:eastAsia="Calibri" w:cs="Calibri"/>
          <w:color w:val="000000"/>
          <w:lang w:eastAsia="it-IT"/>
        </w:rPr>
        <w:t>Flugenix</w:t>
      </w:r>
      <w:r w:rsidR="00631626" w:rsidRPr="00927103">
        <w:rPr>
          <w:rFonts w:eastAsia="Calibri" w:cs="Calibri"/>
          <w:color w:val="000000"/>
          <w:lang w:eastAsia="it-IT"/>
        </w:rPr>
        <w:t>.</w:t>
      </w:r>
    </w:p>
    <w:p w:rsidR="00DE152F" w:rsidRDefault="00DE152F" w:rsidP="00D34979">
      <w:pPr>
        <w:autoSpaceDE w:val="0"/>
        <w:autoSpaceDN w:val="0"/>
        <w:adjustRightInd w:val="0"/>
        <w:spacing w:after="0" w:line="240" w:lineRule="auto"/>
        <w:jc w:val="both"/>
        <w:rPr>
          <w:rFonts w:eastAsia="Calibri" w:cs="Calibri"/>
          <w:lang w:eastAsia="it-IT"/>
        </w:rPr>
      </w:pPr>
    </w:p>
    <w:p w:rsidR="008C7E97" w:rsidRDefault="008C7E97" w:rsidP="008C7E97">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C52BFC" w:rsidRDefault="004241AC" w:rsidP="00D34979">
      <w:pPr>
        <w:autoSpaceDE w:val="0"/>
        <w:autoSpaceDN w:val="0"/>
        <w:adjustRightInd w:val="0"/>
        <w:spacing w:after="0" w:line="240" w:lineRule="auto"/>
        <w:jc w:val="both"/>
        <w:rPr>
          <w:rFonts w:eastAsia="Calibri" w:cs="Calibri"/>
          <w:lang w:eastAsia="it-IT"/>
        </w:rPr>
      </w:pPr>
      <w:r w:rsidRPr="00927103">
        <w:rPr>
          <w:rFonts w:eastAsia="Calibri" w:cs="Calibri"/>
          <w:lang w:eastAsia="it-IT"/>
        </w:rPr>
        <w:t xml:space="preserve">Per maggiori informazioni riguardo il trattamento con </w:t>
      </w:r>
      <w:proofErr w:type="spellStart"/>
      <w:r w:rsidR="007079D1">
        <w:rPr>
          <w:rFonts w:eastAsia="Calibri" w:cs="Calibri"/>
          <w:color w:val="000000"/>
          <w:lang w:eastAsia="it-IT"/>
        </w:rPr>
        <w:t>F</w:t>
      </w:r>
      <w:r w:rsidR="008C7E97">
        <w:rPr>
          <w:rFonts w:eastAsia="Calibri" w:cs="Calibri"/>
          <w:color w:val="000000"/>
          <w:lang w:eastAsia="it-IT"/>
        </w:rPr>
        <w:t>lugenix</w:t>
      </w:r>
      <w:proofErr w:type="spellEnd"/>
      <w:r w:rsidR="00D34979">
        <w:rPr>
          <w:rFonts w:eastAsia="Calibri" w:cs="Calibri"/>
          <w:color w:val="000000"/>
          <w:lang w:eastAsia="it-IT"/>
        </w:rPr>
        <w:t xml:space="preserve"> </w:t>
      </w:r>
      <w:r w:rsidRPr="00927103">
        <w:rPr>
          <w:rFonts w:eastAsia="Calibri" w:cs="Calibri"/>
          <w:lang w:eastAsia="it-IT"/>
        </w:rPr>
        <w:t>si può leggere il foglio illustrativo</w:t>
      </w:r>
      <w:r w:rsidR="00D20170" w:rsidRPr="00927103">
        <w:rPr>
          <w:rFonts w:eastAsia="Calibri" w:cs="Calibri"/>
          <w:lang w:eastAsia="it-IT"/>
        </w:rPr>
        <w:t xml:space="preserve"> </w:t>
      </w:r>
      <w:r w:rsidR="00B75EA4" w:rsidRPr="00927103">
        <w:rPr>
          <w:rFonts w:eastAsia="Calibri" w:cs="Calibri"/>
          <w:lang w:eastAsia="it-IT"/>
        </w:rPr>
        <w:t>(</w:t>
      </w:r>
      <w:hyperlink r:id="rId6" w:history="1">
        <w:r w:rsidR="00B75EA4" w:rsidRPr="00927103">
          <w:rPr>
            <w:rStyle w:val="Collegamentoipertestuale"/>
            <w:rFonts w:eastAsia="Calibri" w:cs="Calibri"/>
            <w:lang w:eastAsia="it-IT"/>
          </w:rPr>
          <w:t>https://farmaci.agenziafarmaco.gov.it/bancadatifarmaci</w:t>
        </w:r>
      </w:hyperlink>
      <w:r w:rsidR="00B75EA4" w:rsidRPr="00927103">
        <w:rPr>
          <w:rFonts w:eastAsia="Calibri" w:cs="Calibri"/>
          <w:lang w:eastAsia="it-IT"/>
        </w:rPr>
        <w:t xml:space="preserve">) </w:t>
      </w:r>
      <w:r w:rsidRPr="00927103">
        <w:rPr>
          <w:rFonts w:eastAsia="Calibri" w:cs="Calibri"/>
          <w:lang w:eastAsia="it-IT"/>
        </w:rPr>
        <w:t xml:space="preserve">o contattare il medico o </w:t>
      </w:r>
      <w:r w:rsidR="00FA55B0" w:rsidRPr="00927103">
        <w:rPr>
          <w:rFonts w:eastAsia="Calibri" w:cs="Calibri"/>
          <w:lang w:eastAsia="it-IT"/>
        </w:rPr>
        <w:t xml:space="preserve">il </w:t>
      </w:r>
      <w:r w:rsidRPr="00927103">
        <w:rPr>
          <w:rFonts w:eastAsia="Calibri" w:cs="Calibri"/>
          <w:lang w:eastAsia="it-IT"/>
        </w:rPr>
        <w:t>farmacista.</w:t>
      </w:r>
      <w:r w:rsidRPr="00C52BFC">
        <w:rPr>
          <w:rFonts w:eastAsia="Calibri" w:cs="Calibri"/>
          <w:lang w:eastAsia="it-IT"/>
        </w:rPr>
        <w:t xml:space="preserve"> </w:t>
      </w:r>
    </w:p>
    <w:p w:rsidR="004241AC" w:rsidRPr="00C52BFC" w:rsidRDefault="004241AC" w:rsidP="00D34979">
      <w:pPr>
        <w:spacing w:after="0" w:line="240" w:lineRule="auto"/>
        <w:jc w:val="both"/>
        <w:rPr>
          <w:rFonts w:eastAsia="Calibri" w:cs="Calibri"/>
          <w:lang w:eastAsia="it-IT"/>
        </w:rPr>
      </w:pPr>
    </w:p>
    <w:p w:rsidR="004241AC" w:rsidRPr="00C52BFC" w:rsidRDefault="004241AC" w:rsidP="00D34979">
      <w:pPr>
        <w:spacing w:after="0" w:line="240" w:lineRule="auto"/>
        <w:jc w:val="both"/>
        <w:rPr>
          <w:rFonts w:eastAsia="Calibri" w:cs="Calibri"/>
          <w:lang w:eastAsia="it-IT"/>
        </w:rPr>
      </w:pPr>
    </w:p>
    <w:p w:rsidR="004241AC" w:rsidRPr="00C52BFC" w:rsidRDefault="004241AC" w:rsidP="00D34979">
      <w:pPr>
        <w:spacing w:after="0" w:line="240" w:lineRule="auto"/>
        <w:jc w:val="both"/>
        <w:rPr>
          <w:rFonts w:eastAsia="Calibri" w:cs="Calibri"/>
          <w:lang w:eastAsia="it-IT"/>
        </w:rPr>
      </w:pPr>
      <w:r w:rsidRPr="00C52BFC">
        <w:rPr>
          <w:rFonts w:eastAsia="Calibri" w:cs="Calibri"/>
          <w:lang w:eastAsia="it-IT"/>
        </w:rPr>
        <w:t xml:space="preserve">Questo riassunto è stato redatto in </w:t>
      </w:r>
      <w:r w:rsidRPr="00FF7CE4">
        <w:rPr>
          <w:rFonts w:eastAsia="Calibri" w:cs="Calibri"/>
          <w:lang w:eastAsia="it-IT"/>
        </w:rPr>
        <w:t xml:space="preserve">data </w:t>
      </w:r>
      <w:r w:rsidR="008C7E97">
        <w:rPr>
          <w:rFonts w:eastAsia="Calibri" w:cs="Calibri"/>
          <w:lang w:eastAsia="it-IT"/>
        </w:rPr>
        <w:t>20.11.2015</w:t>
      </w:r>
      <w:r w:rsidR="00927103" w:rsidRPr="00FF7CE4">
        <w:rPr>
          <w:rFonts w:eastAsia="Calibri" w:cs="Calibri"/>
          <w:lang w:eastAsia="it-IT"/>
        </w:rPr>
        <w:t>.</w:t>
      </w:r>
    </w:p>
    <w:p w:rsidR="004241AC" w:rsidRPr="00C52BFC" w:rsidRDefault="004241AC" w:rsidP="00D34979">
      <w:pPr>
        <w:spacing w:after="0" w:line="240" w:lineRule="auto"/>
        <w:jc w:val="both"/>
      </w:pPr>
    </w:p>
    <w:p w:rsidR="004241AC" w:rsidRPr="00C52BFC" w:rsidRDefault="004241AC" w:rsidP="00C52BFC">
      <w:pPr>
        <w:spacing w:after="0" w:line="240" w:lineRule="auto"/>
        <w:jc w:val="both"/>
      </w:pPr>
    </w:p>
    <w:p w:rsidR="00A33529" w:rsidRPr="00C52BFC" w:rsidRDefault="00A33529" w:rsidP="00C52BFC">
      <w:pPr>
        <w:spacing w:after="0" w:line="240" w:lineRule="auto"/>
        <w:jc w:val="both"/>
      </w:pPr>
    </w:p>
    <w:p w:rsidR="00A33529" w:rsidRPr="00C52BFC" w:rsidRDefault="00A33529" w:rsidP="00C52BFC">
      <w:pPr>
        <w:spacing w:after="0" w:line="240" w:lineRule="auto"/>
        <w:jc w:val="both"/>
      </w:pPr>
    </w:p>
    <w:p w:rsidR="00A33529" w:rsidRPr="00C52BFC" w:rsidRDefault="00A33529" w:rsidP="00C52BFC">
      <w:pPr>
        <w:spacing w:after="0" w:line="240" w:lineRule="auto"/>
        <w:jc w:val="both"/>
      </w:pPr>
    </w:p>
    <w:p w:rsidR="00A33529" w:rsidRDefault="00A33529" w:rsidP="00C52BFC">
      <w:pPr>
        <w:spacing w:after="0" w:line="240" w:lineRule="auto"/>
        <w:jc w:val="both"/>
      </w:pPr>
    </w:p>
    <w:p w:rsidR="00927103" w:rsidRDefault="00927103" w:rsidP="00C52BFC">
      <w:pPr>
        <w:spacing w:after="0" w:line="240" w:lineRule="auto"/>
        <w:jc w:val="both"/>
      </w:pPr>
    </w:p>
    <w:p w:rsidR="00927103" w:rsidRDefault="00927103" w:rsidP="00C52BFC">
      <w:pPr>
        <w:spacing w:after="0" w:line="240" w:lineRule="auto"/>
        <w:jc w:val="both"/>
      </w:pPr>
    </w:p>
    <w:p w:rsidR="00927103" w:rsidRDefault="00927103" w:rsidP="00C52BFC">
      <w:pPr>
        <w:spacing w:after="0" w:line="240" w:lineRule="auto"/>
        <w:jc w:val="both"/>
      </w:pPr>
    </w:p>
    <w:p w:rsidR="00927103" w:rsidRDefault="00927103" w:rsidP="00C52BFC">
      <w:pPr>
        <w:spacing w:after="0" w:line="240" w:lineRule="auto"/>
        <w:jc w:val="both"/>
      </w:pPr>
    </w:p>
    <w:p w:rsidR="00927103" w:rsidRPr="00C52BFC" w:rsidRDefault="00927103" w:rsidP="00C52BFC">
      <w:pPr>
        <w:spacing w:after="0" w:line="240" w:lineRule="auto"/>
        <w:jc w:val="both"/>
      </w:pPr>
    </w:p>
    <w:p w:rsidR="00A33529" w:rsidRDefault="00A33529" w:rsidP="00C52BFC">
      <w:pPr>
        <w:spacing w:after="0" w:line="240" w:lineRule="auto"/>
        <w:jc w:val="both"/>
      </w:pPr>
    </w:p>
    <w:p w:rsidR="00927103" w:rsidRDefault="00927103" w:rsidP="00C52BFC">
      <w:pPr>
        <w:spacing w:after="0" w:line="240" w:lineRule="auto"/>
        <w:jc w:val="both"/>
      </w:pPr>
    </w:p>
    <w:p w:rsidR="00927103" w:rsidRDefault="00927103" w:rsidP="00C52BFC">
      <w:pPr>
        <w:spacing w:after="0" w:line="240" w:lineRule="auto"/>
        <w:jc w:val="both"/>
      </w:pPr>
    </w:p>
    <w:p w:rsidR="00927103" w:rsidRPr="00C52BFC" w:rsidRDefault="00927103" w:rsidP="00C52BFC">
      <w:pPr>
        <w:spacing w:after="0" w:line="240" w:lineRule="auto"/>
        <w:jc w:val="both"/>
      </w:pPr>
    </w:p>
    <w:p w:rsidR="00A33529" w:rsidRPr="00C52BFC" w:rsidRDefault="00A33529" w:rsidP="00C52BFC">
      <w:pPr>
        <w:spacing w:after="0" w:line="240" w:lineRule="auto"/>
        <w:jc w:val="both"/>
      </w:pPr>
    </w:p>
    <w:p w:rsidR="00927103" w:rsidRDefault="00927103" w:rsidP="00927103">
      <w:pPr>
        <w:spacing w:after="0" w:line="240" w:lineRule="auto"/>
        <w:jc w:val="center"/>
        <w:rPr>
          <w:b/>
          <w:sz w:val="28"/>
        </w:rPr>
      </w:pPr>
      <w:r>
        <w:rPr>
          <w:b/>
          <w:sz w:val="28"/>
        </w:rPr>
        <w:t>RELAZIONE PUBBLICA DI VALUTAZIONE</w:t>
      </w:r>
    </w:p>
    <w:p w:rsidR="00631626" w:rsidRPr="00C52BFC" w:rsidRDefault="00631626" w:rsidP="00C52BFC">
      <w:pPr>
        <w:spacing w:after="0" w:line="240" w:lineRule="auto"/>
        <w:jc w:val="center"/>
        <w:rPr>
          <w:b/>
        </w:rPr>
      </w:pPr>
    </w:p>
    <w:p w:rsidR="00631626" w:rsidRPr="00C52BFC" w:rsidRDefault="00631626" w:rsidP="00C52BFC">
      <w:pPr>
        <w:spacing w:after="0" w:line="240" w:lineRule="auto"/>
        <w:jc w:val="center"/>
        <w:rPr>
          <w:b/>
        </w:rPr>
      </w:pPr>
    </w:p>
    <w:p w:rsidR="00631626" w:rsidRPr="00C52BFC" w:rsidRDefault="00631626" w:rsidP="00C52BFC">
      <w:pPr>
        <w:spacing w:after="0" w:line="240" w:lineRule="auto"/>
        <w:jc w:val="center"/>
        <w:rPr>
          <w:b/>
        </w:rPr>
      </w:pPr>
    </w:p>
    <w:p w:rsidR="00631626" w:rsidRPr="00C52BFC" w:rsidRDefault="00631626" w:rsidP="00C52BFC">
      <w:pPr>
        <w:spacing w:after="0" w:line="240" w:lineRule="auto"/>
        <w:jc w:val="center"/>
        <w:rPr>
          <w:b/>
        </w:rPr>
      </w:pPr>
    </w:p>
    <w:p w:rsidR="00631626" w:rsidRPr="00C52BFC" w:rsidRDefault="00631626" w:rsidP="00C52BFC">
      <w:pPr>
        <w:spacing w:after="0" w:line="240" w:lineRule="auto"/>
        <w:jc w:val="center"/>
        <w:rPr>
          <w:b/>
        </w:rPr>
      </w:pPr>
      <w:r w:rsidRPr="00C52BFC">
        <w:rPr>
          <w:b/>
        </w:rPr>
        <w:t>INDICE</w:t>
      </w:r>
    </w:p>
    <w:p w:rsidR="00631626" w:rsidRPr="00C52BFC" w:rsidRDefault="00631626" w:rsidP="00C52BFC">
      <w:pPr>
        <w:spacing w:after="0" w:line="240" w:lineRule="auto"/>
        <w:jc w:val="both"/>
      </w:pPr>
    </w:p>
    <w:p w:rsidR="00631626" w:rsidRPr="00C52BFC" w:rsidRDefault="00631626" w:rsidP="00C52BFC">
      <w:pPr>
        <w:spacing w:after="0" w:line="240" w:lineRule="auto"/>
        <w:jc w:val="both"/>
      </w:pPr>
    </w:p>
    <w:p w:rsidR="00631626" w:rsidRPr="00DE152F" w:rsidRDefault="00631626" w:rsidP="00DE152F">
      <w:pPr>
        <w:spacing w:after="0" w:line="240" w:lineRule="auto"/>
        <w:jc w:val="both"/>
      </w:pPr>
    </w:p>
    <w:p w:rsidR="00631626" w:rsidRPr="00DE152F" w:rsidRDefault="00631626" w:rsidP="00DE152F">
      <w:pPr>
        <w:pStyle w:val="Paragrafoelenco"/>
        <w:numPr>
          <w:ilvl w:val="0"/>
          <w:numId w:val="1"/>
        </w:numPr>
        <w:spacing w:after="0" w:line="240" w:lineRule="auto"/>
        <w:rPr>
          <w:b/>
        </w:rPr>
      </w:pPr>
      <w:r w:rsidRPr="00DE152F">
        <w:rPr>
          <w:b/>
        </w:rPr>
        <w:t>INTRODUZIONE</w:t>
      </w:r>
    </w:p>
    <w:p w:rsidR="00631626" w:rsidRPr="00DE152F" w:rsidRDefault="00631626" w:rsidP="00DE152F">
      <w:pPr>
        <w:spacing w:after="0" w:line="240" w:lineRule="auto"/>
        <w:jc w:val="both"/>
      </w:pPr>
    </w:p>
    <w:p w:rsidR="00631626" w:rsidRPr="00DE152F" w:rsidRDefault="00631626" w:rsidP="00DE152F">
      <w:pPr>
        <w:pStyle w:val="Paragrafoelenco"/>
        <w:numPr>
          <w:ilvl w:val="0"/>
          <w:numId w:val="1"/>
        </w:numPr>
        <w:spacing w:after="0" w:line="240" w:lineRule="auto"/>
        <w:jc w:val="both"/>
        <w:rPr>
          <w:b/>
        </w:rPr>
      </w:pPr>
      <w:r w:rsidRPr="00DE152F">
        <w:rPr>
          <w:b/>
        </w:rPr>
        <w:t>ASPETTI DI QUALITA’</w:t>
      </w:r>
    </w:p>
    <w:p w:rsidR="00631626" w:rsidRPr="00DE152F" w:rsidRDefault="00631626" w:rsidP="00DE152F">
      <w:pPr>
        <w:pStyle w:val="Paragrafoelenco"/>
        <w:spacing w:after="0" w:line="240" w:lineRule="auto"/>
        <w:rPr>
          <w:b/>
        </w:rPr>
      </w:pPr>
    </w:p>
    <w:p w:rsidR="00631626" w:rsidRPr="00DE152F" w:rsidRDefault="00631626" w:rsidP="00DE152F">
      <w:pPr>
        <w:pStyle w:val="Paragrafoelenco"/>
        <w:numPr>
          <w:ilvl w:val="0"/>
          <w:numId w:val="1"/>
        </w:numPr>
        <w:spacing w:after="0" w:line="240" w:lineRule="auto"/>
        <w:jc w:val="both"/>
        <w:rPr>
          <w:b/>
        </w:rPr>
      </w:pPr>
      <w:r w:rsidRPr="00DE152F">
        <w:rPr>
          <w:b/>
        </w:rPr>
        <w:t>ASPETTI NON CLINICI</w:t>
      </w:r>
    </w:p>
    <w:p w:rsidR="00631626" w:rsidRPr="00DE152F" w:rsidRDefault="00631626" w:rsidP="00DE152F">
      <w:pPr>
        <w:pStyle w:val="Paragrafoelenco"/>
        <w:spacing w:after="0" w:line="240" w:lineRule="auto"/>
        <w:rPr>
          <w:b/>
        </w:rPr>
      </w:pPr>
    </w:p>
    <w:p w:rsidR="00631626" w:rsidRPr="00DE152F" w:rsidRDefault="00631626" w:rsidP="00DE152F">
      <w:pPr>
        <w:pStyle w:val="Paragrafoelenco"/>
        <w:numPr>
          <w:ilvl w:val="0"/>
          <w:numId w:val="1"/>
        </w:numPr>
        <w:spacing w:after="0" w:line="240" w:lineRule="auto"/>
        <w:jc w:val="both"/>
        <w:rPr>
          <w:b/>
        </w:rPr>
      </w:pPr>
      <w:r w:rsidRPr="00DE152F">
        <w:rPr>
          <w:b/>
        </w:rPr>
        <w:t>ASPETTI CLINICI</w:t>
      </w:r>
    </w:p>
    <w:p w:rsidR="00631626" w:rsidRPr="00DE152F" w:rsidRDefault="00631626" w:rsidP="00DE152F">
      <w:pPr>
        <w:pStyle w:val="Paragrafoelenco"/>
        <w:spacing w:after="0" w:line="240" w:lineRule="auto"/>
        <w:rPr>
          <w:b/>
        </w:rPr>
      </w:pPr>
    </w:p>
    <w:p w:rsidR="00631626" w:rsidRPr="00DE152F" w:rsidRDefault="00631626" w:rsidP="00DE152F">
      <w:pPr>
        <w:pStyle w:val="Paragrafoelenco"/>
        <w:numPr>
          <w:ilvl w:val="0"/>
          <w:numId w:val="1"/>
        </w:numPr>
        <w:spacing w:after="0" w:line="240" w:lineRule="auto"/>
        <w:jc w:val="both"/>
        <w:rPr>
          <w:b/>
        </w:rPr>
      </w:pPr>
      <w:r w:rsidRPr="00DE152F">
        <w:rPr>
          <w:b/>
        </w:rPr>
        <w:t>CONSULTAZIONE SUL FOGLIO ILLUSTRATIVO</w:t>
      </w:r>
    </w:p>
    <w:p w:rsidR="00631626" w:rsidRPr="00DE152F" w:rsidRDefault="00631626" w:rsidP="00DE152F">
      <w:pPr>
        <w:pStyle w:val="Paragrafoelenco"/>
        <w:spacing w:after="0" w:line="240" w:lineRule="auto"/>
        <w:ind w:left="1080"/>
        <w:jc w:val="both"/>
        <w:rPr>
          <w:b/>
        </w:rPr>
      </w:pPr>
    </w:p>
    <w:p w:rsidR="00631626" w:rsidRPr="00DE152F" w:rsidRDefault="00631626" w:rsidP="00DE152F">
      <w:pPr>
        <w:pStyle w:val="Paragrafoelenco"/>
        <w:numPr>
          <w:ilvl w:val="0"/>
          <w:numId w:val="1"/>
        </w:numPr>
        <w:spacing w:after="0" w:line="240" w:lineRule="auto"/>
        <w:jc w:val="both"/>
        <w:rPr>
          <w:b/>
        </w:rPr>
      </w:pPr>
      <w:r w:rsidRPr="00DE152F">
        <w:rPr>
          <w:b/>
        </w:rPr>
        <w:t>CONCLUSIONI, VALUTAZIONE DEL RAPPORTO BENEFICIO/RISCHIO E RACCOMANDAZIONI</w:t>
      </w: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Default="00631626"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F0721A" w:rsidRDefault="00F0721A"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Pr="00DE152F" w:rsidRDefault="00DE152F" w:rsidP="00DE152F">
      <w:pPr>
        <w:spacing w:after="0" w:line="240" w:lineRule="auto"/>
      </w:pPr>
    </w:p>
    <w:p w:rsidR="00A33529" w:rsidRPr="00DE152F" w:rsidRDefault="00A33529" w:rsidP="00DE152F">
      <w:pPr>
        <w:spacing w:after="0" w:line="240" w:lineRule="auto"/>
      </w:pPr>
    </w:p>
    <w:p w:rsidR="00A33529" w:rsidRPr="00DE152F" w:rsidRDefault="00A33529" w:rsidP="00DE152F">
      <w:pPr>
        <w:spacing w:after="0" w:line="240" w:lineRule="auto"/>
      </w:pPr>
    </w:p>
    <w:p w:rsidR="00A33529" w:rsidRPr="00DE152F" w:rsidRDefault="00A33529" w:rsidP="00DE152F">
      <w:pPr>
        <w:spacing w:after="0" w:line="240" w:lineRule="auto"/>
      </w:pPr>
    </w:p>
    <w:p w:rsidR="00A33529" w:rsidRPr="00DE152F" w:rsidRDefault="00A33529" w:rsidP="00DE152F">
      <w:pPr>
        <w:spacing w:after="0" w:line="240" w:lineRule="auto"/>
      </w:pPr>
    </w:p>
    <w:p w:rsidR="00631626" w:rsidRPr="00DE152F" w:rsidRDefault="00631626" w:rsidP="00DE152F">
      <w:pPr>
        <w:pStyle w:val="Paragrafoelenco"/>
        <w:numPr>
          <w:ilvl w:val="0"/>
          <w:numId w:val="2"/>
        </w:numPr>
        <w:spacing w:after="0" w:line="240" w:lineRule="auto"/>
        <w:rPr>
          <w:b/>
        </w:rPr>
      </w:pPr>
      <w:r w:rsidRPr="00DE152F">
        <w:rPr>
          <w:b/>
        </w:rPr>
        <w:lastRenderedPageBreak/>
        <w:t>INTRODUZIONE</w:t>
      </w:r>
    </w:p>
    <w:p w:rsidR="00631626" w:rsidRPr="00DE152F" w:rsidRDefault="00631626" w:rsidP="00DE152F">
      <w:pPr>
        <w:autoSpaceDE w:val="0"/>
        <w:autoSpaceDN w:val="0"/>
        <w:adjustRightInd w:val="0"/>
        <w:spacing w:after="0" w:line="240" w:lineRule="auto"/>
        <w:jc w:val="both"/>
      </w:pPr>
      <w:r w:rsidRPr="00DE152F">
        <w:t>Sulla base dei dati di qualità, sicurezza ed efficacia, l’AIFA</w:t>
      </w:r>
      <w:r w:rsidR="00316017" w:rsidRPr="00DE152F">
        <w:t xml:space="preserve"> ha rilasciato a</w:t>
      </w:r>
      <w:r w:rsidR="00DE152F">
        <w:t xml:space="preserve"> </w:t>
      </w:r>
      <w:proofErr w:type="spellStart"/>
      <w:r w:rsidR="00DE152F">
        <w:t>Genetic</w:t>
      </w:r>
      <w:proofErr w:type="spellEnd"/>
      <w:r w:rsidR="00316017" w:rsidRPr="00DE152F">
        <w:t xml:space="preserve"> </w:t>
      </w:r>
      <w:r w:rsidRPr="00DE152F">
        <w:t xml:space="preserve">l’autorizzazione all’immissione in commercio (AIC) per </w:t>
      </w:r>
      <w:proofErr w:type="spellStart"/>
      <w:r w:rsidR="00DE152F" w:rsidRPr="00DE152F">
        <w:t>Fl</w:t>
      </w:r>
      <w:r w:rsidR="00DE152F" w:rsidRPr="00DC45B0">
        <w:t>ugenix</w:t>
      </w:r>
      <w:proofErr w:type="spellEnd"/>
      <w:r w:rsidR="00DE152F" w:rsidRPr="00DC45B0">
        <w:t xml:space="preserve">  </w:t>
      </w:r>
      <w:r w:rsidR="008C7E97" w:rsidRPr="00DC45B0">
        <w:t xml:space="preserve">il </w:t>
      </w:r>
      <w:r w:rsidR="00DC45B0" w:rsidRPr="00DC45B0">
        <w:t>6 giugno 2016.</w:t>
      </w:r>
    </w:p>
    <w:p w:rsidR="00631626" w:rsidRPr="00DE152F" w:rsidRDefault="00631626" w:rsidP="00DE152F">
      <w:pPr>
        <w:spacing w:after="0" w:line="240" w:lineRule="auto"/>
        <w:jc w:val="both"/>
      </w:pPr>
    </w:p>
    <w:p w:rsidR="00631626" w:rsidRPr="00DE152F" w:rsidRDefault="007079D1" w:rsidP="00DE152F">
      <w:pPr>
        <w:autoSpaceDE w:val="0"/>
        <w:autoSpaceDN w:val="0"/>
        <w:adjustRightInd w:val="0"/>
        <w:spacing w:after="0" w:line="240" w:lineRule="auto"/>
        <w:jc w:val="both"/>
      </w:pPr>
      <w:r w:rsidRPr="00DE152F">
        <w:t>Flugenix</w:t>
      </w:r>
      <w:r w:rsidR="004B491D" w:rsidRPr="00DE152F">
        <w:t xml:space="preserve"> </w:t>
      </w:r>
      <w:r w:rsidR="00631626" w:rsidRPr="00DE152F">
        <w:t>può essere ottenuto solo dietro prescrizione da parte del medico (ricetta ripetibile).</w:t>
      </w:r>
    </w:p>
    <w:p w:rsidR="00631626" w:rsidRPr="00DE152F" w:rsidRDefault="00631626" w:rsidP="00DE152F">
      <w:pPr>
        <w:autoSpaceDE w:val="0"/>
        <w:autoSpaceDN w:val="0"/>
        <w:adjustRightInd w:val="0"/>
        <w:spacing w:after="0" w:line="240" w:lineRule="auto"/>
        <w:jc w:val="both"/>
      </w:pPr>
    </w:p>
    <w:p w:rsidR="00631626" w:rsidRPr="00DE152F" w:rsidRDefault="00631626" w:rsidP="00DE152F">
      <w:pPr>
        <w:autoSpaceDE w:val="0"/>
        <w:autoSpaceDN w:val="0"/>
        <w:adjustRightInd w:val="0"/>
        <w:spacing w:after="0" w:line="240" w:lineRule="auto"/>
        <w:jc w:val="both"/>
      </w:pPr>
      <w:r w:rsidRPr="00DE152F">
        <w:t>Questa procedura è stata presentata ai sensi dell’art. 10(</w:t>
      </w:r>
      <w:r w:rsidR="00316017" w:rsidRPr="00DE152F">
        <w:t xml:space="preserve">3) della Direttiva 2001/83/EU </w:t>
      </w:r>
      <w:r w:rsidR="00927103" w:rsidRPr="00DE152F">
        <w:t xml:space="preserve">s.m.i </w:t>
      </w:r>
      <w:r w:rsidRPr="00DE152F">
        <w:t>.</w:t>
      </w:r>
    </w:p>
    <w:p w:rsidR="00631626" w:rsidRPr="00DE152F" w:rsidRDefault="00631626" w:rsidP="00DE152F">
      <w:pPr>
        <w:autoSpaceDE w:val="0"/>
        <w:autoSpaceDN w:val="0"/>
        <w:adjustRightInd w:val="0"/>
        <w:spacing w:after="0" w:line="240" w:lineRule="auto"/>
        <w:jc w:val="both"/>
      </w:pPr>
    </w:p>
    <w:p w:rsidR="00631626" w:rsidRPr="00DE152F" w:rsidRDefault="007079D1" w:rsidP="00DE152F">
      <w:pPr>
        <w:autoSpaceDE w:val="0"/>
        <w:autoSpaceDN w:val="0"/>
        <w:adjustRightInd w:val="0"/>
        <w:spacing w:after="0" w:line="240" w:lineRule="auto"/>
        <w:jc w:val="both"/>
      </w:pPr>
      <w:r w:rsidRPr="00DE152F">
        <w:t>Flugenix</w:t>
      </w:r>
      <w:r w:rsidR="009431E9" w:rsidRPr="00DE152F">
        <w:t xml:space="preserve"> </w:t>
      </w:r>
      <w:r w:rsidR="00631626" w:rsidRPr="00DE152F">
        <w:t xml:space="preserve">è un medicinale contenente </w:t>
      </w:r>
      <w:proofErr w:type="spellStart"/>
      <w:r w:rsidR="00631626" w:rsidRPr="00DE152F">
        <w:t>flu</w:t>
      </w:r>
      <w:r w:rsidR="00695003" w:rsidRPr="00DE152F">
        <w:t>ticasone</w:t>
      </w:r>
      <w:proofErr w:type="spellEnd"/>
      <w:r w:rsidR="00695003" w:rsidRPr="00DE152F">
        <w:t xml:space="preserve"> </w:t>
      </w:r>
      <w:proofErr w:type="spellStart"/>
      <w:r w:rsidR="00DE152F">
        <w:t>propi</w:t>
      </w:r>
      <w:r w:rsidR="00A42B99">
        <w:t>o</w:t>
      </w:r>
      <w:r w:rsidR="00DE152F">
        <w:t>nato</w:t>
      </w:r>
      <w:proofErr w:type="spellEnd"/>
      <w:r w:rsidR="00DE152F">
        <w:t xml:space="preserve"> che è un</w:t>
      </w:r>
      <w:r w:rsidR="00631626" w:rsidRPr="00DE152F">
        <w:t xml:space="preserve"> principio attivo noto e presen</w:t>
      </w:r>
      <w:r w:rsidR="00695003" w:rsidRPr="00DE152F">
        <w:t>t</w:t>
      </w:r>
      <w:r w:rsidR="00631626" w:rsidRPr="00DE152F">
        <w:t xml:space="preserve">e nel medicinale di riferimento </w:t>
      </w:r>
      <w:r w:rsidR="00695003" w:rsidRPr="00DE152F">
        <w:t>Flixotide</w:t>
      </w:r>
      <w:r w:rsidR="00631626" w:rsidRPr="00DE152F">
        <w:t>, autorizzato in Italia da più di 10 anni.</w:t>
      </w:r>
    </w:p>
    <w:p w:rsidR="00631626" w:rsidRPr="00DE152F" w:rsidRDefault="00631626" w:rsidP="00DE152F">
      <w:pPr>
        <w:autoSpaceDE w:val="0"/>
        <w:autoSpaceDN w:val="0"/>
        <w:adjustRightInd w:val="0"/>
        <w:spacing w:after="0" w:line="240" w:lineRule="auto"/>
        <w:jc w:val="both"/>
      </w:pPr>
    </w:p>
    <w:p w:rsidR="00631626" w:rsidRPr="00DE152F" w:rsidRDefault="007079D1" w:rsidP="00DE152F">
      <w:pPr>
        <w:autoSpaceDE w:val="0"/>
        <w:autoSpaceDN w:val="0"/>
        <w:adjustRightInd w:val="0"/>
        <w:spacing w:after="0" w:line="240" w:lineRule="auto"/>
        <w:jc w:val="both"/>
        <w:rPr>
          <w:rFonts w:cs="Arial"/>
        </w:rPr>
      </w:pPr>
      <w:r w:rsidRPr="00DE152F">
        <w:t>Flugenix</w:t>
      </w:r>
      <w:r w:rsidR="00631626" w:rsidRPr="00DE152F">
        <w:t xml:space="preserve">, </w:t>
      </w:r>
      <w:r w:rsidR="004923EE" w:rsidRPr="00DE152F">
        <w:rPr>
          <w:rFonts w:eastAsia="Calibri" w:cs="Calibri"/>
          <w:bCs/>
          <w:color w:val="000000"/>
          <w:lang w:eastAsia="it-IT"/>
        </w:rPr>
        <w:t xml:space="preserve">il cui codice ATC è </w:t>
      </w:r>
      <w:r w:rsidR="004923EE" w:rsidRPr="00DE152F">
        <w:rPr>
          <w:snapToGrid w:val="0"/>
        </w:rPr>
        <w:t xml:space="preserve">R03BA05, </w:t>
      </w:r>
      <w:r w:rsidR="004923EE" w:rsidRPr="00DE152F">
        <w:rPr>
          <w:rFonts w:eastAsia="Calibri" w:cs="Calibri"/>
          <w:color w:val="000000"/>
          <w:lang w:eastAsia="it-IT"/>
        </w:rPr>
        <w:t xml:space="preserve">contiene il principio attivo </w:t>
      </w:r>
      <w:proofErr w:type="spellStart"/>
      <w:r w:rsidR="004923EE" w:rsidRPr="00DE152F">
        <w:rPr>
          <w:snapToGrid w:val="0"/>
        </w:rPr>
        <w:t>fluticasone</w:t>
      </w:r>
      <w:proofErr w:type="spellEnd"/>
      <w:r w:rsidR="004923EE" w:rsidRPr="00DE152F">
        <w:rPr>
          <w:snapToGrid w:val="0"/>
        </w:rPr>
        <w:t xml:space="preserve"> </w:t>
      </w:r>
      <w:proofErr w:type="spellStart"/>
      <w:r w:rsidR="004923EE" w:rsidRPr="00DE152F">
        <w:rPr>
          <w:snapToGrid w:val="0"/>
        </w:rPr>
        <w:t>propionato</w:t>
      </w:r>
      <w:proofErr w:type="spellEnd"/>
      <w:r w:rsidR="004923EE" w:rsidRPr="00DE152F">
        <w:rPr>
          <w:snapToGrid w:val="0"/>
        </w:rPr>
        <w:t xml:space="preserve"> che ha </w:t>
      </w:r>
      <w:r w:rsidR="004923EE" w:rsidRPr="00DE152F">
        <w:rPr>
          <w:rFonts w:cs="Arial"/>
        </w:rPr>
        <w:t>attività antiinfiammatoria a livello dei polmoni e dei bronchi, riducendo la sintomatologia e gli episodi di riacutizzazione dell'asma.</w:t>
      </w:r>
    </w:p>
    <w:p w:rsidR="004923EE" w:rsidRPr="00DE152F" w:rsidRDefault="004923EE" w:rsidP="00DE152F">
      <w:pPr>
        <w:autoSpaceDE w:val="0"/>
        <w:autoSpaceDN w:val="0"/>
        <w:adjustRightInd w:val="0"/>
        <w:spacing w:after="0" w:line="240" w:lineRule="auto"/>
        <w:jc w:val="both"/>
        <w:rPr>
          <w:rFonts w:cs="Arial"/>
        </w:rPr>
      </w:pPr>
    </w:p>
    <w:p w:rsidR="004923EE" w:rsidRPr="00DE152F" w:rsidRDefault="004923EE" w:rsidP="00DE152F">
      <w:pPr>
        <w:shd w:val="clear" w:color="auto" w:fill="FFFFFF"/>
        <w:spacing w:after="0" w:line="240" w:lineRule="auto"/>
        <w:jc w:val="both"/>
        <w:outlineLvl w:val="2"/>
      </w:pPr>
      <w:r w:rsidRPr="00DE152F">
        <w:t xml:space="preserve">Il fluticasone è una sostanza sintetica che ha la stessa attività degli ormoni cosiddetti glucocorticoidi prodotti dall’organismo. </w:t>
      </w:r>
      <w:r w:rsidR="00DE152F">
        <w:t>In particolare,</w:t>
      </w:r>
      <w:r w:rsidRPr="00DE152F">
        <w:t xml:space="preserve"> il </w:t>
      </w:r>
      <w:proofErr w:type="spellStart"/>
      <w:r w:rsidRPr="00DE152F">
        <w:t>fluticasone</w:t>
      </w:r>
      <w:proofErr w:type="spellEnd"/>
      <w:r w:rsidRPr="00DE152F">
        <w:t xml:space="preserve"> ha attività antinfiammatoria sul tessuto polmonare e bronchiale, che si esplica attraverso l’inibizione dell’attività di alcune cellule che si attivano nell’infiammazione (</w:t>
      </w:r>
      <w:hyperlink r:id="rId7" w:tooltip="Eosinofili" w:history="1">
        <w:r w:rsidRPr="00DE152F">
          <w:t>eosinofili</w:t>
        </w:r>
      </w:hyperlink>
      <w:r w:rsidRPr="00DE152F">
        <w:t xml:space="preserve">, </w:t>
      </w:r>
      <w:hyperlink r:id="rId8" w:tooltip="Basofili" w:history="1">
        <w:r w:rsidRPr="00DE152F">
          <w:t>basofili</w:t>
        </w:r>
      </w:hyperlink>
      <w:r w:rsidRPr="00DE152F">
        <w:t xml:space="preserve">, </w:t>
      </w:r>
      <w:hyperlink r:id="rId9" w:tooltip="Linfociti" w:history="1">
        <w:r w:rsidRPr="00DE152F">
          <w:t>linfociti</w:t>
        </w:r>
      </w:hyperlink>
      <w:r w:rsidRPr="00DE152F">
        <w:t xml:space="preserve">, </w:t>
      </w:r>
      <w:hyperlink r:id="rId10" w:tooltip="Macrofagi" w:history="1">
        <w:r w:rsidRPr="00DE152F">
          <w:t>macrofagi</w:t>
        </w:r>
      </w:hyperlink>
      <w:r w:rsidRPr="00DE152F">
        <w:t xml:space="preserve"> e </w:t>
      </w:r>
      <w:hyperlink r:id="rId11" w:tooltip="Neutrofili" w:history="1">
        <w:r w:rsidRPr="00DE152F">
          <w:t>neutrofili</w:t>
        </w:r>
      </w:hyperlink>
      <w:r w:rsidRPr="00DE152F">
        <w:t>).  Il fluticasone , inoltre, agisce sulla sintesi di numerose sostanze responsabili dell’infiammazione e dei sintomi che ne derivano (</w:t>
      </w:r>
      <w:hyperlink r:id="rId12" w:tooltip="Istamina" w:history="1">
        <w:r w:rsidRPr="00DE152F">
          <w:t>istamina</w:t>
        </w:r>
      </w:hyperlink>
      <w:r w:rsidRPr="00DE152F">
        <w:t xml:space="preserve">, </w:t>
      </w:r>
      <w:hyperlink r:id="rId13" w:tooltip="Eicosanoidi" w:history="1">
        <w:r w:rsidRPr="00DE152F">
          <w:t>eicosanoidi</w:t>
        </w:r>
      </w:hyperlink>
      <w:r w:rsidRPr="00DE152F">
        <w:t xml:space="preserve">, </w:t>
      </w:r>
      <w:hyperlink r:id="rId14" w:tooltip="Leucotrieni" w:history="1">
        <w:r w:rsidRPr="00DE152F">
          <w:t>leucotrieni</w:t>
        </w:r>
      </w:hyperlink>
      <w:r w:rsidRPr="00DE152F">
        <w:t xml:space="preserve"> e </w:t>
      </w:r>
      <w:hyperlink r:id="rId15" w:tooltip="Citochine" w:history="1">
        <w:r w:rsidRPr="00DE152F">
          <w:t>citochine</w:t>
        </w:r>
      </w:hyperlink>
      <w:r w:rsidRPr="00DE152F">
        <w:t xml:space="preserve">). </w:t>
      </w:r>
    </w:p>
    <w:p w:rsidR="004923EE" w:rsidRPr="00DE152F" w:rsidRDefault="004923EE" w:rsidP="00DE152F">
      <w:pPr>
        <w:shd w:val="clear" w:color="auto" w:fill="FFFFFF"/>
        <w:spacing w:after="0" w:line="240" w:lineRule="auto"/>
        <w:jc w:val="both"/>
        <w:outlineLvl w:val="2"/>
      </w:pPr>
      <w:r w:rsidRPr="00DE152F">
        <w:t>L’attività antinfiammatoria del fluticasone ha come conseguenza una diminuzione sia del numero di episodi di riacutizzazione dell’</w:t>
      </w:r>
      <w:hyperlink r:id="rId16" w:tooltip="Asma bronchiale" w:history="1">
        <w:r w:rsidRPr="00DE152F">
          <w:t>asma bronchiale</w:t>
        </w:r>
      </w:hyperlink>
      <w:r w:rsidRPr="00DE152F">
        <w:t xml:space="preserve"> che dei sintomi propri di questa affezione patologia (tosse, respirazione difficoltosa, dolore toracico).</w:t>
      </w:r>
    </w:p>
    <w:p w:rsidR="004923EE" w:rsidRPr="00DE152F" w:rsidRDefault="004923EE" w:rsidP="00DE152F">
      <w:pPr>
        <w:shd w:val="clear" w:color="auto" w:fill="FFFFFF"/>
        <w:spacing w:after="0" w:line="240" w:lineRule="auto"/>
        <w:jc w:val="both"/>
        <w:outlineLvl w:val="2"/>
      </w:pPr>
    </w:p>
    <w:p w:rsidR="00DE152F" w:rsidRDefault="007079D1" w:rsidP="00DE152F">
      <w:pPr>
        <w:shd w:val="clear" w:color="auto" w:fill="FFFFFF"/>
        <w:spacing w:after="0" w:line="240" w:lineRule="auto"/>
        <w:jc w:val="both"/>
        <w:outlineLvl w:val="2"/>
        <w:rPr>
          <w:lang w:eastAsia="it-IT"/>
        </w:rPr>
      </w:pPr>
      <w:proofErr w:type="spellStart"/>
      <w:r w:rsidRPr="00DE152F">
        <w:t>Flugenix</w:t>
      </w:r>
      <w:proofErr w:type="spellEnd"/>
      <w:r w:rsidR="009431E9" w:rsidRPr="00DE152F">
        <w:t xml:space="preserve"> </w:t>
      </w:r>
      <w:r w:rsidR="008C7E97" w:rsidRPr="00885025">
        <w:t xml:space="preserve">è utilizzato </w:t>
      </w:r>
      <w:r w:rsidR="008C7E97" w:rsidRPr="00885025">
        <w:rPr>
          <w:lang w:eastAsia="it-IT"/>
        </w:rPr>
        <w:t xml:space="preserve">nel controllo dell’evoluzione della malattia asmatica e delle condizioni di </w:t>
      </w:r>
      <w:proofErr w:type="spellStart"/>
      <w:r w:rsidR="008C7E97" w:rsidRPr="00885025">
        <w:rPr>
          <w:lang w:eastAsia="it-IT"/>
        </w:rPr>
        <w:t>broncostenosi</w:t>
      </w:r>
      <w:proofErr w:type="spellEnd"/>
      <w:r w:rsidR="008C7E97" w:rsidRPr="00885025">
        <w:rPr>
          <w:lang w:eastAsia="it-IT"/>
        </w:rPr>
        <w:t>.</w:t>
      </w:r>
    </w:p>
    <w:p w:rsidR="008C7E97" w:rsidRPr="00DE152F" w:rsidRDefault="008C7E97" w:rsidP="00DE152F">
      <w:pPr>
        <w:shd w:val="clear" w:color="auto" w:fill="FFFFFF"/>
        <w:spacing w:after="0" w:line="240" w:lineRule="auto"/>
        <w:jc w:val="both"/>
        <w:outlineLvl w:val="2"/>
      </w:pPr>
    </w:p>
    <w:p w:rsidR="00631626" w:rsidRDefault="005E5FDF" w:rsidP="00DE152F">
      <w:pPr>
        <w:spacing w:after="0" w:line="240" w:lineRule="auto"/>
        <w:jc w:val="both"/>
        <w:rPr>
          <w:rFonts w:cs="Arial"/>
        </w:rPr>
      </w:pPr>
      <w:r w:rsidRPr="00DE152F">
        <w:t xml:space="preserve">Poiché </w:t>
      </w:r>
      <w:r w:rsidR="007079D1" w:rsidRPr="00DE152F">
        <w:t>Flugenix</w:t>
      </w:r>
      <w:r w:rsidRPr="00DE152F">
        <w:t xml:space="preserve"> contiene un principio attivo noto non sono stati forniti nuovi dati non clinici e clinici: questo approccio è accettabile poiché il medicinale di riferimento </w:t>
      </w:r>
      <w:r w:rsidR="00206229">
        <w:t>Flixotide</w:t>
      </w:r>
      <w:r w:rsidRPr="00DE152F">
        <w:t xml:space="preserve"> è autorizzato in Italia da oltre 10 anni; </w:t>
      </w:r>
      <w:r w:rsidR="00DE152F">
        <w:t xml:space="preserve">inoltre, </w:t>
      </w:r>
      <w:r w:rsidRPr="00DE152F">
        <w:t xml:space="preserve">poiché </w:t>
      </w:r>
      <w:proofErr w:type="spellStart"/>
      <w:r w:rsidR="007079D1" w:rsidRPr="00DE152F">
        <w:t>Flugenix</w:t>
      </w:r>
      <w:proofErr w:type="spellEnd"/>
      <w:r w:rsidRPr="00DE152F">
        <w:rPr>
          <w:rFonts w:cs="Arial"/>
        </w:rPr>
        <w:t xml:space="preserve"> </w:t>
      </w:r>
      <w:r w:rsidR="00BF3E11" w:rsidRPr="00885025">
        <w:rPr>
          <w:rFonts w:cs="Arial"/>
        </w:rPr>
        <w:t xml:space="preserve">è </w:t>
      </w:r>
      <w:r w:rsidR="00BF3E11" w:rsidRPr="00DE152F">
        <w:rPr>
          <w:rFonts w:cs="Arial"/>
        </w:rPr>
        <w:t xml:space="preserve">somministrato </w:t>
      </w:r>
      <w:r w:rsidR="00BF3E11">
        <w:rPr>
          <w:rFonts w:cs="Arial"/>
        </w:rPr>
        <w:t xml:space="preserve">come sospensione da nebulizzare ed </w:t>
      </w:r>
      <w:r w:rsidR="00BF3E11" w:rsidRPr="00DE152F">
        <w:rPr>
          <w:rFonts w:cs="Arial"/>
        </w:rPr>
        <w:t>ha la stessa composizione e</w:t>
      </w:r>
      <w:r w:rsidR="00BF3E11">
        <w:rPr>
          <w:rFonts w:cs="Arial"/>
        </w:rPr>
        <w:t xml:space="preserve"> </w:t>
      </w:r>
      <w:r w:rsidR="00BF3E11" w:rsidRPr="00DE152F">
        <w:rPr>
          <w:rFonts w:cs="Arial"/>
        </w:rPr>
        <w:t>le stesse caratteristiche chimico-fisiche del medicinale di rifer</w:t>
      </w:r>
      <w:r w:rsidR="00BF3E11">
        <w:rPr>
          <w:rFonts w:cs="Arial"/>
        </w:rPr>
        <w:t xml:space="preserve">imento, </w:t>
      </w:r>
      <w:r w:rsidR="00BF3E11" w:rsidRPr="00885025">
        <w:rPr>
          <w:rFonts w:cs="Arial"/>
        </w:rPr>
        <w:t>è stat</w:t>
      </w:r>
      <w:r w:rsidR="00BF3E11">
        <w:rPr>
          <w:rFonts w:cs="Arial"/>
        </w:rPr>
        <w:t>o possibile</w:t>
      </w:r>
      <w:r w:rsidR="00BF3E11" w:rsidRPr="00885025">
        <w:rPr>
          <w:rFonts w:cs="Arial"/>
        </w:rPr>
        <w:t xml:space="preserve"> c</w:t>
      </w:r>
      <w:r w:rsidR="00BF3E11">
        <w:rPr>
          <w:rFonts w:cs="Arial"/>
        </w:rPr>
        <w:t>oncedere</w:t>
      </w:r>
      <w:r w:rsidR="00BF3E11" w:rsidRPr="00885025">
        <w:rPr>
          <w:rFonts w:cs="Arial"/>
        </w:rPr>
        <w:t xml:space="preserve"> l’esenzione dalla conduzione di studi clinici di confronto con il medicinale di riferimento.</w:t>
      </w:r>
    </w:p>
    <w:p w:rsidR="00BF3E11" w:rsidRPr="00DE152F" w:rsidRDefault="00BF3E11" w:rsidP="00DE152F">
      <w:pPr>
        <w:spacing w:after="0" w:line="240" w:lineRule="auto"/>
        <w:jc w:val="both"/>
      </w:pPr>
    </w:p>
    <w:p w:rsidR="00631626" w:rsidRPr="00DE152F" w:rsidRDefault="00631626" w:rsidP="00DE152F">
      <w:pPr>
        <w:spacing w:after="0" w:line="240" w:lineRule="auto"/>
        <w:jc w:val="both"/>
      </w:pPr>
      <w:r w:rsidRPr="00DE152F">
        <w:t>Le officine coinvolte nella produzione sono conformi alle linee guida di Buona Pratica di Fabbricazione (Good Manufacturing Practice - GMP). Le autorità regolatore competenti hanno rilasciato i certificati GMP per i siti di produzione sul territorio dell’Unione Europea.</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r w:rsidRPr="00DE152F">
        <w:t>Il sistema di Farmacovigilanza descritto dal titolare dell’AIC è conforme ai requisiti previsti dalla normativa corrente. E’ stato presentato un Piano di gestione del rischio (Risk Management Plan – RMP) accettabile.</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r w:rsidRPr="00DE152F">
        <w:t xml:space="preserve">Il titolare di AIC ha presentato una adeguata giustificazione della non presentazione della Valutazione del Rischio ambientale; questo approccio è accettabile in quanto </w:t>
      </w:r>
      <w:r w:rsidR="007079D1" w:rsidRPr="00DE152F">
        <w:t>Flugenix</w:t>
      </w:r>
      <w:r w:rsidR="00F633D4" w:rsidRPr="00DE152F">
        <w:t xml:space="preserve"> </w:t>
      </w:r>
      <w:r w:rsidRPr="00DE152F">
        <w:t>contiene principio attivo noto presente in medicinali autorizzati; inoltre, non sono presenti componenti geneticamente modificati; il metodo di produzione e la formulazione del medicinale non presentano problematiche di carattere ambientale.</w:t>
      </w:r>
    </w:p>
    <w:p w:rsidR="004923EE" w:rsidRDefault="004923EE" w:rsidP="00DE152F">
      <w:pPr>
        <w:spacing w:after="0" w:line="240" w:lineRule="auto"/>
        <w:jc w:val="both"/>
      </w:pPr>
    </w:p>
    <w:p w:rsidR="00FF7CE4" w:rsidRDefault="00FF7CE4" w:rsidP="00DE152F">
      <w:pPr>
        <w:spacing w:after="0" w:line="240" w:lineRule="auto"/>
        <w:jc w:val="both"/>
      </w:pPr>
    </w:p>
    <w:p w:rsidR="00631626" w:rsidRPr="00DE152F" w:rsidRDefault="00631626" w:rsidP="00DE152F">
      <w:pPr>
        <w:pStyle w:val="Paragrafoelenco"/>
        <w:numPr>
          <w:ilvl w:val="0"/>
          <w:numId w:val="2"/>
        </w:numPr>
        <w:spacing w:after="0" w:line="240" w:lineRule="auto"/>
        <w:jc w:val="both"/>
        <w:rPr>
          <w:b/>
        </w:rPr>
      </w:pPr>
      <w:r w:rsidRPr="00DE152F">
        <w:rPr>
          <w:b/>
        </w:rPr>
        <w:t xml:space="preserve">ASPETTI </w:t>
      </w:r>
      <w:proofErr w:type="spellStart"/>
      <w:r w:rsidRPr="00DE152F">
        <w:rPr>
          <w:b/>
        </w:rPr>
        <w:t>DI</w:t>
      </w:r>
      <w:proofErr w:type="spellEnd"/>
      <w:r w:rsidRPr="00DE152F">
        <w:rPr>
          <w:b/>
        </w:rPr>
        <w:t xml:space="preserve"> QUALITA’</w:t>
      </w:r>
    </w:p>
    <w:p w:rsidR="00631626" w:rsidRPr="00DE152F" w:rsidRDefault="00631626" w:rsidP="00DE152F">
      <w:pPr>
        <w:spacing w:after="0" w:line="240" w:lineRule="auto"/>
        <w:jc w:val="both"/>
      </w:pPr>
      <w:r w:rsidRPr="00DE152F">
        <w:rPr>
          <w:b/>
        </w:rPr>
        <w:t>II.1 PRINCIPIO ATTIVO FLU</w:t>
      </w:r>
      <w:r w:rsidR="00EA6AAB" w:rsidRPr="00DE152F">
        <w:rPr>
          <w:b/>
        </w:rPr>
        <w:t>TICASONE PROPIONATO</w:t>
      </w:r>
    </w:p>
    <w:p w:rsidR="00631626" w:rsidRPr="00DE152F" w:rsidRDefault="00631626" w:rsidP="00DE152F">
      <w:pPr>
        <w:autoSpaceDE w:val="0"/>
        <w:autoSpaceDN w:val="0"/>
        <w:adjustRightInd w:val="0"/>
        <w:spacing w:after="0" w:line="240" w:lineRule="auto"/>
      </w:pPr>
      <w:r w:rsidRPr="00DE152F">
        <w:rPr>
          <w:u w:val="single"/>
        </w:rPr>
        <w:t xml:space="preserve">Nome chimico: </w:t>
      </w:r>
      <w:r w:rsidR="008F123E" w:rsidRPr="00DE152F">
        <w:rPr>
          <w:u w:val="single"/>
        </w:rPr>
        <w:t>6α,9-Difluoro-17-[[(fluoromethyl)sulfanyl]carbonyl]-11β-hydroxy-16α-methyl-3-oxoandrosta-1,4-dien-17α-yl propanoate.</w:t>
      </w:r>
    </w:p>
    <w:p w:rsidR="00DE152F" w:rsidRDefault="00DE152F" w:rsidP="00DE152F">
      <w:pPr>
        <w:spacing w:after="0" w:line="240" w:lineRule="auto"/>
        <w:jc w:val="both"/>
        <w:rPr>
          <w:u w:val="single"/>
        </w:rPr>
      </w:pPr>
    </w:p>
    <w:p w:rsidR="00631626" w:rsidRPr="00DE152F" w:rsidRDefault="00631626" w:rsidP="00DE152F">
      <w:pPr>
        <w:spacing w:after="0" w:line="240" w:lineRule="auto"/>
        <w:jc w:val="both"/>
      </w:pPr>
      <w:r w:rsidRPr="00DE152F">
        <w:rPr>
          <w:u w:val="single"/>
        </w:rPr>
        <w:lastRenderedPageBreak/>
        <w:t>Struttura</w:t>
      </w:r>
      <w:r w:rsidRPr="00DE152F">
        <w:t>:</w:t>
      </w:r>
    </w:p>
    <w:p w:rsidR="00631626" w:rsidRPr="00DE152F" w:rsidRDefault="008C7E97" w:rsidP="00DE152F">
      <w:pPr>
        <w:spacing w:after="0" w:line="240" w:lineRule="auto"/>
        <w:jc w:val="center"/>
      </w:pPr>
      <w:r>
        <w:rPr>
          <w:rFonts w:ascii="Arial" w:hAnsi="Arial" w:cs="Arial"/>
          <w:noProof/>
          <w:sz w:val="20"/>
          <w:szCs w:val="20"/>
          <w:lang w:eastAsia="it-IT"/>
        </w:rPr>
        <w:drawing>
          <wp:inline distT="0" distB="0" distL="0" distR="0">
            <wp:extent cx="1857375" cy="1037518"/>
            <wp:effectExtent l="19050" t="0" r="9525" b="0"/>
            <wp:docPr id="2" name="Immagine 1" descr="P:\_dp\804\XML-IN\Images\cf1750-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1750-b.tif"/>
                    <pic:cNvPicPr>
                      <a:picLocks noChangeAspect="1" noChangeArrowheads="1"/>
                    </pic:cNvPicPr>
                  </pic:nvPicPr>
                  <pic:blipFill>
                    <a:blip r:embed="rId17" cstate="print"/>
                    <a:srcRect/>
                    <a:stretch>
                      <a:fillRect/>
                    </a:stretch>
                  </pic:blipFill>
                  <pic:spPr bwMode="auto">
                    <a:xfrm>
                      <a:off x="0" y="0"/>
                      <a:ext cx="1857375" cy="1037518"/>
                    </a:xfrm>
                    <a:prstGeom prst="rect">
                      <a:avLst/>
                    </a:prstGeom>
                    <a:noFill/>
                    <a:ln w="9525">
                      <a:noFill/>
                      <a:miter lim="800000"/>
                      <a:headEnd/>
                      <a:tailEnd/>
                    </a:ln>
                  </pic:spPr>
                </pic:pic>
              </a:graphicData>
            </a:graphic>
          </wp:inline>
        </w:drawing>
      </w:r>
    </w:p>
    <w:p w:rsidR="00631626" w:rsidRPr="00DE152F" w:rsidRDefault="00631626" w:rsidP="00DE152F">
      <w:pPr>
        <w:spacing w:after="0" w:line="240" w:lineRule="auto"/>
        <w:jc w:val="both"/>
      </w:pPr>
      <w:r w:rsidRPr="00DE152F">
        <w:rPr>
          <w:u w:val="single"/>
        </w:rPr>
        <w:t>Formula molecolare</w:t>
      </w:r>
      <w:r w:rsidRPr="00DE152F">
        <w:t>:</w:t>
      </w:r>
      <w:r w:rsidRPr="00DE152F">
        <w:rPr>
          <w:rStyle w:val="s1"/>
          <w:rFonts w:asciiTheme="minorHAnsi" w:hAnsiTheme="minorHAnsi"/>
        </w:rPr>
        <w:t xml:space="preserve"> </w:t>
      </w:r>
      <w:r w:rsidR="008F123E" w:rsidRPr="00DE152F">
        <w:rPr>
          <w:rStyle w:val="s1"/>
          <w:rFonts w:asciiTheme="minorHAnsi" w:hAnsiTheme="minorHAnsi"/>
        </w:rPr>
        <w:t>C</w:t>
      </w:r>
      <w:r w:rsidR="008F123E" w:rsidRPr="00DE152F">
        <w:rPr>
          <w:rStyle w:val="s1"/>
          <w:rFonts w:asciiTheme="minorHAnsi" w:hAnsiTheme="minorHAnsi"/>
          <w:vertAlign w:val="subscript"/>
        </w:rPr>
        <w:t>25</w:t>
      </w:r>
      <w:r w:rsidR="008F123E" w:rsidRPr="00DE152F">
        <w:rPr>
          <w:rStyle w:val="s1"/>
          <w:rFonts w:asciiTheme="minorHAnsi" w:hAnsiTheme="minorHAnsi"/>
        </w:rPr>
        <w:t>H</w:t>
      </w:r>
      <w:r w:rsidR="008F123E" w:rsidRPr="00DE152F">
        <w:rPr>
          <w:rStyle w:val="s1"/>
          <w:rFonts w:asciiTheme="minorHAnsi" w:hAnsiTheme="minorHAnsi"/>
          <w:vertAlign w:val="subscript"/>
        </w:rPr>
        <w:t>31</w:t>
      </w:r>
      <w:r w:rsidR="008F123E" w:rsidRPr="00DE152F">
        <w:rPr>
          <w:rStyle w:val="s1"/>
          <w:rFonts w:asciiTheme="minorHAnsi" w:hAnsiTheme="minorHAnsi"/>
        </w:rPr>
        <w:t>F</w:t>
      </w:r>
      <w:r w:rsidR="008F123E" w:rsidRPr="00DE152F">
        <w:rPr>
          <w:rStyle w:val="s1"/>
          <w:rFonts w:asciiTheme="minorHAnsi" w:hAnsiTheme="minorHAnsi"/>
          <w:vertAlign w:val="subscript"/>
        </w:rPr>
        <w:t>3</w:t>
      </w:r>
      <w:r w:rsidR="008F123E" w:rsidRPr="00DE152F">
        <w:rPr>
          <w:rStyle w:val="s1"/>
          <w:rFonts w:asciiTheme="minorHAnsi" w:hAnsiTheme="minorHAnsi"/>
        </w:rPr>
        <w:t>O</w:t>
      </w:r>
      <w:r w:rsidR="008F123E" w:rsidRPr="00DE152F">
        <w:rPr>
          <w:rStyle w:val="s1"/>
          <w:rFonts w:asciiTheme="minorHAnsi" w:hAnsiTheme="minorHAnsi"/>
          <w:vertAlign w:val="subscript"/>
        </w:rPr>
        <w:t>5</w:t>
      </w:r>
      <w:r w:rsidR="008F123E" w:rsidRPr="00DE152F">
        <w:rPr>
          <w:rStyle w:val="s1"/>
          <w:rFonts w:asciiTheme="minorHAnsi" w:hAnsiTheme="minorHAnsi"/>
        </w:rPr>
        <w:t>S</w:t>
      </w:r>
    </w:p>
    <w:p w:rsidR="00631626" w:rsidRPr="00DE152F" w:rsidRDefault="00631626" w:rsidP="00DE152F">
      <w:pPr>
        <w:spacing w:after="0" w:line="240" w:lineRule="auto"/>
        <w:jc w:val="both"/>
      </w:pPr>
      <w:r w:rsidRPr="00DE152F">
        <w:rPr>
          <w:u w:val="single"/>
        </w:rPr>
        <w:t>Peso molecolare</w:t>
      </w:r>
      <w:r w:rsidRPr="00DE152F">
        <w:t>:</w:t>
      </w:r>
      <w:r w:rsidRPr="00DE152F">
        <w:rPr>
          <w:rFonts w:cs="Arial"/>
          <w:color w:val="252525"/>
          <w:shd w:val="clear" w:color="auto" w:fill="F9F9F9"/>
        </w:rPr>
        <w:t xml:space="preserve"> </w:t>
      </w:r>
      <w:r w:rsidR="008F123E" w:rsidRPr="00DE152F">
        <w:rPr>
          <w:rStyle w:val="s1"/>
          <w:rFonts w:asciiTheme="minorHAnsi" w:hAnsiTheme="minorHAnsi"/>
        </w:rPr>
        <w:t>500.6</w:t>
      </w:r>
      <w:r w:rsidRPr="00DE152F">
        <w:rPr>
          <w:rStyle w:val="s1"/>
          <w:rFonts w:asciiTheme="minorHAnsi" w:hAnsiTheme="minorHAnsi"/>
        </w:rPr>
        <w:t xml:space="preserve"> g/mol</w:t>
      </w:r>
    </w:p>
    <w:p w:rsidR="00631626" w:rsidRPr="00DE152F" w:rsidRDefault="00631626" w:rsidP="00DE152F">
      <w:pPr>
        <w:spacing w:after="0" w:line="240" w:lineRule="auto"/>
        <w:jc w:val="both"/>
      </w:pPr>
      <w:r w:rsidRPr="00DE152F">
        <w:rPr>
          <w:u w:val="single"/>
        </w:rPr>
        <w:t>CAS</w:t>
      </w:r>
      <w:r w:rsidRPr="00DE152F">
        <w:t xml:space="preserve">: </w:t>
      </w:r>
      <w:r w:rsidRPr="00DE152F">
        <w:rPr>
          <w:rStyle w:val="s1"/>
          <w:rFonts w:asciiTheme="minorHAnsi" w:hAnsiTheme="minorHAnsi"/>
        </w:rPr>
        <w:t>[86386-73-4]</w:t>
      </w:r>
    </w:p>
    <w:p w:rsidR="00631626" w:rsidRPr="00DE152F" w:rsidRDefault="00631626" w:rsidP="00DE152F">
      <w:pPr>
        <w:spacing w:after="0" w:line="240" w:lineRule="auto"/>
        <w:jc w:val="both"/>
      </w:pPr>
      <w:r w:rsidRPr="00DE152F">
        <w:rPr>
          <w:u w:val="single"/>
        </w:rPr>
        <w:t>Aspetto</w:t>
      </w:r>
      <w:r w:rsidRPr="00DE152F">
        <w:t>: polvere cristallina bianca o quasi bianca</w:t>
      </w:r>
    </w:p>
    <w:p w:rsidR="00631626" w:rsidRPr="00DE152F" w:rsidRDefault="00631626" w:rsidP="00DE152F">
      <w:pPr>
        <w:spacing w:after="0" w:line="240" w:lineRule="auto"/>
        <w:jc w:val="both"/>
      </w:pPr>
      <w:r w:rsidRPr="00DE152F">
        <w:rPr>
          <w:u w:val="single"/>
        </w:rPr>
        <w:t>Solubilità</w:t>
      </w:r>
      <w:r w:rsidRPr="008C7E97">
        <w:t xml:space="preserve">: </w:t>
      </w:r>
      <w:r w:rsidR="008F123E" w:rsidRPr="00DE152F">
        <w:t xml:space="preserve">praticamente insolubile </w:t>
      </w:r>
      <w:r w:rsidRPr="00DE152F">
        <w:t xml:space="preserve"> in acqua</w:t>
      </w:r>
      <w:r w:rsidRPr="00DE152F">
        <w:rPr>
          <w:rStyle w:val="s1"/>
          <w:rFonts w:asciiTheme="minorHAnsi" w:hAnsiTheme="minorHAnsi"/>
        </w:rPr>
        <w:t xml:space="preserve">, </w:t>
      </w:r>
      <w:r w:rsidR="008F123E" w:rsidRPr="00DE152F">
        <w:rPr>
          <w:rStyle w:val="s1"/>
          <w:rFonts w:asciiTheme="minorHAnsi" w:hAnsiTheme="minorHAnsi"/>
        </w:rPr>
        <w:t xml:space="preserve">leggermente </w:t>
      </w:r>
      <w:r w:rsidRPr="00DE152F">
        <w:rPr>
          <w:rStyle w:val="s1"/>
          <w:rFonts w:asciiTheme="minorHAnsi" w:hAnsiTheme="minorHAnsi"/>
        </w:rPr>
        <w:t xml:space="preserve"> solubile in </w:t>
      </w:r>
      <w:r w:rsidR="008F123E" w:rsidRPr="00DE152F">
        <w:rPr>
          <w:rStyle w:val="s1"/>
          <w:rFonts w:asciiTheme="minorHAnsi" w:hAnsiTheme="minorHAnsi"/>
        </w:rPr>
        <w:t>cloruro di metilene</w:t>
      </w:r>
      <w:r w:rsidRPr="00DE152F">
        <w:rPr>
          <w:rStyle w:val="s1"/>
          <w:rFonts w:asciiTheme="minorHAnsi" w:hAnsiTheme="minorHAnsi"/>
        </w:rPr>
        <w:t xml:space="preserve"> e  solubile in </w:t>
      </w:r>
      <w:r w:rsidR="008F123E" w:rsidRPr="00DE152F">
        <w:rPr>
          <w:rStyle w:val="s1"/>
          <w:rFonts w:asciiTheme="minorHAnsi" w:hAnsiTheme="minorHAnsi"/>
        </w:rPr>
        <w:t>etanolo (96%)</w:t>
      </w:r>
      <w:r w:rsidR="000D3D99" w:rsidRPr="00DE152F">
        <w:rPr>
          <w:rStyle w:val="s1"/>
          <w:rFonts w:asciiTheme="minorHAnsi" w:hAnsiTheme="minorHAnsi"/>
        </w:rPr>
        <w:t>.</w:t>
      </w:r>
      <w:r w:rsidRPr="00DE152F">
        <w:rPr>
          <w:rStyle w:val="s1"/>
          <w:rFonts w:asciiTheme="minorHAnsi" w:hAnsiTheme="minorHAnsi"/>
        </w:rPr>
        <w:t xml:space="preserve"> </w:t>
      </w:r>
    </w:p>
    <w:p w:rsidR="00631626" w:rsidRPr="00DE152F" w:rsidRDefault="00631626" w:rsidP="00DE152F">
      <w:pPr>
        <w:spacing w:after="0" w:line="240" w:lineRule="auto"/>
        <w:jc w:val="both"/>
      </w:pPr>
      <w:r w:rsidRPr="00DE152F">
        <w:rPr>
          <w:u w:val="single"/>
        </w:rPr>
        <w:t>Polimorfismo</w:t>
      </w:r>
      <w:r w:rsidRPr="00DE152F">
        <w:t xml:space="preserve">: </w:t>
      </w:r>
      <w:proofErr w:type="spellStart"/>
      <w:r w:rsidR="000D3D99" w:rsidRPr="00DE152F">
        <w:rPr>
          <w:lang w:eastAsia="it-IT"/>
        </w:rPr>
        <w:t>fluticasone</w:t>
      </w:r>
      <w:proofErr w:type="spellEnd"/>
      <w:r w:rsidR="000D3D99" w:rsidRPr="00DE152F">
        <w:rPr>
          <w:lang w:eastAsia="it-IT"/>
        </w:rPr>
        <w:t xml:space="preserve"> </w:t>
      </w:r>
      <w:proofErr w:type="spellStart"/>
      <w:r w:rsidR="000D3D99" w:rsidRPr="00DE152F">
        <w:rPr>
          <w:lang w:eastAsia="it-IT"/>
        </w:rPr>
        <w:t>propi</w:t>
      </w:r>
      <w:r w:rsidR="008C7E97">
        <w:rPr>
          <w:lang w:eastAsia="it-IT"/>
        </w:rPr>
        <w:t>o</w:t>
      </w:r>
      <w:r w:rsidR="000D3D99" w:rsidRPr="00DE152F">
        <w:rPr>
          <w:lang w:eastAsia="it-IT"/>
        </w:rPr>
        <w:t>nato</w:t>
      </w:r>
      <w:proofErr w:type="spellEnd"/>
      <w:r w:rsidR="000D3D99" w:rsidRPr="00DE152F">
        <w:rPr>
          <w:lang w:eastAsia="it-IT"/>
        </w:rPr>
        <w:t xml:space="preserve"> non presenta</w:t>
      </w:r>
      <w:r w:rsidRPr="00DE152F">
        <w:rPr>
          <w:lang w:eastAsia="it-IT"/>
        </w:rPr>
        <w:t xml:space="preserve"> polimorfismo</w:t>
      </w:r>
      <w:r w:rsidRPr="00DE152F">
        <w:t>.</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r w:rsidRPr="00DE152F">
        <w:t>Il principio attivo Flu</w:t>
      </w:r>
      <w:r w:rsidR="00893913" w:rsidRPr="00DE152F">
        <w:t>ticasone propionato</w:t>
      </w:r>
      <w:r w:rsidRPr="00DE152F">
        <w:t xml:space="preserve"> è presente in Farmacopea Europea e il Direttorato Europeo per la Qualità dei Medicinali (</w:t>
      </w:r>
      <w:proofErr w:type="spellStart"/>
      <w:r w:rsidRPr="00DE152F">
        <w:rPr>
          <w:i/>
        </w:rPr>
        <w:t>European</w:t>
      </w:r>
      <w:proofErr w:type="spellEnd"/>
      <w:r w:rsidRPr="00DE152F">
        <w:rPr>
          <w:i/>
        </w:rPr>
        <w:t xml:space="preserve"> </w:t>
      </w:r>
      <w:proofErr w:type="spellStart"/>
      <w:r w:rsidRPr="00DE152F">
        <w:rPr>
          <w:i/>
        </w:rPr>
        <w:t>Directorate</w:t>
      </w:r>
      <w:proofErr w:type="spellEnd"/>
      <w:r w:rsidRPr="00DE152F">
        <w:rPr>
          <w:i/>
        </w:rPr>
        <w:t xml:space="preserve"> </w:t>
      </w:r>
      <w:proofErr w:type="spellStart"/>
      <w:r w:rsidRPr="00DE152F">
        <w:rPr>
          <w:i/>
        </w:rPr>
        <w:t>for</w:t>
      </w:r>
      <w:proofErr w:type="spellEnd"/>
      <w:r w:rsidRPr="00DE152F">
        <w:rPr>
          <w:i/>
        </w:rPr>
        <w:t xml:space="preserve"> </w:t>
      </w:r>
      <w:proofErr w:type="spellStart"/>
      <w:r w:rsidRPr="00DE152F">
        <w:rPr>
          <w:i/>
        </w:rPr>
        <w:t>Quality</w:t>
      </w:r>
      <w:proofErr w:type="spellEnd"/>
      <w:r w:rsidRPr="00DE152F">
        <w:rPr>
          <w:i/>
        </w:rPr>
        <w:t xml:space="preserve"> </w:t>
      </w:r>
      <w:proofErr w:type="spellStart"/>
      <w:r w:rsidRPr="00DE152F">
        <w:rPr>
          <w:i/>
        </w:rPr>
        <w:t>of</w:t>
      </w:r>
      <w:proofErr w:type="spellEnd"/>
      <w:r w:rsidRPr="00DE152F">
        <w:rPr>
          <w:i/>
        </w:rPr>
        <w:t xml:space="preserve"> </w:t>
      </w:r>
      <w:proofErr w:type="spellStart"/>
      <w:r w:rsidRPr="00DE152F">
        <w:rPr>
          <w:i/>
        </w:rPr>
        <w:t>Medic</w:t>
      </w:r>
      <w:r w:rsidR="00FF7CE4">
        <w:rPr>
          <w:i/>
        </w:rPr>
        <w:t>i</w:t>
      </w:r>
      <w:r w:rsidRPr="00DE152F">
        <w:rPr>
          <w:i/>
        </w:rPr>
        <w:t>nals</w:t>
      </w:r>
      <w:proofErr w:type="spellEnd"/>
      <w:r w:rsidRPr="00DE152F">
        <w:t xml:space="preserve"> – EDQM) ha rilasciato al produttore il certificato di conformità alla Farmacopea Europea</w:t>
      </w:r>
      <w:r w:rsidR="008C7E97">
        <w:t>.</w:t>
      </w:r>
    </w:p>
    <w:p w:rsidR="00631626" w:rsidRPr="00DE152F" w:rsidRDefault="00631626" w:rsidP="00DE152F">
      <w:pPr>
        <w:spacing w:after="0" w:line="240" w:lineRule="auto"/>
        <w:jc w:val="both"/>
      </w:pPr>
      <w:r w:rsidRPr="00DE152F">
        <w:t xml:space="preserve">Tutti gli aspetti di produzione e controllo sono coperti dal certificato di conformità alla Farmacopea Europea. Il principio attivo è confezionato in doppia busta di polietilene nera all’esterno  posta all’interno  fusti di polietilene. Il periodo di retest è definito in </w:t>
      </w:r>
      <w:r w:rsidR="006910D3" w:rsidRPr="00DE152F">
        <w:t>36</w:t>
      </w:r>
      <w:r w:rsidRPr="00DE152F">
        <w:t xml:space="preserve"> mesi</w:t>
      </w:r>
      <w:r w:rsidR="00DE152F">
        <w:t>.</w:t>
      </w:r>
      <w:r w:rsidRPr="00DE152F">
        <w:t xml:space="preserve"> </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p>
    <w:p w:rsidR="00631626" w:rsidRPr="00DE152F" w:rsidRDefault="00631626" w:rsidP="00DE152F">
      <w:pPr>
        <w:spacing w:after="0" w:line="240" w:lineRule="auto"/>
        <w:jc w:val="both"/>
        <w:rPr>
          <w:b/>
        </w:rPr>
      </w:pPr>
      <w:r w:rsidRPr="00DE152F">
        <w:rPr>
          <w:b/>
        </w:rPr>
        <w:t>II.2 PRODOTTO FINITO</w:t>
      </w:r>
    </w:p>
    <w:p w:rsidR="00631626" w:rsidRPr="00DE152F" w:rsidRDefault="00631626" w:rsidP="00DE152F">
      <w:pPr>
        <w:spacing w:after="0" w:line="240" w:lineRule="auto"/>
        <w:jc w:val="both"/>
        <w:rPr>
          <w:b/>
        </w:rPr>
      </w:pPr>
      <w:r w:rsidRPr="00DE152F">
        <w:rPr>
          <w:b/>
        </w:rPr>
        <w:t>Descrizione e composizione</w:t>
      </w:r>
    </w:p>
    <w:p w:rsidR="00F633D4" w:rsidRPr="00DE152F" w:rsidRDefault="007079D1" w:rsidP="00DE152F">
      <w:pPr>
        <w:widowControl w:val="0"/>
        <w:spacing w:after="0" w:line="240" w:lineRule="auto"/>
        <w:jc w:val="both"/>
        <w:rPr>
          <w:rFonts w:eastAsia="Calibri" w:cs="Calibri"/>
          <w:color w:val="000000"/>
          <w:lang w:eastAsia="it-IT"/>
        </w:rPr>
      </w:pPr>
      <w:proofErr w:type="spellStart"/>
      <w:r w:rsidRPr="00DE152F">
        <w:rPr>
          <w:rFonts w:eastAsia="Calibri" w:cs="Calibri"/>
          <w:color w:val="000000"/>
          <w:lang w:eastAsia="it-IT"/>
        </w:rPr>
        <w:t>Flugenix</w:t>
      </w:r>
      <w:proofErr w:type="spellEnd"/>
      <w:r w:rsidR="00DE152F">
        <w:rPr>
          <w:rFonts w:eastAsia="Calibri" w:cs="Calibri"/>
          <w:color w:val="000000"/>
          <w:lang w:eastAsia="it-IT"/>
        </w:rPr>
        <w:t xml:space="preserve"> </w:t>
      </w:r>
      <w:r w:rsidR="004923EE" w:rsidRPr="00DE152F">
        <w:rPr>
          <w:rFonts w:eastAsia="Calibri" w:cs="Calibri"/>
          <w:color w:val="000000"/>
          <w:lang w:eastAsia="it-IT"/>
        </w:rPr>
        <w:t xml:space="preserve">è disponibile </w:t>
      </w:r>
      <w:r w:rsidR="00F633D4" w:rsidRPr="00DE152F">
        <w:rPr>
          <w:rFonts w:eastAsia="Calibri" w:cs="Calibri"/>
          <w:color w:val="000000"/>
          <w:lang w:eastAsia="it-IT"/>
        </w:rPr>
        <w:t xml:space="preserve">come sospensione da nebulizzare contenente </w:t>
      </w:r>
      <w:proofErr w:type="spellStart"/>
      <w:r w:rsidR="00F633D4" w:rsidRPr="00DE152F">
        <w:rPr>
          <w:rFonts w:eastAsia="Calibri" w:cs="Calibri"/>
          <w:color w:val="000000"/>
          <w:lang w:eastAsia="it-IT"/>
        </w:rPr>
        <w:t>fluticasone</w:t>
      </w:r>
      <w:proofErr w:type="spellEnd"/>
      <w:r w:rsidR="00F633D4" w:rsidRPr="00DE152F">
        <w:rPr>
          <w:rFonts w:eastAsia="Calibri" w:cs="Calibri"/>
          <w:color w:val="000000"/>
          <w:lang w:eastAsia="it-IT"/>
        </w:rPr>
        <w:t xml:space="preserve"> </w:t>
      </w:r>
      <w:proofErr w:type="spellStart"/>
      <w:r w:rsidR="00F633D4" w:rsidRPr="00DE152F">
        <w:rPr>
          <w:rFonts w:eastAsia="Calibri" w:cs="Calibri"/>
          <w:color w:val="000000"/>
          <w:lang w:eastAsia="it-IT"/>
        </w:rPr>
        <w:t>propi</w:t>
      </w:r>
      <w:r w:rsidR="00DE152F">
        <w:rPr>
          <w:rFonts w:eastAsia="Calibri" w:cs="Calibri"/>
          <w:color w:val="000000"/>
          <w:lang w:eastAsia="it-IT"/>
        </w:rPr>
        <w:t>o</w:t>
      </w:r>
      <w:r w:rsidR="00F633D4" w:rsidRPr="00DE152F">
        <w:rPr>
          <w:rFonts w:eastAsia="Calibri" w:cs="Calibri"/>
          <w:color w:val="000000"/>
          <w:lang w:eastAsia="it-IT"/>
        </w:rPr>
        <w:t>nato</w:t>
      </w:r>
      <w:proofErr w:type="spellEnd"/>
      <w:r w:rsidR="00F633D4" w:rsidRPr="00DE152F">
        <w:rPr>
          <w:rFonts w:eastAsia="Calibri" w:cs="Calibri"/>
          <w:color w:val="000000"/>
          <w:lang w:eastAsia="it-IT"/>
        </w:rPr>
        <w:t xml:space="preserve"> alla </w:t>
      </w:r>
      <w:r w:rsidR="00DE152F" w:rsidRPr="00E81CDF">
        <w:rPr>
          <w:rFonts w:eastAsia="Calibri" w:cs="Calibri"/>
          <w:color w:val="000000"/>
          <w:lang w:eastAsia="it-IT"/>
        </w:rPr>
        <w:t xml:space="preserve"> concentrazione di 500 microgrammi/2 ml o</w:t>
      </w:r>
      <w:r w:rsidR="00DE152F">
        <w:rPr>
          <w:rFonts w:eastAsia="Calibri" w:cs="Calibri"/>
          <w:color w:val="000000"/>
          <w:lang w:eastAsia="it-IT"/>
        </w:rPr>
        <w:t xml:space="preserve"> di </w:t>
      </w:r>
      <w:r w:rsidR="00DE152F" w:rsidRPr="00E81CDF">
        <w:rPr>
          <w:rFonts w:eastAsia="Calibri" w:cs="Calibri"/>
          <w:color w:val="000000"/>
          <w:lang w:eastAsia="it-IT"/>
        </w:rPr>
        <w:t>2</w:t>
      </w:r>
      <w:r w:rsidR="00DE152F">
        <w:rPr>
          <w:rFonts w:eastAsia="Calibri" w:cs="Calibri"/>
          <w:color w:val="000000"/>
          <w:lang w:eastAsia="it-IT"/>
        </w:rPr>
        <w:t xml:space="preserve"> </w:t>
      </w:r>
      <w:r w:rsidR="00DE152F" w:rsidRPr="00E81CDF">
        <w:rPr>
          <w:rFonts w:eastAsia="Calibri" w:cs="Calibri"/>
          <w:color w:val="000000"/>
          <w:lang w:eastAsia="it-IT"/>
        </w:rPr>
        <w:t>mg/2</w:t>
      </w:r>
      <w:r w:rsidR="00DE152F">
        <w:rPr>
          <w:rFonts w:eastAsia="Calibri" w:cs="Calibri"/>
          <w:color w:val="000000"/>
          <w:lang w:eastAsia="it-IT"/>
        </w:rPr>
        <w:t xml:space="preserve"> </w:t>
      </w:r>
      <w:r w:rsidR="00DE152F" w:rsidRPr="00E81CDF">
        <w:rPr>
          <w:rFonts w:eastAsia="Calibri" w:cs="Calibri"/>
          <w:color w:val="000000"/>
          <w:lang w:eastAsia="it-IT"/>
        </w:rPr>
        <w:t>ml</w:t>
      </w:r>
      <w:r w:rsidR="00DE152F">
        <w:rPr>
          <w:rFonts w:eastAsia="Calibri" w:cs="Calibri"/>
          <w:color w:val="000000"/>
          <w:lang w:eastAsia="it-IT"/>
        </w:rPr>
        <w:t>.</w:t>
      </w:r>
    </w:p>
    <w:p w:rsidR="001B3BB7" w:rsidRPr="00DE152F" w:rsidRDefault="00631626" w:rsidP="00DE152F">
      <w:pPr>
        <w:widowControl w:val="0"/>
        <w:spacing w:after="0" w:line="240" w:lineRule="auto"/>
        <w:jc w:val="both"/>
        <w:rPr>
          <w:spacing w:val="-3"/>
        </w:rPr>
      </w:pPr>
      <w:r w:rsidRPr="00DE152F">
        <w:rPr>
          <w:rFonts w:cs="Helvetica"/>
        </w:rPr>
        <w:t xml:space="preserve"> </w:t>
      </w:r>
      <w:r w:rsidRPr="00DE152F">
        <w:t xml:space="preserve">Gli eccipienti sono </w:t>
      </w:r>
      <w:r w:rsidR="00F633D4" w:rsidRPr="00DE152F">
        <w:t xml:space="preserve"> i seguenti</w:t>
      </w:r>
      <w:r w:rsidRPr="00DE152F">
        <w:t xml:space="preserve">: </w:t>
      </w:r>
      <w:r w:rsidR="00F633D4" w:rsidRPr="00DE152F">
        <w:t xml:space="preserve"> </w:t>
      </w:r>
      <w:r w:rsidR="001B3BB7" w:rsidRPr="00DE152F">
        <w:rPr>
          <w:spacing w:val="-3"/>
        </w:rPr>
        <w:t>polisorbato 20, sorbitanmonolaurato, sodio fosfato diidrogeno diidrato, sodio fosfato dibasico anidro, sodio cloruro, acqua per preparazioni iniettabili</w:t>
      </w:r>
      <w:r w:rsidR="00DE152F">
        <w:rPr>
          <w:spacing w:val="-3"/>
        </w:rPr>
        <w:t>.</w:t>
      </w:r>
    </w:p>
    <w:p w:rsidR="00DE152F" w:rsidRDefault="00631626" w:rsidP="00DE152F">
      <w:pPr>
        <w:spacing w:after="0" w:line="240" w:lineRule="auto"/>
        <w:ind w:right="13"/>
        <w:jc w:val="both"/>
      </w:pPr>
      <w:r w:rsidRPr="00DE152F">
        <w:t>Tutti gli eccipienti sono conformi alla relativa monografia di Farmacopea Europea</w:t>
      </w:r>
      <w:r w:rsidR="00DE152F">
        <w:t>.</w:t>
      </w:r>
    </w:p>
    <w:p w:rsidR="00F633D4" w:rsidRPr="00DE152F" w:rsidRDefault="00F633D4" w:rsidP="00DE152F">
      <w:pPr>
        <w:spacing w:after="0" w:line="240" w:lineRule="auto"/>
        <w:ind w:right="13"/>
        <w:jc w:val="both"/>
      </w:pPr>
      <w:r w:rsidRPr="00DE152F">
        <w:t>Nessun eccipiente è ottenuto da organismi geneticamente modificati; non sono presenti eccipienti mai utilizzati nell’uomo</w:t>
      </w:r>
      <w:r w:rsidR="00DE152F">
        <w:t>.</w:t>
      </w:r>
    </w:p>
    <w:p w:rsidR="00631626" w:rsidRPr="00DE152F" w:rsidRDefault="00631626" w:rsidP="00DE152F">
      <w:pPr>
        <w:spacing w:after="0" w:line="240" w:lineRule="auto"/>
        <w:jc w:val="both"/>
      </w:pPr>
    </w:p>
    <w:p w:rsidR="00631626" w:rsidRPr="00DE152F" w:rsidRDefault="00631626" w:rsidP="00DE152F">
      <w:pPr>
        <w:spacing w:after="0" w:line="240" w:lineRule="auto"/>
        <w:jc w:val="both"/>
        <w:rPr>
          <w:b/>
        </w:rPr>
      </w:pPr>
      <w:r w:rsidRPr="00DE152F">
        <w:rPr>
          <w:b/>
        </w:rPr>
        <w:t>Sviluppo farmaceutico</w:t>
      </w:r>
    </w:p>
    <w:p w:rsidR="00631626" w:rsidRPr="00DE152F" w:rsidRDefault="00631626" w:rsidP="00DE152F">
      <w:pPr>
        <w:spacing w:after="0" w:line="240" w:lineRule="auto"/>
        <w:jc w:val="both"/>
      </w:pPr>
      <w:r w:rsidRPr="00DE152F">
        <w:t>Sono stati forniti dettagli dello sviluppo farmaceutico e questi sono stati ritenuti soddisfacenti.</w:t>
      </w:r>
    </w:p>
    <w:p w:rsidR="004621BC" w:rsidRPr="00DE152F" w:rsidRDefault="00631626" w:rsidP="00DE152F">
      <w:pPr>
        <w:spacing w:after="0" w:line="240" w:lineRule="auto"/>
        <w:jc w:val="both"/>
      </w:pPr>
      <w:r w:rsidRPr="00DE152F">
        <w:t>Lo scopo era quello di ottenere un medicinale</w:t>
      </w:r>
      <w:r w:rsidR="005952DF" w:rsidRPr="00DE152F">
        <w:t xml:space="preserve"> </w:t>
      </w:r>
      <w:proofErr w:type="spellStart"/>
      <w:r w:rsidR="005952DF" w:rsidRPr="00DE152F">
        <w:t>bioequivalente</w:t>
      </w:r>
      <w:proofErr w:type="spellEnd"/>
      <w:r w:rsidR="005952DF" w:rsidRPr="00DE152F">
        <w:t xml:space="preserve"> </w:t>
      </w:r>
      <w:r w:rsidRPr="00DE152F">
        <w:t>al medicinale</w:t>
      </w:r>
      <w:r w:rsidR="00DE152F">
        <w:t xml:space="preserve"> di riferimento</w:t>
      </w:r>
      <w:r w:rsidRPr="00DE152F">
        <w:t xml:space="preserve"> </w:t>
      </w:r>
      <w:proofErr w:type="spellStart"/>
      <w:r w:rsidR="001B3BB7" w:rsidRPr="00DE152F">
        <w:t>Flixotide</w:t>
      </w:r>
      <w:proofErr w:type="spellEnd"/>
      <w:r w:rsidR="00DE152F">
        <w:t xml:space="preserve">. </w:t>
      </w:r>
      <w:r w:rsidR="004621BC" w:rsidRPr="00DE152F">
        <w:t>Sono stati forniti dati comparativi relativi alle caratteristiche fisico-chimiche e al profilo di impurezze rispetto al medicinale di riferimento. I dati sono soddisfacenti.</w:t>
      </w:r>
    </w:p>
    <w:p w:rsidR="007079D1" w:rsidRPr="00DE152F" w:rsidRDefault="007079D1" w:rsidP="00DE152F">
      <w:pPr>
        <w:spacing w:after="0" w:line="240" w:lineRule="auto"/>
        <w:jc w:val="both"/>
      </w:pPr>
    </w:p>
    <w:p w:rsidR="00631626" w:rsidRPr="00DE152F" w:rsidRDefault="00631626" w:rsidP="00DE152F">
      <w:pPr>
        <w:spacing w:after="0" w:line="240" w:lineRule="auto"/>
        <w:jc w:val="both"/>
        <w:rPr>
          <w:b/>
        </w:rPr>
      </w:pPr>
      <w:r w:rsidRPr="00DE152F">
        <w:rPr>
          <w:b/>
        </w:rPr>
        <w:t xml:space="preserve">Produzione </w:t>
      </w:r>
    </w:p>
    <w:p w:rsidR="00631626" w:rsidRPr="00DE152F" w:rsidRDefault="00631626" w:rsidP="00DE152F">
      <w:pPr>
        <w:spacing w:after="0" w:line="240" w:lineRule="auto"/>
        <w:jc w:val="both"/>
      </w:pPr>
      <w:r w:rsidRPr="00DE152F">
        <w:t>Sono stati forniti una descrizione del metodo di produzione e la relativa flow-chart.</w:t>
      </w:r>
    </w:p>
    <w:p w:rsidR="00631626" w:rsidRPr="00DE152F" w:rsidRDefault="00631626" w:rsidP="00DE152F">
      <w:pPr>
        <w:spacing w:after="0" w:line="240" w:lineRule="auto"/>
        <w:jc w:val="both"/>
      </w:pPr>
      <w:r w:rsidRPr="00DE152F">
        <w:t>I controlli effettuati nel corso della produzione sono appropriati per la natura del medicinale e del metodo di produzione. Sono stati forniti, inoltre, dati soddisfacenti relativi alla convalida del metodo di produzione.</w:t>
      </w:r>
    </w:p>
    <w:p w:rsidR="00631626" w:rsidRPr="00DE152F" w:rsidRDefault="00631626" w:rsidP="00DE152F">
      <w:pPr>
        <w:spacing w:after="0" w:line="240" w:lineRule="auto"/>
        <w:jc w:val="both"/>
      </w:pPr>
    </w:p>
    <w:p w:rsidR="00631626" w:rsidRPr="00DE152F" w:rsidRDefault="00631626" w:rsidP="00DE152F">
      <w:pPr>
        <w:spacing w:after="0" w:line="240" w:lineRule="auto"/>
        <w:jc w:val="both"/>
        <w:rPr>
          <w:b/>
        </w:rPr>
      </w:pPr>
      <w:r w:rsidRPr="00DE152F">
        <w:rPr>
          <w:b/>
        </w:rPr>
        <w:t>Specifiche del prodotto finito</w:t>
      </w:r>
    </w:p>
    <w:p w:rsidR="00631626" w:rsidRPr="00DE152F" w:rsidRDefault="00631626" w:rsidP="00DE152F">
      <w:pPr>
        <w:spacing w:after="0" w:line="240" w:lineRule="auto"/>
        <w:jc w:val="both"/>
      </w:pPr>
      <w:r w:rsidRPr="00DE152F">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631626" w:rsidRDefault="00631626" w:rsidP="00DE152F">
      <w:pPr>
        <w:spacing w:after="0" w:line="240" w:lineRule="auto"/>
        <w:jc w:val="both"/>
        <w:rPr>
          <w:b/>
        </w:rPr>
      </w:pPr>
    </w:p>
    <w:p w:rsidR="008C7E97" w:rsidRDefault="008C7E97" w:rsidP="00DE152F">
      <w:pPr>
        <w:spacing w:after="0" w:line="240" w:lineRule="auto"/>
        <w:jc w:val="both"/>
        <w:rPr>
          <w:b/>
        </w:rPr>
      </w:pPr>
    </w:p>
    <w:p w:rsidR="008C7E97" w:rsidRDefault="008C7E97" w:rsidP="00DE152F">
      <w:pPr>
        <w:spacing w:after="0" w:line="240" w:lineRule="auto"/>
        <w:jc w:val="both"/>
        <w:rPr>
          <w:b/>
        </w:rPr>
      </w:pPr>
    </w:p>
    <w:p w:rsidR="008C7E97" w:rsidRPr="00DE152F" w:rsidRDefault="008C7E97" w:rsidP="00DE152F">
      <w:pPr>
        <w:spacing w:after="0" w:line="240" w:lineRule="auto"/>
        <w:jc w:val="both"/>
        <w:rPr>
          <w:b/>
        </w:rPr>
      </w:pPr>
    </w:p>
    <w:p w:rsidR="00631626" w:rsidRPr="00DE152F" w:rsidRDefault="00631626" w:rsidP="00DE152F">
      <w:pPr>
        <w:spacing w:after="0" w:line="240" w:lineRule="auto"/>
        <w:jc w:val="both"/>
        <w:rPr>
          <w:b/>
        </w:rPr>
      </w:pPr>
      <w:r w:rsidRPr="00DE152F">
        <w:rPr>
          <w:b/>
        </w:rPr>
        <w:lastRenderedPageBreak/>
        <w:t>Contenitore</w:t>
      </w:r>
    </w:p>
    <w:p w:rsidR="00631626" w:rsidRDefault="007079D1" w:rsidP="00DE152F">
      <w:pPr>
        <w:spacing w:after="0" w:line="240" w:lineRule="auto"/>
        <w:jc w:val="both"/>
      </w:pPr>
      <w:r w:rsidRPr="00DE152F">
        <w:t>Flugenix</w:t>
      </w:r>
      <w:r w:rsidR="004621BC" w:rsidRPr="00DE152F">
        <w:t xml:space="preserve"> </w:t>
      </w:r>
      <w:r w:rsidR="00631626" w:rsidRPr="00DE152F">
        <w:t xml:space="preserve">è confezionato in </w:t>
      </w:r>
      <w:r w:rsidR="001B3BB7" w:rsidRPr="00DE152F">
        <w:t>contenitori</w:t>
      </w:r>
      <w:r w:rsidR="004621BC" w:rsidRPr="00DE152F">
        <w:t xml:space="preserve"> monodose </w:t>
      </w:r>
      <w:r w:rsidR="001B3BB7" w:rsidRPr="00DE152F">
        <w:t xml:space="preserve"> di polietilene a bassa densità. </w:t>
      </w:r>
      <w:r w:rsidR="00631626" w:rsidRPr="00DE152F">
        <w:t>Sono state fornite specifiche e certificati analitici per tutti i componenti del confezionamento primario, che è adeguato per il medicinale.</w:t>
      </w:r>
      <w:r w:rsidR="005C341E" w:rsidRPr="00DE152F">
        <w:t xml:space="preserve"> </w:t>
      </w:r>
    </w:p>
    <w:p w:rsidR="00DE152F" w:rsidRPr="00DE152F" w:rsidRDefault="00DE152F" w:rsidP="00DE152F">
      <w:pPr>
        <w:spacing w:after="0" w:line="240" w:lineRule="auto"/>
        <w:jc w:val="both"/>
      </w:pPr>
    </w:p>
    <w:p w:rsidR="00631626" w:rsidRPr="00DE152F" w:rsidRDefault="00631626" w:rsidP="00DE152F">
      <w:pPr>
        <w:spacing w:after="0" w:line="240" w:lineRule="auto"/>
        <w:jc w:val="both"/>
        <w:rPr>
          <w:b/>
        </w:rPr>
      </w:pPr>
      <w:r w:rsidRPr="00DE152F">
        <w:rPr>
          <w:b/>
        </w:rPr>
        <w:t>Stabilità</w:t>
      </w:r>
    </w:p>
    <w:p w:rsidR="00DE152F" w:rsidRDefault="00631626" w:rsidP="00DE152F">
      <w:pPr>
        <w:spacing w:after="0" w:line="240" w:lineRule="auto"/>
        <w:jc w:val="both"/>
      </w:pPr>
      <w:r w:rsidRPr="00DE152F">
        <w:t xml:space="preserve">Studi di stabilità sul prodotto finito sono stati condotti in accordo alle correnti linee guida e i risultati sono entro i limiti delle specifiche autorizzate. Sulla base di questi risultati, è stato autorizzato un periodo di validità di </w:t>
      </w:r>
      <w:r w:rsidR="00DE152F">
        <w:t>2</w:t>
      </w:r>
      <w:r w:rsidRPr="00DE152F">
        <w:t xml:space="preserve"> anni</w:t>
      </w:r>
      <w:r w:rsidR="004621BC" w:rsidRPr="00DE152F">
        <w:t xml:space="preserve"> con conservazione a temperatura inferiore a 25°C.</w:t>
      </w:r>
      <w:r w:rsidRPr="00DE152F">
        <w:t xml:space="preserve"> </w:t>
      </w:r>
    </w:p>
    <w:p w:rsidR="00F32F57" w:rsidRPr="00DE152F" w:rsidRDefault="00F32F57" w:rsidP="00DE152F">
      <w:pPr>
        <w:spacing w:after="0" w:line="240" w:lineRule="auto"/>
        <w:jc w:val="both"/>
      </w:pPr>
    </w:p>
    <w:p w:rsidR="00631626" w:rsidRPr="00DE152F" w:rsidRDefault="00631626" w:rsidP="00DE152F">
      <w:pPr>
        <w:spacing w:after="0" w:line="240" w:lineRule="auto"/>
        <w:jc w:val="both"/>
        <w:rPr>
          <w:b/>
        </w:rPr>
      </w:pPr>
      <w:r w:rsidRPr="00DE152F">
        <w:rPr>
          <w:b/>
        </w:rPr>
        <w:t>II.3 Discussione sugli aspetti di qualità</w:t>
      </w:r>
    </w:p>
    <w:p w:rsidR="00631626" w:rsidRPr="00DE152F" w:rsidRDefault="00631626" w:rsidP="00DE152F">
      <w:pPr>
        <w:spacing w:after="0" w:line="240" w:lineRule="auto"/>
        <w:jc w:val="both"/>
      </w:pPr>
      <w:r w:rsidRPr="00DE152F">
        <w:t xml:space="preserve">Tutte le criticità evidenziate nel corso della valutazione sono state risolte e la qualità di </w:t>
      </w:r>
      <w:r w:rsidR="007079D1" w:rsidRPr="00DE152F">
        <w:t>Flugenix</w:t>
      </w:r>
      <w:r w:rsidR="004B491D" w:rsidRPr="00DE152F">
        <w:t xml:space="preserve"> </w:t>
      </w:r>
      <w:r w:rsidRPr="00DE152F">
        <w:t xml:space="preserve">è considerata adeguata. Non ci sono obiezioni per l’approvazione di </w:t>
      </w:r>
      <w:r w:rsidR="007079D1" w:rsidRPr="00DE152F">
        <w:t>Flugenix</w:t>
      </w:r>
      <w:r w:rsidR="004B491D" w:rsidRPr="00DE152F">
        <w:t xml:space="preserve"> </w:t>
      </w:r>
      <w:r w:rsidRPr="00DE152F">
        <w:t>dal punto di vista chimico-farmaceutico.</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p>
    <w:p w:rsidR="00631626" w:rsidRPr="00DE152F" w:rsidRDefault="00631626" w:rsidP="00DE152F">
      <w:pPr>
        <w:pStyle w:val="Paragrafoelenco"/>
        <w:numPr>
          <w:ilvl w:val="0"/>
          <w:numId w:val="2"/>
        </w:numPr>
        <w:spacing w:after="0" w:line="240" w:lineRule="auto"/>
        <w:jc w:val="both"/>
        <w:rPr>
          <w:b/>
        </w:rPr>
      </w:pPr>
      <w:r w:rsidRPr="00DE152F">
        <w:rPr>
          <w:b/>
        </w:rPr>
        <w:t>ASPETTI NON CLINICI</w:t>
      </w:r>
    </w:p>
    <w:p w:rsidR="00631626" w:rsidRPr="00DE152F" w:rsidRDefault="00631626" w:rsidP="00DE152F">
      <w:pPr>
        <w:spacing w:after="0" w:line="240" w:lineRule="auto"/>
        <w:jc w:val="both"/>
      </w:pPr>
      <w:r w:rsidRPr="00DE152F">
        <w:t xml:space="preserve">Non sono stati condotti specifici studi non clinici, in quanto </w:t>
      </w:r>
      <w:r w:rsidR="007079D1" w:rsidRPr="00DE152F">
        <w:t>Flugenix</w:t>
      </w:r>
      <w:r w:rsidR="004B491D" w:rsidRPr="00DE152F">
        <w:t xml:space="preserve"> </w:t>
      </w:r>
      <w:r w:rsidRPr="00DE152F">
        <w:t>contiene un principio attivo noto</w:t>
      </w:r>
      <w:r w:rsidR="004621BC" w:rsidRPr="00DE152F">
        <w:t>:</w:t>
      </w:r>
      <w:r w:rsidRPr="00DE152F">
        <w:t xml:space="preserve"> questo approccio è accettabile poiché il medicinale di riferimento </w:t>
      </w:r>
      <w:r w:rsidR="00F32F57" w:rsidRPr="00DE152F">
        <w:t>Flixotide</w:t>
      </w:r>
      <w:r w:rsidRPr="00DE152F">
        <w:t xml:space="preserve"> è autorizzato in Italia da oltre 10 anni.</w:t>
      </w:r>
    </w:p>
    <w:p w:rsidR="00631626" w:rsidRPr="00DE152F" w:rsidRDefault="00631626" w:rsidP="00DE152F">
      <w:pPr>
        <w:spacing w:after="0" w:line="240" w:lineRule="auto"/>
        <w:jc w:val="both"/>
      </w:pPr>
      <w:r w:rsidRPr="00DE152F">
        <w:t>Non ci sono obiezioni per l’approvazione dal punto di vista non clinico.</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p>
    <w:p w:rsidR="00631626" w:rsidRPr="00DE152F" w:rsidRDefault="00631626" w:rsidP="00DE152F">
      <w:pPr>
        <w:pStyle w:val="Paragrafoelenco"/>
        <w:numPr>
          <w:ilvl w:val="0"/>
          <w:numId w:val="2"/>
        </w:numPr>
        <w:spacing w:after="0" w:line="240" w:lineRule="auto"/>
        <w:jc w:val="both"/>
        <w:rPr>
          <w:b/>
        </w:rPr>
      </w:pPr>
      <w:r w:rsidRPr="00DE152F">
        <w:rPr>
          <w:b/>
        </w:rPr>
        <w:t>ASPETTI CLINICI</w:t>
      </w:r>
    </w:p>
    <w:p w:rsidR="00631626" w:rsidRPr="00DE152F" w:rsidRDefault="007079D1" w:rsidP="00DE152F">
      <w:pPr>
        <w:autoSpaceDE w:val="0"/>
        <w:autoSpaceDN w:val="0"/>
        <w:adjustRightInd w:val="0"/>
        <w:spacing w:after="0" w:line="240" w:lineRule="auto"/>
        <w:jc w:val="both"/>
        <w:rPr>
          <w:i/>
          <w:iCs/>
        </w:rPr>
      </w:pPr>
      <w:r w:rsidRPr="00DE152F">
        <w:t>Flugenix</w:t>
      </w:r>
      <w:r w:rsidR="004621BC" w:rsidRPr="00DE152F">
        <w:t xml:space="preserve"> </w:t>
      </w:r>
      <w:r w:rsidR="00631626" w:rsidRPr="00DE152F">
        <w:t xml:space="preserve">è </w:t>
      </w:r>
      <w:r w:rsidR="00F32F57" w:rsidRPr="00DE152F">
        <w:t xml:space="preserve">indicato nel controllo dell’evoluzione della malattia asmatica e delle condizioni di </w:t>
      </w:r>
      <w:proofErr w:type="spellStart"/>
      <w:r w:rsidR="004923EE" w:rsidRPr="00DE152F">
        <w:t>bronco</w:t>
      </w:r>
      <w:r w:rsidR="004621BC" w:rsidRPr="00DE152F">
        <w:t>stenosi</w:t>
      </w:r>
      <w:proofErr w:type="spellEnd"/>
      <w:r w:rsidR="00631626" w:rsidRPr="00DE152F">
        <w:rPr>
          <w:i/>
          <w:iCs/>
        </w:rPr>
        <w:t xml:space="preserve">. </w:t>
      </w:r>
    </w:p>
    <w:p w:rsidR="006910D3" w:rsidRPr="00DE152F" w:rsidRDefault="006910D3" w:rsidP="00DE152F">
      <w:pPr>
        <w:spacing w:after="0" w:line="240" w:lineRule="auto"/>
        <w:ind w:right="6"/>
        <w:jc w:val="both"/>
      </w:pPr>
    </w:p>
    <w:p w:rsidR="00631626" w:rsidRPr="00DE152F" w:rsidRDefault="00631626" w:rsidP="00DE152F">
      <w:pPr>
        <w:spacing w:after="0" w:line="240" w:lineRule="auto"/>
        <w:ind w:right="6"/>
        <w:jc w:val="both"/>
        <w:rPr>
          <w:b/>
        </w:rPr>
      </w:pPr>
      <w:r w:rsidRPr="00DE152F">
        <w:rPr>
          <w:b/>
        </w:rPr>
        <w:t>Posologia e modalità di somministrazione</w:t>
      </w:r>
    </w:p>
    <w:p w:rsidR="00631626" w:rsidRPr="00DE152F" w:rsidRDefault="00631626" w:rsidP="00DE152F">
      <w:pPr>
        <w:spacing w:after="0" w:line="240" w:lineRule="auto"/>
        <w:ind w:right="6"/>
        <w:jc w:val="both"/>
        <w:rPr>
          <w:rFonts w:eastAsia="Calibri" w:cs="Calibri"/>
          <w:lang w:eastAsia="it-IT"/>
        </w:rPr>
      </w:pPr>
      <w:r w:rsidRPr="00DE152F">
        <w:t>Le informazioni sulla posologia e sulle modalità di somministrazione sono riportate nel Riassunto delle Caratteristiche del Prodotto pubblicato sul sito dell’Agenzia Italiana del Farmaco - AIFA /</w:t>
      </w:r>
      <w:r w:rsidRPr="00DE152F">
        <w:rPr>
          <w:rFonts w:eastAsia="Calibri" w:cs="Calibri"/>
          <w:lang w:eastAsia="it-IT"/>
        </w:rPr>
        <w:t>(</w:t>
      </w:r>
      <w:hyperlink r:id="rId18" w:history="1">
        <w:r w:rsidRPr="00DE152F">
          <w:rPr>
            <w:rStyle w:val="Collegamentoipertestuale"/>
            <w:rFonts w:eastAsia="Calibri" w:cs="Calibri"/>
            <w:lang w:eastAsia="it-IT"/>
          </w:rPr>
          <w:t>https://farmaci.agenziafarmaco.gov.it/bancadatifarmaci</w:t>
        </w:r>
      </w:hyperlink>
      <w:r w:rsidRPr="00DE152F">
        <w:rPr>
          <w:rFonts w:eastAsia="Calibri" w:cs="Calibri"/>
          <w:lang w:eastAsia="it-IT"/>
        </w:rPr>
        <w:t>).</w:t>
      </w:r>
    </w:p>
    <w:p w:rsidR="00631626" w:rsidRPr="00DE152F" w:rsidRDefault="00631626" w:rsidP="00DE152F">
      <w:pPr>
        <w:spacing w:after="0" w:line="240" w:lineRule="auto"/>
        <w:ind w:right="6"/>
        <w:jc w:val="both"/>
        <w:rPr>
          <w:rFonts w:eastAsia="Calibri" w:cs="Calibri"/>
          <w:lang w:eastAsia="it-IT"/>
        </w:rPr>
      </w:pPr>
    </w:p>
    <w:p w:rsidR="00631626" w:rsidRPr="00DE152F" w:rsidRDefault="00631626" w:rsidP="00DE152F">
      <w:pPr>
        <w:spacing w:after="0" w:line="240" w:lineRule="auto"/>
        <w:ind w:right="6"/>
        <w:jc w:val="both"/>
        <w:rPr>
          <w:rFonts w:eastAsia="Calibri" w:cs="Calibri"/>
          <w:b/>
          <w:lang w:eastAsia="it-IT"/>
        </w:rPr>
      </w:pPr>
      <w:r w:rsidRPr="00DE152F">
        <w:rPr>
          <w:rFonts w:eastAsia="Calibri" w:cs="Calibri"/>
          <w:b/>
          <w:lang w:eastAsia="it-IT"/>
        </w:rPr>
        <w:t>Tossicologia</w:t>
      </w:r>
    </w:p>
    <w:p w:rsidR="00631626" w:rsidRPr="00DE152F" w:rsidRDefault="00631626" w:rsidP="00DE152F">
      <w:pPr>
        <w:spacing w:after="0" w:line="240" w:lineRule="auto"/>
        <w:ind w:right="6"/>
        <w:jc w:val="both"/>
        <w:rPr>
          <w:rFonts w:eastAsia="Calibri" w:cs="Calibri"/>
          <w:lang w:eastAsia="it-IT"/>
        </w:rPr>
      </w:pPr>
      <w:r w:rsidRPr="00DE152F">
        <w:rPr>
          <w:rFonts w:eastAsia="Calibri" w:cs="Calibri"/>
          <w:lang w:eastAsia="it-IT"/>
        </w:rPr>
        <w:t xml:space="preserve">La tossicologia di </w:t>
      </w:r>
      <w:r w:rsidR="00F32F57" w:rsidRPr="00DE152F">
        <w:t>fluticasone propionato</w:t>
      </w:r>
      <w:r w:rsidRPr="00DE152F">
        <w:t xml:space="preserve"> </w:t>
      </w:r>
      <w:r w:rsidRPr="00DE152F">
        <w:rPr>
          <w:rFonts w:eastAsia="Calibri" w:cs="Calibri"/>
          <w:lang w:eastAsia="it-IT"/>
        </w:rPr>
        <w:t>è ben conosciuta; non è stato necessario presentare ulteriori dati.</w:t>
      </w:r>
    </w:p>
    <w:p w:rsidR="00631626" w:rsidRPr="00DE152F" w:rsidRDefault="00631626" w:rsidP="00DE152F">
      <w:pPr>
        <w:spacing w:after="0" w:line="240" w:lineRule="auto"/>
        <w:ind w:right="6"/>
        <w:jc w:val="both"/>
        <w:rPr>
          <w:rFonts w:eastAsia="Calibri" w:cs="Calibri"/>
          <w:lang w:eastAsia="it-IT"/>
        </w:rPr>
      </w:pPr>
    </w:p>
    <w:p w:rsidR="00631626" w:rsidRPr="00DE152F" w:rsidRDefault="00631626" w:rsidP="00DE152F">
      <w:pPr>
        <w:spacing w:after="0" w:line="240" w:lineRule="auto"/>
        <w:ind w:right="6"/>
        <w:jc w:val="both"/>
        <w:rPr>
          <w:rFonts w:eastAsia="Times New Roman" w:cs="Times New Roman"/>
          <w:b/>
        </w:rPr>
      </w:pPr>
      <w:r w:rsidRPr="00DE152F">
        <w:rPr>
          <w:rFonts w:eastAsia="Times New Roman" w:cs="Times New Roman"/>
          <w:b/>
        </w:rPr>
        <w:t>Farmacologia clinica</w:t>
      </w:r>
    </w:p>
    <w:p w:rsidR="00631626" w:rsidRPr="00DE152F" w:rsidRDefault="00631626" w:rsidP="00DE152F">
      <w:pPr>
        <w:spacing w:after="0" w:line="240" w:lineRule="auto"/>
        <w:jc w:val="both"/>
      </w:pPr>
      <w:r w:rsidRPr="00DE152F">
        <w:rPr>
          <w:rFonts w:eastAsia="Calibri" w:cs="Calibri"/>
          <w:lang w:eastAsia="it-IT"/>
        </w:rPr>
        <w:t xml:space="preserve">La farmacologia clinica del </w:t>
      </w:r>
      <w:proofErr w:type="spellStart"/>
      <w:r w:rsidR="00F32F57" w:rsidRPr="00DE152F">
        <w:t>fluticasone</w:t>
      </w:r>
      <w:proofErr w:type="spellEnd"/>
      <w:r w:rsidR="00F32F57" w:rsidRPr="00DE152F">
        <w:t xml:space="preserve"> </w:t>
      </w:r>
      <w:proofErr w:type="spellStart"/>
      <w:r w:rsidR="00F32F57" w:rsidRPr="00DE152F">
        <w:t>propionato</w:t>
      </w:r>
      <w:proofErr w:type="spellEnd"/>
      <w:r w:rsidRPr="00DE152F">
        <w:t xml:space="preserve"> </w:t>
      </w:r>
      <w:r w:rsidRPr="00DE152F">
        <w:rPr>
          <w:rFonts w:eastAsia="Calibri" w:cs="Calibri"/>
          <w:lang w:eastAsia="it-IT"/>
        </w:rPr>
        <w:t>è ben conosciuta</w:t>
      </w:r>
      <w:r w:rsidR="00A42B99">
        <w:rPr>
          <w:rFonts w:eastAsia="Calibri" w:cs="Calibri"/>
          <w:lang w:eastAsia="it-IT"/>
        </w:rPr>
        <w:t xml:space="preserve"> e, pertanto,</w:t>
      </w:r>
      <w:r w:rsidRPr="00DE152F">
        <w:t xml:space="preserve"> non sono stati condotti nuovi studi clinici di farmacodinamica e farmacocinetica, in quanto </w:t>
      </w:r>
      <w:r w:rsidR="007079D1" w:rsidRPr="00DE152F">
        <w:t>Flugenix</w:t>
      </w:r>
      <w:r w:rsidR="004621BC" w:rsidRPr="00DE152F">
        <w:t xml:space="preserve"> </w:t>
      </w:r>
      <w:r w:rsidRPr="00DE152F">
        <w:t xml:space="preserve">contiene un principio attivo noto </w:t>
      </w:r>
      <w:r w:rsidR="004621BC" w:rsidRPr="00DE152F">
        <w:t xml:space="preserve">e presente nel medicinale Flixotide autorizzato in </w:t>
      </w:r>
      <w:r w:rsidR="005952DF" w:rsidRPr="00DE152F">
        <w:t>Italia</w:t>
      </w:r>
      <w:r w:rsidR="004621BC" w:rsidRPr="00DE152F">
        <w:t xml:space="preserve"> da più di 10 anni.</w:t>
      </w:r>
    </w:p>
    <w:p w:rsidR="00631626" w:rsidRPr="00DE152F" w:rsidRDefault="00631626" w:rsidP="00DE152F">
      <w:pPr>
        <w:spacing w:after="0" w:line="240" w:lineRule="auto"/>
        <w:jc w:val="both"/>
        <w:rPr>
          <w:rFonts w:cs="Arial"/>
        </w:rPr>
      </w:pPr>
    </w:p>
    <w:p w:rsidR="00631626" w:rsidRPr="00DE152F" w:rsidRDefault="00631626" w:rsidP="00DE152F">
      <w:pPr>
        <w:spacing w:after="0" w:line="240" w:lineRule="auto"/>
        <w:jc w:val="both"/>
        <w:rPr>
          <w:rFonts w:cs="Arial"/>
          <w:b/>
        </w:rPr>
      </w:pPr>
      <w:r w:rsidRPr="00DE152F">
        <w:rPr>
          <w:rFonts w:cs="Arial"/>
          <w:b/>
        </w:rPr>
        <w:t>Efficacia e sicurezza clinica</w:t>
      </w:r>
    </w:p>
    <w:p w:rsidR="00BF3E11" w:rsidRDefault="00631626" w:rsidP="00BF3E11">
      <w:pPr>
        <w:spacing w:after="0" w:line="240" w:lineRule="auto"/>
        <w:jc w:val="both"/>
        <w:rPr>
          <w:rFonts w:cs="Arial"/>
        </w:rPr>
      </w:pPr>
      <w:r w:rsidRPr="00DE152F">
        <w:rPr>
          <w:rFonts w:cs="Arial"/>
        </w:rPr>
        <w:t xml:space="preserve">Non sono stati presentati nuovi dati di efficacia e sicurezza clinica: il profilo di sicurezza e l’efficacia del principio attivo di </w:t>
      </w:r>
      <w:r w:rsidR="007079D1" w:rsidRPr="00DE152F">
        <w:rPr>
          <w:rFonts w:cs="Arial"/>
        </w:rPr>
        <w:t>Flugenix</w:t>
      </w:r>
      <w:r w:rsidR="004B491D" w:rsidRPr="00DE152F">
        <w:rPr>
          <w:rFonts w:cs="Arial"/>
        </w:rPr>
        <w:t xml:space="preserve"> </w:t>
      </w:r>
      <w:r w:rsidR="004621BC" w:rsidRPr="00DE152F">
        <w:rPr>
          <w:rFonts w:cs="Arial"/>
        </w:rPr>
        <w:t xml:space="preserve">sono ben conosciuti; inoltre, è stato possibile concedere l’esenzione dalla conduzione di studi clinici di confronto con il medicinale di riferimento in quanto </w:t>
      </w:r>
      <w:proofErr w:type="spellStart"/>
      <w:r w:rsidR="007079D1" w:rsidRPr="00DE152F">
        <w:rPr>
          <w:rFonts w:cs="Arial"/>
        </w:rPr>
        <w:t>Flugenix</w:t>
      </w:r>
      <w:proofErr w:type="spellEnd"/>
      <w:r w:rsidR="004621BC" w:rsidRPr="00DE152F">
        <w:rPr>
          <w:rFonts w:cs="Arial"/>
        </w:rPr>
        <w:t xml:space="preserve"> </w:t>
      </w:r>
      <w:r w:rsidR="00BF3E11" w:rsidRPr="00885025">
        <w:rPr>
          <w:rFonts w:cs="Arial"/>
        </w:rPr>
        <w:t xml:space="preserve">è </w:t>
      </w:r>
      <w:r w:rsidR="00BF3E11" w:rsidRPr="00DE152F">
        <w:rPr>
          <w:rFonts w:cs="Arial"/>
        </w:rPr>
        <w:t xml:space="preserve">somministrato </w:t>
      </w:r>
      <w:r w:rsidR="00BF3E11">
        <w:rPr>
          <w:rFonts w:cs="Arial"/>
        </w:rPr>
        <w:t xml:space="preserve">come sospensione da nebulizzare ed </w:t>
      </w:r>
      <w:r w:rsidR="00BF3E11" w:rsidRPr="00DE152F">
        <w:rPr>
          <w:rFonts w:cs="Arial"/>
        </w:rPr>
        <w:t>ha la stessa composizione e</w:t>
      </w:r>
      <w:r w:rsidR="00BF3E11">
        <w:rPr>
          <w:rFonts w:cs="Arial"/>
        </w:rPr>
        <w:t xml:space="preserve"> </w:t>
      </w:r>
      <w:r w:rsidR="00BF3E11" w:rsidRPr="00DE152F">
        <w:rPr>
          <w:rFonts w:cs="Arial"/>
        </w:rPr>
        <w:t>le stesse caratteristiche chimico-fisiche del medicinale di rifer</w:t>
      </w:r>
      <w:r w:rsidR="00BF3E11">
        <w:rPr>
          <w:rFonts w:cs="Arial"/>
        </w:rPr>
        <w:t>imento</w:t>
      </w:r>
      <w:r w:rsidR="00BF3E11" w:rsidRPr="00885025">
        <w:rPr>
          <w:rFonts w:cs="Arial"/>
        </w:rPr>
        <w:t>.</w:t>
      </w:r>
    </w:p>
    <w:p w:rsidR="00631626" w:rsidRPr="00DE152F" w:rsidRDefault="00631626" w:rsidP="00BF3E11">
      <w:pPr>
        <w:spacing w:after="0" w:line="240" w:lineRule="auto"/>
        <w:jc w:val="both"/>
      </w:pPr>
    </w:p>
    <w:p w:rsidR="00631626" w:rsidRPr="00DE152F" w:rsidRDefault="00631626" w:rsidP="00DE152F">
      <w:pPr>
        <w:pStyle w:val="Paragrafoelenco"/>
        <w:spacing w:after="0" w:line="240" w:lineRule="auto"/>
        <w:ind w:left="0"/>
        <w:jc w:val="both"/>
        <w:rPr>
          <w:b/>
        </w:rPr>
      </w:pPr>
      <w:r w:rsidRPr="00DE152F">
        <w:rPr>
          <w:b/>
        </w:rPr>
        <w:t>Piano di Valutazione del Rischio (</w:t>
      </w:r>
      <w:r w:rsidRPr="00DE152F">
        <w:rPr>
          <w:b/>
          <w:i/>
        </w:rPr>
        <w:t>Risk Management Plan</w:t>
      </w:r>
      <w:r w:rsidRPr="00DE152F">
        <w:rPr>
          <w:b/>
        </w:rPr>
        <w:t xml:space="preserve"> - RMP)</w:t>
      </w:r>
    </w:p>
    <w:p w:rsidR="00631626" w:rsidRPr="00DE152F" w:rsidRDefault="00631626" w:rsidP="00DE152F">
      <w:pPr>
        <w:pStyle w:val="Paragrafoelenco"/>
        <w:spacing w:after="0" w:line="240" w:lineRule="auto"/>
        <w:ind w:left="0"/>
        <w:jc w:val="both"/>
      </w:pPr>
      <w:r w:rsidRPr="00DE152F">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7079D1" w:rsidRPr="00DE152F">
        <w:t>Flugenix</w:t>
      </w:r>
      <w:r w:rsidRPr="00DE152F">
        <w:t>.</w:t>
      </w:r>
    </w:p>
    <w:p w:rsidR="00631626" w:rsidRPr="00DE152F" w:rsidRDefault="00631626" w:rsidP="00DE152F">
      <w:pPr>
        <w:pStyle w:val="Paragrafoelenco"/>
        <w:spacing w:after="0" w:line="240" w:lineRule="auto"/>
        <w:ind w:left="0"/>
        <w:jc w:val="both"/>
      </w:pPr>
      <w:r w:rsidRPr="00DE152F">
        <w:t>Il riassunto delle problematiche di sicurezza sono riportate nella tabella seguente.</w:t>
      </w:r>
    </w:p>
    <w:p w:rsidR="0054537B" w:rsidRPr="00DE152F" w:rsidRDefault="0054537B" w:rsidP="00DE152F">
      <w:pPr>
        <w:pStyle w:val="Paragrafoelenco"/>
        <w:spacing w:after="0" w:line="240" w:lineRule="auto"/>
        <w:ind w:left="0"/>
        <w:jc w:val="both"/>
      </w:pPr>
    </w:p>
    <w:p w:rsidR="0054537B" w:rsidRPr="00DE152F" w:rsidRDefault="0054537B" w:rsidP="00DE152F">
      <w:pPr>
        <w:pStyle w:val="Paragrafoelenco"/>
        <w:spacing w:after="0" w:line="240" w:lineRule="auto"/>
        <w:ind w:left="0"/>
        <w:jc w:val="both"/>
      </w:pPr>
    </w:p>
    <w:tbl>
      <w:tblPr>
        <w:tblW w:w="4671" w:type="pct"/>
        <w:jc w:val="center"/>
        <w:tblInd w:w="-2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3125"/>
        <w:gridCol w:w="6081"/>
      </w:tblGrid>
      <w:tr w:rsidR="0054537B" w:rsidRPr="00FF7CE4" w:rsidTr="00BF3E11">
        <w:trPr>
          <w:trHeight w:val="2693"/>
          <w:jc w:val="center"/>
        </w:trPr>
        <w:tc>
          <w:tcPr>
            <w:tcW w:w="1697" w:type="pct"/>
            <w:tcBorders>
              <w:top w:val="single" w:sz="4" w:space="0" w:color="auto"/>
              <w:left w:val="single" w:sz="4" w:space="0" w:color="auto"/>
              <w:bottom w:val="single" w:sz="6" w:space="0" w:color="auto"/>
              <w:right w:val="single" w:sz="6" w:space="0" w:color="auto"/>
            </w:tcBorders>
            <w:hideMark/>
          </w:tcPr>
          <w:p w:rsidR="0054537B" w:rsidRPr="00BF3E11" w:rsidRDefault="0054537B" w:rsidP="00DE152F">
            <w:pPr>
              <w:pStyle w:val="TabletextrowsAgency"/>
              <w:spacing w:line="240" w:lineRule="auto"/>
              <w:rPr>
                <w:rFonts w:asciiTheme="minorHAnsi" w:hAnsiTheme="minorHAnsi"/>
                <w:sz w:val="20"/>
                <w:szCs w:val="22"/>
                <w:lang w:eastAsia="en-GB"/>
              </w:rPr>
            </w:pPr>
            <w:proofErr w:type="spellStart"/>
            <w:r w:rsidRPr="00BF3E11">
              <w:rPr>
                <w:rFonts w:asciiTheme="minorHAnsi" w:hAnsiTheme="minorHAnsi"/>
                <w:sz w:val="20"/>
                <w:szCs w:val="22"/>
                <w:lang w:eastAsia="en-GB"/>
              </w:rPr>
              <w:lastRenderedPageBreak/>
              <w:t>Rischi</w:t>
            </w:r>
            <w:proofErr w:type="spellEnd"/>
            <w:r w:rsidRPr="00BF3E11">
              <w:rPr>
                <w:rFonts w:asciiTheme="minorHAnsi" w:hAnsiTheme="minorHAnsi"/>
                <w:sz w:val="20"/>
                <w:szCs w:val="22"/>
                <w:lang w:eastAsia="en-GB"/>
              </w:rPr>
              <w:t xml:space="preserve"> </w:t>
            </w:r>
            <w:proofErr w:type="spellStart"/>
            <w:r w:rsidRPr="00BF3E11">
              <w:rPr>
                <w:rFonts w:asciiTheme="minorHAnsi" w:hAnsiTheme="minorHAnsi"/>
                <w:sz w:val="20"/>
                <w:szCs w:val="22"/>
                <w:lang w:eastAsia="en-GB"/>
              </w:rPr>
              <w:t>importanti</w:t>
            </w:r>
            <w:proofErr w:type="spellEnd"/>
            <w:r w:rsidRPr="00BF3E11">
              <w:rPr>
                <w:rFonts w:asciiTheme="minorHAnsi" w:hAnsiTheme="minorHAnsi"/>
                <w:sz w:val="20"/>
                <w:szCs w:val="22"/>
                <w:lang w:eastAsia="en-GB"/>
              </w:rPr>
              <w:t xml:space="preserve"> </w:t>
            </w:r>
            <w:proofErr w:type="spellStart"/>
            <w:r w:rsidRPr="00BF3E11">
              <w:rPr>
                <w:rFonts w:asciiTheme="minorHAnsi" w:hAnsiTheme="minorHAnsi"/>
                <w:sz w:val="20"/>
                <w:szCs w:val="22"/>
                <w:lang w:eastAsia="en-GB"/>
              </w:rPr>
              <w:t>identificati</w:t>
            </w:r>
            <w:proofErr w:type="spellEnd"/>
          </w:p>
        </w:tc>
        <w:tc>
          <w:tcPr>
            <w:tcW w:w="3303" w:type="pct"/>
            <w:tcBorders>
              <w:top w:val="single" w:sz="4" w:space="0" w:color="auto"/>
              <w:left w:val="single" w:sz="6" w:space="0" w:color="auto"/>
              <w:bottom w:val="single" w:sz="6" w:space="0" w:color="auto"/>
              <w:right w:val="single" w:sz="4" w:space="0" w:color="auto"/>
            </w:tcBorders>
            <w:hideMark/>
          </w:tcPr>
          <w:p w:rsidR="0054537B" w:rsidRPr="00BF3E11" w:rsidRDefault="0054537B" w:rsidP="00DE152F">
            <w:pPr>
              <w:spacing w:after="0" w:line="240" w:lineRule="auto"/>
              <w:ind w:left="20"/>
              <w:rPr>
                <w:sz w:val="20"/>
              </w:rPr>
            </w:pPr>
            <w:r w:rsidRPr="00BF3E11">
              <w:rPr>
                <w:sz w:val="20"/>
              </w:rPr>
              <w:t>Compromissione della funzione cortico-surrenale</w:t>
            </w:r>
          </w:p>
          <w:p w:rsidR="0054537B" w:rsidRPr="00BF3E11" w:rsidRDefault="0054537B" w:rsidP="00DE152F">
            <w:pPr>
              <w:spacing w:after="0" w:line="240" w:lineRule="auto"/>
              <w:ind w:left="20"/>
              <w:rPr>
                <w:sz w:val="20"/>
              </w:rPr>
            </w:pPr>
            <w:r w:rsidRPr="00BF3E11">
              <w:rPr>
                <w:sz w:val="20"/>
              </w:rPr>
              <w:t>Ritardo nella crescita in bambini e adolescenti</w:t>
            </w:r>
          </w:p>
          <w:p w:rsidR="0054537B" w:rsidRPr="00BF3E11" w:rsidRDefault="0054537B" w:rsidP="00DE152F">
            <w:pPr>
              <w:spacing w:after="0" w:line="240" w:lineRule="auto"/>
              <w:ind w:left="20"/>
              <w:rPr>
                <w:sz w:val="20"/>
              </w:rPr>
            </w:pPr>
            <w:r w:rsidRPr="00BF3E11">
              <w:rPr>
                <w:sz w:val="20"/>
              </w:rPr>
              <w:t xml:space="preserve">Riduzione della densità minerale ossea </w:t>
            </w:r>
          </w:p>
          <w:p w:rsidR="0054537B" w:rsidRPr="00BF3E11" w:rsidRDefault="0054537B" w:rsidP="00DE152F">
            <w:pPr>
              <w:spacing w:after="0" w:line="240" w:lineRule="auto"/>
              <w:ind w:left="20"/>
              <w:rPr>
                <w:sz w:val="20"/>
              </w:rPr>
            </w:pPr>
            <w:r w:rsidRPr="00BF3E11">
              <w:rPr>
                <w:sz w:val="20"/>
              </w:rPr>
              <w:t>Sindrome di Cushing</w:t>
            </w:r>
          </w:p>
          <w:p w:rsidR="0054537B" w:rsidRPr="00BF3E11" w:rsidRDefault="0054537B" w:rsidP="00DE152F">
            <w:pPr>
              <w:spacing w:after="0" w:line="240" w:lineRule="auto"/>
              <w:ind w:left="20"/>
              <w:rPr>
                <w:sz w:val="20"/>
              </w:rPr>
            </w:pPr>
            <w:r w:rsidRPr="00BF3E11">
              <w:rPr>
                <w:sz w:val="20"/>
              </w:rPr>
              <w:t>Cataratta</w:t>
            </w:r>
          </w:p>
          <w:p w:rsidR="0054537B" w:rsidRPr="00BF3E11" w:rsidRDefault="0054537B" w:rsidP="00DE152F">
            <w:pPr>
              <w:spacing w:after="0" w:line="240" w:lineRule="auto"/>
              <w:ind w:left="20"/>
              <w:rPr>
                <w:sz w:val="20"/>
              </w:rPr>
            </w:pPr>
            <w:r w:rsidRPr="00BF3E11">
              <w:rPr>
                <w:sz w:val="20"/>
              </w:rPr>
              <w:t xml:space="preserve">Glaucoma </w:t>
            </w:r>
          </w:p>
          <w:p w:rsidR="0054537B" w:rsidRPr="00BF3E11" w:rsidRDefault="0054537B" w:rsidP="00DE152F">
            <w:pPr>
              <w:spacing w:after="0" w:line="240" w:lineRule="auto"/>
              <w:ind w:left="20"/>
              <w:rPr>
                <w:sz w:val="20"/>
              </w:rPr>
            </w:pPr>
            <w:r w:rsidRPr="00BF3E11">
              <w:rPr>
                <w:sz w:val="20"/>
              </w:rPr>
              <w:t>Effetti a livello psichiatrico e del comportamento</w:t>
            </w:r>
          </w:p>
          <w:p w:rsidR="0054537B" w:rsidRPr="00BF3E11" w:rsidRDefault="0054537B" w:rsidP="00DE152F">
            <w:pPr>
              <w:spacing w:after="0" w:line="240" w:lineRule="auto"/>
              <w:ind w:left="20"/>
              <w:rPr>
                <w:sz w:val="20"/>
              </w:rPr>
            </w:pPr>
            <w:r w:rsidRPr="00BF3E11">
              <w:rPr>
                <w:sz w:val="20"/>
              </w:rPr>
              <w:t>Ipersensibilità/angiodema</w:t>
            </w:r>
          </w:p>
          <w:p w:rsidR="0054537B" w:rsidRPr="00BF3E11" w:rsidRDefault="0054537B" w:rsidP="00DE152F">
            <w:pPr>
              <w:spacing w:after="0" w:line="240" w:lineRule="auto"/>
              <w:ind w:left="20"/>
              <w:rPr>
                <w:sz w:val="20"/>
              </w:rPr>
            </w:pPr>
            <w:r w:rsidRPr="00BF3E11">
              <w:rPr>
                <w:sz w:val="20"/>
              </w:rPr>
              <w:t xml:space="preserve">Uso in pazienti con infezioni latenti (candidiasi) </w:t>
            </w:r>
          </w:p>
          <w:p w:rsidR="0054537B" w:rsidRPr="00BF3E11" w:rsidRDefault="0054537B" w:rsidP="00A42B99">
            <w:pPr>
              <w:spacing w:after="0" w:line="240" w:lineRule="auto"/>
              <w:ind w:left="20"/>
              <w:rPr>
                <w:color w:val="000000" w:themeColor="text1"/>
                <w:sz w:val="20"/>
              </w:rPr>
            </w:pPr>
            <w:r w:rsidRPr="00BF3E11">
              <w:rPr>
                <w:sz w:val="20"/>
              </w:rPr>
              <w:t>Aumento della concentrazione plasmatica del fluticasone propinato quando somministrato contemporaneamente al ritonavir</w:t>
            </w:r>
          </w:p>
        </w:tc>
      </w:tr>
      <w:tr w:rsidR="0054537B" w:rsidRPr="00FF7CE4" w:rsidTr="00BC236D">
        <w:trPr>
          <w:jc w:val="center"/>
        </w:trPr>
        <w:tc>
          <w:tcPr>
            <w:tcW w:w="1697" w:type="pct"/>
            <w:tcBorders>
              <w:top w:val="single" w:sz="6" w:space="0" w:color="auto"/>
              <w:left w:val="single" w:sz="4" w:space="0" w:color="auto"/>
              <w:bottom w:val="single" w:sz="6" w:space="0" w:color="auto"/>
              <w:right w:val="single" w:sz="6" w:space="0" w:color="auto"/>
            </w:tcBorders>
            <w:hideMark/>
          </w:tcPr>
          <w:p w:rsidR="0054537B" w:rsidRPr="00BF3E11" w:rsidRDefault="0054537B" w:rsidP="00DE152F">
            <w:pPr>
              <w:pStyle w:val="TabletextrowsAgency"/>
              <w:spacing w:line="240" w:lineRule="auto"/>
              <w:rPr>
                <w:rFonts w:asciiTheme="minorHAnsi" w:hAnsiTheme="minorHAnsi"/>
                <w:sz w:val="20"/>
                <w:szCs w:val="22"/>
                <w:lang w:eastAsia="en-GB"/>
              </w:rPr>
            </w:pPr>
            <w:r w:rsidRPr="00BF3E11">
              <w:rPr>
                <w:rFonts w:asciiTheme="minorHAnsi" w:hAnsiTheme="minorHAnsi"/>
                <w:sz w:val="20"/>
                <w:szCs w:val="22"/>
                <w:lang w:eastAsia="en-GB"/>
              </w:rPr>
              <w:t>Rischi importanti potenziali</w:t>
            </w:r>
          </w:p>
        </w:tc>
        <w:tc>
          <w:tcPr>
            <w:tcW w:w="3303" w:type="pct"/>
            <w:tcBorders>
              <w:top w:val="single" w:sz="6" w:space="0" w:color="auto"/>
              <w:left w:val="single" w:sz="6" w:space="0" w:color="auto"/>
              <w:bottom w:val="single" w:sz="6" w:space="0" w:color="auto"/>
              <w:right w:val="single" w:sz="4" w:space="0" w:color="auto"/>
            </w:tcBorders>
            <w:hideMark/>
          </w:tcPr>
          <w:p w:rsidR="0054537B" w:rsidRPr="00BF3E11" w:rsidRDefault="0054537B" w:rsidP="00DE152F">
            <w:pPr>
              <w:spacing w:after="0" w:line="240" w:lineRule="auto"/>
              <w:ind w:left="20"/>
              <w:rPr>
                <w:sz w:val="20"/>
              </w:rPr>
            </w:pPr>
            <w:r w:rsidRPr="00BF3E11">
              <w:rPr>
                <w:sz w:val="20"/>
              </w:rPr>
              <w:t>Iperglicemia</w:t>
            </w:r>
          </w:p>
          <w:p w:rsidR="0054537B" w:rsidRPr="00BF3E11" w:rsidRDefault="0054537B" w:rsidP="00DE152F">
            <w:pPr>
              <w:spacing w:after="0" w:line="240" w:lineRule="auto"/>
              <w:ind w:left="20"/>
              <w:rPr>
                <w:sz w:val="20"/>
              </w:rPr>
            </w:pPr>
            <w:r w:rsidRPr="00BF3E11">
              <w:rPr>
                <w:sz w:val="20"/>
              </w:rPr>
              <w:t>Effetti dovuti allo switch da corticosteroidi sistemici a quelli inalatori</w:t>
            </w:r>
          </w:p>
          <w:p w:rsidR="0054537B" w:rsidRPr="00BF3E11" w:rsidRDefault="0054537B" w:rsidP="00DE152F">
            <w:pPr>
              <w:spacing w:after="0" w:line="240" w:lineRule="auto"/>
              <w:ind w:left="20"/>
              <w:rPr>
                <w:sz w:val="20"/>
              </w:rPr>
            </w:pPr>
            <w:r w:rsidRPr="00BF3E11">
              <w:rPr>
                <w:sz w:val="20"/>
              </w:rPr>
              <w:t>Aumento della concentrazione plasmatica del fluticasone propinato quando somministrato contemporaneamente ad altri inibitori del P450 (ketonazolo e eritromicina)</w:t>
            </w:r>
          </w:p>
          <w:p w:rsidR="0054537B" w:rsidRPr="00BF3E11" w:rsidRDefault="0054537B" w:rsidP="00DE152F">
            <w:pPr>
              <w:spacing w:after="0" w:line="240" w:lineRule="auto"/>
              <w:ind w:left="20"/>
              <w:rPr>
                <w:sz w:val="20"/>
              </w:rPr>
            </w:pPr>
            <w:r w:rsidRPr="00BF3E11">
              <w:rPr>
                <w:sz w:val="20"/>
              </w:rPr>
              <w:t>Crisi asmatiche</w:t>
            </w:r>
          </w:p>
          <w:p w:rsidR="0054537B" w:rsidRPr="00BF3E11" w:rsidRDefault="0054537B" w:rsidP="00A42B99">
            <w:pPr>
              <w:spacing w:after="0" w:line="240" w:lineRule="auto"/>
              <w:ind w:left="20"/>
              <w:rPr>
                <w:sz w:val="20"/>
              </w:rPr>
            </w:pPr>
            <w:r w:rsidRPr="00BF3E11">
              <w:rPr>
                <w:sz w:val="20"/>
              </w:rPr>
              <w:t>Polmonite in pazienti con BPCO</w:t>
            </w:r>
          </w:p>
        </w:tc>
      </w:tr>
      <w:tr w:rsidR="0054537B" w:rsidRPr="00FF7CE4" w:rsidTr="00BC236D">
        <w:trPr>
          <w:jc w:val="center"/>
        </w:trPr>
        <w:tc>
          <w:tcPr>
            <w:tcW w:w="1697" w:type="pct"/>
            <w:tcBorders>
              <w:top w:val="single" w:sz="6" w:space="0" w:color="auto"/>
              <w:left w:val="single" w:sz="4" w:space="0" w:color="auto"/>
              <w:bottom w:val="single" w:sz="4" w:space="0" w:color="auto"/>
              <w:right w:val="single" w:sz="6" w:space="0" w:color="auto"/>
            </w:tcBorders>
            <w:hideMark/>
          </w:tcPr>
          <w:p w:rsidR="0054537B" w:rsidRPr="00BF3E11" w:rsidRDefault="0054537B" w:rsidP="00DE152F">
            <w:pPr>
              <w:pStyle w:val="TabletextrowsAgency"/>
              <w:spacing w:line="240" w:lineRule="auto"/>
              <w:rPr>
                <w:rFonts w:asciiTheme="minorHAnsi" w:hAnsiTheme="minorHAnsi"/>
                <w:sz w:val="20"/>
                <w:szCs w:val="22"/>
                <w:lang w:eastAsia="en-GB"/>
              </w:rPr>
            </w:pPr>
            <w:r w:rsidRPr="00BF3E11">
              <w:rPr>
                <w:rFonts w:asciiTheme="minorHAnsi" w:hAnsiTheme="minorHAnsi"/>
                <w:sz w:val="20"/>
                <w:szCs w:val="22"/>
                <w:lang w:eastAsia="en-GB"/>
              </w:rPr>
              <w:t>Informazioni mancanti</w:t>
            </w:r>
          </w:p>
        </w:tc>
        <w:tc>
          <w:tcPr>
            <w:tcW w:w="3303" w:type="pct"/>
            <w:tcBorders>
              <w:top w:val="single" w:sz="6" w:space="0" w:color="auto"/>
              <w:left w:val="single" w:sz="6" w:space="0" w:color="auto"/>
              <w:bottom w:val="single" w:sz="4" w:space="0" w:color="auto"/>
              <w:right w:val="single" w:sz="4" w:space="0" w:color="auto"/>
            </w:tcBorders>
            <w:hideMark/>
          </w:tcPr>
          <w:p w:rsidR="0054537B" w:rsidRPr="00BF3E11" w:rsidRDefault="0054537B" w:rsidP="00DE152F">
            <w:pPr>
              <w:spacing w:after="0" w:line="240" w:lineRule="auto"/>
              <w:ind w:left="20"/>
              <w:rPr>
                <w:sz w:val="20"/>
              </w:rPr>
            </w:pPr>
            <w:r w:rsidRPr="00BF3E11">
              <w:rPr>
                <w:sz w:val="20"/>
              </w:rPr>
              <w:t xml:space="preserve">Gravidanza ed allattamento </w:t>
            </w:r>
          </w:p>
          <w:p w:rsidR="0054537B" w:rsidRPr="00BF3E11" w:rsidRDefault="00BC236D" w:rsidP="00A42B99">
            <w:pPr>
              <w:spacing w:after="0" w:line="240" w:lineRule="auto"/>
              <w:ind w:left="20"/>
              <w:rPr>
                <w:sz w:val="20"/>
              </w:rPr>
            </w:pPr>
            <w:r w:rsidRPr="00BF3E11">
              <w:rPr>
                <w:sz w:val="20"/>
              </w:rPr>
              <w:t>P</w:t>
            </w:r>
            <w:r w:rsidR="0054537B" w:rsidRPr="00BF3E11">
              <w:rPr>
                <w:sz w:val="20"/>
              </w:rPr>
              <w:t>opolazione pediatrica (bambini al di sotto dei 4 anni)</w:t>
            </w:r>
          </w:p>
        </w:tc>
      </w:tr>
    </w:tbl>
    <w:p w:rsidR="0054537B" w:rsidRPr="00DE152F" w:rsidRDefault="0054537B" w:rsidP="00DE152F">
      <w:pPr>
        <w:pStyle w:val="Paragrafoelenco"/>
        <w:spacing w:after="0" w:line="240" w:lineRule="auto"/>
        <w:ind w:left="0"/>
        <w:jc w:val="both"/>
      </w:pPr>
    </w:p>
    <w:p w:rsidR="00631626" w:rsidRPr="00DE152F" w:rsidRDefault="00631626" w:rsidP="00DE152F">
      <w:pPr>
        <w:pStyle w:val="Paragrafoelenco"/>
        <w:spacing w:after="0" w:line="240" w:lineRule="auto"/>
        <w:ind w:left="0"/>
        <w:jc w:val="both"/>
      </w:pPr>
      <w:r w:rsidRPr="00DE152F">
        <w:t>Azioni routinarie di farmacovigilanza e di minimizzazione del rischio sono proposte per tutte le problematiche di sicurezza.</w:t>
      </w:r>
    </w:p>
    <w:p w:rsidR="00631626" w:rsidRPr="00DE152F" w:rsidRDefault="00631626" w:rsidP="00DE152F">
      <w:pPr>
        <w:pStyle w:val="Paragrafoelenco"/>
        <w:spacing w:after="0" w:line="240" w:lineRule="auto"/>
        <w:ind w:left="0"/>
        <w:jc w:val="both"/>
      </w:pPr>
      <w:r w:rsidRPr="00DE152F">
        <w:t>Oltre le misure previste nel Riassunto delle caratteristiche del prodotto non sono previste attività addizionali di minimizzazione del rischio</w:t>
      </w:r>
    </w:p>
    <w:p w:rsidR="00631626" w:rsidRPr="00DE152F" w:rsidRDefault="00631626" w:rsidP="00DE152F">
      <w:pPr>
        <w:pStyle w:val="Paragrafoelenco"/>
        <w:spacing w:after="0" w:line="240" w:lineRule="auto"/>
        <w:ind w:left="0"/>
        <w:jc w:val="both"/>
      </w:pPr>
    </w:p>
    <w:p w:rsidR="00631626" w:rsidRPr="00DE152F" w:rsidRDefault="00631626" w:rsidP="00DE152F">
      <w:pPr>
        <w:pStyle w:val="Paragrafoelenco"/>
        <w:spacing w:after="0" w:line="240" w:lineRule="auto"/>
        <w:ind w:left="0"/>
        <w:jc w:val="both"/>
        <w:rPr>
          <w:b/>
        </w:rPr>
      </w:pPr>
      <w:r w:rsidRPr="00DE152F">
        <w:rPr>
          <w:b/>
        </w:rPr>
        <w:t>Conclusioni</w:t>
      </w:r>
    </w:p>
    <w:p w:rsidR="00631626" w:rsidRPr="00DE152F" w:rsidRDefault="00631626" w:rsidP="00DE152F">
      <w:pPr>
        <w:pStyle w:val="Paragrafoelenco"/>
        <w:spacing w:after="0" w:line="240" w:lineRule="auto"/>
        <w:ind w:left="0"/>
        <w:jc w:val="both"/>
      </w:pPr>
      <w:r w:rsidRPr="00DE152F">
        <w:t xml:space="preserve">Per la richiesta di AIC di </w:t>
      </w:r>
      <w:r w:rsidR="007079D1" w:rsidRPr="00DE152F">
        <w:t>Flugenix</w:t>
      </w:r>
      <w:r w:rsidR="004B491D" w:rsidRPr="00DE152F">
        <w:t xml:space="preserve"> </w:t>
      </w:r>
      <w:r w:rsidRPr="00DE152F">
        <w:t>sono state presentate sufficienti informazioni cliniche.</w:t>
      </w:r>
    </w:p>
    <w:p w:rsidR="00631626" w:rsidRPr="00DE152F" w:rsidRDefault="00631626" w:rsidP="00DE152F">
      <w:pPr>
        <w:pStyle w:val="Paragrafoelenco"/>
        <w:spacing w:after="0" w:line="240" w:lineRule="auto"/>
        <w:ind w:left="0"/>
        <w:jc w:val="both"/>
      </w:pPr>
      <w:r w:rsidRPr="00DE152F">
        <w:t xml:space="preserve">Il rapporto beneficio/rischio di </w:t>
      </w:r>
      <w:r w:rsidR="007079D1" w:rsidRPr="00DE152F">
        <w:t>Flugenix</w:t>
      </w:r>
      <w:r w:rsidR="0054537B" w:rsidRPr="00DE152F">
        <w:t xml:space="preserve"> </w:t>
      </w:r>
      <w:r w:rsidRPr="00DE152F">
        <w:t>è considerato favorevole dal punto di vista clinico.</w:t>
      </w:r>
    </w:p>
    <w:p w:rsidR="00631626" w:rsidRPr="00DE152F" w:rsidRDefault="00631626" w:rsidP="00DE152F">
      <w:pPr>
        <w:pStyle w:val="Paragrafoelenco"/>
        <w:spacing w:after="0" w:line="240" w:lineRule="auto"/>
        <w:ind w:left="0"/>
        <w:jc w:val="both"/>
      </w:pPr>
    </w:p>
    <w:p w:rsidR="00631626" w:rsidRPr="00DE152F" w:rsidRDefault="00631626" w:rsidP="00DE152F">
      <w:pPr>
        <w:pStyle w:val="Paragrafoelenco"/>
        <w:spacing w:after="0" w:line="240" w:lineRule="auto"/>
        <w:ind w:left="0"/>
        <w:jc w:val="both"/>
      </w:pPr>
    </w:p>
    <w:p w:rsidR="00631626" w:rsidRPr="00DE152F" w:rsidRDefault="00631626" w:rsidP="00DE152F">
      <w:pPr>
        <w:pStyle w:val="Paragrafoelenco"/>
        <w:numPr>
          <w:ilvl w:val="0"/>
          <w:numId w:val="2"/>
        </w:numPr>
        <w:spacing w:after="0" w:line="240" w:lineRule="auto"/>
        <w:jc w:val="both"/>
        <w:rPr>
          <w:b/>
        </w:rPr>
      </w:pPr>
      <w:r w:rsidRPr="00DE152F">
        <w:rPr>
          <w:b/>
        </w:rPr>
        <w:t>CONSULTAZIONE SUL FOGLIO ILLUSTRATIVO</w:t>
      </w:r>
    </w:p>
    <w:p w:rsidR="00F22146" w:rsidRDefault="00F22146" w:rsidP="00F22146">
      <w:pPr>
        <w:spacing w:after="0" w:line="240" w:lineRule="auto"/>
        <w:jc w:val="both"/>
      </w:pPr>
      <w:r w:rsidRPr="00291644">
        <w:t xml:space="preserve">In accordo alla normativa vigente, </w:t>
      </w:r>
      <w:r>
        <w:t>il</w:t>
      </w:r>
      <w:r w:rsidRPr="002046BC">
        <w:rPr>
          <w:rFonts w:eastAsia="Calibri" w:cs="Calibri"/>
          <w:lang w:eastAsia="it-IT"/>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631626" w:rsidRPr="00DE152F" w:rsidRDefault="00631626" w:rsidP="00DE152F">
      <w:pPr>
        <w:pStyle w:val="Paragrafoelenco"/>
        <w:spacing w:after="0" w:line="240" w:lineRule="auto"/>
        <w:ind w:left="0"/>
        <w:jc w:val="both"/>
      </w:pPr>
    </w:p>
    <w:p w:rsidR="00631626" w:rsidRPr="00DE152F" w:rsidRDefault="00631626" w:rsidP="00DE152F">
      <w:pPr>
        <w:spacing w:after="0" w:line="240" w:lineRule="auto"/>
        <w:jc w:val="both"/>
      </w:pPr>
    </w:p>
    <w:p w:rsidR="00631626" w:rsidRPr="00DE152F" w:rsidRDefault="00631626" w:rsidP="00DE152F">
      <w:pPr>
        <w:pStyle w:val="Paragrafoelenco"/>
        <w:numPr>
          <w:ilvl w:val="0"/>
          <w:numId w:val="2"/>
        </w:numPr>
        <w:spacing w:after="0" w:line="240" w:lineRule="auto"/>
        <w:jc w:val="both"/>
        <w:rPr>
          <w:b/>
        </w:rPr>
      </w:pPr>
      <w:r w:rsidRPr="00DE152F">
        <w:rPr>
          <w:b/>
        </w:rPr>
        <w:t>CONCLUSIONI, VALUTAZIONE DEL RAPPORTO BENEFICIO/RISCHIO E RACCOMANDAZIONI</w:t>
      </w:r>
    </w:p>
    <w:p w:rsidR="00631626" w:rsidRPr="00DE152F" w:rsidRDefault="00631626" w:rsidP="00DE152F">
      <w:pPr>
        <w:spacing w:after="0" w:line="240" w:lineRule="auto"/>
        <w:jc w:val="both"/>
      </w:pPr>
      <w:r w:rsidRPr="00DE152F">
        <w:t xml:space="preserve">La qualità di </w:t>
      </w:r>
      <w:proofErr w:type="spellStart"/>
      <w:r w:rsidR="00A42B99" w:rsidRPr="00DE152F">
        <w:t>Flugenix</w:t>
      </w:r>
      <w:proofErr w:type="spellEnd"/>
      <w:r w:rsidR="00A42B99" w:rsidRPr="00DE152F">
        <w:t xml:space="preserve"> </w:t>
      </w:r>
      <w:r w:rsidRPr="00DE152F">
        <w:t>è accettabile e non sono state rilevate criticità da un punto di vista non clinico e clinico.</w:t>
      </w:r>
    </w:p>
    <w:p w:rsidR="00631626" w:rsidRPr="00DE152F" w:rsidRDefault="00631626" w:rsidP="00DE152F">
      <w:pPr>
        <w:spacing w:after="0" w:line="240" w:lineRule="auto"/>
        <w:jc w:val="both"/>
      </w:pPr>
      <w:r w:rsidRPr="00DE152F">
        <w:t>Il rapporto beneficio/rischio è considerato positivo.</w:t>
      </w:r>
    </w:p>
    <w:p w:rsidR="00631626" w:rsidRPr="00DE152F" w:rsidRDefault="00631626" w:rsidP="00DE152F">
      <w:pPr>
        <w:spacing w:after="0" w:line="240" w:lineRule="auto"/>
        <w:jc w:val="both"/>
      </w:pPr>
      <w:r w:rsidRPr="00DE152F">
        <w:t xml:space="preserve">Il riassunto delle caratteristiche del prodotto, il foglio illustrativo e le etichette sono in linea con le correnti linee guida. Questi documenti possono essere consultati sul sito istituzionale di AIFA </w:t>
      </w:r>
      <w:r w:rsidRPr="00DE152F">
        <w:rPr>
          <w:rFonts w:eastAsia="Calibri" w:cs="Calibri"/>
          <w:lang w:eastAsia="it-IT"/>
        </w:rPr>
        <w:t>(</w:t>
      </w:r>
      <w:hyperlink r:id="rId19" w:history="1">
        <w:r w:rsidRPr="00DE152F">
          <w:rPr>
            <w:rStyle w:val="Collegamentoipertestuale"/>
            <w:rFonts w:eastAsia="Calibri" w:cs="Calibri"/>
            <w:lang w:eastAsia="it-IT"/>
          </w:rPr>
          <w:t>https://farmaci.agenziafarmaco.gov.it/bancadatifarmaci</w:t>
        </w:r>
      </w:hyperlink>
      <w:r w:rsidRPr="00DE152F">
        <w:rPr>
          <w:rFonts w:eastAsia="Calibri" w:cs="Calibri"/>
          <w:lang w:eastAsia="it-IT"/>
        </w:rPr>
        <w:t>).</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p>
    <w:p w:rsidR="009A260F" w:rsidRPr="00DE152F" w:rsidRDefault="009A260F" w:rsidP="00DE152F">
      <w:pPr>
        <w:spacing w:after="0" w:line="240" w:lineRule="auto"/>
      </w:pPr>
    </w:p>
    <w:p w:rsidR="002501AC" w:rsidRPr="00DE152F" w:rsidRDefault="002501AC" w:rsidP="00DE152F">
      <w:pPr>
        <w:spacing w:after="0" w:line="240" w:lineRule="auto"/>
      </w:pPr>
    </w:p>
    <w:sectPr w:rsidR="002501AC" w:rsidRPr="00DE152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E4DFE"/>
    <w:multiLevelType w:val="hybridMultilevel"/>
    <w:tmpl w:val="8C7C04A2"/>
    <w:lvl w:ilvl="0" w:tplc="CDCCC0E6">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C234721"/>
    <w:multiLevelType w:val="hybridMultilevel"/>
    <w:tmpl w:val="23586D26"/>
    <w:lvl w:ilvl="0" w:tplc="0410000F">
      <w:start w:val="1"/>
      <w:numFmt w:val="decimal"/>
      <w:lvlText w:val="%1."/>
      <w:lvlJc w:val="left"/>
      <w:pPr>
        <w:ind w:left="1425"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48744499"/>
    <w:multiLevelType w:val="hybridMultilevel"/>
    <w:tmpl w:val="E676D516"/>
    <w:lvl w:ilvl="0" w:tplc="928EF4B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4EF83C1F"/>
    <w:multiLevelType w:val="hybridMultilevel"/>
    <w:tmpl w:val="8946C36C"/>
    <w:lvl w:ilvl="0" w:tplc="928EF4B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5B4A5D73"/>
    <w:multiLevelType w:val="hybridMultilevel"/>
    <w:tmpl w:val="9CAACF4A"/>
    <w:lvl w:ilvl="0" w:tplc="928EF4B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744D796B"/>
    <w:multiLevelType w:val="hybridMultilevel"/>
    <w:tmpl w:val="9336E9CE"/>
    <w:lvl w:ilvl="0" w:tplc="0410000F">
      <w:start w:val="1"/>
      <w:numFmt w:val="decimal"/>
      <w:lvlText w:val="%1."/>
      <w:lvlJc w:val="left"/>
      <w:pPr>
        <w:ind w:left="1428"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
    <w:nsid w:val="775F5053"/>
    <w:multiLevelType w:val="hybridMultilevel"/>
    <w:tmpl w:val="76C02CA0"/>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num>
  <w:num w:numId="2">
    <w:abstractNumId w:val="4"/>
  </w:num>
  <w:num w:numId="3">
    <w:abstractNumId w:val="5"/>
  </w:num>
  <w:num w:numId="4">
    <w:abstractNumId w:val="3"/>
  </w:num>
  <w:num w:numId="5">
    <w:abstractNumId w:val="6"/>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241AC"/>
    <w:rsid w:val="00013020"/>
    <w:rsid w:val="00062636"/>
    <w:rsid w:val="00084427"/>
    <w:rsid w:val="000B6CEA"/>
    <w:rsid w:val="000D3D99"/>
    <w:rsid w:val="001B1CD6"/>
    <w:rsid w:val="001B3BB7"/>
    <w:rsid w:val="001D0847"/>
    <w:rsid w:val="00206229"/>
    <w:rsid w:val="002127C2"/>
    <w:rsid w:val="002501AC"/>
    <w:rsid w:val="0026059F"/>
    <w:rsid w:val="00316017"/>
    <w:rsid w:val="00322BF5"/>
    <w:rsid w:val="00353A69"/>
    <w:rsid w:val="004171F6"/>
    <w:rsid w:val="004241AC"/>
    <w:rsid w:val="004349A2"/>
    <w:rsid w:val="004621BC"/>
    <w:rsid w:val="004923EE"/>
    <w:rsid w:val="004B20A8"/>
    <w:rsid w:val="004B491D"/>
    <w:rsid w:val="004D12A9"/>
    <w:rsid w:val="00520FDC"/>
    <w:rsid w:val="0054537B"/>
    <w:rsid w:val="005655F3"/>
    <w:rsid w:val="005820A7"/>
    <w:rsid w:val="005952DF"/>
    <w:rsid w:val="005A2741"/>
    <w:rsid w:val="005C341E"/>
    <w:rsid w:val="005E5FDF"/>
    <w:rsid w:val="006063E6"/>
    <w:rsid w:val="00631626"/>
    <w:rsid w:val="006910D3"/>
    <w:rsid w:val="00695003"/>
    <w:rsid w:val="007079D1"/>
    <w:rsid w:val="00716EE9"/>
    <w:rsid w:val="00762D88"/>
    <w:rsid w:val="0076385C"/>
    <w:rsid w:val="00763CB4"/>
    <w:rsid w:val="007A10AB"/>
    <w:rsid w:val="00835886"/>
    <w:rsid w:val="00893913"/>
    <w:rsid w:val="008C7E97"/>
    <w:rsid w:val="008E7EAA"/>
    <w:rsid w:val="008F123E"/>
    <w:rsid w:val="00927103"/>
    <w:rsid w:val="009431E9"/>
    <w:rsid w:val="0099675E"/>
    <w:rsid w:val="009A260F"/>
    <w:rsid w:val="009A54E9"/>
    <w:rsid w:val="009F2CB8"/>
    <w:rsid w:val="00A33529"/>
    <w:rsid w:val="00A42B99"/>
    <w:rsid w:val="00A642C7"/>
    <w:rsid w:val="00A72039"/>
    <w:rsid w:val="00AD24CB"/>
    <w:rsid w:val="00AF5D7F"/>
    <w:rsid w:val="00B27FD9"/>
    <w:rsid w:val="00B329D4"/>
    <w:rsid w:val="00B75EA4"/>
    <w:rsid w:val="00B837C9"/>
    <w:rsid w:val="00BC236D"/>
    <w:rsid w:val="00BD1173"/>
    <w:rsid w:val="00BD3B5E"/>
    <w:rsid w:val="00BF3E11"/>
    <w:rsid w:val="00C52BFC"/>
    <w:rsid w:val="00C8171A"/>
    <w:rsid w:val="00CA392A"/>
    <w:rsid w:val="00CB28A4"/>
    <w:rsid w:val="00CC2147"/>
    <w:rsid w:val="00CC7AFF"/>
    <w:rsid w:val="00D07A2C"/>
    <w:rsid w:val="00D128C1"/>
    <w:rsid w:val="00D1324C"/>
    <w:rsid w:val="00D20170"/>
    <w:rsid w:val="00D34979"/>
    <w:rsid w:val="00D551E5"/>
    <w:rsid w:val="00D97849"/>
    <w:rsid w:val="00DC45B0"/>
    <w:rsid w:val="00DE152F"/>
    <w:rsid w:val="00DE778E"/>
    <w:rsid w:val="00DF4473"/>
    <w:rsid w:val="00E00376"/>
    <w:rsid w:val="00E02048"/>
    <w:rsid w:val="00E21095"/>
    <w:rsid w:val="00E25E8D"/>
    <w:rsid w:val="00E43089"/>
    <w:rsid w:val="00E7486A"/>
    <w:rsid w:val="00E81CDF"/>
    <w:rsid w:val="00E95CA3"/>
    <w:rsid w:val="00E97CC5"/>
    <w:rsid w:val="00EA6AAB"/>
    <w:rsid w:val="00F0721A"/>
    <w:rsid w:val="00F22146"/>
    <w:rsid w:val="00F32F57"/>
    <w:rsid w:val="00F57E30"/>
    <w:rsid w:val="00F633D4"/>
    <w:rsid w:val="00FA2702"/>
    <w:rsid w:val="00FA5532"/>
    <w:rsid w:val="00FA55B0"/>
    <w:rsid w:val="00FF7CE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paragraph" w:styleId="Paragrafoelenco">
    <w:name w:val="List Paragraph"/>
    <w:basedOn w:val="Normale"/>
    <w:uiPriority w:val="99"/>
    <w:qFormat/>
    <w:rsid w:val="00631626"/>
    <w:pPr>
      <w:ind w:left="720"/>
      <w:contextualSpacing/>
    </w:pPr>
  </w:style>
  <w:style w:type="character" w:customStyle="1" w:styleId="s1">
    <w:name w:val="s1"/>
    <w:basedOn w:val="Carpredefinitoparagrafo"/>
    <w:rsid w:val="00631626"/>
    <w:rPr>
      <w:rFonts w:ascii="Arial" w:hAnsi="Arial" w:cs="Arial" w:hint="default"/>
    </w:rPr>
  </w:style>
  <w:style w:type="paragraph" w:styleId="Didascalia">
    <w:name w:val="caption"/>
    <w:basedOn w:val="Normale"/>
    <w:next w:val="Normale"/>
    <w:qFormat/>
    <w:rsid w:val="00631626"/>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54537B"/>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54537B"/>
    <w:pPr>
      <w:spacing w:before="720" w:after="0" w:line="360" w:lineRule="atLeast"/>
    </w:pPr>
    <w:rPr>
      <w:rFonts w:ascii="Verdana" w:eastAsia="Verdana" w:hAnsi="Verdana" w:cs="Verdana"/>
      <w:color w:val="003399"/>
      <w:sz w:val="32"/>
      <w:szCs w:val="32"/>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Basofili" TargetMode="External"/><Relationship Id="rId13" Type="http://schemas.openxmlformats.org/officeDocument/2006/relationships/hyperlink" Target="https://it.wikipedia.org/wiki/Eicosanoidi" TargetMode="External"/><Relationship Id="rId18" Type="http://schemas.openxmlformats.org/officeDocument/2006/relationships/hyperlink" Target="https://farmaci.agenziafarmaco.gov.it/bancadatifarmac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it.wikipedia.org/wiki/Eosinofili" TargetMode="External"/><Relationship Id="rId12" Type="http://schemas.openxmlformats.org/officeDocument/2006/relationships/hyperlink" Target="https://it.wikipedia.org/wiki/Istamina" TargetMode="External"/><Relationship Id="rId1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hyperlink" Target="https://it.wikipedia.org/wiki/Asma_bronchial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hyperlink" Target="https://it.wikipedia.org/wiki/Neutrofili" TargetMode="External"/><Relationship Id="rId5" Type="http://schemas.openxmlformats.org/officeDocument/2006/relationships/image" Target="media/image1.emf"/><Relationship Id="rId15" Type="http://schemas.openxmlformats.org/officeDocument/2006/relationships/hyperlink" Target="https://it.wikipedia.org/wiki/Citochine" TargetMode="External"/><Relationship Id="rId10" Type="http://schemas.openxmlformats.org/officeDocument/2006/relationships/hyperlink" Target="https://it.wikipedia.org/wiki/Macrofagi" TargetMode="External"/><Relationship Id="rId19"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it.wikipedia.org/wiki/Linfociti" TargetMode="External"/><Relationship Id="rId14" Type="http://schemas.openxmlformats.org/officeDocument/2006/relationships/hyperlink" Target="https://it.wikipedia.org/wiki/Leucotrien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2463</Words>
  <Characters>14041</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10</cp:revision>
  <dcterms:created xsi:type="dcterms:W3CDTF">2015-10-29T15:33:00Z</dcterms:created>
  <dcterms:modified xsi:type="dcterms:W3CDTF">2016-06-30T14:37:00Z</dcterms:modified>
</cp:coreProperties>
</file>